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80" w:before="200"/>
      </w:pPr>
      <w:r>
        <w:rPr>
          <w:b/>
          <w:i w:val="0"/>
          <w:color w:val="1C3A36"/>
          <w:sz w:val="24"/>
        </w:rPr>
        <w:t>Independent Valuation Study — Educational Analysis</w:t>
      </w:r>
    </w:p>
    <w:p>
      <w:pPr>
        <w:spacing w:after="120" w:before="280"/>
      </w:pPr>
      <w:r>
        <w:rPr>
          <w:b/>
          <w:i w:val="0"/>
          <w:color w:val="1C3A36"/>
          <w:sz w:val="30"/>
        </w:rPr>
        <w:t>Emirates Integrated Telecommunications Company PJSC (DFM: DU)</w:t>
      </w:r>
    </w:p>
    <w:p>
      <w:pPr>
        <w:spacing w:after="200" w:before="0"/>
      </w:pPr>
      <w:r>
        <w:rPr>
          <w:b w:val="0"/>
          <w:i w:val="0"/>
          <w:color w:val="1C3A36"/>
          <w:sz w:val="21"/>
        </w:rPr>
        <w:t xml:space="preserve">du · United Arab Emirates · Integrated telecom operator (mobile · fixed · wholesale · ICT and data centres)   </w:t>
      </w:r>
      <w:r>
        <w:rPr>
          <w:b w:val="0"/>
          <w:i w:val="0"/>
          <w:color w:val="6E7B77"/>
          <w:sz w:val="21"/>
        </w:rPr>
        <w:t>Anchor 2026-08-07 · Spot AED 12.30 · Market capitalisation AED 55,755mn</w:t>
      </w:r>
    </w:p>
    <w:p>
      <w:pPr>
        <w:spacing w:after="240" w:before="0"/>
      </w:pPr>
      <w:r>
        <w:rPr>
          <w:b w:val="0"/>
          <w:i w:val="0"/>
          <w:color w:val="1C3A36"/>
          <w:sz w:val="19"/>
        </w:rPr>
        <w:t>READ FIRST. This study is an educational analysis, not investment advice, a recommendation or a solicitation. It never issues a rating or a price target: it publishes fair-value RANGES and probability DISTRIBUTIONS, and it separates what the business may be worth (sections 1, 4, 5) from where the price could plausibly trade (sections 2, 3, 6) — two different questions that are never blended. All figures are in United Arab Emirates dirhams (AED); the company reports, lists and pays dividends in AED, so no currency translation enters the model anywhere. Historical financials come exclusively from the company's own audited and reviewed consolidated financial statements, read from its investor-relations portal; every input is listed with source and date in the companion bibliography document.</w:t>
      </w:r>
    </w:p>
    <w:p>
      <w:pPr>
        <w:spacing w:after="80" w:before="200"/>
      </w:pPr>
      <w:r>
        <w:rPr>
          <w:b/>
          <w:i w:val="0"/>
          <w:color w:val="1C3A36"/>
          <w:sz w:val="24"/>
        </w:rPr>
        <w:t>Headline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The business. </w:t>
            </w:r>
            <w:r>
              <w:rPr>
                <w:color w:val="1C3A36"/>
                <w:sz w:val="19"/>
              </w:rPr>
              <w:t>du is the second operator in the UAE's two-player telecom market: 9,280 thousand mobile customers, 744 thousand fixed subscriptions, four disclosed segments (Mobile, Fixed, Wholesale, ICT), FY2025 revenue AED 15,905mn and an EBITDA margin of 46.1% — with ZERO drawn debt in every year studied and a dividend paid out of essentially all of profit.</w:t>
            </w:r>
          </w:p>
          <w:p>
            <w:pPr>
              <w:spacing w:after="100"/>
            </w:pPr>
            <w:r>
              <w:rPr>
                <w:b/>
                <w:color w:val="1C3A36"/>
                <w:sz w:val="19"/>
              </w:rPr>
              <w:t xml:space="preserve">The valuation. </w:t>
            </w:r>
            <w:r>
              <w:rPr>
                <w:color w:val="1C3A36"/>
                <w:sz w:val="19"/>
              </w:rPr>
              <w:t>Weighted central AED 13.45 per share against a spot of AED 12.30 (+9%), inside a weighted bear-to-bull range of AED 9.40 to 19.61 and a wider span across the four lenses of AED 7.93 to AED 27.59. The cash-flow lens alone reads AED 18.17; the market-anchored relative lens reads AED 8.58. That gap is the study's honest tension, and section 4 explains rather than hides it.</w:t>
            </w:r>
          </w:p>
          <w:p>
            <w:pPr>
              <w:spacing w:after="100"/>
            </w:pPr>
            <w:r>
              <w:rPr>
                <w:b/>
                <w:color w:val="1C3A36"/>
                <w:sz w:val="19"/>
              </w:rPr>
              <w:t xml:space="preserve">The contested judgement. </w:t>
            </w:r>
            <w:r>
              <w:rPr>
                <w:color w:val="1C3A36"/>
                <w:sz w:val="19"/>
              </w:rPr>
              <w:t>What required return does this business deserve? On du's own measured beta the cash-flow lens reads AED 18.17 — but the terminal that implies values du at 10.0x forward EBITDA in perpetuity, against the 7.6x the market pays for it today. Refuse that re-rating and hold today's multiple instead and the same cash flows are worth AED 14.40. Both are published side by side — the judgement is worth AED 3.76 per share and is never averaged into one number.</w:t>
            </w:r>
          </w:p>
          <w:p>
            <w:pPr>
              <w:spacing w:after="100"/>
            </w:pPr>
            <w:r>
              <w:rPr>
                <w:b/>
                <w:color w:val="1C3A36"/>
                <w:sz w:val="19"/>
              </w:rPr>
              <w:t xml:space="preserve">What is NOT contested. </w:t>
            </w:r>
            <w:r>
              <w:rPr>
                <w:color w:val="1C3A36"/>
                <w:sz w:val="19"/>
              </w:rPr>
              <w:t>The fiscal regime. The 38% royalty plus 9% corporate tax was legislated only to 2026, but du disclosed the extension itself on 24 July 2026, covering 2027 to 2029 on the same structure with the AED 1.8bn combined floor expressly retained. A reversion after 2029 is priced as a named tail (AED 15.22), not as a live coin-flip.</w:t>
            </w:r>
          </w:p>
          <w:p>
            <w:pPr>
              <w:spacing w:after="100"/>
            </w:pPr>
            <w:r>
              <w:rPr>
                <w:b/>
                <w:color w:val="1C3A36"/>
                <w:sz w:val="19"/>
              </w:rPr>
              <w:t xml:space="preserve">The moment. </w:t>
            </w:r>
            <w:r>
              <w:rPr>
                <w:color w:val="1C3A36"/>
                <w:sz w:val="19"/>
              </w:rPr>
              <w:t>This study is struck weeks after a regional war collapsed Gulf tourism and took 412 thousand mobile customers off du's base in a single quarter, and days after the company cut its own revenue guidance to 4-6% while raising the interim dividend. The company's operating licence was disclosed as running only to 8 August 2026, one day after this study's price anchor; it has since been renewed for twenty years, on terms the regulator has not published.</w:t>
            </w:r>
          </w:p>
        </w:tc>
      </w:tr>
    </w:tbl>
    <w:p>
      <w:pPr>
        <w:spacing w:after="40"/>
      </w:pPr>
    </w:p>
    <w:p>
      <w:pPr>
        <w:spacing w:after="80" w:before="200"/>
      </w:pPr>
      <w:r>
        <w:rPr>
          <w:b/>
          <w:i w:val="0"/>
          <w:color w:val="1C3A36"/>
          <w:sz w:val="24"/>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224"/>
        <w:gridCol w:w="1224"/>
        <w:gridCol w:w="1224"/>
        <w:gridCol w:w="1080"/>
        <w:gridCol w:w="1224"/>
      </w:tblGrid>
      <w:tr>
        <w:tc>
          <w:tcPr>
            <w:tcW w:type="dxa" w:w="3672"/>
            <w:shd w:val="clear" w:color="auto" w:fill="EAF0EE"/>
          </w:tcPr>
          <w:p>
            <w:pPr>
              <w:spacing w:after="20"/>
            </w:pPr>
            <w:r>
              <w:rPr>
                <w:b/>
                <w:color w:val="1C3A36"/>
                <w:sz w:val="17"/>
              </w:rPr>
              <w:t>Lens</w:t>
            </w:r>
          </w:p>
        </w:tc>
        <w:tc>
          <w:tcPr>
            <w:tcW w:type="dxa" w:w="1224"/>
            <w:shd w:val="clear" w:color="auto" w:fill="EAF0EE"/>
          </w:tcPr>
          <w:p>
            <w:pPr>
              <w:spacing w:after="20"/>
            </w:pPr>
            <w:r>
              <w:rPr>
                <w:b/>
                <w:color w:val="1C3A36"/>
                <w:sz w:val="17"/>
              </w:rPr>
              <w:t>Bear</w:t>
            </w:r>
          </w:p>
        </w:tc>
        <w:tc>
          <w:tcPr>
            <w:tcW w:type="dxa" w:w="1224"/>
            <w:shd w:val="clear" w:color="auto" w:fill="EAF0EE"/>
          </w:tcPr>
          <w:p>
            <w:pPr>
              <w:spacing w:after="20"/>
            </w:pPr>
            <w:r>
              <w:rPr>
                <w:b/>
                <w:color w:val="1C3A36"/>
                <w:sz w:val="17"/>
              </w:rPr>
              <w:t>Base</w:t>
            </w:r>
          </w:p>
        </w:tc>
        <w:tc>
          <w:tcPr>
            <w:tcW w:type="dxa" w:w="1224"/>
            <w:shd w:val="clear" w:color="auto" w:fill="EAF0EE"/>
          </w:tcPr>
          <w:p>
            <w:pPr>
              <w:spacing w:after="20"/>
            </w:pPr>
            <w:r>
              <w:rPr>
                <w:b/>
                <w:color w:val="1C3A36"/>
                <w:sz w:val="17"/>
              </w:rPr>
              <w:t>Bull</w:t>
            </w:r>
          </w:p>
        </w:tc>
        <w:tc>
          <w:tcPr>
            <w:tcW w:type="dxa" w:w="1080"/>
            <w:shd w:val="clear" w:color="auto" w:fill="EAF0EE"/>
          </w:tcPr>
          <w:p>
            <w:pPr>
              <w:spacing w:after="20"/>
            </w:pPr>
            <w:r>
              <w:rPr>
                <w:b/>
                <w:color w:val="1C3A36"/>
                <w:sz w:val="17"/>
              </w:rPr>
              <w:t>Weight</w:t>
            </w:r>
          </w:p>
        </w:tc>
        <w:tc>
          <w:tcPr>
            <w:tcW w:type="dxa" w:w="1224"/>
            <w:shd w:val="clear" w:color="auto" w:fill="EAF0EE"/>
          </w:tcPr>
          <w:p>
            <w:pPr>
              <w:spacing w:after="20"/>
            </w:pPr>
            <w:r>
              <w:rPr>
                <w:b/>
                <w:color w:val="1C3A36"/>
                <w:sz w:val="17"/>
              </w:rPr>
              <w:t>vs spot</w:t>
            </w:r>
          </w:p>
        </w:tc>
      </w:tr>
      <w:tr>
        <w:tc>
          <w:tcPr>
            <w:tcW w:type="dxa" w:w="3672"/>
          </w:tcPr>
          <w:p>
            <w:pPr>
              <w:spacing w:after="20"/>
            </w:pPr>
            <w:r>
              <w:rPr>
                <w:color w:val="1C3A36"/>
                <w:sz w:val="17"/>
              </w:rPr>
              <w:t>Discounted cash flow (primary)</w:t>
            </w:r>
          </w:p>
        </w:tc>
        <w:tc>
          <w:tcPr>
            <w:tcW w:type="dxa" w:w="1224"/>
          </w:tcPr>
          <w:p>
            <w:pPr>
              <w:spacing w:after="20"/>
              <w:jc w:val="right"/>
            </w:pPr>
            <w:r>
              <w:rPr>
                <w:color w:val="1C3A36"/>
                <w:sz w:val="17"/>
              </w:rPr>
              <w:t>10.54</w:t>
            </w:r>
          </w:p>
        </w:tc>
        <w:tc>
          <w:tcPr>
            <w:tcW w:type="dxa" w:w="1224"/>
          </w:tcPr>
          <w:p>
            <w:pPr>
              <w:spacing w:after="20"/>
              <w:jc w:val="right"/>
            </w:pPr>
            <w:r>
              <w:rPr>
                <w:color w:val="1C3A36"/>
                <w:sz w:val="17"/>
              </w:rPr>
              <w:t>18.17</w:t>
            </w:r>
          </w:p>
        </w:tc>
        <w:tc>
          <w:tcPr>
            <w:tcW w:type="dxa" w:w="1224"/>
          </w:tcPr>
          <w:p>
            <w:pPr>
              <w:spacing w:after="20"/>
              <w:jc w:val="right"/>
            </w:pPr>
            <w:r>
              <w:rPr>
                <w:color w:val="1C3A36"/>
                <w:sz w:val="17"/>
              </w:rPr>
              <w:t>27.59</w:t>
            </w:r>
          </w:p>
        </w:tc>
        <w:tc>
          <w:tcPr>
            <w:tcW w:type="dxa" w:w="1080"/>
          </w:tcPr>
          <w:p>
            <w:pPr>
              <w:spacing w:after="20"/>
              <w:jc w:val="right"/>
            </w:pPr>
            <w:r>
              <w:rPr>
                <w:color w:val="1C3A36"/>
                <w:sz w:val="17"/>
              </w:rPr>
              <w:t>45%</w:t>
            </w:r>
          </w:p>
        </w:tc>
        <w:tc>
          <w:tcPr>
            <w:tcW w:type="dxa" w:w="1224"/>
          </w:tcPr>
          <w:p>
            <w:pPr>
              <w:spacing w:after="20"/>
              <w:jc w:val="right"/>
            </w:pPr>
            <w:r>
              <w:rPr>
                <w:color w:val="1C3A36"/>
                <w:sz w:val="17"/>
              </w:rPr>
              <w:t>+48%</w:t>
            </w:r>
          </w:p>
        </w:tc>
      </w:tr>
      <w:tr>
        <w:tc>
          <w:tcPr>
            <w:tcW w:type="dxa" w:w="3672"/>
          </w:tcPr>
          <w:p>
            <w:pPr>
              <w:spacing w:after="20"/>
            </w:pPr>
            <w:r>
              <w:rPr>
                <w:color w:val="1C3A36"/>
                <w:sz w:val="17"/>
              </w:rPr>
              <w:t>Relative multiples</w:t>
            </w:r>
          </w:p>
        </w:tc>
        <w:tc>
          <w:tcPr>
            <w:tcW w:type="dxa" w:w="1224"/>
          </w:tcPr>
          <w:p>
            <w:pPr>
              <w:spacing w:after="20"/>
              <w:jc w:val="right"/>
            </w:pPr>
            <w:r>
              <w:rPr>
                <w:color w:val="1C3A36"/>
                <w:sz w:val="17"/>
              </w:rPr>
              <w:t>7.94</w:t>
            </w:r>
          </w:p>
        </w:tc>
        <w:tc>
          <w:tcPr>
            <w:tcW w:type="dxa" w:w="1224"/>
          </w:tcPr>
          <w:p>
            <w:pPr>
              <w:spacing w:after="20"/>
              <w:jc w:val="right"/>
            </w:pPr>
            <w:r>
              <w:rPr>
                <w:color w:val="1C3A36"/>
                <w:sz w:val="17"/>
              </w:rPr>
              <w:t>8.58</w:t>
            </w:r>
          </w:p>
        </w:tc>
        <w:tc>
          <w:tcPr>
            <w:tcW w:type="dxa" w:w="1224"/>
          </w:tcPr>
          <w:p>
            <w:pPr>
              <w:spacing w:after="20"/>
              <w:jc w:val="right"/>
            </w:pPr>
            <w:r>
              <w:rPr>
                <w:color w:val="1C3A36"/>
                <w:sz w:val="17"/>
              </w:rPr>
              <w:t>12.60</w:t>
            </w:r>
          </w:p>
        </w:tc>
        <w:tc>
          <w:tcPr>
            <w:tcW w:type="dxa" w:w="1080"/>
          </w:tcPr>
          <w:p>
            <w:pPr>
              <w:spacing w:after="20"/>
              <w:jc w:val="right"/>
            </w:pPr>
            <w:r>
              <w:rPr>
                <w:color w:val="1C3A36"/>
                <w:sz w:val="17"/>
              </w:rPr>
              <w:t>25%</w:t>
            </w:r>
          </w:p>
        </w:tc>
        <w:tc>
          <w:tcPr>
            <w:tcW w:type="dxa" w:w="1224"/>
          </w:tcPr>
          <w:p>
            <w:pPr>
              <w:spacing w:after="20"/>
              <w:jc w:val="right"/>
            </w:pPr>
            <w:r>
              <w:rPr>
                <w:color w:val="1C3A36"/>
                <w:sz w:val="17"/>
              </w:rPr>
              <w:t>-30%</w:t>
            </w:r>
          </w:p>
        </w:tc>
      </w:tr>
      <w:tr>
        <w:tc>
          <w:tcPr>
            <w:tcW w:type="dxa" w:w="3672"/>
          </w:tcPr>
          <w:p>
            <w:pPr>
              <w:spacing w:after="20"/>
            </w:pPr>
            <w:r>
              <w:rPr>
                <w:color w:val="1C3A36"/>
                <w:sz w:val="17"/>
              </w:rPr>
              <w:t>Normalised earnings power</w:t>
            </w:r>
          </w:p>
        </w:tc>
        <w:tc>
          <w:tcPr>
            <w:tcW w:type="dxa" w:w="1224"/>
          </w:tcPr>
          <w:p>
            <w:pPr>
              <w:spacing w:after="20"/>
              <w:jc w:val="right"/>
            </w:pPr>
            <w:r>
              <w:rPr>
                <w:color w:val="1C3A36"/>
                <w:sz w:val="17"/>
              </w:rPr>
              <w:t>7.93</w:t>
            </w:r>
          </w:p>
        </w:tc>
        <w:tc>
          <w:tcPr>
            <w:tcW w:type="dxa" w:w="1224"/>
          </w:tcPr>
          <w:p>
            <w:pPr>
              <w:spacing w:after="20"/>
              <w:jc w:val="right"/>
            </w:pPr>
            <w:r>
              <w:rPr>
                <w:color w:val="1C3A36"/>
                <w:sz w:val="17"/>
              </w:rPr>
              <w:t>8.57</w:t>
            </w:r>
          </w:p>
        </w:tc>
        <w:tc>
          <w:tcPr>
            <w:tcW w:type="dxa" w:w="1224"/>
          </w:tcPr>
          <w:p>
            <w:pPr>
              <w:spacing w:after="20"/>
              <w:jc w:val="right"/>
            </w:pPr>
            <w:r>
              <w:rPr>
                <w:color w:val="1C3A36"/>
                <w:sz w:val="17"/>
              </w:rPr>
              <w:t>12.58</w:t>
            </w:r>
          </w:p>
        </w:tc>
        <w:tc>
          <w:tcPr>
            <w:tcW w:type="dxa" w:w="1080"/>
          </w:tcPr>
          <w:p>
            <w:pPr>
              <w:spacing w:after="20"/>
              <w:jc w:val="right"/>
            </w:pPr>
            <w:r>
              <w:rPr>
                <w:color w:val="1C3A36"/>
                <w:sz w:val="17"/>
              </w:rPr>
              <w:t>20%</w:t>
            </w:r>
          </w:p>
        </w:tc>
        <w:tc>
          <w:tcPr>
            <w:tcW w:type="dxa" w:w="1224"/>
          </w:tcPr>
          <w:p>
            <w:pPr>
              <w:spacing w:after="20"/>
              <w:jc w:val="right"/>
            </w:pPr>
            <w:r>
              <w:rPr>
                <w:color w:val="1C3A36"/>
                <w:sz w:val="17"/>
              </w:rPr>
              <w:t>-30%</w:t>
            </w:r>
          </w:p>
        </w:tc>
      </w:tr>
      <w:tr>
        <w:tc>
          <w:tcPr>
            <w:tcW w:type="dxa" w:w="3672"/>
          </w:tcPr>
          <w:p>
            <w:pPr>
              <w:spacing w:after="20"/>
            </w:pPr>
            <w:r>
              <w:rPr>
                <w:color w:val="1C3A36"/>
                <w:sz w:val="17"/>
              </w:rPr>
              <w:t>Book value &amp; sustainable return</w:t>
            </w:r>
          </w:p>
        </w:tc>
        <w:tc>
          <w:tcPr>
            <w:tcW w:type="dxa" w:w="1224"/>
          </w:tcPr>
          <w:p>
            <w:pPr>
              <w:spacing w:after="20"/>
              <w:jc w:val="right"/>
            </w:pPr>
            <w:r>
              <w:rPr>
                <w:color w:val="1C3A36"/>
                <w:sz w:val="17"/>
              </w:rPr>
              <w:t>10.86</w:t>
            </w:r>
          </w:p>
        </w:tc>
        <w:tc>
          <w:tcPr>
            <w:tcW w:type="dxa" w:w="1224"/>
          </w:tcPr>
          <w:p>
            <w:pPr>
              <w:spacing w:after="20"/>
              <w:jc w:val="right"/>
            </w:pPr>
            <w:r>
              <w:rPr>
                <w:color w:val="1C3A36"/>
                <w:sz w:val="17"/>
              </w:rPr>
              <w:t>14.12</w:t>
            </w:r>
          </w:p>
        </w:tc>
        <w:tc>
          <w:tcPr>
            <w:tcW w:type="dxa" w:w="1224"/>
          </w:tcPr>
          <w:p>
            <w:pPr>
              <w:spacing w:after="20"/>
              <w:jc w:val="right"/>
            </w:pPr>
            <w:r>
              <w:rPr>
                <w:color w:val="1C3A36"/>
                <w:sz w:val="17"/>
              </w:rPr>
              <w:t>15.33</w:t>
            </w:r>
          </w:p>
        </w:tc>
        <w:tc>
          <w:tcPr>
            <w:tcW w:type="dxa" w:w="1080"/>
          </w:tcPr>
          <w:p>
            <w:pPr>
              <w:spacing w:after="20"/>
              <w:jc w:val="right"/>
            </w:pPr>
            <w:r>
              <w:rPr>
                <w:color w:val="1C3A36"/>
                <w:sz w:val="17"/>
              </w:rPr>
              <w:t>10%</w:t>
            </w:r>
          </w:p>
        </w:tc>
        <w:tc>
          <w:tcPr>
            <w:tcW w:type="dxa" w:w="1224"/>
          </w:tcPr>
          <w:p>
            <w:pPr>
              <w:spacing w:after="20"/>
              <w:jc w:val="right"/>
            </w:pPr>
            <w:r>
              <w:rPr>
                <w:color w:val="1C3A36"/>
                <w:sz w:val="17"/>
              </w:rPr>
              <w:t>+15%</w:t>
            </w:r>
          </w:p>
        </w:tc>
      </w:tr>
      <w:tr>
        <w:tc>
          <w:tcPr>
            <w:tcW w:type="dxa" w:w="3672"/>
            <w:shd w:val="clear" w:color="auto" w:fill="F6F1E6"/>
          </w:tcPr>
          <w:p>
            <w:pPr>
              <w:spacing w:after="20"/>
            </w:pPr>
            <w:r>
              <w:rPr>
                <w:b/>
                <w:color w:val="1C3A36"/>
                <w:sz w:val="17"/>
              </w:rPr>
              <w:t>Weighted central</w:t>
            </w:r>
          </w:p>
        </w:tc>
        <w:tc>
          <w:tcPr>
            <w:tcW w:type="dxa" w:w="1224"/>
            <w:shd w:val="clear" w:color="auto" w:fill="F6F1E6"/>
          </w:tcPr>
          <w:p>
            <w:pPr>
              <w:spacing w:after="20"/>
              <w:jc w:val="right"/>
            </w:pPr>
            <w:r>
              <w:rPr>
                <w:b/>
                <w:color w:val="1C3A36"/>
                <w:sz w:val="17"/>
              </w:rPr>
              <w:t>9.40</w:t>
            </w:r>
          </w:p>
        </w:tc>
        <w:tc>
          <w:tcPr>
            <w:tcW w:type="dxa" w:w="1224"/>
            <w:shd w:val="clear" w:color="auto" w:fill="F6F1E6"/>
          </w:tcPr>
          <w:p>
            <w:pPr>
              <w:spacing w:after="20"/>
              <w:jc w:val="right"/>
            </w:pPr>
            <w:r>
              <w:rPr>
                <w:b/>
                <w:color w:val="1C3A36"/>
                <w:sz w:val="17"/>
              </w:rPr>
              <w:t>13.45</w:t>
            </w:r>
          </w:p>
        </w:tc>
        <w:tc>
          <w:tcPr>
            <w:tcW w:type="dxa" w:w="1224"/>
            <w:shd w:val="clear" w:color="auto" w:fill="F6F1E6"/>
          </w:tcPr>
          <w:p>
            <w:pPr>
              <w:spacing w:after="20"/>
              <w:jc w:val="right"/>
            </w:pPr>
            <w:r>
              <w:rPr>
                <w:b/>
                <w:color w:val="1C3A36"/>
                <w:sz w:val="17"/>
              </w:rPr>
              <w:t>19.61</w:t>
            </w:r>
          </w:p>
        </w:tc>
        <w:tc>
          <w:tcPr>
            <w:tcW w:type="dxa" w:w="1080"/>
            <w:shd w:val="clear" w:color="auto" w:fill="F6F1E6"/>
          </w:tcPr>
          <w:p>
            <w:pPr>
              <w:spacing w:after="20"/>
              <w:jc w:val="right"/>
            </w:pPr>
            <w:r>
              <w:rPr>
                <w:b/>
                <w:color w:val="1C3A36"/>
                <w:sz w:val="17"/>
              </w:rPr>
              <w:t>100%</w:t>
            </w:r>
          </w:p>
        </w:tc>
        <w:tc>
          <w:tcPr>
            <w:tcW w:type="dxa" w:w="1224"/>
            <w:shd w:val="clear" w:color="auto" w:fill="F6F1E6"/>
          </w:tcPr>
          <w:p>
            <w:pPr>
              <w:spacing w:after="20"/>
              <w:jc w:val="right"/>
            </w:pPr>
            <w:r>
              <w:rPr>
                <w:b/>
                <w:color w:val="1C3A36"/>
                <w:sz w:val="17"/>
              </w:rPr>
              <w:t>+9%</w:t>
            </w:r>
          </w:p>
        </w:tc>
      </w:tr>
      <w:tr>
        <w:tc>
          <w:tcPr>
            <w:tcW w:type="dxa" w:w="3672"/>
          </w:tcPr>
          <w:p>
            <w:pPr>
              <w:spacing w:after="20"/>
            </w:pPr>
            <w:r>
              <w:rPr>
                <w:color w:val="1C3A36"/>
                <w:sz w:val="17"/>
              </w:rPr>
              <w:t>Span across lenses (min/max, not weighted)</w:t>
            </w:r>
          </w:p>
        </w:tc>
        <w:tc>
          <w:tcPr>
            <w:tcW w:type="dxa" w:w="1224"/>
          </w:tcPr>
          <w:p>
            <w:pPr>
              <w:spacing w:after="20"/>
              <w:jc w:val="right"/>
            </w:pPr>
            <w:r>
              <w:rPr>
                <w:color w:val="1C3A36"/>
                <w:sz w:val="17"/>
              </w:rPr>
              <w:t>7.93</w:t>
            </w:r>
          </w:p>
        </w:tc>
        <w:tc>
          <w:tcPr>
            <w:tcW w:type="dxa" w:w="1224"/>
          </w:tcPr>
          <w:p>
            <w:pPr>
              <w:spacing w:after="20"/>
              <w:jc w:val="right"/>
            </w:pPr>
            <w:r>
              <w:rPr>
                <w:color w:val="1C3A36"/>
                <w:sz w:val="17"/>
              </w:rPr>
            </w:r>
          </w:p>
        </w:tc>
        <w:tc>
          <w:tcPr>
            <w:tcW w:type="dxa" w:w="1224"/>
          </w:tcPr>
          <w:p>
            <w:pPr>
              <w:spacing w:after="20"/>
              <w:jc w:val="right"/>
            </w:pPr>
            <w:r>
              <w:rPr>
                <w:color w:val="1C3A36"/>
                <w:sz w:val="17"/>
              </w:rPr>
              <w:t>27.59</w:t>
            </w:r>
          </w:p>
        </w:tc>
        <w:tc>
          <w:tcPr>
            <w:tcW w:type="dxa" w:w="1080"/>
          </w:tcPr>
          <w:p>
            <w:pPr>
              <w:spacing w:after="20"/>
              <w:jc w:val="right"/>
            </w:pPr>
            <w:r>
              <w:rPr>
                <w:color w:val="1C3A36"/>
                <w:sz w:val="17"/>
              </w:rPr>
              <w:t>—</w:t>
            </w:r>
          </w:p>
        </w:tc>
        <w:tc>
          <w:tcPr>
            <w:tcW w:type="dxa" w:w="1224"/>
          </w:tcPr>
          <w:p>
            <w:pPr>
              <w:spacing w:after="20"/>
              <w:jc w:val="right"/>
            </w:pPr>
            <w:r>
              <w:rPr>
                <w:color w:val="1C3A36"/>
                <w:sz w:val="17"/>
              </w:rPr>
            </w:r>
          </w:p>
        </w:tc>
      </w:tr>
      <w:tr>
        <w:tc>
          <w:tcPr>
            <w:tcW w:type="dxa" w:w="3672"/>
          </w:tcPr>
          <w:p>
            <w:pPr>
              <w:spacing w:after="20"/>
            </w:pPr>
            <w:r>
              <w:rPr>
                <w:color w:val="1C3A36"/>
                <w:sz w:val="17"/>
              </w:rPr>
              <w:t>Contested judgement, other way — no terminal re-rating</w:t>
            </w:r>
          </w:p>
        </w:tc>
        <w:tc>
          <w:tcPr>
            <w:tcW w:type="dxa" w:w="1224"/>
          </w:tcPr>
          <w:p>
            <w:pPr>
              <w:spacing w:after="20"/>
              <w:jc w:val="right"/>
            </w:pPr>
            <w:r>
              <w:rPr>
                <w:color w:val="1C3A36"/>
                <w:sz w:val="17"/>
              </w:rPr>
            </w:r>
          </w:p>
        </w:tc>
        <w:tc>
          <w:tcPr>
            <w:tcW w:type="dxa" w:w="1224"/>
          </w:tcPr>
          <w:p>
            <w:pPr>
              <w:spacing w:after="20"/>
              <w:jc w:val="right"/>
            </w:pPr>
            <w:r>
              <w:rPr>
                <w:color w:val="1C3A36"/>
                <w:sz w:val="17"/>
              </w:rPr>
              <w:t>14.40</w:t>
            </w:r>
          </w:p>
        </w:tc>
        <w:tc>
          <w:tcPr>
            <w:tcW w:type="dxa" w:w="1224"/>
          </w:tcPr>
          <w:p>
            <w:pPr>
              <w:spacing w:after="20"/>
              <w:jc w:val="right"/>
            </w:pPr>
            <w:r>
              <w:rPr>
                <w:color w:val="1C3A36"/>
                <w:sz w:val="17"/>
              </w:rPr>
            </w:r>
          </w:p>
        </w:tc>
        <w:tc>
          <w:tcPr>
            <w:tcW w:type="dxa" w:w="1080"/>
          </w:tcPr>
          <w:p>
            <w:pPr>
              <w:spacing w:after="20"/>
              <w:jc w:val="right"/>
            </w:pPr>
            <w:r>
              <w:rPr>
                <w:color w:val="1C3A36"/>
                <w:sz w:val="17"/>
              </w:rPr>
              <w:t>—</w:t>
            </w:r>
          </w:p>
        </w:tc>
        <w:tc>
          <w:tcPr>
            <w:tcW w:type="dxa" w:w="1224"/>
          </w:tcPr>
          <w:p>
            <w:pPr>
              <w:spacing w:after="20"/>
              <w:jc w:val="right"/>
            </w:pPr>
            <w:r>
              <w:rPr>
                <w:color w:val="1C3A36"/>
                <w:sz w:val="17"/>
              </w:rPr>
              <w:t>+17%</w:t>
            </w:r>
          </w:p>
        </w:tc>
      </w:tr>
      <w:tr>
        <w:tc>
          <w:tcPr>
            <w:tcW w:type="dxa" w:w="3672"/>
          </w:tcPr>
          <w:p>
            <w:pPr>
              <w:spacing w:after="20"/>
            </w:pPr>
            <w:r>
              <w:rPr>
                <w:color w:val="1C3A36"/>
                <w:sz w:val="17"/>
              </w:rPr>
              <w:t>Expert panel median (Appendix C)</w:t>
            </w:r>
          </w:p>
        </w:tc>
        <w:tc>
          <w:tcPr>
            <w:tcW w:type="dxa" w:w="1224"/>
          </w:tcPr>
          <w:p>
            <w:pPr>
              <w:spacing w:after="20"/>
              <w:jc w:val="right"/>
            </w:pPr>
            <w:r>
              <w:rPr>
                <w:color w:val="1C3A36"/>
                <w:sz w:val="17"/>
              </w:rPr>
            </w:r>
          </w:p>
        </w:tc>
        <w:tc>
          <w:tcPr>
            <w:tcW w:type="dxa" w:w="1224"/>
          </w:tcPr>
          <w:p>
            <w:pPr>
              <w:spacing w:after="20"/>
              <w:jc w:val="right"/>
            </w:pPr>
            <w:r>
              <w:rPr>
                <w:color w:val="1C3A36"/>
                <w:sz w:val="17"/>
              </w:rPr>
              <w:t>17.74</w:t>
            </w:r>
          </w:p>
        </w:tc>
        <w:tc>
          <w:tcPr>
            <w:tcW w:type="dxa" w:w="1224"/>
          </w:tcPr>
          <w:p>
            <w:pPr>
              <w:spacing w:after="20"/>
              <w:jc w:val="right"/>
            </w:pPr>
            <w:r>
              <w:rPr>
                <w:color w:val="1C3A36"/>
                <w:sz w:val="17"/>
              </w:rPr>
            </w:r>
          </w:p>
        </w:tc>
        <w:tc>
          <w:tcPr>
            <w:tcW w:type="dxa" w:w="1080"/>
          </w:tcPr>
          <w:p>
            <w:pPr>
              <w:spacing w:after="20"/>
              <w:jc w:val="right"/>
            </w:pPr>
            <w:r>
              <w:rPr>
                <w:color w:val="1C3A36"/>
                <w:sz w:val="17"/>
              </w:rPr>
              <w:t>—</w:t>
            </w:r>
          </w:p>
        </w:tc>
        <w:tc>
          <w:tcPr>
            <w:tcW w:type="dxa" w:w="1224"/>
          </w:tcPr>
          <w:p>
            <w:pPr>
              <w:spacing w:after="20"/>
              <w:jc w:val="right"/>
            </w:pPr>
            <w:r>
              <w:rPr>
                <w:color w:val="1C3A36"/>
                <w:sz w:val="17"/>
              </w:rPr>
              <w:t>+44%</w:t>
            </w:r>
          </w:p>
        </w:tc>
      </w:tr>
      <w:tr>
        <w:tc>
          <w:tcPr>
            <w:tcW w:type="dxa" w:w="3672"/>
          </w:tcPr>
          <w:p>
            <w:pPr>
              <w:spacing w:after="20"/>
            </w:pPr>
            <w:r>
              <w:rPr>
                <w:color w:val="1C3A36"/>
                <w:sz w:val="17"/>
              </w:rPr>
              <w:t>DCF terminal value share of enterprise value: 83%</w:t>
            </w:r>
          </w:p>
        </w:tc>
        <w:tc>
          <w:tcPr>
            <w:tcW w:type="dxa" w:w="1224"/>
          </w:tcPr>
          <w:p>
            <w:pPr>
              <w:spacing w:after="20"/>
              <w:jc w:val="right"/>
            </w:pPr>
            <w:r>
              <w:rPr>
                <w:color w:val="1C3A36"/>
                <w:sz w:val="17"/>
              </w:rPr>
            </w:r>
          </w:p>
        </w:tc>
        <w:tc>
          <w:tcPr>
            <w:tcW w:type="dxa" w:w="1224"/>
          </w:tcPr>
          <w:p>
            <w:pPr>
              <w:spacing w:after="20"/>
              <w:jc w:val="right"/>
            </w:pPr>
            <w:r>
              <w:rPr>
                <w:color w:val="1C3A36"/>
                <w:sz w:val="17"/>
              </w:rPr>
            </w:r>
          </w:p>
        </w:tc>
        <w:tc>
          <w:tcPr>
            <w:tcW w:type="dxa" w:w="1224"/>
          </w:tcPr>
          <w:p>
            <w:pPr>
              <w:spacing w:after="20"/>
              <w:jc w:val="right"/>
            </w:pPr>
            <w:r>
              <w:rPr>
                <w:color w:val="1C3A36"/>
                <w:sz w:val="17"/>
              </w:rPr>
            </w:r>
          </w:p>
        </w:tc>
        <w:tc>
          <w:tcPr>
            <w:tcW w:type="dxa" w:w="1080"/>
          </w:tcPr>
          <w:p>
            <w:pPr>
              <w:spacing w:after="20"/>
              <w:jc w:val="right"/>
            </w:pPr>
            <w:r>
              <w:rPr>
                <w:color w:val="1C3A36"/>
                <w:sz w:val="17"/>
              </w:rPr>
            </w:r>
          </w:p>
        </w:tc>
        <w:tc>
          <w:tcPr>
            <w:tcW w:type="dxa" w:w="1224"/>
          </w:tcPr>
          <w:p>
            <w:pPr>
              <w:spacing w:after="20"/>
              <w:jc w:val="right"/>
            </w:pPr>
            <w:r>
              <w:rPr>
                <w:color w:val="1C3A36"/>
                <w:sz w:val="17"/>
              </w:rPr>
            </w:r>
          </w:p>
        </w:tc>
      </w:tr>
    </w:tbl>
    <w:p>
      <w:pPr>
        <w:spacing w:after="40"/>
      </w:pPr>
    </w:p>
    <w:p>
      <w:pPr>
        <w:spacing w:after="200" w:before="0"/>
      </w:pPr>
      <w:r>
        <w:rPr>
          <w:b w:val="0"/>
          <w:i/>
          <w:color w:val="6E7B77"/>
          <w:sz w:val="17"/>
        </w:rPr>
        <w:t>Table 1 — the valuation summary. Weighted central AED 13.45, with its bear and bull columns weighted on the same 45/25/20/10 basis; the row beneath shows the wider min/max span across lenses, which is NOT a weighted figure. Every lens value is dated at the 2026-08-07 anchor, net of the AED 0.66 of dividends whose ex-dates fall between the 31-Dec-2025 valuation date and that anchor (the 0.40 final, paid 28-Apr-2026, and the 0.26 interim, ex 31-Jul-2026). The terminal value is 83% of the DCF enterprise value, and the terminal it implies is priced explicitly in section 1.7 rather than left as a caveat.</w:t>
      </w:r>
    </w:p>
    <w:p>
      <w:pPr>
        <w:spacing w:after="40"/>
        <w:jc w:val="center"/>
      </w:pPr>
      <w:r>
        <w:drawing>
          <wp:inline xmlns:a="http://schemas.openxmlformats.org/drawingml/2006/main" xmlns:pic="http://schemas.openxmlformats.org/drawingml/2006/picture">
            <wp:extent cx="6400800" cy="2771480"/>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400800" cy="2771480"/>
                    </a:xfrm>
                    <a:prstGeom prst="rect"/>
                  </pic:spPr>
                </pic:pic>
              </a:graphicData>
            </a:graphic>
          </wp:inline>
        </w:drawing>
      </w:r>
    </w:p>
    <w:p>
      <w:pPr>
        <w:spacing w:after="200" w:before="0"/>
      </w:pPr>
      <w:r>
        <w:rPr>
          <w:b w:val="0"/>
          <w:i/>
          <w:color w:val="6E7B77"/>
          <w:sz w:val="17"/>
        </w:rPr>
        <w:t>Figure 1 — the valuation football field: bear-to-bull span per lens, brass tick = base, dark line = spot.</w:t>
      </w:r>
    </w:p>
    <w:p>
      <w:pPr>
        <w:spacing w:after="80" w:before="200"/>
      </w:pPr>
      <w:r>
        <w:rPr>
          <w:b/>
          <w:i w:val="0"/>
          <w:color w:val="1C3A36"/>
          <w:sz w:val="24"/>
        </w:rPr>
        <w:t>Company overview — du at a glance</w:t>
      </w:r>
    </w:p>
    <w:p>
      <w:pPr>
        <w:spacing w:after="120" w:before="0"/>
      </w:pPr>
      <w:r>
        <w:rPr>
          <w:b w:val="0"/>
          <w:i w:val="0"/>
          <w:color w:val="1C3A36"/>
          <w:sz w:val="21"/>
        </w:rPr>
        <w:t>Emirates Integrated Telecommunications Company PJSC — branded du — launched service in 2007 as the UAE's second licensed operator and has settled into a stable duopoly with e&amp; (formerly Etisalat). It is majority state-anchored: the Emirates Investment Authority is the controlling shareholder, and 2025's main capital-markets event was a secondary offering in which Mubadala's Mamoura vehicle sold three quarters of its stake (7.55% of the company), widening the free float without changing control.</w:t>
      </w:r>
    </w:p>
    <w:p>
      <w:pPr>
        <w:spacing w:after="120" w:before="0"/>
      </w:pPr>
      <w:r>
        <w:rPr>
          <w:b w:val="0"/>
          <w:i w:val="0"/>
          <w:color w:val="1C3A36"/>
          <w:sz w:val="21"/>
        </w:rPr>
        <w:t>The revenue mix that decides the company's class: FY2025 mobile services AED 7,075mn (44% of revenue), fixed services AED 4,380mn (28%), wholesale AED 2,568mn (16%) and ICT and associated telecom services AED 1,883mn (12%). The balance-sheet shape: network assets (property, plant and equipment AED 10,289mn plus right-of-use assets and intangibles) financed by equity of AED 10,148mn, structurally NEGATIVE working capital (-6.7% of revenue — customers and suppliers fund the operation), no borrowings, and cash plus term deposits of AED 2,250mn against lease liabilities of AED 1,939mn. That is an integrated telecom OPERATING COMPANY, with no captive lender, no development book and no holding-company discount to model: the lens set is the operating-company one — a full FCFF discounted cash flow as the primary lens, cross-read by relative multiples, normalised earnings power and a book/sustainable-return lens.</w:t>
      </w:r>
    </w:p>
    <w:p>
      <w:pPr>
        <w:spacing w:after="120" w:before="0"/>
      </w:pPr>
      <w:r>
        <w:rPr>
          <w:b w:val="0"/>
          <w:i w:val="0"/>
          <w:color w:val="1C3A36"/>
          <w:sz w:val="21"/>
        </w:rPr>
        <w:t>Two structural facts organise everything else. First, the state takes roughly 44% of pre-royalty profit (38% federal royalty plus 9% corporate tax since 2024; the pre-2024 construction took over half) — so every operating improvement reaches shareholders at barely more than half strength, and the fiscal regime is worth more than any operating driver. Second, the balance sheet is unleveraged with a near-total payout: du is run as a cash-distribution machine on a licence, which is why the licence renewal and the royalty renewal are the two catalysts that matter most (section 5).</w:t>
      </w:r>
    </w:p>
    <w:p>
      <w:pPr>
        <w:spacing w:after="200" w:before="0"/>
      </w:pPr>
      <w:r>
        <w:rPr>
          <w:b w:val="0"/>
          <w:i w:val="0"/>
          <w:color w:val="1C3A36"/>
          <w:sz w:val="21"/>
        </w:rPr>
        <w:t>The quarter this study is struck in: a regional war that began in February 2026 collapsed Gulf tourism and cut du's prepaid base by 412 thousand in Q2-2026, while postpaid kept growing and H1-2026 net profit still rose +12.6% on an EBITDA margin of 49.2% — the resilience and the vulnerability in one print. A ceasefire is in place; the recovery path is the forecast's biggest operating assumption and is sensitised explicitly.</w:t>
      </w:r>
    </w:p>
    <w:p>
      <w:pPr>
        <w:spacing w:after="120" w:before="280"/>
      </w:pPr>
      <w:r>
        <w:rPr>
          <w:b/>
          <w:i w:val="0"/>
          <w:color w:val="1C3A36"/>
          <w:sz w:val="30"/>
        </w:rPr>
        <w:t>1  Fundamental valuation</w:t>
      </w:r>
    </w:p>
    <w:p>
      <w:pPr>
        <w:spacing w:after="120" w:before="0"/>
      </w:pPr>
      <w:r>
        <w:rPr>
          <w:b w:val="0"/>
          <w:i w:val="0"/>
          <w:color w:val="1C3A36"/>
          <w:sz w:val="21"/>
        </w:rPr>
        <w:t>Four lenses, weighted into one field: the discounted cash flow carries 45%, relative multiples 25%, normalised earnings power 20% and the book lens 10%.</w:t>
      </w:r>
    </w:p>
    <w:p>
      <w:pPr>
        <w:spacing w:after="80" w:before="200"/>
      </w:pPr>
      <w:r>
        <w:rPr>
          <w:b/>
          <w:i w:val="0"/>
          <w:color w:val="1C3A36"/>
          <w:sz w:val="24"/>
        </w:rPr>
        <w:t>1.1  The cash-flow model — the primary lens, with the full waterfall</w:t>
      </w:r>
    </w:p>
    <w:p>
      <w:pPr>
        <w:spacing w:after="120" w:before="0"/>
      </w:pPr>
      <w:r>
        <w:rPr>
          <w:b w:val="0"/>
          <w:i w:val="0"/>
          <w:color w:val="1C3A36"/>
          <w:sz w:val="21"/>
        </w:rPr>
        <w:t>The model builds five explicit years from the four disclosed segments (section 1.6), charges the combined royalty-and-tax take on operating profit, funds the network and the lease book, releases (negative) working capital as revenue grows, and discounts each year's free cash flow at its own forward cost of capital. The full waterfall — every line of it a live formula in the companion workbook: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354"/>
        <w:gridCol w:w="1354"/>
        <w:gridCol w:w="1354"/>
        <w:gridCol w:w="1354"/>
        <w:gridCol w:w="1354"/>
      </w:tblGrid>
      <w:tr>
        <w:tc>
          <w:tcPr>
            <w:tcW w:type="dxa" w:w="3312"/>
            <w:shd w:val="clear" w:color="auto" w:fill="EAF0EE"/>
          </w:tcPr>
          <w:p>
            <w:pPr>
              <w:spacing w:after="20"/>
            </w:pPr>
            <w:r>
              <w:rPr>
                <w:b/>
                <w:color w:val="1C3A36"/>
                <w:sz w:val="17"/>
              </w:rPr>
              <w:t>AED mn</w:t>
            </w:r>
          </w:p>
        </w:tc>
        <w:tc>
          <w:tcPr>
            <w:tcW w:type="dxa" w:w="1354"/>
            <w:shd w:val="clear" w:color="auto" w:fill="EAF0EE"/>
          </w:tcPr>
          <w:p>
            <w:pPr>
              <w:spacing w:after="20"/>
            </w:pPr>
            <w:r>
              <w:rPr>
                <w:b/>
                <w:color w:val="1C3A36"/>
                <w:sz w:val="17"/>
              </w:rPr>
              <w:t>FY26E</w:t>
            </w:r>
          </w:p>
        </w:tc>
        <w:tc>
          <w:tcPr>
            <w:tcW w:type="dxa" w:w="1354"/>
            <w:shd w:val="clear" w:color="auto" w:fill="EAF0EE"/>
          </w:tcPr>
          <w:p>
            <w:pPr>
              <w:spacing w:after="20"/>
            </w:pPr>
            <w:r>
              <w:rPr>
                <w:b/>
                <w:color w:val="1C3A36"/>
                <w:sz w:val="17"/>
              </w:rPr>
              <w:t>FY27E</w:t>
            </w:r>
          </w:p>
        </w:tc>
        <w:tc>
          <w:tcPr>
            <w:tcW w:type="dxa" w:w="1354"/>
            <w:shd w:val="clear" w:color="auto" w:fill="EAF0EE"/>
          </w:tcPr>
          <w:p>
            <w:pPr>
              <w:spacing w:after="20"/>
            </w:pPr>
            <w:r>
              <w:rPr>
                <w:b/>
                <w:color w:val="1C3A36"/>
                <w:sz w:val="17"/>
              </w:rPr>
              <w:t>FY28E</w:t>
            </w:r>
          </w:p>
        </w:tc>
        <w:tc>
          <w:tcPr>
            <w:tcW w:type="dxa" w:w="1354"/>
            <w:shd w:val="clear" w:color="auto" w:fill="EAF0EE"/>
          </w:tcPr>
          <w:p>
            <w:pPr>
              <w:spacing w:after="20"/>
            </w:pPr>
            <w:r>
              <w:rPr>
                <w:b/>
                <w:color w:val="1C3A36"/>
                <w:sz w:val="17"/>
              </w:rPr>
              <w:t>FY29E</w:t>
            </w:r>
          </w:p>
        </w:tc>
        <w:tc>
          <w:tcPr>
            <w:tcW w:type="dxa" w:w="1354"/>
            <w:shd w:val="clear" w:color="auto" w:fill="EAF0EE"/>
          </w:tcPr>
          <w:p>
            <w:pPr>
              <w:spacing w:after="20"/>
            </w:pPr>
            <w:r>
              <w:rPr>
                <w:b/>
                <w:color w:val="1C3A36"/>
                <w:sz w:val="17"/>
              </w:rPr>
              <w:t>FY30E</w:t>
            </w:r>
          </w:p>
        </w:tc>
      </w:tr>
      <w:tr>
        <w:tc>
          <w:tcPr>
            <w:tcW w:type="dxa" w:w="3312"/>
          </w:tcPr>
          <w:p>
            <w:pPr>
              <w:spacing w:after="20"/>
            </w:pPr>
            <w:r>
              <w:rPr>
                <w:color w:val="1C3A36"/>
                <w:sz w:val="17"/>
              </w:rPr>
              <w:t>Revenue</w:t>
            </w:r>
          </w:p>
        </w:tc>
        <w:tc>
          <w:tcPr>
            <w:tcW w:type="dxa" w:w="1354"/>
          </w:tcPr>
          <w:p>
            <w:pPr>
              <w:spacing w:after="20"/>
              <w:jc w:val="right"/>
            </w:pPr>
            <w:r>
              <w:rPr>
                <w:color w:val="1C3A36"/>
                <w:sz w:val="17"/>
              </w:rPr>
              <w:t>16,593</w:t>
            </w:r>
          </w:p>
        </w:tc>
        <w:tc>
          <w:tcPr>
            <w:tcW w:type="dxa" w:w="1354"/>
          </w:tcPr>
          <w:p>
            <w:pPr>
              <w:spacing w:after="20"/>
              <w:jc w:val="right"/>
            </w:pPr>
            <w:r>
              <w:rPr>
                <w:color w:val="1C3A36"/>
                <w:sz w:val="17"/>
              </w:rPr>
              <w:t>17,240</w:t>
            </w:r>
          </w:p>
        </w:tc>
        <w:tc>
          <w:tcPr>
            <w:tcW w:type="dxa" w:w="1354"/>
          </w:tcPr>
          <w:p>
            <w:pPr>
              <w:spacing w:after="20"/>
              <w:jc w:val="right"/>
            </w:pPr>
            <w:r>
              <w:rPr>
                <w:color w:val="1C3A36"/>
                <w:sz w:val="17"/>
              </w:rPr>
              <w:t>18,011</w:t>
            </w:r>
          </w:p>
        </w:tc>
        <w:tc>
          <w:tcPr>
            <w:tcW w:type="dxa" w:w="1354"/>
          </w:tcPr>
          <w:p>
            <w:pPr>
              <w:spacing w:after="20"/>
              <w:jc w:val="right"/>
            </w:pPr>
            <w:r>
              <w:rPr>
                <w:color w:val="1C3A36"/>
                <w:sz w:val="17"/>
              </w:rPr>
              <w:t>18,734</w:t>
            </w:r>
          </w:p>
        </w:tc>
        <w:tc>
          <w:tcPr>
            <w:tcW w:type="dxa" w:w="1354"/>
          </w:tcPr>
          <w:p>
            <w:pPr>
              <w:spacing w:after="20"/>
              <w:jc w:val="right"/>
            </w:pPr>
            <w:r>
              <w:rPr>
                <w:color w:val="1C3A36"/>
                <w:sz w:val="17"/>
              </w:rPr>
              <w:t>19,424</w:t>
            </w:r>
          </w:p>
        </w:tc>
      </w:tr>
      <w:tr>
        <w:tc>
          <w:tcPr>
            <w:tcW w:type="dxa" w:w="3312"/>
            <w:shd w:val="clear" w:color="auto" w:fill="F6F1E6"/>
          </w:tcPr>
          <w:p>
            <w:pPr>
              <w:spacing w:after="20"/>
            </w:pPr>
            <w:r>
              <w:rPr>
                <w:b/>
                <w:color w:val="1C3A36"/>
                <w:sz w:val="17"/>
              </w:rPr>
              <w:t>EBITDA</w:t>
            </w:r>
          </w:p>
        </w:tc>
        <w:tc>
          <w:tcPr>
            <w:tcW w:type="dxa" w:w="1354"/>
            <w:shd w:val="clear" w:color="auto" w:fill="F6F1E6"/>
          </w:tcPr>
          <w:p>
            <w:pPr>
              <w:spacing w:after="20"/>
              <w:jc w:val="right"/>
            </w:pPr>
            <w:r>
              <w:rPr>
                <w:b/>
                <w:color w:val="1C3A36"/>
                <w:sz w:val="17"/>
              </w:rPr>
              <w:t>7,772</w:t>
            </w:r>
          </w:p>
        </w:tc>
        <w:tc>
          <w:tcPr>
            <w:tcW w:type="dxa" w:w="1354"/>
            <w:shd w:val="clear" w:color="auto" w:fill="F6F1E6"/>
          </w:tcPr>
          <w:p>
            <w:pPr>
              <w:spacing w:after="20"/>
              <w:jc w:val="right"/>
            </w:pPr>
            <w:r>
              <w:rPr>
                <w:b/>
                <w:color w:val="1C3A36"/>
                <w:sz w:val="17"/>
              </w:rPr>
              <w:t>8,066</w:t>
            </w:r>
          </w:p>
        </w:tc>
        <w:tc>
          <w:tcPr>
            <w:tcW w:type="dxa" w:w="1354"/>
            <w:shd w:val="clear" w:color="auto" w:fill="F6F1E6"/>
          </w:tcPr>
          <w:p>
            <w:pPr>
              <w:spacing w:after="20"/>
              <w:jc w:val="right"/>
            </w:pPr>
            <w:r>
              <w:rPr>
                <w:b/>
                <w:color w:val="1C3A36"/>
                <w:sz w:val="17"/>
              </w:rPr>
              <w:t>8,428</w:t>
            </w:r>
          </w:p>
        </w:tc>
        <w:tc>
          <w:tcPr>
            <w:tcW w:type="dxa" w:w="1354"/>
            <w:shd w:val="clear" w:color="auto" w:fill="F6F1E6"/>
          </w:tcPr>
          <w:p>
            <w:pPr>
              <w:spacing w:after="20"/>
              <w:jc w:val="right"/>
            </w:pPr>
            <w:r>
              <w:rPr>
                <w:b/>
                <w:color w:val="1C3A36"/>
                <w:sz w:val="17"/>
              </w:rPr>
              <w:t>8,761</w:t>
            </w:r>
          </w:p>
        </w:tc>
        <w:tc>
          <w:tcPr>
            <w:tcW w:type="dxa" w:w="1354"/>
            <w:shd w:val="clear" w:color="auto" w:fill="F6F1E6"/>
          </w:tcPr>
          <w:p>
            <w:pPr>
              <w:spacing w:after="20"/>
              <w:jc w:val="right"/>
            </w:pPr>
            <w:r>
              <w:rPr>
                <w:b/>
                <w:color w:val="1C3A36"/>
                <w:sz w:val="17"/>
              </w:rPr>
              <w:t>9,077</w:t>
            </w:r>
          </w:p>
        </w:tc>
      </w:tr>
      <w:tr>
        <w:tc>
          <w:tcPr>
            <w:tcW w:type="dxa" w:w="3312"/>
          </w:tcPr>
          <w:p>
            <w:pPr>
              <w:spacing w:after="20"/>
            </w:pPr>
            <w:r>
              <w:rPr>
                <w:color w:val="1C3A36"/>
                <w:sz w:val="17"/>
              </w:rPr>
              <w:t>less depreciation &amp; amortisation</w:t>
            </w:r>
          </w:p>
        </w:tc>
        <w:tc>
          <w:tcPr>
            <w:tcW w:type="dxa" w:w="1354"/>
          </w:tcPr>
          <w:p>
            <w:pPr>
              <w:spacing w:after="20"/>
              <w:jc w:val="right"/>
            </w:pPr>
            <w:r>
              <w:rPr>
                <w:color w:val="1C3A36"/>
                <w:sz w:val="17"/>
              </w:rPr>
              <w:t>-2,235</w:t>
            </w:r>
          </w:p>
        </w:tc>
        <w:tc>
          <w:tcPr>
            <w:tcW w:type="dxa" w:w="1354"/>
          </w:tcPr>
          <w:p>
            <w:pPr>
              <w:spacing w:after="20"/>
              <w:jc w:val="right"/>
            </w:pPr>
            <w:r>
              <w:rPr>
                <w:color w:val="1C3A36"/>
                <w:sz w:val="17"/>
              </w:rPr>
              <w:t>-2,352</w:t>
            </w:r>
          </w:p>
        </w:tc>
        <w:tc>
          <w:tcPr>
            <w:tcW w:type="dxa" w:w="1354"/>
          </w:tcPr>
          <w:p>
            <w:pPr>
              <w:spacing w:after="20"/>
              <w:jc w:val="right"/>
            </w:pPr>
            <w:r>
              <w:rPr>
                <w:color w:val="1C3A36"/>
                <w:sz w:val="17"/>
              </w:rPr>
              <w:t>-2,448</w:t>
            </w:r>
          </w:p>
        </w:tc>
        <w:tc>
          <w:tcPr>
            <w:tcW w:type="dxa" w:w="1354"/>
          </w:tcPr>
          <w:p>
            <w:pPr>
              <w:spacing w:after="20"/>
              <w:jc w:val="right"/>
            </w:pPr>
            <w:r>
              <w:rPr>
                <w:color w:val="1C3A36"/>
                <w:sz w:val="17"/>
              </w:rPr>
              <w:t>-2,530</w:t>
            </w:r>
          </w:p>
        </w:tc>
        <w:tc>
          <w:tcPr>
            <w:tcW w:type="dxa" w:w="1354"/>
          </w:tcPr>
          <w:p>
            <w:pPr>
              <w:spacing w:after="20"/>
              <w:jc w:val="right"/>
            </w:pPr>
            <w:r>
              <w:rPr>
                <w:color w:val="1C3A36"/>
                <w:sz w:val="17"/>
              </w:rPr>
              <w:t>-2,582</w:t>
            </w:r>
          </w:p>
        </w:tc>
      </w:tr>
      <w:tr>
        <w:tc>
          <w:tcPr>
            <w:tcW w:type="dxa" w:w="3312"/>
            <w:shd w:val="clear" w:color="auto" w:fill="F6F1E6"/>
          </w:tcPr>
          <w:p>
            <w:pPr>
              <w:spacing w:after="20"/>
            </w:pPr>
            <w:r>
              <w:rPr>
                <w:b/>
                <w:color w:val="1C3A36"/>
                <w:sz w:val="17"/>
              </w:rPr>
              <w:t>EBIT</w:t>
            </w:r>
          </w:p>
        </w:tc>
        <w:tc>
          <w:tcPr>
            <w:tcW w:type="dxa" w:w="1354"/>
            <w:shd w:val="clear" w:color="auto" w:fill="F6F1E6"/>
          </w:tcPr>
          <w:p>
            <w:pPr>
              <w:spacing w:after="20"/>
              <w:jc w:val="right"/>
            </w:pPr>
            <w:r>
              <w:rPr>
                <w:b/>
                <w:color w:val="1C3A36"/>
                <w:sz w:val="17"/>
              </w:rPr>
              <w:t>5,537</w:t>
            </w:r>
          </w:p>
        </w:tc>
        <w:tc>
          <w:tcPr>
            <w:tcW w:type="dxa" w:w="1354"/>
            <w:shd w:val="clear" w:color="auto" w:fill="F6F1E6"/>
          </w:tcPr>
          <w:p>
            <w:pPr>
              <w:spacing w:after="20"/>
              <w:jc w:val="right"/>
            </w:pPr>
            <w:r>
              <w:rPr>
                <w:b/>
                <w:color w:val="1C3A36"/>
                <w:sz w:val="17"/>
              </w:rPr>
              <w:t>5,714</w:t>
            </w:r>
          </w:p>
        </w:tc>
        <w:tc>
          <w:tcPr>
            <w:tcW w:type="dxa" w:w="1354"/>
            <w:shd w:val="clear" w:color="auto" w:fill="F6F1E6"/>
          </w:tcPr>
          <w:p>
            <w:pPr>
              <w:spacing w:after="20"/>
              <w:jc w:val="right"/>
            </w:pPr>
            <w:r>
              <w:rPr>
                <w:b/>
                <w:color w:val="1C3A36"/>
                <w:sz w:val="17"/>
              </w:rPr>
              <w:t>5,980</w:t>
            </w:r>
          </w:p>
        </w:tc>
        <w:tc>
          <w:tcPr>
            <w:tcW w:type="dxa" w:w="1354"/>
            <w:shd w:val="clear" w:color="auto" w:fill="F6F1E6"/>
          </w:tcPr>
          <w:p>
            <w:pPr>
              <w:spacing w:after="20"/>
              <w:jc w:val="right"/>
            </w:pPr>
            <w:r>
              <w:rPr>
                <w:b/>
                <w:color w:val="1C3A36"/>
                <w:sz w:val="17"/>
              </w:rPr>
              <w:t>6,231</w:t>
            </w:r>
          </w:p>
        </w:tc>
        <w:tc>
          <w:tcPr>
            <w:tcW w:type="dxa" w:w="1354"/>
            <w:shd w:val="clear" w:color="auto" w:fill="F6F1E6"/>
          </w:tcPr>
          <w:p>
            <w:pPr>
              <w:spacing w:after="20"/>
              <w:jc w:val="right"/>
            </w:pPr>
            <w:r>
              <w:rPr>
                <w:b/>
                <w:color w:val="1C3A36"/>
                <w:sz w:val="17"/>
              </w:rPr>
              <w:t>6,495</w:t>
            </w:r>
          </w:p>
        </w:tc>
      </w:tr>
      <w:tr>
        <w:tc>
          <w:tcPr>
            <w:tcW w:type="dxa" w:w="3312"/>
          </w:tcPr>
          <w:p>
            <w:pPr>
              <w:spacing w:after="20"/>
            </w:pPr>
            <w:r>
              <w:rPr>
                <w:color w:val="1C3A36"/>
                <w:sz w:val="17"/>
              </w:rPr>
              <w:t>NOPAT — EBIT × (1 − 43.6%)</w:t>
            </w:r>
          </w:p>
        </w:tc>
        <w:tc>
          <w:tcPr>
            <w:tcW w:type="dxa" w:w="1354"/>
          </w:tcPr>
          <w:p>
            <w:pPr>
              <w:spacing w:after="20"/>
              <w:jc w:val="right"/>
            </w:pPr>
            <w:r>
              <w:rPr>
                <w:color w:val="1C3A36"/>
                <w:sz w:val="17"/>
              </w:rPr>
              <w:t>3,124</w:t>
            </w:r>
          </w:p>
        </w:tc>
        <w:tc>
          <w:tcPr>
            <w:tcW w:type="dxa" w:w="1354"/>
          </w:tcPr>
          <w:p>
            <w:pPr>
              <w:spacing w:after="20"/>
              <w:jc w:val="right"/>
            </w:pPr>
            <w:r>
              <w:rPr>
                <w:color w:val="1C3A36"/>
                <w:sz w:val="17"/>
              </w:rPr>
              <w:t>3,224</w:t>
            </w:r>
          </w:p>
        </w:tc>
        <w:tc>
          <w:tcPr>
            <w:tcW w:type="dxa" w:w="1354"/>
          </w:tcPr>
          <w:p>
            <w:pPr>
              <w:spacing w:after="20"/>
              <w:jc w:val="right"/>
            </w:pPr>
            <w:r>
              <w:rPr>
                <w:color w:val="1C3A36"/>
                <w:sz w:val="17"/>
              </w:rPr>
              <w:t>3,375</w:t>
            </w:r>
          </w:p>
        </w:tc>
        <w:tc>
          <w:tcPr>
            <w:tcW w:type="dxa" w:w="1354"/>
          </w:tcPr>
          <w:p>
            <w:pPr>
              <w:spacing w:after="20"/>
              <w:jc w:val="right"/>
            </w:pPr>
            <w:r>
              <w:rPr>
                <w:color w:val="1C3A36"/>
                <w:sz w:val="17"/>
              </w:rPr>
              <w:t>3,516</w:t>
            </w:r>
          </w:p>
        </w:tc>
        <w:tc>
          <w:tcPr>
            <w:tcW w:type="dxa" w:w="1354"/>
          </w:tcPr>
          <w:p>
            <w:pPr>
              <w:spacing w:after="20"/>
              <w:jc w:val="right"/>
            </w:pPr>
            <w:r>
              <w:rPr>
                <w:color w:val="1C3A36"/>
                <w:sz w:val="17"/>
              </w:rPr>
              <w:t>3,665</w:t>
            </w:r>
          </w:p>
        </w:tc>
      </w:tr>
      <w:tr>
        <w:tc>
          <w:tcPr>
            <w:tcW w:type="dxa" w:w="3312"/>
          </w:tcPr>
          <w:p>
            <w:pPr>
              <w:spacing w:after="20"/>
            </w:pPr>
            <w:r>
              <w:rPr>
                <w:color w:val="1C3A36"/>
                <w:sz w:val="17"/>
              </w:rPr>
              <w:t>add back depreciation &amp; amortisation</w:t>
            </w:r>
          </w:p>
        </w:tc>
        <w:tc>
          <w:tcPr>
            <w:tcW w:type="dxa" w:w="1354"/>
          </w:tcPr>
          <w:p>
            <w:pPr>
              <w:spacing w:after="20"/>
              <w:jc w:val="right"/>
            </w:pPr>
            <w:r>
              <w:rPr>
                <w:color w:val="1C3A36"/>
                <w:sz w:val="17"/>
              </w:rPr>
              <w:t>2,235</w:t>
            </w:r>
          </w:p>
        </w:tc>
        <w:tc>
          <w:tcPr>
            <w:tcW w:type="dxa" w:w="1354"/>
          </w:tcPr>
          <w:p>
            <w:pPr>
              <w:spacing w:after="20"/>
              <w:jc w:val="right"/>
            </w:pPr>
            <w:r>
              <w:rPr>
                <w:color w:val="1C3A36"/>
                <w:sz w:val="17"/>
              </w:rPr>
              <w:t>2,352</w:t>
            </w:r>
          </w:p>
        </w:tc>
        <w:tc>
          <w:tcPr>
            <w:tcW w:type="dxa" w:w="1354"/>
          </w:tcPr>
          <w:p>
            <w:pPr>
              <w:spacing w:after="20"/>
              <w:jc w:val="right"/>
            </w:pPr>
            <w:r>
              <w:rPr>
                <w:color w:val="1C3A36"/>
                <w:sz w:val="17"/>
              </w:rPr>
              <w:t>2,448</w:t>
            </w:r>
          </w:p>
        </w:tc>
        <w:tc>
          <w:tcPr>
            <w:tcW w:type="dxa" w:w="1354"/>
          </w:tcPr>
          <w:p>
            <w:pPr>
              <w:spacing w:after="20"/>
              <w:jc w:val="right"/>
            </w:pPr>
            <w:r>
              <w:rPr>
                <w:color w:val="1C3A36"/>
                <w:sz w:val="17"/>
              </w:rPr>
              <w:t>2,530</w:t>
            </w:r>
          </w:p>
        </w:tc>
        <w:tc>
          <w:tcPr>
            <w:tcW w:type="dxa" w:w="1354"/>
          </w:tcPr>
          <w:p>
            <w:pPr>
              <w:spacing w:after="20"/>
              <w:jc w:val="right"/>
            </w:pPr>
            <w:r>
              <w:rPr>
                <w:color w:val="1C3A36"/>
                <w:sz w:val="17"/>
              </w:rPr>
              <w:t>2,582</w:t>
            </w:r>
          </w:p>
        </w:tc>
      </w:tr>
      <w:tr>
        <w:tc>
          <w:tcPr>
            <w:tcW w:type="dxa" w:w="3312"/>
          </w:tcPr>
          <w:p>
            <w:pPr>
              <w:spacing w:after="20"/>
            </w:pPr>
            <w:r>
              <w:rPr>
                <w:color w:val="1C3A36"/>
                <w:sz w:val="17"/>
              </w:rPr>
              <w:t>less capital expenditure</w:t>
            </w:r>
          </w:p>
        </w:tc>
        <w:tc>
          <w:tcPr>
            <w:tcW w:type="dxa" w:w="1354"/>
          </w:tcPr>
          <w:p>
            <w:pPr>
              <w:spacing w:after="20"/>
              <w:jc w:val="right"/>
            </w:pPr>
            <w:r>
              <w:rPr>
                <w:color w:val="1C3A36"/>
                <w:sz w:val="17"/>
              </w:rPr>
              <w:t>-2,572</w:t>
            </w:r>
          </w:p>
        </w:tc>
        <w:tc>
          <w:tcPr>
            <w:tcW w:type="dxa" w:w="1354"/>
          </w:tcPr>
          <w:p>
            <w:pPr>
              <w:spacing w:after="20"/>
              <w:jc w:val="right"/>
            </w:pPr>
            <w:r>
              <w:rPr>
                <w:color w:val="1C3A36"/>
                <w:sz w:val="17"/>
              </w:rPr>
              <w:t>-2,586</w:t>
            </w:r>
          </w:p>
        </w:tc>
        <w:tc>
          <w:tcPr>
            <w:tcW w:type="dxa" w:w="1354"/>
          </w:tcPr>
          <w:p>
            <w:pPr>
              <w:spacing w:after="20"/>
              <w:jc w:val="right"/>
            </w:pPr>
            <w:r>
              <w:rPr>
                <w:color w:val="1C3A36"/>
                <w:sz w:val="17"/>
              </w:rPr>
              <w:t>-2,612</w:t>
            </w:r>
          </w:p>
        </w:tc>
        <w:tc>
          <w:tcPr>
            <w:tcW w:type="dxa" w:w="1354"/>
          </w:tcPr>
          <w:p>
            <w:pPr>
              <w:spacing w:after="20"/>
              <w:jc w:val="right"/>
            </w:pPr>
            <w:r>
              <w:rPr>
                <w:color w:val="1C3A36"/>
                <w:sz w:val="17"/>
              </w:rPr>
              <w:t>-2,529</w:t>
            </w:r>
          </w:p>
        </w:tc>
        <w:tc>
          <w:tcPr>
            <w:tcW w:type="dxa" w:w="1354"/>
          </w:tcPr>
          <w:p>
            <w:pPr>
              <w:spacing w:after="20"/>
              <w:jc w:val="right"/>
            </w:pPr>
            <w:r>
              <w:rPr>
                <w:color w:val="1C3A36"/>
                <w:sz w:val="17"/>
              </w:rPr>
              <w:t>-2,525</w:t>
            </w:r>
          </w:p>
        </w:tc>
      </w:tr>
      <w:tr>
        <w:tc>
          <w:tcPr>
            <w:tcW w:type="dxa" w:w="3312"/>
          </w:tcPr>
          <w:p>
            <w:pPr>
              <w:spacing w:after="20"/>
            </w:pPr>
            <w:r>
              <w:rPr>
                <w:color w:val="1C3A36"/>
                <w:sz w:val="17"/>
              </w:rPr>
              <w:t>less lease replacement</w:t>
            </w:r>
          </w:p>
        </w:tc>
        <w:tc>
          <w:tcPr>
            <w:tcW w:type="dxa" w:w="1354"/>
          </w:tcPr>
          <w:p>
            <w:pPr>
              <w:spacing w:after="20"/>
              <w:jc w:val="right"/>
            </w:pPr>
            <w:r>
              <w:rPr>
                <w:color w:val="1C3A36"/>
                <w:sz w:val="17"/>
              </w:rPr>
              <w:t>-0</w:t>
            </w:r>
          </w:p>
        </w:tc>
        <w:tc>
          <w:tcPr>
            <w:tcW w:type="dxa" w:w="1354"/>
          </w:tcPr>
          <w:p>
            <w:pPr>
              <w:spacing w:after="20"/>
              <w:jc w:val="right"/>
            </w:pPr>
            <w:r>
              <w:rPr>
                <w:color w:val="1C3A36"/>
                <w:sz w:val="17"/>
              </w:rPr>
              <w:t>-0</w:t>
            </w:r>
          </w:p>
        </w:tc>
        <w:tc>
          <w:tcPr>
            <w:tcW w:type="dxa" w:w="1354"/>
          </w:tcPr>
          <w:p>
            <w:pPr>
              <w:spacing w:after="20"/>
              <w:jc w:val="right"/>
            </w:pPr>
            <w:r>
              <w:rPr>
                <w:color w:val="1C3A36"/>
                <w:sz w:val="17"/>
              </w:rPr>
              <w:t>-0</w:t>
            </w:r>
          </w:p>
        </w:tc>
        <w:tc>
          <w:tcPr>
            <w:tcW w:type="dxa" w:w="1354"/>
          </w:tcPr>
          <w:p>
            <w:pPr>
              <w:spacing w:after="20"/>
              <w:jc w:val="right"/>
            </w:pPr>
            <w:r>
              <w:rPr>
                <w:color w:val="1C3A36"/>
                <w:sz w:val="17"/>
              </w:rPr>
              <w:t>-0</w:t>
            </w:r>
          </w:p>
        </w:tc>
        <w:tc>
          <w:tcPr>
            <w:tcW w:type="dxa" w:w="1354"/>
          </w:tcPr>
          <w:p>
            <w:pPr>
              <w:spacing w:after="20"/>
              <w:jc w:val="right"/>
            </w:pPr>
            <w:r>
              <w:rPr>
                <w:color w:val="1C3A36"/>
                <w:sz w:val="17"/>
              </w:rPr>
              <w:t>-0</w:t>
            </w:r>
          </w:p>
        </w:tc>
      </w:tr>
      <w:tr>
        <w:tc>
          <w:tcPr>
            <w:tcW w:type="dxa" w:w="3312"/>
          </w:tcPr>
          <w:p>
            <w:pPr>
              <w:spacing w:after="20"/>
            </w:pPr>
            <w:r>
              <w:rPr>
                <w:color w:val="1C3A36"/>
                <w:sz w:val="17"/>
              </w:rPr>
              <w:t>less change in working capital</w:t>
            </w:r>
          </w:p>
        </w:tc>
        <w:tc>
          <w:tcPr>
            <w:tcW w:type="dxa" w:w="1354"/>
          </w:tcPr>
          <w:p>
            <w:pPr>
              <w:spacing w:after="20"/>
              <w:jc w:val="right"/>
            </w:pPr>
            <w:r>
              <w:rPr>
                <w:color w:val="1C3A36"/>
                <w:sz w:val="17"/>
              </w:rPr>
              <w:t>46</w:t>
            </w:r>
          </w:p>
        </w:tc>
        <w:tc>
          <w:tcPr>
            <w:tcW w:type="dxa" w:w="1354"/>
          </w:tcPr>
          <w:p>
            <w:pPr>
              <w:spacing w:after="20"/>
              <w:jc w:val="right"/>
            </w:pPr>
            <w:r>
              <w:rPr>
                <w:color w:val="1C3A36"/>
                <w:sz w:val="17"/>
              </w:rPr>
              <w:t>43</w:t>
            </w:r>
          </w:p>
        </w:tc>
        <w:tc>
          <w:tcPr>
            <w:tcW w:type="dxa" w:w="1354"/>
          </w:tcPr>
          <w:p>
            <w:pPr>
              <w:spacing w:after="20"/>
              <w:jc w:val="right"/>
            </w:pPr>
            <w:r>
              <w:rPr>
                <w:color w:val="1C3A36"/>
                <w:sz w:val="17"/>
              </w:rPr>
              <w:t>52</w:t>
            </w:r>
          </w:p>
        </w:tc>
        <w:tc>
          <w:tcPr>
            <w:tcW w:type="dxa" w:w="1354"/>
          </w:tcPr>
          <w:p>
            <w:pPr>
              <w:spacing w:after="20"/>
              <w:jc w:val="right"/>
            </w:pPr>
            <w:r>
              <w:rPr>
                <w:color w:val="1C3A36"/>
                <w:sz w:val="17"/>
              </w:rPr>
              <w:t>48</w:t>
            </w:r>
          </w:p>
        </w:tc>
        <w:tc>
          <w:tcPr>
            <w:tcW w:type="dxa" w:w="1354"/>
          </w:tcPr>
          <w:p>
            <w:pPr>
              <w:spacing w:after="20"/>
              <w:jc w:val="right"/>
            </w:pPr>
            <w:r>
              <w:rPr>
                <w:color w:val="1C3A36"/>
                <w:sz w:val="17"/>
              </w:rPr>
              <w:t>46</w:t>
            </w:r>
          </w:p>
        </w:tc>
      </w:tr>
      <w:tr>
        <w:tc>
          <w:tcPr>
            <w:tcW w:type="dxa" w:w="3312"/>
            <w:shd w:val="clear" w:color="auto" w:fill="F6F1E6"/>
          </w:tcPr>
          <w:p>
            <w:pPr>
              <w:spacing w:after="20"/>
            </w:pPr>
            <w:r>
              <w:rPr>
                <w:b/>
                <w:color w:val="1C3A36"/>
                <w:sz w:val="17"/>
              </w:rPr>
              <w:t>Free cash flow to the firm</w:t>
            </w:r>
          </w:p>
        </w:tc>
        <w:tc>
          <w:tcPr>
            <w:tcW w:type="dxa" w:w="1354"/>
            <w:shd w:val="clear" w:color="auto" w:fill="F6F1E6"/>
          </w:tcPr>
          <w:p>
            <w:pPr>
              <w:spacing w:after="20"/>
              <w:jc w:val="right"/>
            </w:pPr>
            <w:r>
              <w:rPr>
                <w:b/>
                <w:color w:val="1C3A36"/>
                <w:sz w:val="17"/>
              </w:rPr>
              <w:t>2,833</w:t>
            </w:r>
          </w:p>
        </w:tc>
        <w:tc>
          <w:tcPr>
            <w:tcW w:type="dxa" w:w="1354"/>
            <w:shd w:val="clear" w:color="auto" w:fill="F6F1E6"/>
          </w:tcPr>
          <w:p>
            <w:pPr>
              <w:spacing w:after="20"/>
              <w:jc w:val="right"/>
            </w:pPr>
            <w:r>
              <w:rPr>
                <w:b/>
                <w:color w:val="1C3A36"/>
                <w:sz w:val="17"/>
              </w:rPr>
              <w:t>3,033</w:t>
            </w:r>
          </w:p>
        </w:tc>
        <w:tc>
          <w:tcPr>
            <w:tcW w:type="dxa" w:w="1354"/>
            <w:shd w:val="clear" w:color="auto" w:fill="F6F1E6"/>
          </w:tcPr>
          <w:p>
            <w:pPr>
              <w:spacing w:after="20"/>
              <w:jc w:val="right"/>
            </w:pPr>
            <w:r>
              <w:rPr>
                <w:b/>
                <w:color w:val="1C3A36"/>
                <w:sz w:val="17"/>
              </w:rPr>
              <w:t>3,263</w:t>
            </w:r>
          </w:p>
        </w:tc>
        <w:tc>
          <w:tcPr>
            <w:tcW w:type="dxa" w:w="1354"/>
            <w:shd w:val="clear" w:color="auto" w:fill="F6F1E6"/>
          </w:tcPr>
          <w:p>
            <w:pPr>
              <w:spacing w:after="20"/>
              <w:jc w:val="right"/>
            </w:pPr>
            <w:r>
              <w:rPr>
                <w:b/>
                <w:color w:val="1C3A36"/>
                <w:sz w:val="17"/>
              </w:rPr>
              <w:t>3,566</w:t>
            </w:r>
          </w:p>
        </w:tc>
        <w:tc>
          <w:tcPr>
            <w:tcW w:type="dxa" w:w="1354"/>
            <w:shd w:val="clear" w:color="auto" w:fill="F6F1E6"/>
          </w:tcPr>
          <w:p>
            <w:pPr>
              <w:spacing w:after="20"/>
              <w:jc w:val="right"/>
            </w:pPr>
            <w:r>
              <w:rPr>
                <w:b/>
                <w:color w:val="1C3A36"/>
                <w:sz w:val="17"/>
              </w:rPr>
              <w:t>3,768</w:t>
            </w:r>
          </w:p>
        </w:tc>
      </w:tr>
      <w:tr>
        <w:tc>
          <w:tcPr>
            <w:tcW w:type="dxa" w:w="3312"/>
          </w:tcPr>
          <w:p>
            <w:pPr>
              <w:spacing w:after="20"/>
            </w:pPr>
            <w:r>
              <w:rPr>
                <w:color w:val="1C3A36"/>
                <w:sz w:val="17"/>
              </w:rPr>
              <w:t>discount factor (glide)</w:t>
            </w:r>
          </w:p>
        </w:tc>
        <w:tc>
          <w:tcPr>
            <w:tcW w:type="dxa" w:w="1354"/>
          </w:tcPr>
          <w:p>
            <w:pPr>
              <w:spacing w:after="20"/>
              <w:jc w:val="right"/>
            </w:pPr>
            <w:r>
              <w:rPr>
                <w:color w:val="1C3A36"/>
                <w:sz w:val="17"/>
              </w:rPr>
              <w:t>0.94</w:t>
            </w:r>
          </w:p>
        </w:tc>
        <w:tc>
          <w:tcPr>
            <w:tcW w:type="dxa" w:w="1354"/>
          </w:tcPr>
          <w:p>
            <w:pPr>
              <w:spacing w:after="20"/>
              <w:jc w:val="right"/>
            </w:pPr>
            <w:r>
              <w:rPr>
                <w:color w:val="1C3A36"/>
                <w:sz w:val="17"/>
              </w:rPr>
              <w:t>0.88</w:t>
            </w:r>
          </w:p>
        </w:tc>
        <w:tc>
          <w:tcPr>
            <w:tcW w:type="dxa" w:w="1354"/>
          </w:tcPr>
          <w:p>
            <w:pPr>
              <w:spacing w:after="20"/>
              <w:jc w:val="right"/>
            </w:pPr>
            <w:r>
              <w:rPr>
                <w:color w:val="1C3A36"/>
                <w:sz w:val="17"/>
              </w:rPr>
              <w:t>0.83</w:t>
            </w:r>
          </w:p>
        </w:tc>
        <w:tc>
          <w:tcPr>
            <w:tcW w:type="dxa" w:w="1354"/>
          </w:tcPr>
          <w:p>
            <w:pPr>
              <w:spacing w:after="20"/>
              <w:jc w:val="right"/>
            </w:pPr>
            <w:r>
              <w:rPr>
                <w:color w:val="1C3A36"/>
                <w:sz w:val="17"/>
              </w:rPr>
              <w:t>0.78</w:t>
            </w:r>
          </w:p>
        </w:tc>
        <w:tc>
          <w:tcPr>
            <w:tcW w:type="dxa" w:w="1354"/>
          </w:tcPr>
          <w:p>
            <w:pPr>
              <w:spacing w:after="20"/>
              <w:jc w:val="right"/>
            </w:pPr>
            <w:r>
              <w:rPr>
                <w:color w:val="1C3A36"/>
                <w:sz w:val="17"/>
              </w:rPr>
              <w:t>0.74</w:t>
            </w:r>
          </w:p>
        </w:tc>
      </w:tr>
      <w:tr>
        <w:tc>
          <w:tcPr>
            <w:tcW w:type="dxa" w:w="3312"/>
            <w:shd w:val="clear" w:color="auto" w:fill="F6F1E6"/>
          </w:tcPr>
          <w:p>
            <w:pPr>
              <w:spacing w:after="20"/>
            </w:pPr>
            <w:r>
              <w:rPr>
                <w:b/>
                <w:color w:val="1C3A36"/>
                <w:sz w:val="17"/>
              </w:rPr>
              <w:t>PV of FCFF</w:t>
            </w:r>
          </w:p>
        </w:tc>
        <w:tc>
          <w:tcPr>
            <w:tcW w:type="dxa" w:w="1354"/>
            <w:shd w:val="clear" w:color="auto" w:fill="F6F1E6"/>
          </w:tcPr>
          <w:p>
            <w:pPr>
              <w:spacing w:after="20"/>
              <w:jc w:val="right"/>
            </w:pPr>
            <w:r>
              <w:rPr>
                <w:b/>
                <w:color w:val="1C3A36"/>
                <w:sz w:val="17"/>
              </w:rPr>
              <w:t>2,663</w:t>
            </w:r>
          </w:p>
        </w:tc>
        <w:tc>
          <w:tcPr>
            <w:tcW w:type="dxa" w:w="1354"/>
            <w:shd w:val="clear" w:color="auto" w:fill="F6F1E6"/>
          </w:tcPr>
          <w:p>
            <w:pPr>
              <w:spacing w:after="20"/>
              <w:jc w:val="right"/>
            </w:pPr>
            <w:r>
              <w:rPr>
                <w:b/>
                <w:color w:val="1C3A36"/>
                <w:sz w:val="17"/>
              </w:rPr>
              <w:t>2,680</w:t>
            </w:r>
          </w:p>
        </w:tc>
        <w:tc>
          <w:tcPr>
            <w:tcW w:type="dxa" w:w="1354"/>
            <w:shd w:val="clear" w:color="auto" w:fill="F6F1E6"/>
          </w:tcPr>
          <w:p>
            <w:pPr>
              <w:spacing w:after="20"/>
              <w:jc w:val="right"/>
            </w:pPr>
            <w:r>
              <w:rPr>
                <w:b/>
                <w:color w:val="1C3A36"/>
                <w:sz w:val="17"/>
              </w:rPr>
              <w:t>2,712</w:t>
            </w:r>
          </w:p>
        </w:tc>
        <w:tc>
          <w:tcPr>
            <w:tcW w:type="dxa" w:w="1354"/>
            <w:shd w:val="clear" w:color="auto" w:fill="F6F1E6"/>
          </w:tcPr>
          <w:p>
            <w:pPr>
              <w:spacing w:after="20"/>
              <w:jc w:val="right"/>
            </w:pPr>
            <w:r>
              <w:rPr>
                <w:b/>
                <w:color w:val="1C3A36"/>
                <w:sz w:val="17"/>
              </w:rPr>
              <w:t>2,790</w:t>
            </w:r>
          </w:p>
        </w:tc>
        <w:tc>
          <w:tcPr>
            <w:tcW w:type="dxa" w:w="1354"/>
            <w:shd w:val="clear" w:color="auto" w:fill="F6F1E6"/>
          </w:tcPr>
          <w:p>
            <w:pPr>
              <w:spacing w:after="20"/>
              <w:jc w:val="right"/>
            </w:pPr>
            <w:r>
              <w:rPr>
                <w:b/>
                <w:color w:val="1C3A36"/>
                <w:sz w:val="17"/>
              </w:rPr>
              <w:t>2,777</w:t>
            </w:r>
          </w:p>
        </w:tc>
      </w:tr>
    </w:tbl>
    <w:p>
      <w:pPr>
        <w:spacing w:after="40"/>
      </w:pPr>
    </w:p>
    <w:p>
      <w:pPr>
        <w:spacing w:after="200" w:before="0"/>
      </w:pPr>
      <w:r>
        <w:rPr>
          <w:b w:val="0"/>
          <w:i/>
          <w:color w:val="6E7B77"/>
          <w:sz w:val="17"/>
        </w:rPr>
        <w:t>Table 2 — the FCFF waterfall. EBITDA margin holds near 46.8% (an OUTPUT of the segment build, not an input); capital intensity glides from 15.5% of revenue at the data-centre peak to 13.0%; lease replacement is charged at right-of-use depreciation so the lease book neither inflates nor starves the cash flow; working-capital change is a cash RELEASE in every year because the working capital is negative and revenue grows.</w:t>
      </w:r>
    </w:p>
    <w:p>
      <w:pPr>
        <w:spacing w:after="120" w:before="0"/>
      </w:pPr>
      <w:r>
        <w:rPr>
          <w:b w:val="0"/>
          <w:i w:val="0"/>
          <w:color w:val="1C3A36"/>
          <w:sz w:val="21"/>
        </w:rPr>
        <w:t>Terminal value: terminal-year NOPAT grown at 2.5% with a reinvestment rate set by the growth itself — g / return on capital = 2.5% / 26.5% = 9.4% of NOPAT — capitalised at the terminal cost of capital of 6.17% less growth. That yields a terminal value of AED 92,591mn, whose present value is AED 68,235mn — 83% of enterprise value. A reader should sit with that number: at a 6.17% discount rate almost all of the value of a stable, licence-protected annuity IS the far future, and that is exactly why the two renewal catalysts in section 5 dominate everything else in this report.</w:t>
      </w:r>
    </w:p>
    <w:p>
      <w:pPr>
        <w:spacing w:after="80" w:before="200"/>
      </w:pPr>
      <w:r>
        <w:rPr>
          <w:b/>
          <w:i w:val="0"/>
          <w:color w:val="1C3A36"/>
          <w:sz w:val="24"/>
        </w:rPr>
        <w:t>The bridge from enterprise value to the equity — and to the anchor date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832"/>
        <w:gridCol w:w="1872"/>
        <w:gridCol w:w="1872"/>
      </w:tblGrid>
      <w:tr>
        <w:tc>
          <w:tcPr>
            <w:tcW w:type="dxa" w:w="5832"/>
            <w:shd w:val="clear" w:color="auto" w:fill="EAF0EE"/>
          </w:tcPr>
          <w:p>
            <w:pPr>
              <w:spacing w:after="20"/>
            </w:pPr>
            <w:r>
              <w:rPr>
                <w:b/>
                <w:color w:val="1C3A36"/>
                <w:sz w:val="18"/>
              </w:rPr>
              <w:t>Step</w:t>
            </w:r>
          </w:p>
        </w:tc>
        <w:tc>
          <w:tcPr>
            <w:tcW w:type="dxa" w:w="1872"/>
            <w:shd w:val="clear" w:color="auto" w:fill="EAF0EE"/>
          </w:tcPr>
          <w:p>
            <w:pPr>
              <w:spacing w:after="20"/>
            </w:pPr>
            <w:r>
              <w:rPr>
                <w:b/>
                <w:color w:val="1C3A36"/>
                <w:sz w:val="18"/>
              </w:rPr>
              <w:t>AED mn</w:t>
            </w:r>
          </w:p>
        </w:tc>
        <w:tc>
          <w:tcPr>
            <w:tcW w:type="dxa" w:w="1872"/>
            <w:shd w:val="clear" w:color="auto" w:fill="EAF0EE"/>
          </w:tcPr>
          <w:p>
            <w:pPr>
              <w:spacing w:after="20"/>
            </w:pPr>
            <w:r>
              <w:rPr>
                <w:b/>
                <w:color w:val="1C3A36"/>
                <w:sz w:val="18"/>
              </w:rPr>
              <w:t>AED / share</w:t>
            </w:r>
          </w:p>
        </w:tc>
      </w:tr>
      <w:tr>
        <w:tc>
          <w:tcPr>
            <w:tcW w:type="dxa" w:w="5832"/>
          </w:tcPr>
          <w:p>
            <w:pPr>
              <w:spacing w:after="20"/>
            </w:pPr>
            <w:r>
              <w:rPr>
                <w:color w:val="1C3A36"/>
                <w:sz w:val="18"/>
              </w:rPr>
              <w:t>Present value of the five forecast years</w:t>
            </w:r>
          </w:p>
        </w:tc>
        <w:tc>
          <w:tcPr>
            <w:tcW w:type="dxa" w:w="1872"/>
          </w:tcPr>
          <w:p>
            <w:pPr>
              <w:spacing w:after="20"/>
              <w:jc w:val="right"/>
            </w:pPr>
            <w:r>
              <w:rPr>
                <w:color w:val="1C3A36"/>
                <w:sz w:val="18"/>
              </w:rPr>
              <w:t>13,622</w:t>
            </w:r>
          </w:p>
        </w:tc>
        <w:tc>
          <w:tcPr>
            <w:tcW w:type="dxa" w:w="1872"/>
          </w:tcPr>
          <w:p>
            <w:pPr>
              <w:spacing w:after="20"/>
              <w:jc w:val="right"/>
            </w:pPr>
            <w:r>
              <w:rPr>
                <w:color w:val="1C3A36"/>
                <w:sz w:val="18"/>
              </w:rPr>
              <w:t>3.01</w:t>
            </w:r>
          </w:p>
        </w:tc>
      </w:tr>
      <w:tr>
        <w:tc>
          <w:tcPr>
            <w:tcW w:type="dxa" w:w="5832"/>
          </w:tcPr>
          <w:p>
            <w:pPr>
              <w:spacing w:after="20"/>
            </w:pPr>
            <w:r>
              <w:rPr>
                <w:color w:val="1C3A36"/>
                <w:sz w:val="18"/>
              </w:rPr>
              <w:t>Present value of the terminal value</w:t>
            </w:r>
          </w:p>
        </w:tc>
        <w:tc>
          <w:tcPr>
            <w:tcW w:type="dxa" w:w="1872"/>
          </w:tcPr>
          <w:p>
            <w:pPr>
              <w:spacing w:after="20"/>
              <w:jc w:val="right"/>
            </w:pPr>
            <w:r>
              <w:rPr>
                <w:color w:val="1C3A36"/>
                <w:sz w:val="18"/>
              </w:rPr>
              <w:t>68,235</w:t>
            </w:r>
          </w:p>
        </w:tc>
        <w:tc>
          <w:tcPr>
            <w:tcW w:type="dxa" w:w="1872"/>
          </w:tcPr>
          <w:p>
            <w:pPr>
              <w:spacing w:after="20"/>
              <w:jc w:val="right"/>
            </w:pPr>
            <w:r>
              <w:rPr>
                <w:color w:val="1C3A36"/>
                <w:sz w:val="18"/>
              </w:rPr>
              <w:t>15.05</w:t>
            </w:r>
          </w:p>
        </w:tc>
      </w:tr>
      <w:tr>
        <w:tc>
          <w:tcPr>
            <w:tcW w:type="dxa" w:w="5832"/>
            <w:shd w:val="clear" w:color="auto" w:fill="F6F1E6"/>
          </w:tcPr>
          <w:p>
            <w:pPr>
              <w:spacing w:after="20"/>
            </w:pPr>
            <w:r>
              <w:rPr>
                <w:b/>
                <w:color w:val="1C3A36"/>
                <w:sz w:val="18"/>
              </w:rPr>
              <w:t>Enterprise value</w:t>
            </w:r>
          </w:p>
        </w:tc>
        <w:tc>
          <w:tcPr>
            <w:tcW w:type="dxa" w:w="1872"/>
            <w:shd w:val="clear" w:color="auto" w:fill="F6F1E6"/>
          </w:tcPr>
          <w:p>
            <w:pPr>
              <w:spacing w:after="20"/>
              <w:jc w:val="right"/>
            </w:pPr>
            <w:r>
              <w:rPr>
                <w:b/>
                <w:color w:val="1C3A36"/>
                <w:sz w:val="18"/>
              </w:rPr>
              <w:t>81,857</w:t>
            </w:r>
          </w:p>
        </w:tc>
        <w:tc>
          <w:tcPr>
            <w:tcW w:type="dxa" w:w="1872"/>
            <w:shd w:val="clear" w:color="auto" w:fill="F6F1E6"/>
          </w:tcPr>
          <w:p>
            <w:pPr>
              <w:spacing w:after="20"/>
              <w:jc w:val="right"/>
            </w:pPr>
            <w:r>
              <w:rPr>
                <w:b/>
                <w:color w:val="1C3A36"/>
                <w:sz w:val="18"/>
              </w:rPr>
              <w:t>18.06</w:t>
            </w:r>
          </w:p>
        </w:tc>
      </w:tr>
      <w:tr>
        <w:tc>
          <w:tcPr>
            <w:tcW w:type="dxa" w:w="5832"/>
          </w:tcPr>
          <w:p>
            <w:pPr>
              <w:spacing w:after="20"/>
            </w:pPr>
            <w:r>
              <w:rPr>
                <w:color w:val="1C3A36"/>
                <w:sz w:val="18"/>
              </w:rPr>
              <w:t>Terminal value share of enterprise value: 83%</w:t>
            </w:r>
          </w:p>
        </w:tc>
        <w:tc>
          <w:tcPr>
            <w:tcW w:type="dxa" w:w="1872"/>
          </w:tcPr>
          <w:p>
            <w:pPr>
              <w:spacing w:after="20"/>
              <w:jc w:val="right"/>
            </w:pPr>
            <w:r>
              <w:rPr>
                <w:color w:val="1C3A36"/>
                <w:sz w:val="18"/>
              </w:rPr>
            </w:r>
          </w:p>
        </w:tc>
        <w:tc>
          <w:tcPr>
            <w:tcW w:type="dxa" w:w="1872"/>
          </w:tcPr>
          <w:p>
            <w:pPr>
              <w:spacing w:after="20"/>
              <w:jc w:val="right"/>
            </w:pPr>
            <w:r>
              <w:rPr>
                <w:color w:val="1C3A36"/>
                <w:sz w:val="18"/>
              </w:rPr>
            </w:r>
          </w:p>
        </w:tc>
      </w:tr>
      <w:tr>
        <w:tc>
          <w:tcPr>
            <w:tcW w:type="dxa" w:w="5832"/>
          </w:tcPr>
          <w:p>
            <w:pPr>
              <w:spacing w:after="20"/>
            </w:pPr>
            <w:r>
              <w:rPr>
                <w:color w:val="1C3A36"/>
                <w:sz w:val="18"/>
              </w:rPr>
              <w:t>less lease liabilities (the only debt-like item)</w:t>
            </w:r>
          </w:p>
        </w:tc>
        <w:tc>
          <w:tcPr>
            <w:tcW w:type="dxa" w:w="1872"/>
          </w:tcPr>
          <w:p>
            <w:pPr>
              <w:spacing w:after="20"/>
              <w:jc w:val="right"/>
            </w:pPr>
            <w:r>
              <w:rPr>
                <w:color w:val="1C3A36"/>
                <w:sz w:val="18"/>
              </w:rPr>
              <w:t>-1,939</w:t>
            </w:r>
          </w:p>
        </w:tc>
        <w:tc>
          <w:tcPr>
            <w:tcW w:type="dxa" w:w="1872"/>
          </w:tcPr>
          <w:p>
            <w:pPr>
              <w:spacing w:after="20"/>
              <w:jc w:val="right"/>
            </w:pPr>
            <w:r>
              <w:rPr>
                <w:color w:val="1C3A36"/>
                <w:sz w:val="18"/>
              </w:rPr>
              <w:t>-0.43</w:t>
            </w:r>
          </w:p>
        </w:tc>
      </w:tr>
      <w:tr>
        <w:tc>
          <w:tcPr>
            <w:tcW w:type="dxa" w:w="5832"/>
          </w:tcPr>
          <w:p>
            <w:pPr>
              <w:spacing w:after="20"/>
            </w:pPr>
            <w:r>
              <w:rPr>
                <w:color w:val="1C3A36"/>
                <w:sz w:val="18"/>
              </w:rPr>
              <w:t>plus cash and term deposits</w:t>
            </w:r>
          </w:p>
        </w:tc>
        <w:tc>
          <w:tcPr>
            <w:tcW w:type="dxa" w:w="1872"/>
          </w:tcPr>
          <w:p>
            <w:pPr>
              <w:spacing w:after="20"/>
              <w:jc w:val="right"/>
            </w:pPr>
            <w:r>
              <w:rPr>
                <w:color w:val="1C3A36"/>
                <w:sz w:val="18"/>
              </w:rPr>
              <w:t>2,250</w:t>
            </w:r>
          </w:p>
        </w:tc>
        <w:tc>
          <w:tcPr>
            <w:tcW w:type="dxa" w:w="1872"/>
          </w:tcPr>
          <w:p>
            <w:pPr>
              <w:spacing w:after="20"/>
              <w:jc w:val="right"/>
            </w:pPr>
            <w:r>
              <w:rPr>
                <w:color w:val="1C3A36"/>
                <w:sz w:val="18"/>
              </w:rPr>
              <w:t>0.50</w:t>
            </w:r>
          </w:p>
        </w:tc>
      </w:tr>
      <w:tr>
        <w:tc>
          <w:tcPr>
            <w:tcW w:type="dxa" w:w="5832"/>
          </w:tcPr>
          <w:p>
            <w:pPr>
              <w:spacing w:after="20"/>
            </w:pPr>
            <w:r>
              <w:rPr>
                <w:color w:val="1C3A36"/>
                <w:sz w:val="18"/>
              </w:rPr>
              <w:t>plus equity-accounted investees</w:t>
            </w:r>
          </w:p>
        </w:tc>
        <w:tc>
          <w:tcPr>
            <w:tcW w:type="dxa" w:w="1872"/>
          </w:tcPr>
          <w:p>
            <w:pPr>
              <w:spacing w:after="20"/>
              <w:jc w:val="right"/>
            </w:pPr>
            <w:r>
              <w:rPr>
                <w:color w:val="1C3A36"/>
                <w:sz w:val="18"/>
              </w:rPr>
              <w:t>0.51</w:t>
            </w:r>
          </w:p>
        </w:tc>
        <w:tc>
          <w:tcPr>
            <w:tcW w:type="dxa" w:w="1872"/>
          </w:tcPr>
          <w:p>
            <w:pPr>
              <w:spacing w:after="20"/>
              <w:jc w:val="right"/>
            </w:pPr>
            <w:r>
              <w:rPr>
                <w:color w:val="1C3A36"/>
                <w:sz w:val="18"/>
              </w:rPr>
              <w:t>0.00</w:t>
            </w:r>
          </w:p>
        </w:tc>
      </w:tr>
      <w:tr>
        <w:tc>
          <w:tcPr>
            <w:tcW w:type="dxa" w:w="5832"/>
            <w:shd w:val="clear" w:color="auto" w:fill="F6F1E6"/>
          </w:tcPr>
          <w:p>
            <w:pPr>
              <w:spacing w:after="20"/>
            </w:pPr>
            <w:r>
              <w:rPr>
                <w:b/>
                <w:color w:val="1C3A36"/>
                <w:sz w:val="18"/>
              </w:rPr>
              <w:t>Equity value at 31-Dec-2025</w:t>
            </w:r>
          </w:p>
        </w:tc>
        <w:tc>
          <w:tcPr>
            <w:tcW w:type="dxa" w:w="1872"/>
            <w:shd w:val="clear" w:color="auto" w:fill="F6F1E6"/>
          </w:tcPr>
          <w:p>
            <w:pPr>
              <w:spacing w:after="20"/>
              <w:jc w:val="right"/>
            </w:pPr>
            <w:r>
              <w:rPr>
                <w:b/>
                <w:color w:val="1C3A36"/>
                <w:sz w:val="18"/>
              </w:rPr>
              <w:t>82,168</w:t>
            </w:r>
          </w:p>
        </w:tc>
        <w:tc>
          <w:tcPr>
            <w:tcW w:type="dxa" w:w="1872"/>
            <w:shd w:val="clear" w:color="auto" w:fill="F6F1E6"/>
          </w:tcPr>
          <w:p>
            <w:pPr>
              <w:spacing w:after="20"/>
              <w:jc w:val="right"/>
            </w:pPr>
            <w:r>
              <w:rPr>
                <w:b/>
                <w:color w:val="1C3A36"/>
                <w:sz w:val="18"/>
              </w:rPr>
              <w:t>18.13</w:t>
            </w:r>
          </w:p>
        </w:tc>
      </w:tr>
      <w:tr>
        <w:tc>
          <w:tcPr>
            <w:tcW w:type="dxa" w:w="5832"/>
          </w:tcPr>
          <w:p>
            <w:pPr>
              <w:spacing w:after="20"/>
            </w:pPr>
            <w:r>
              <w:rPr>
                <w:color w:val="1C3A36"/>
                <w:sz w:val="18"/>
              </w:rPr>
              <w:t>× anchor accretion (1+Ke)^(219/365) = 1.0387, less the AED 0.66 final dividend paid 28-Apr-2026</w:t>
            </w:r>
          </w:p>
        </w:tc>
        <w:tc>
          <w:tcPr>
            <w:tcW w:type="dxa" w:w="1872"/>
          </w:tcPr>
          <w:p>
            <w:pPr>
              <w:spacing w:after="20"/>
              <w:jc w:val="right"/>
            </w:pPr>
            <w:r>
              <w:rPr>
                <w:color w:val="1C3A36"/>
                <w:sz w:val="18"/>
              </w:rPr>
            </w:r>
          </w:p>
        </w:tc>
        <w:tc>
          <w:tcPr>
            <w:tcW w:type="dxa" w:w="1872"/>
          </w:tcPr>
          <w:p>
            <w:pPr>
              <w:spacing w:after="20"/>
              <w:jc w:val="right"/>
            </w:pPr>
            <w:r>
              <w:rPr>
                <w:color w:val="1C3A36"/>
                <w:sz w:val="18"/>
              </w:rPr>
            </w:r>
          </w:p>
        </w:tc>
      </w:tr>
      <w:tr>
        <w:tc>
          <w:tcPr>
            <w:tcW w:type="dxa" w:w="5832"/>
            <w:shd w:val="clear" w:color="auto" w:fill="F6F1E6"/>
          </w:tcPr>
          <w:p>
            <w:pPr>
              <w:spacing w:after="20"/>
            </w:pPr>
            <w:r>
              <w:rPr>
                <w:b/>
                <w:color w:val="1C3A36"/>
                <w:sz w:val="18"/>
              </w:rPr>
              <w:t>Fair value per share at the 07-Aug-2026 anchor</w:t>
            </w:r>
          </w:p>
        </w:tc>
        <w:tc>
          <w:tcPr>
            <w:tcW w:type="dxa" w:w="1872"/>
            <w:shd w:val="clear" w:color="auto" w:fill="F6F1E6"/>
          </w:tcPr>
          <w:p>
            <w:pPr>
              <w:spacing w:after="20"/>
              <w:jc w:val="right"/>
            </w:pPr>
            <w:r>
              <w:rPr>
                <w:b/>
                <w:color w:val="1C3A36"/>
                <w:sz w:val="18"/>
              </w:rPr>
            </w:r>
          </w:p>
        </w:tc>
        <w:tc>
          <w:tcPr>
            <w:tcW w:type="dxa" w:w="1872"/>
            <w:shd w:val="clear" w:color="auto" w:fill="F6F1E6"/>
          </w:tcPr>
          <w:p>
            <w:pPr>
              <w:spacing w:after="20"/>
              <w:jc w:val="right"/>
            </w:pPr>
            <w:r>
              <w:rPr>
                <w:b/>
                <w:color w:val="1C3A36"/>
                <w:sz w:val="18"/>
              </w:rPr>
              <w:t>18.17</w:t>
            </w:r>
          </w:p>
        </w:tc>
      </w:tr>
    </w:tbl>
    <w:p>
      <w:pPr>
        <w:spacing w:after="40"/>
      </w:pPr>
    </w:p>
    <w:p>
      <w:pPr>
        <w:spacing w:after="200" w:before="0"/>
      </w:pPr>
      <w:r>
        <w:rPr>
          <w:b w:val="0"/>
          <w:i/>
          <w:color w:val="6E7B77"/>
          <w:sz w:val="17"/>
        </w:rPr>
        <w:t>Table 3 — enterprise value to equity. There are no minority interests (every subsidiary is wholly owned) and no borrowings to net: the bridge is leases out, cash in. The H1-2026 interim dividend of AED 0.26, declared 23-Jul-2026 but unpaid at the anchor, stays in the share.</w:t>
      </w:r>
    </w:p>
    <w:p>
      <w:pPr>
        <w:spacing w:after="200" w:before="0"/>
      </w:pPr>
      <w:r>
        <w:rPr>
          <w:b w:val="0"/>
          <w:i w:val="0"/>
          <w:color w:val="1C3A36"/>
          <w:sz w:val="21"/>
        </w:rPr>
        <w:t>Scenario span on this lens: bear AED 10.54 (ARPU −5%, a quarter-million fewer subscribers, margins −3%, +100bp on the discount rate, terminal growth 2.0%), bull AED 27.59 (the war recovery runs hot and the data-centre leg compounds). The base case is deliberately NOT the midpoint of those two: it is built driver by driver in section 1.6.</w:t>
      </w:r>
    </w:p>
    <w:p>
      <w:pPr>
        <w:spacing w:after="80" w:before="200"/>
      </w:pPr>
      <w:r>
        <w:rPr>
          <w:b/>
          <w:i w:val="0"/>
          <w:color w:val="1C3A36"/>
          <w:sz w:val="24"/>
        </w:rPr>
        <w:t>1.2  Book value and sustainable return — the asset lens</w:t>
      </w:r>
    </w:p>
    <w:p>
      <w:pPr>
        <w:spacing w:after="120" w:before="0"/>
      </w:pPr>
      <w:r>
        <w:rPr>
          <w:b w:val="0"/>
          <w:i w:val="0"/>
          <w:color w:val="1C3A36"/>
          <w:sz w:val="21"/>
        </w:rPr>
        <w:t>Book value per share is AED 2.24 (audited FY2025 equity of AED 10,148mn over 4,533mn shares). du earned a return on average equity of 29.0% in FY2025 — a licensed duopoly running negative working capital needs very little equity, so the return on it is high by construction. The lens asks what a sustainable 27% return is worth against a perpetual cost of equity of 6.35%: justified price-to-book = (27% − 2.5%) / (6.35% − 2.5%) = 6.36×, i.e. AED 14.12 per share at the anchor. The multiple looks extreme against industrial norms; it is what the arithmetic of a small equity base and a low required return produces, and the honest caveat is that it is the lens MOST exposed to the low regression beta discussed in section 1.8 — which is why it carries only a 10% weight.</w:t>
      </w:r>
    </w:p>
    <w:p>
      <w:pPr>
        <w:spacing w:after="80" w:before="200"/>
      </w:pPr>
      <w:r>
        <w:rPr>
          <w:b/>
          <w:i w:val="0"/>
          <w:color w:val="1C3A36"/>
          <w:sz w:val="24"/>
        </w:rPr>
        <w:t>1.3  Relative multiples</w:t>
      </w:r>
    </w:p>
    <w:p>
      <w:pPr>
        <w:spacing w:after="120" w:before="0"/>
      </w:pPr>
      <w:r>
        <w:rPr>
          <w:b w:val="0"/>
          <w:i w:val="0"/>
          <w:color w:val="1C3A36"/>
          <w:sz w:val="21"/>
        </w:rPr>
        <w:t>du trades at 19.2× its FY2025 earnings and 7.6× FY2025 EBITDA — and on the more current basis, including the reviewed first half of 2026, at 18.1× and 7.2×. Both framings are given because the trailing-year basis is seven months stale at the anchor and makes the share look dearer than the newer figures do.</w:t>
      </w:r>
    </w:p>
    <w:p>
      <w:pPr>
        <w:spacing w:after="120" w:before="0"/>
      </w:pPr>
      <w:r>
        <w:rPr>
          <w:b w:val="0"/>
          <w:i w:val="0"/>
          <w:color w:val="1C3A36"/>
          <w:sz w:val="21"/>
        </w:rPr>
        <w:t>The peer frame is where the previous edition of this study was wrong, and the correction matters enough to state in full. That edition applied a "peer median" of 15.5×. It was not a median of its own stated peer set, and it was not a current figure: it was a January-2026 aggregator reading built on FY2024 earnings. Re-derived from the peers' own filings at this study's anchor, the multiple is 12.9×.</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1800"/>
        <w:gridCol w:w="1296"/>
        <w:gridCol w:w="893"/>
        <w:gridCol w:w="864"/>
        <w:gridCol w:w="3168"/>
      </w:tblGrid>
      <w:tr>
        <w:tc>
          <w:tcPr>
            <w:tcW w:type="dxa" w:w="1872"/>
            <w:shd w:val="clear" w:color="auto" w:fill="EAF0EE"/>
          </w:tcPr>
          <w:p>
            <w:pPr>
              <w:spacing w:after="20"/>
            </w:pPr>
            <w:r>
              <w:rPr>
                <w:b/>
                <w:color w:val="1C3A36"/>
                <w:sz w:val="16"/>
              </w:rPr>
              <w:t>Peer</w:t>
            </w:r>
          </w:p>
        </w:tc>
        <w:tc>
          <w:tcPr>
            <w:tcW w:type="dxa" w:w="1800"/>
            <w:shd w:val="clear" w:color="auto" w:fill="EAF0EE"/>
          </w:tcPr>
          <w:p>
            <w:pPr>
              <w:spacing w:after="20"/>
            </w:pPr>
            <w:r>
              <w:rPr>
                <w:b/>
                <w:color w:val="1C3A36"/>
                <w:sz w:val="16"/>
              </w:rPr>
              <w:t>Price (6-Aug-2026)</w:t>
            </w:r>
          </w:p>
        </w:tc>
        <w:tc>
          <w:tcPr>
            <w:tcW w:type="dxa" w:w="1296"/>
            <w:shd w:val="clear" w:color="auto" w:fill="EAF0EE"/>
          </w:tcPr>
          <w:p>
            <w:pPr>
              <w:spacing w:after="20"/>
            </w:pPr>
            <w:r>
              <w:rPr>
                <w:b/>
                <w:color w:val="1C3A36"/>
                <w:sz w:val="16"/>
              </w:rPr>
              <w:t>Trailing EPS</w:t>
            </w:r>
          </w:p>
        </w:tc>
        <w:tc>
          <w:tcPr>
            <w:tcW w:type="dxa" w:w="893"/>
            <w:shd w:val="clear" w:color="auto" w:fill="EAF0EE"/>
          </w:tcPr>
          <w:p>
            <w:pPr>
              <w:spacing w:after="20"/>
            </w:pPr>
            <w:r>
              <w:rPr>
                <w:b/>
                <w:color w:val="1C3A36"/>
                <w:sz w:val="16"/>
              </w:rPr>
              <w:t>P/E</w:t>
            </w:r>
          </w:p>
        </w:tc>
        <w:tc>
          <w:tcPr>
            <w:tcW w:type="dxa" w:w="864"/>
            <w:shd w:val="clear" w:color="auto" w:fill="EAF0EE"/>
          </w:tcPr>
          <w:p>
            <w:pPr>
              <w:spacing w:after="20"/>
            </w:pPr>
            <w:r>
              <w:rPr>
                <w:b/>
                <w:color w:val="1C3A36"/>
                <w:sz w:val="16"/>
              </w:rPr>
              <w:t>Yield</w:t>
            </w:r>
          </w:p>
        </w:tc>
        <w:tc>
          <w:tcPr>
            <w:tcW w:type="dxa" w:w="3168"/>
            <w:shd w:val="clear" w:color="auto" w:fill="EAF0EE"/>
          </w:tcPr>
          <w:p>
            <w:pPr>
              <w:spacing w:after="20"/>
            </w:pPr>
            <w:r>
              <w:rPr>
                <w:b/>
                <w:color w:val="1C3A36"/>
                <w:sz w:val="16"/>
              </w:rPr>
              <w:t>Basis</w:t>
            </w:r>
          </w:p>
        </w:tc>
      </w:tr>
      <w:tr>
        <w:tc>
          <w:tcPr>
            <w:tcW w:type="dxa" w:w="1872"/>
          </w:tcPr>
          <w:p>
            <w:pPr>
              <w:spacing w:after="20"/>
            </w:pPr>
            <w:r>
              <w:rPr>
                <w:color w:val="1C3A36"/>
                <w:sz w:val="16"/>
              </w:rPr>
              <w:t>Mobily</w:t>
            </w:r>
          </w:p>
        </w:tc>
        <w:tc>
          <w:tcPr>
            <w:tcW w:type="dxa" w:w="1800"/>
          </w:tcPr>
          <w:p>
            <w:pPr>
              <w:spacing w:after="20"/>
              <w:jc w:val="right"/>
            </w:pPr>
            <w:r>
              <w:rPr>
                <w:color w:val="1C3A36"/>
                <w:sz w:val="16"/>
              </w:rPr>
              <w:t>SAR 61.30</w:t>
            </w:r>
          </w:p>
        </w:tc>
        <w:tc>
          <w:tcPr>
            <w:tcW w:type="dxa" w:w="1296"/>
          </w:tcPr>
          <w:p>
            <w:pPr>
              <w:spacing w:after="20"/>
              <w:jc w:val="right"/>
            </w:pPr>
            <w:r>
              <w:rPr>
                <w:color w:val="1C3A36"/>
                <w:sz w:val="16"/>
              </w:rPr>
              <w:t>4.76</w:t>
            </w:r>
          </w:p>
        </w:tc>
        <w:tc>
          <w:tcPr>
            <w:tcW w:type="dxa" w:w="893"/>
          </w:tcPr>
          <w:p>
            <w:pPr>
              <w:spacing w:after="20"/>
              <w:jc w:val="right"/>
            </w:pPr>
            <w:r>
              <w:rPr>
                <w:color w:val="1C3A36"/>
                <w:sz w:val="16"/>
              </w:rPr>
              <w:t>12.9×</w:t>
            </w:r>
          </w:p>
        </w:tc>
        <w:tc>
          <w:tcPr>
            <w:tcW w:type="dxa" w:w="864"/>
          </w:tcPr>
          <w:p>
            <w:pPr>
              <w:spacing w:after="20"/>
              <w:jc w:val="right"/>
            </w:pPr>
            <w:r>
              <w:rPr>
                <w:color w:val="1C3A36"/>
                <w:sz w:val="16"/>
              </w:rPr>
              <w:t>4.9%</w:t>
            </w:r>
          </w:p>
        </w:tc>
        <w:tc>
          <w:tcPr>
            <w:tcW w:type="dxa" w:w="3168"/>
          </w:tcPr>
          <w:p>
            <w:pPr>
              <w:spacing w:after="20"/>
              <w:jc w:val="right"/>
            </w:pPr>
            <w:r>
              <w:rPr>
                <w:color w:val="1C3A36"/>
                <w:sz w:val="16"/>
              </w:rPr>
              <w:t>its own exchange filings</w:t>
            </w:r>
          </w:p>
        </w:tc>
      </w:tr>
      <w:tr>
        <w:tc>
          <w:tcPr>
            <w:tcW w:type="dxa" w:w="1872"/>
          </w:tcPr>
          <w:p>
            <w:pPr>
              <w:spacing w:after="20"/>
            </w:pPr>
            <w:r>
              <w:rPr>
                <w:color w:val="1C3A36"/>
                <w:sz w:val="16"/>
              </w:rPr>
              <w:t>e&amp;</w:t>
            </w:r>
          </w:p>
        </w:tc>
        <w:tc>
          <w:tcPr>
            <w:tcW w:type="dxa" w:w="1800"/>
          </w:tcPr>
          <w:p>
            <w:pPr>
              <w:spacing w:after="20"/>
              <w:jc w:val="right"/>
            </w:pPr>
            <w:r>
              <w:rPr>
                <w:color w:val="1C3A36"/>
                <w:sz w:val="16"/>
              </w:rPr>
              <w:t>AED 20.98</w:t>
            </w:r>
          </w:p>
        </w:tc>
        <w:tc>
          <w:tcPr>
            <w:tcW w:type="dxa" w:w="1296"/>
          </w:tcPr>
          <w:p>
            <w:pPr>
              <w:spacing w:after="20"/>
              <w:jc w:val="right"/>
            </w:pPr>
            <w:r>
              <w:rPr>
                <w:color w:val="1C3A36"/>
                <w:sz w:val="16"/>
              </w:rPr>
              <w:t>1.33</w:t>
            </w:r>
          </w:p>
        </w:tc>
        <w:tc>
          <w:tcPr>
            <w:tcW w:type="dxa" w:w="893"/>
          </w:tcPr>
          <w:p>
            <w:pPr>
              <w:spacing w:after="20"/>
              <w:jc w:val="right"/>
            </w:pPr>
            <w:r>
              <w:rPr>
                <w:color w:val="1C3A36"/>
                <w:sz w:val="16"/>
              </w:rPr>
              <w:t>15.7×</w:t>
            </w:r>
          </w:p>
        </w:tc>
        <w:tc>
          <w:tcPr>
            <w:tcW w:type="dxa" w:w="864"/>
          </w:tcPr>
          <w:p>
            <w:pPr>
              <w:spacing w:after="20"/>
              <w:jc w:val="right"/>
            </w:pPr>
            <w:r>
              <w:rPr>
                <w:color w:val="1C3A36"/>
                <w:sz w:val="16"/>
              </w:rPr>
              <w:t>4.5%</w:t>
            </w:r>
          </w:p>
        </w:tc>
        <w:tc>
          <w:tcPr>
            <w:tcW w:type="dxa" w:w="3168"/>
          </w:tcPr>
          <w:p>
            <w:pPr>
              <w:spacing w:after="20"/>
              <w:jc w:val="right"/>
            </w:pPr>
            <w:r>
              <w:rPr>
                <w:color w:val="1C3A36"/>
                <w:sz w:val="16"/>
              </w:rPr>
              <w:t>its own filings, reported</w:t>
            </w:r>
          </w:p>
        </w:tc>
      </w:tr>
      <w:tr>
        <w:tc>
          <w:tcPr>
            <w:tcW w:type="dxa" w:w="1872"/>
          </w:tcPr>
          <w:p>
            <w:pPr>
              <w:spacing w:after="20"/>
            </w:pPr>
            <w:r>
              <w:rPr>
                <w:color w:val="1C3A36"/>
                <w:sz w:val="16"/>
              </w:rPr>
              <w:t>stc</w:t>
            </w:r>
          </w:p>
        </w:tc>
        <w:tc>
          <w:tcPr>
            <w:tcW w:type="dxa" w:w="1800"/>
          </w:tcPr>
          <w:p>
            <w:pPr>
              <w:spacing w:after="20"/>
              <w:jc w:val="right"/>
            </w:pPr>
            <w:r>
              <w:rPr>
                <w:color w:val="1C3A36"/>
                <w:sz w:val="16"/>
              </w:rPr>
              <w:t>SAR 43.38</w:t>
            </w:r>
          </w:p>
        </w:tc>
        <w:tc>
          <w:tcPr>
            <w:tcW w:type="dxa" w:w="1296"/>
          </w:tcPr>
          <w:p>
            <w:pPr>
              <w:spacing w:after="20"/>
              <w:jc w:val="right"/>
            </w:pPr>
            <w:r>
              <w:rPr>
                <w:color w:val="1C3A36"/>
                <w:sz w:val="16"/>
              </w:rPr>
              <w:t>2.94</w:t>
            </w:r>
          </w:p>
        </w:tc>
        <w:tc>
          <w:tcPr>
            <w:tcW w:type="dxa" w:w="893"/>
          </w:tcPr>
          <w:p>
            <w:pPr>
              <w:spacing w:after="20"/>
              <w:jc w:val="right"/>
            </w:pPr>
            <w:r>
              <w:rPr>
                <w:color w:val="1C3A36"/>
                <w:sz w:val="16"/>
              </w:rPr>
              <w:t>14.8×</w:t>
            </w:r>
          </w:p>
        </w:tc>
        <w:tc>
          <w:tcPr>
            <w:tcW w:type="dxa" w:w="864"/>
          </w:tcPr>
          <w:p>
            <w:pPr>
              <w:spacing w:after="20"/>
              <w:jc w:val="right"/>
            </w:pPr>
            <w:r>
              <w:rPr>
                <w:color w:val="1C3A36"/>
                <w:sz w:val="16"/>
              </w:rPr>
              <w:t>5.1%</w:t>
            </w:r>
          </w:p>
        </w:tc>
        <w:tc>
          <w:tcPr>
            <w:tcW w:type="dxa" w:w="3168"/>
          </w:tcPr>
          <w:p>
            <w:pPr>
              <w:spacing w:after="20"/>
              <w:jc w:val="right"/>
            </w:pPr>
            <w:r>
              <w:rPr>
                <w:color w:val="1C3A36"/>
                <w:sz w:val="16"/>
              </w:rPr>
              <w:t>aggregator</w:t>
            </w:r>
          </w:p>
        </w:tc>
      </w:tr>
      <w:tr>
        <w:tc>
          <w:tcPr>
            <w:tcW w:type="dxa" w:w="1872"/>
          </w:tcPr>
          <w:p>
            <w:pPr>
              <w:spacing w:after="20"/>
            </w:pPr>
            <w:r>
              <w:rPr>
                <w:color w:val="1C3A36"/>
                <w:sz w:val="16"/>
              </w:rPr>
              <w:t>Ooredoo</w:t>
            </w:r>
          </w:p>
        </w:tc>
        <w:tc>
          <w:tcPr>
            <w:tcW w:type="dxa" w:w="1800"/>
          </w:tcPr>
          <w:p>
            <w:pPr>
              <w:spacing w:after="20"/>
              <w:jc w:val="right"/>
            </w:pPr>
            <w:r>
              <w:rPr>
                <w:color w:val="1C3A36"/>
                <w:sz w:val="16"/>
              </w:rPr>
              <w:t>QAR 13.04</w:t>
            </w:r>
          </w:p>
        </w:tc>
        <w:tc>
          <w:tcPr>
            <w:tcW w:type="dxa" w:w="1296"/>
          </w:tcPr>
          <w:p>
            <w:pPr>
              <w:spacing w:after="20"/>
              <w:jc w:val="right"/>
            </w:pPr>
            <w:r>
              <w:rPr>
                <w:color w:val="1C3A36"/>
                <w:sz w:val="16"/>
              </w:rPr>
              <w:t>1.18</w:t>
            </w:r>
          </w:p>
        </w:tc>
        <w:tc>
          <w:tcPr>
            <w:tcW w:type="dxa" w:w="893"/>
          </w:tcPr>
          <w:p>
            <w:pPr>
              <w:spacing w:after="20"/>
              <w:jc w:val="right"/>
            </w:pPr>
            <w:r>
              <w:rPr>
                <w:color w:val="1C3A36"/>
                <w:sz w:val="16"/>
              </w:rPr>
              <w:t>11.2×</w:t>
            </w:r>
          </w:p>
        </w:tc>
        <w:tc>
          <w:tcPr>
            <w:tcW w:type="dxa" w:w="864"/>
          </w:tcPr>
          <w:p>
            <w:pPr>
              <w:spacing w:after="20"/>
              <w:jc w:val="right"/>
            </w:pPr>
            <w:r>
              <w:rPr>
                <w:color w:val="1C3A36"/>
                <w:sz w:val="16"/>
              </w:rPr>
              <w:t>5.7%</w:t>
            </w:r>
          </w:p>
        </w:tc>
        <w:tc>
          <w:tcPr>
            <w:tcW w:type="dxa" w:w="3168"/>
          </w:tcPr>
          <w:p>
            <w:pPr>
              <w:spacing w:after="20"/>
              <w:jc w:val="right"/>
            </w:pPr>
            <w:r>
              <w:rPr>
                <w:color w:val="1C3A36"/>
                <w:sz w:val="16"/>
              </w:rPr>
              <w:t>aggregator, off-anchor</w:t>
            </w:r>
          </w:p>
        </w:tc>
      </w:tr>
      <w:tr>
        <w:tc>
          <w:tcPr>
            <w:tcW w:type="dxa" w:w="1872"/>
          </w:tcPr>
          <w:p>
            <w:pPr>
              <w:spacing w:after="20"/>
            </w:pPr>
            <w:r>
              <w:rPr>
                <w:color w:val="1C3A36"/>
                <w:sz w:val="16"/>
              </w:rPr>
              <w:t>Omantel</w:t>
            </w:r>
          </w:p>
        </w:tc>
        <w:tc>
          <w:tcPr>
            <w:tcW w:type="dxa" w:w="1800"/>
          </w:tcPr>
          <w:p>
            <w:pPr>
              <w:spacing w:after="20"/>
              <w:jc w:val="right"/>
            </w:pPr>
            <w:r>
              <w:rPr>
                <w:color w:val="1C3A36"/>
                <w:sz w:val="16"/>
              </w:rPr>
              <w:t>not sourced</w:t>
            </w:r>
          </w:p>
        </w:tc>
        <w:tc>
          <w:tcPr>
            <w:tcW w:type="dxa" w:w="1296"/>
          </w:tcPr>
          <w:p>
            <w:pPr>
              <w:spacing w:after="20"/>
              <w:jc w:val="right"/>
            </w:pPr>
            <w:r>
              <w:rPr>
                <w:color w:val="1C3A36"/>
                <w:sz w:val="16"/>
              </w:rPr>
              <w:t>0.123</w:t>
            </w:r>
          </w:p>
        </w:tc>
        <w:tc>
          <w:tcPr>
            <w:tcW w:type="dxa" w:w="893"/>
          </w:tcPr>
          <w:p>
            <w:pPr>
              <w:spacing w:after="20"/>
              <w:jc w:val="right"/>
            </w:pPr>
            <w:r>
              <w:rPr>
                <w:color w:val="1C3A36"/>
                <w:sz w:val="16"/>
              </w:rPr>
              <w:t>12.0×</w:t>
            </w:r>
          </w:p>
        </w:tc>
        <w:tc>
          <w:tcPr>
            <w:tcW w:type="dxa" w:w="864"/>
          </w:tcPr>
          <w:p>
            <w:pPr>
              <w:spacing w:after="20"/>
              <w:jc w:val="right"/>
            </w:pPr>
            <w:r>
              <w:rPr>
                <w:color w:val="1C3A36"/>
                <w:sz w:val="16"/>
              </w:rPr>
              <w:t>6.7%</w:t>
            </w:r>
          </w:p>
        </w:tc>
        <w:tc>
          <w:tcPr>
            <w:tcW w:type="dxa" w:w="3168"/>
          </w:tcPr>
          <w:p>
            <w:pPr>
              <w:spacing w:after="20"/>
              <w:jc w:val="right"/>
            </w:pPr>
            <w:r>
              <w:rPr>
                <w:color w:val="1C3A36"/>
                <w:sz w:val="16"/>
              </w:rPr>
              <w:t>aggregator, self-contradictory</w:t>
            </w:r>
          </w:p>
        </w:tc>
      </w:tr>
      <w:tr>
        <w:tc>
          <w:tcPr>
            <w:tcW w:type="dxa" w:w="1872"/>
          </w:tcPr>
          <w:p>
            <w:pPr>
              <w:spacing w:after="20"/>
            </w:pPr>
            <w:r>
              <w:rPr>
                <w:color w:val="1C3A36"/>
                <w:sz w:val="16"/>
              </w:rPr>
              <w:t>Zain</w:t>
            </w:r>
          </w:p>
        </w:tc>
        <w:tc>
          <w:tcPr>
            <w:tcW w:type="dxa" w:w="1800"/>
          </w:tcPr>
          <w:p>
            <w:pPr>
              <w:spacing w:after="20"/>
              <w:jc w:val="right"/>
            </w:pPr>
            <w:r>
              <w:rPr>
                <w:color w:val="1C3A36"/>
                <w:sz w:val="16"/>
              </w:rPr>
              <w:t>KWD 0.611</w:t>
            </w:r>
          </w:p>
        </w:tc>
        <w:tc>
          <w:tcPr>
            <w:tcW w:type="dxa" w:w="1296"/>
          </w:tcPr>
          <w:p>
            <w:pPr>
              <w:spacing w:after="20"/>
              <w:jc w:val="right"/>
            </w:pPr>
            <w:r>
              <w:rPr>
                <w:color w:val="1C3A36"/>
                <w:sz w:val="16"/>
              </w:rPr>
              <w:t>not sourced</w:t>
            </w:r>
          </w:p>
        </w:tc>
        <w:tc>
          <w:tcPr>
            <w:tcW w:type="dxa" w:w="893"/>
          </w:tcPr>
          <w:p>
            <w:pPr>
              <w:spacing w:after="20"/>
              <w:jc w:val="right"/>
            </w:pPr>
            <w:r>
              <w:rPr>
                <w:color w:val="1C3A36"/>
                <w:sz w:val="16"/>
              </w:rPr>
              <w:t>refused</w:t>
            </w:r>
          </w:p>
        </w:tc>
        <w:tc>
          <w:tcPr>
            <w:tcW w:type="dxa" w:w="864"/>
          </w:tcPr>
          <w:p>
            <w:pPr>
              <w:spacing w:after="20"/>
              <w:jc w:val="right"/>
            </w:pPr>
            <w:r>
              <w:rPr>
                <w:color w:val="1C3A36"/>
                <w:sz w:val="16"/>
              </w:rPr>
              <w:t>6.7%</w:t>
            </w:r>
          </w:p>
        </w:tc>
        <w:tc>
          <w:tcPr>
            <w:tcW w:type="dxa" w:w="3168"/>
          </w:tcPr>
          <w:p>
            <w:pPr>
              <w:spacing w:after="20"/>
              <w:jc w:val="right"/>
            </w:pPr>
            <w:r>
              <w:rPr>
                <w:color w:val="1C3A36"/>
                <w:sz w:val="16"/>
              </w:rPr>
              <w:t>provider returned 11,365×</w:t>
            </w:r>
          </w:p>
        </w:tc>
      </w:tr>
      <w:tr>
        <w:tc>
          <w:tcPr>
            <w:tcW w:type="dxa" w:w="1872"/>
          </w:tcPr>
          <w:p>
            <w:pPr>
              <w:spacing w:after="20"/>
            </w:pPr>
            <w:r>
              <w:rPr>
                <w:color w:val="1C3A36"/>
                <w:sz w:val="16"/>
              </w:rPr>
              <w:t>du (this company)</w:t>
            </w:r>
          </w:p>
        </w:tc>
        <w:tc>
          <w:tcPr>
            <w:tcW w:type="dxa" w:w="1800"/>
          </w:tcPr>
          <w:p>
            <w:pPr>
              <w:spacing w:after="20"/>
              <w:jc w:val="right"/>
            </w:pPr>
            <w:r>
              <w:rPr>
                <w:color w:val="1C3A36"/>
                <w:sz w:val="16"/>
              </w:rPr>
              <w:t>AED 12.30</w:t>
            </w:r>
          </w:p>
        </w:tc>
        <w:tc>
          <w:tcPr>
            <w:tcW w:type="dxa" w:w="1296"/>
          </w:tcPr>
          <w:p>
            <w:pPr>
              <w:spacing w:after="20"/>
              <w:jc w:val="right"/>
            </w:pPr>
            <w:r>
              <w:rPr>
                <w:color w:val="1C3A36"/>
                <w:sz w:val="16"/>
              </w:rPr>
              <w:t>0.68</w:t>
            </w:r>
          </w:p>
        </w:tc>
        <w:tc>
          <w:tcPr>
            <w:tcW w:type="dxa" w:w="893"/>
          </w:tcPr>
          <w:p>
            <w:pPr>
              <w:spacing w:after="20"/>
              <w:jc w:val="right"/>
            </w:pPr>
            <w:r>
              <w:rPr>
                <w:color w:val="1C3A36"/>
                <w:sz w:val="16"/>
              </w:rPr>
              <w:t>18.1×</w:t>
            </w:r>
          </w:p>
        </w:tc>
        <w:tc>
          <w:tcPr>
            <w:tcW w:type="dxa" w:w="864"/>
          </w:tcPr>
          <w:p>
            <w:pPr>
              <w:spacing w:after="20"/>
              <w:jc w:val="right"/>
            </w:pPr>
            <w:r>
              <w:rPr>
                <w:color w:val="1C3A36"/>
                <w:sz w:val="16"/>
              </w:rPr>
              <w:t>5.2%</w:t>
            </w:r>
          </w:p>
        </w:tc>
        <w:tc>
          <w:tcPr>
            <w:tcW w:type="dxa" w:w="3168"/>
          </w:tcPr>
          <w:p>
            <w:pPr>
              <w:spacing w:after="20"/>
              <w:jc w:val="right"/>
            </w:pPr>
            <w:r>
              <w:rPr>
                <w:color w:val="1C3A36"/>
                <w:sz w:val="16"/>
              </w:rPr>
              <w:t>its own audited figures</w:t>
            </w:r>
          </w:p>
        </w:tc>
      </w:tr>
    </w:tbl>
    <w:p>
      <w:pPr>
        <w:spacing w:after="40"/>
      </w:pPr>
    </w:p>
    <w:p>
      <w:pPr>
        <w:spacing w:after="200" w:before="0"/>
      </w:pPr>
      <w:r>
        <w:rPr>
          <w:b w:val="0"/>
          <w:i/>
          <w:color w:val="6E7B77"/>
          <w:sz w:val="17"/>
        </w:rPr>
        <w:t>Table 4 — the peer frame, re-derived. Only two of the six peers survive as clean observations: Mobily, whose 12.9× reconciles two independent ways from its own filings, and e&amp; at 15.7×. Of the rest, one provider returned a corrupt 11,365× for Zain (refused rather than passed through), Omantel's quoted multiple and yield are mutually inconsistent, and Omantel in any case holds about 22% of Zain, so the two are not independent observations. NO PEER MEDIAN IS THEREFORE CLAIMED. The justified multiple is Mobily's own, defended as the closest structural analogue — a number-two operator in a Gulf duopoly-like market that closed the gap on its incumbent. Note what the corrected table shows about du itself: at 18.1× it trades ABOVE every peer in the set.</w:t>
      </w:r>
    </w:p>
    <w:p>
      <w:pPr>
        <w:spacing w:after="120" w:before="0"/>
      </w:pPr>
      <w:r>
        <w:rPr>
          <w:b w:val="0"/>
          <w:i w:val="0"/>
          <w:color w:val="1C3A36"/>
          <w:sz w:val="21"/>
        </w:rPr>
        <w:t>Applied to FY2026E earnings per share of AED 0.69 and rolled to the anchor: AED 8.58 per share [bear 12× → AED 7.94; bull 18.5× → AED 12.60]. A second, independent market cross-check from the dividend: du's FY2026E dividend of AED 0.68 at Mobily's own trailing yield (4.9%) is worth AED 13.82 — well ABOVE the earnings-multiple read, because du pays out far more of its earnings than the peer does. Peer EV/EBITDA could not be built from filings within this study's scope (net-debt detail per peer was not retrieved), so the lens runs on earnings and yield only; that limitation is stated rather than papered over.</w:t>
      </w:r>
    </w:p>
    <w:p>
      <w:pPr>
        <w:spacing w:after="80" w:before="200"/>
      </w:pPr>
      <w:r>
        <w:rPr>
          <w:b/>
          <w:i w:val="0"/>
          <w:color w:val="1C3A36"/>
          <w:sz w:val="24"/>
        </w:rPr>
        <w:t>1.4  Normalised earnings power — mid-cycle margin at current scale</w:t>
      </w:r>
    </w:p>
    <w:p>
      <w:pPr>
        <w:spacing w:after="120" w:before="0"/>
      </w:pPr>
      <w:r>
        <w:rPr>
          <w:b w:val="0"/>
          <w:i w:val="0"/>
          <w:color w:val="1C3A36"/>
          <w:sz w:val="21"/>
        </w:rPr>
        <w:t>The lens strips the cycle: the mid-cycle EBITDA margin (the middle forecast year, FY2028E, 46.8%) applied to CURRENT-scale revenue (FY2026E, AED 16,593mn), less FY2026E depreciation, plus FY2026E net finance income, taxed at the combined 43.6%: normalised earnings of AED 3,123mn, or AED 0.69 per share. At the justified 12.9× and rolled to the anchor: AED 8.57 [12× → 7.93; 18.5× → 12.58]. It reads within a few fils of the relative lens, and that is worth being blunt about rather than presenting as corroboration: du's current year IS close to mid-cycle — the war knocked the top line, not the margin, and the first half of 2026 printed the best margin in the company's history — so normalising changes the earnings base by less than a fil. The two market-anchored lenses are therefore ONE reading of one multiple against one earnings number, carrying 45% of the weighted central between them, not two independent reads. The synthesis in 1.5 and the comparison in section 4 should be read on that basis.</w:t>
      </w:r>
    </w:p>
    <w:p>
      <w:pPr>
        <w:spacing w:after="80" w:before="200"/>
      </w:pPr>
      <w:r>
        <w:rPr>
          <w:b/>
          <w:i w:val="0"/>
          <w:color w:val="1C3A36"/>
          <w:sz w:val="24"/>
        </w:rPr>
        <w:t>1.5  Synthesis — four lenses, one field</w:t>
      </w:r>
    </w:p>
    <w:p>
      <w:pPr>
        <w:spacing w:after="200" w:before="0"/>
      </w:pPr>
      <w:r>
        <w:rPr>
          <w:b w:val="0"/>
          <w:i w:val="0"/>
          <w:color w:val="1C3A36"/>
          <w:sz w:val="21"/>
        </w:rPr>
        <w:t>Weighted central: AED 13.45 (+9% to spot), full span AED 7.93 to AED 27.59. The DCF (45% weight) reads +48% above the market; the two market-anchored lenses read roughly at the market. Section 4 takes that disagreement seriously — it is a statement about the discount rate, not about the forecast.</w:t>
      </w:r>
    </w:p>
    <w:p>
      <w:pPr>
        <w:spacing w:after="80" w:before="200"/>
      </w:pPr>
      <w:r>
        <w:rPr>
          <w:b/>
          <w:i w:val="0"/>
          <w:color w:val="1C3A36"/>
          <w:sz w:val="24"/>
        </w:rPr>
        <w:t>1.6  The drivers — each disclosed segment grown on its own driver</w:t>
      </w:r>
    </w:p>
    <w:p>
      <w:pPr>
        <w:spacing w:after="80" w:before="200"/>
      </w:pPr>
      <w:r>
        <w:rPr>
          <w:b/>
          <w:i w:val="0"/>
          <w:color w:val="1C3A36"/>
          <w:sz w:val="24"/>
        </w:rPr>
        <w:t>The four disclosed segments,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469"/>
        <w:gridCol w:w="1469"/>
        <w:gridCol w:w="1469"/>
        <w:gridCol w:w="2045"/>
        <w:gridCol w:w="1224"/>
      </w:tblGrid>
      <w:tr>
        <w:tc>
          <w:tcPr>
            <w:tcW w:type="dxa" w:w="2232"/>
            <w:shd w:val="clear" w:color="auto" w:fill="EAF0EE"/>
          </w:tcPr>
          <w:p>
            <w:pPr>
              <w:spacing w:after="20"/>
            </w:pPr>
            <w:r>
              <w:rPr>
                <w:b/>
                <w:color w:val="1C3A36"/>
                <w:sz w:val="18"/>
              </w:rPr>
              <w:t>Segment</w:t>
            </w:r>
          </w:p>
        </w:tc>
        <w:tc>
          <w:tcPr>
            <w:tcW w:type="dxa" w:w="1469"/>
            <w:shd w:val="clear" w:color="auto" w:fill="EAF0EE"/>
          </w:tcPr>
          <w:p>
            <w:pPr>
              <w:spacing w:after="20"/>
            </w:pPr>
            <w:r>
              <w:rPr>
                <w:b/>
                <w:color w:val="1C3A36"/>
                <w:sz w:val="18"/>
              </w:rPr>
              <w:t>FY2023*</w:t>
            </w:r>
          </w:p>
        </w:tc>
        <w:tc>
          <w:tcPr>
            <w:tcW w:type="dxa" w:w="1469"/>
            <w:shd w:val="clear" w:color="auto" w:fill="EAF0EE"/>
          </w:tcPr>
          <w:p>
            <w:pPr>
              <w:spacing w:after="20"/>
            </w:pPr>
            <w:r>
              <w:rPr>
                <w:b/>
                <w:color w:val="1C3A36"/>
                <w:sz w:val="18"/>
              </w:rPr>
              <w:t>FY2024</w:t>
            </w:r>
          </w:p>
        </w:tc>
        <w:tc>
          <w:tcPr>
            <w:tcW w:type="dxa" w:w="1469"/>
            <w:shd w:val="clear" w:color="auto" w:fill="EAF0EE"/>
          </w:tcPr>
          <w:p>
            <w:pPr>
              <w:spacing w:after="20"/>
            </w:pPr>
            <w:r>
              <w:rPr>
                <w:b/>
                <w:color w:val="1C3A36"/>
                <w:sz w:val="18"/>
              </w:rPr>
              <w:t>FY2025</w:t>
            </w:r>
          </w:p>
        </w:tc>
        <w:tc>
          <w:tcPr>
            <w:tcW w:type="dxa" w:w="2045"/>
            <w:shd w:val="clear" w:color="auto" w:fill="EAF0EE"/>
          </w:tcPr>
          <w:p>
            <w:pPr>
              <w:spacing w:after="20"/>
            </w:pPr>
            <w:r>
              <w:rPr>
                <w:b/>
                <w:color w:val="1C3A36"/>
                <w:sz w:val="18"/>
              </w:rPr>
              <w:t>FY2025 contribution</w:t>
            </w:r>
          </w:p>
        </w:tc>
        <w:tc>
          <w:tcPr>
            <w:tcW w:type="dxa" w:w="1224"/>
            <w:shd w:val="clear" w:color="auto" w:fill="EAF0EE"/>
          </w:tcPr>
          <w:p>
            <w:pPr>
              <w:spacing w:after="20"/>
            </w:pPr>
            <w:r>
              <w:rPr>
                <w:b/>
                <w:color w:val="1C3A36"/>
                <w:sz w:val="18"/>
              </w:rPr>
              <w:t>margin</w:t>
            </w:r>
          </w:p>
        </w:tc>
      </w:tr>
      <w:tr>
        <w:tc>
          <w:tcPr>
            <w:tcW w:type="dxa" w:w="2232"/>
          </w:tcPr>
          <w:p>
            <w:pPr>
              <w:spacing w:after="20"/>
            </w:pPr>
            <w:r>
              <w:rPr>
                <w:color w:val="1C3A36"/>
                <w:sz w:val="18"/>
              </w:rPr>
              <w:t>Mobile</w:t>
            </w:r>
          </w:p>
        </w:tc>
        <w:tc>
          <w:tcPr>
            <w:tcW w:type="dxa" w:w="1469"/>
          </w:tcPr>
          <w:p>
            <w:pPr>
              <w:spacing w:after="20"/>
              <w:jc w:val="right"/>
            </w:pPr>
            <w:r>
              <w:rPr>
                <w:color w:val="1C3A36"/>
                <w:sz w:val="18"/>
              </w:rPr>
              <w:t>7,004</w:t>
            </w:r>
          </w:p>
        </w:tc>
        <w:tc>
          <w:tcPr>
            <w:tcW w:type="dxa" w:w="1469"/>
          </w:tcPr>
          <w:p>
            <w:pPr>
              <w:spacing w:after="20"/>
              <w:jc w:val="right"/>
            </w:pPr>
            <w:r>
              <w:rPr>
                <w:color w:val="1C3A36"/>
                <w:sz w:val="18"/>
              </w:rPr>
              <w:t>6,548</w:t>
            </w:r>
          </w:p>
        </w:tc>
        <w:tc>
          <w:tcPr>
            <w:tcW w:type="dxa" w:w="1469"/>
          </w:tcPr>
          <w:p>
            <w:pPr>
              <w:spacing w:after="20"/>
              <w:jc w:val="right"/>
            </w:pPr>
            <w:r>
              <w:rPr>
                <w:color w:val="1C3A36"/>
                <w:sz w:val="18"/>
              </w:rPr>
              <w:t>7,075</w:t>
            </w:r>
          </w:p>
        </w:tc>
        <w:tc>
          <w:tcPr>
            <w:tcW w:type="dxa" w:w="2045"/>
          </w:tcPr>
          <w:p>
            <w:pPr>
              <w:spacing w:after="20"/>
              <w:jc w:val="right"/>
            </w:pPr>
            <w:r>
              <w:rPr>
                <w:color w:val="1C3A36"/>
                <w:sz w:val="18"/>
              </w:rPr>
              <w:t>4,304</w:t>
            </w:r>
          </w:p>
        </w:tc>
        <w:tc>
          <w:tcPr>
            <w:tcW w:type="dxa" w:w="1224"/>
          </w:tcPr>
          <w:p>
            <w:pPr>
              <w:spacing w:after="20"/>
              <w:jc w:val="right"/>
            </w:pPr>
            <w:r>
              <w:rPr>
                <w:color w:val="1C3A36"/>
                <w:sz w:val="18"/>
              </w:rPr>
              <w:t>60.8%</w:t>
            </w:r>
          </w:p>
        </w:tc>
      </w:tr>
      <w:tr>
        <w:tc>
          <w:tcPr>
            <w:tcW w:type="dxa" w:w="2232"/>
          </w:tcPr>
          <w:p>
            <w:pPr>
              <w:spacing w:after="20"/>
            </w:pPr>
            <w:r>
              <w:rPr>
                <w:color w:val="1C3A36"/>
                <w:sz w:val="18"/>
              </w:rPr>
              <w:t>Fixed</w:t>
            </w:r>
          </w:p>
        </w:tc>
        <w:tc>
          <w:tcPr>
            <w:tcW w:type="dxa" w:w="1469"/>
          </w:tcPr>
          <w:p>
            <w:pPr>
              <w:spacing w:after="20"/>
              <w:jc w:val="right"/>
            </w:pPr>
            <w:r>
              <w:rPr>
                <w:color w:val="1C3A36"/>
                <w:sz w:val="18"/>
              </w:rPr>
              <w:t>3,780</w:t>
            </w:r>
          </w:p>
        </w:tc>
        <w:tc>
          <w:tcPr>
            <w:tcW w:type="dxa" w:w="1469"/>
          </w:tcPr>
          <w:p>
            <w:pPr>
              <w:spacing w:after="20"/>
              <w:jc w:val="right"/>
            </w:pPr>
            <w:r>
              <w:rPr>
                <w:color w:val="1C3A36"/>
                <w:sz w:val="18"/>
              </w:rPr>
              <w:t>4,003</w:t>
            </w:r>
          </w:p>
        </w:tc>
        <w:tc>
          <w:tcPr>
            <w:tcW w:type="dxa" w:w="1469"/>
          </w:tcPr>
          <w:p>
            <w:pPr>
              <w:spacing w:after="20"/>
              <w:jc w:val="right"/>
            </w:pPr>
            <w:r>
              <w:rPr>
                <w:color w:val="1C3A36"/>
                <w:sz w:val="18"/>
              </w:rPr>
              <w:t>4,380</w:t>
            </w:r>
          </w:p>
        </w:tc>
        <w:tc>
          <w:tcPr>
            <w:tcW w:type="dxa" w:w="2045"/>
          </w:tcPr>
          <w:p>
            <w:pPr>
              <w:spacing w:after="20"/>
              <w:jc w:val="right"/>
            </w:pPr>
            <w:r>
              <w:rPr>
                <w:color w:val="1C3A36"/>
                <w:sz w:val="18"/>
              </w:rPr>
              <w:t>3,758</w:t>
            </w:r>
          </w:p>
        </w:tc>
        <w:tc>
          <w:tcPr>
            <w:tcW w:type="dxa" w:w="1224"/>
          </w:tcPr>
          <w:p>
            <w:pPr>
              <w:spacing w:after="20"/>
              <w:jc w:val="right"/>
            </w:pPr>
            <w:r>
              <w:rPr>
                <w:color w:val="1C3A36"/>
                <w:sz w:val="18"/>
              </w:rPr>
              <w:t>85.8%</w:t>
            </w:r>
          </w:p>
        </w:tc>
      </w:tr>
      <w:tr>
        <w:tc>
          <w:tcPr>
            <w:tcW w:type="dxa" w:w="2232"/>
          </w:tcPr>
          <w:p>
            <w:pPr>
              <w:spacing w:after="20"/>
            </w:pPr>
            <w:r>
              <w:rPr>
                <w:color w:val="1C3A36"/>
                <w:sz w:val="18"/>
              </w:rPr>
              <w:t>Wholesale</w:t>
            </w:r>
          </w:p>
        </w:tc>
        <w:tc>
          <w:tcPr>
            <w:tcW w:type="dxa" w:w="1469"/>
          </w:tcPr>
          <w:p>
            <w:pPr>
              <w:spacing w:after="20"/>
              <w:jc w:val="right"/>
            </w:pPr>
            <w:r>
              <w:rPr>
                <w:color w:val="1C3A36"/>
                <w:sz w:val="18"/>
              </w:rPr>
              <w:t>1,768</w:t>
            </w:r>
          </w:p>
        </w:tc>
        <w:tc>
          <w:tcPr>
            <w:tcW w:type="dxa" w:w="1469"/>
          </w:tcPr>
          <w:p>
            <w:pPr>
              <w:spacing w:after="20"/>
              <w:jc w:val="right"/>
            </w:pPr>
            <w:r>
              <w:rPr>
                <w:color w:val="1C3A36"/>
                <w:sz w:val="18"/>
              </w:rPr>
              <w:t>2,373</w:t>
            </w:r>
          </w:p>
        </w:tc>
        <w:tc>
          <w:tcPr>
            <w:tcW w:type="dxa" w:w="1469"/>
          </w:tcPr>
          <w:p>
            <w:pPr>
              <w:spacing w:after="20"/>
              <w:jc w:val="right"/>
            </w:pPr>
            <w:r>
              <w:rPr>
                <w:color w:val="1C3A36"/>
                <w:sz w:val="18"/>
              </w:rPr>
              <w:t>2,568</w:t>
            </w:r>
          </w:p>
        </w:tc>
        <w:tc>
          <w:tcPr>
            <w:tcW w:type="dxa" w:w="2045"/>
          </w:tcPr>
          <w:p>
            <w:pPr>
              <w:spacing w:after="20"/>
              <w:jc w:val="right"/>
            </w:pPr>
            <w:r>
              <w:rPr>
                <w:color w:val="1C3A36"/>
                <w:sz w:val="18"/>
              </w:rPr>
              <w:t>2,219</w:t>
            </w:r>
          </w:p>
        </w:tc>
        <w:tc>
          <w:tcPr>
            <w:tcW w:type="dxa" w:w="1224"/>
          </w:tcPr>
          <w:p>
            <w:pPr>
              <w:spacing w:after="20"/>
              <w:jc w:val="right"/>
            </w:pPr>
            <w:r>
              <w:rPr>
                <w:color w:val="1C3A36"/>
                <w:sz w:val="18"/>
              </w:rPr>
              <w:t>86.4%</w:t>
            </w:r>
          </w:p>
        </w:tc>
      </w:tr>
      <w:tr>
        <w:tc>
          <w:tcPr>
            <w:tcW w:type="dxa" w:w="2232"/>
          </w:tcPr>
          <w:p>
            <w:pPr>
              <w:spacing w:after="20"/>
            </w:pPr>
            <w:r>
              <w:rPr>
                <w:color w:val="1C3A36"/>
                <w:sz w:val="18"/>
              </w:rPr>
              <w:t>ICT &amp; associated</w:t>
            </w:r>
          </w:p>
        </w:tc>
        <w:tc>
          <w:tcPr>
            <w:tcW w:type="dxa" w:w="1469"/>
          </w:tcPr>
          <w:p>
            <w:pPr>
              <w:spacing w:after="20"/>
              <w:jc w:val="right"/>
            </w:pPr>
            <w:r>
              <w:rPr>
                <w:color w:val="1C3A36"/>
                <w:sz w:val="18"/>
              </w:rPr>
              <w:t>1,084</w:t>
            </w:r>
          </w:p>
        </w:tc>
        <w:tc>
          <w:tcPr>
            <w:tcW w:type="dxa" w:w="1469"/>
          </w:tcPr>
          <w:p>
            <w:pPr>
              <w:spacing w:after="20"/>
              <w:jc w:val="right"/>
            </w:pPr>
            <w:r>
              <w:rPr>
                <w:color w:val="1C3A36"/>
                <w:sz w:val="18"/>
              </w:rPr>
              <w:t>1,712</w:t>
            </w:r>
          </w:p>
        </w:tc>
        <w:tc>
          <w:tcPr>
            <w:tcW w:type="dxa" w:w="1469"/>
          </w:tcPr>
          <w:p>
            <w:pPr>
              <w:spacing w:after="20"/>
              <w:jc w:val="right"/>
            </w:pPr>
            <w:r>
              <w:rPr>
                <w:color w:val="1C3A36"/>
                <w:sz w:val="18"/>
              </w:rPr>
              <w:t>1,883</w:t>
            </w:r>
          </w:p>
        </w:tc>
        <w:tc>
          <w:tcPr>
            <w:tcW w:type="dxa" w:w="2045"/>
          </w:tcPr>
          <w:p>
            <w:pPr>
              <w:spacing w:after="20"/>
              <w:jc w:val="right"/>
            </w:pPr>
            <w:r>
              <w:rPr>
                <w:color w:val="1C3A36"/>
                <w:sz w:val="18"/>
              </w:rPr>
              <w:t>365</w:t>
            </w:r>
          </w:p>
        </w:tc>
        <w:tc>
          <w:tcPr>
            <w:tcW w:type="dxa" w:w="1224"/>
          </w:tcPr>
          <w:p>
            <w:pPr>
              <w:spacing w:after="20"/>
              <w:jc w:val="right"/>
            </w:pPr>
            <w:r>
              <w:rPr>
                <w:color w:val="1C3A36"/>
                <w:sz w:val="18"/>
              </w:rPr>
              <w:t>19.4%</w:t>
            </w:r>
          </w:p>
        </w:tc>
      </w:tr>
      <w:tr>
        <w:tc>
          <w:tcPr>
            <w:tcW w:type="dxa" w:w="2232"/>
            <w:shd w:val="clear" w:color="auto" w:fill="F6F1E6"/>
          </w:tcPr>
          <w:p>
            <w:pPr>
              <w:spacing w:after="20"/>
            </w:pPr>
            <w:r>
              <w:rPr>
                <w:b/>
                <w:color w:val="1C3A36"/>
                <w:sz w:val="18"/>
              </w:rPr>
              <w:t>Total</w:t>
            </w:r>
          </w:p>
        </w:tc>
        <w:tc>
          <w:tcPr>
            <w:tcW w:type="dxa" w:w="1469"/>
            <w:shd w:val="clear" w:color="auto" w:fill="F6F1E6"/>
          </w:tcPr>
          <w:p>
            <w:pPr>
              <w:spacing w:after="20"/>
              <w:jc w:val="right"/>
            </w:pPr>
            <w:r>
              <w:rPr>
                <w:b/>
                <w:color w:val="1C3A36"/>
                <w:sz w:val="18"/>
              </w:rPr>
              <w:t>13,636</w:t>
            </w:r>
          </w:p>
        </w:tc>
        <w:tc>
          <w:tcPr>
            <w:tcW w:type="dxa" w:w="1469"/>
            <w:shd w:val="clear" w:color="auto" w:fill="F6F1E6"/>
          </w:tcPr>
          <w:p>
            <w:pPr>
              <w:spacing w:after="20"/>
              <w:jc w:val="right"/>
            </w:pPr>
            <w:r>
              <w:rPr>
                <w:b/>
                <w:color w:val="1C3A36"/>
                <w:sz w:val="18"/>
              </w:rPr>
              <w:t>14,636</w:t>
            </w:r>
          </w:p>
        </w:tc>
        <w:tc>
          <w:tcPr>
            <w:tcW w:type="dxa" w:w="1469"/>
            <w:shd w:val="clear" w:color="auto" w:fill="F6F1E6"/>
          </w:tcPr>
          <w:p>
            <w:pPr>
              <w:spacing w:after="20"/>
              <w:jc w:val="right"/>
            </w:pPr>
            <w:r>
              <w:rPr>
                <w:b/>
                <w:color w:val="1C3A36"/>
                <w:sz w:val="18"/>
              </w:rPr>
              <w:t>15,905</w:t>
            </w:r>
          </w:p>
        </w:tc>
        <w:tc>
          <w:tcPr>
            <w:tcW w:type="dxa" w:w="2045"/>
            <w:shd w:val="clear" w:color="auto" w:fill="F6F1E6"/>
          </w:tcPr>
          <w:p>
            <w:pPr>
              <w:spacing w:after="20"/>
              <w:jc w:val="right"/>
            </w:pPr>
            <w:r>
              <w:rPr>
                <w:b/>
                <w:color w:val="1C3A36"/>
                <w:sz w:val="18"/>
              </w:rPr>
              <w:t>10,646</w:t>
            </w:r>
          </w:p>
        </w:tc>
        <w:tc>
          <w:tcPr>
            <w:tcW w:type="dxa" w:w="1224"/>
            <w:shd w:val="clear" w:color="auto" w:fill="F6F1E6"/>
          </w:tcPr>
          <w:p>
            <w:pPr>
              <w:spacing w:after="20"/>
              <w:jc w:val="right"/>
            </w:pPr>
            <w:r>
              <w:rPr>
                <w:b/>
                <w:color w:val="1C3A36"/>
                <w:sz w:val="18"/>
              </w:rPr>
            </w:r>
          </w:p>
        </w:tc>
      </w:tr>
    </w:tbl>
    <w:p>
      <w:pPr>
        <w:spacing w:after="40"/>
      </w:pPr>
    </w:p>
    <w:p>
      <w:pPr>
        <w:spacing w:after="200" w:before="0"/>
      </w:pPr>
      <w:r>
        <w:rPr>
          <w:b w:val="0"/>
          <w:i/>
          <w:color w:val="6E7B77"/>
          <w:sz w:val="17"/>
        </w:rPr>
        <w:t>Table 5 — segment revenue (AED mn) and FY2025 contribution (revenue less direct costs, the company's own Note 38 measure). *FY2023 is on the pre-2024 segment basis (the wholesale/other boundary moved in the re-segmentation) and is shown for continuity, not comparability; the forecast is built off the consistent FY2024-25 basis. Segment revenue ties exactly to consolidated revenue in every year.</w:t>
      </w:r>
    </w:p>
    <w:p>
      <w:pPr>
        <w:spacing w:after="80" w:before="200"/>
      </w:pPr>
      <w:r>
        <w:rPr>
          <w:b/>
          <w:i w:val="0"/>
          <w:color w:val="1C3A36"/>
          <w:sz w:val="24"/>
        </w:rPr>
        <w:t>How the forecast is driven</w:t>
      </w:r>
    </w:p>
    <w:p>
      <w:pPr>
        <w:spacing w:after="120" w:before="0"/>
      </w:pPr>
      <w:r>
        <w:rPr>
          <w:b w:val="0"/>
          <w:i w:val="0"/>
          <w:color w:val="1C3A36"/>
          <w:sz w:val="21"/>
        </w:rPr>
        <w:t>Mobile and Fixed are built as volume × price — the finest level the company disclosed. Mobile: the quarterly customer base (8,916k at 31-Dec-2024 → 9,704k at 31-Dec-2025 → 9,280k at 30-Jun-2026, after the war quarter) times blended ARPU (AED 63.3/month in FY2025, 63.4 in Q2-2026). The frame reproduces the audited FY2025 mobile segment to within 0.1%: average base 9,310k × AED 63.3 × 12 = AED 7,072mn against a disclosed AED 7,075mn. The forecast path: recovery to 9,450k by end-2026 (the company itself reports gross adds still below pre-war levels), then to 10,450k by end-2030 — growth of roughly a quarter-million customers a year, well below the boom year 2025 added, with ARPU essentially flat (AED 63.4 → 64.2: postpaid mix gains offsetting prepaid dilution, and no price war anywhere in the record).</w:t>
      </w:r>
    </w:p>
    <w:p>
      <w:pPr>
        <w:spacing w:after="120" w:before="0"/>
      </w:pPr>
      <w:r>
        <w:rPr>
          <w:b w:val="0"/>
          <w:i w:val="0"/>
          <w:color w:val="1C3A36"/>
          <w:sz w:val="21"/>
        </w:rPr>
        <w:t>Fixed: subscribers 682k at 31-Dec-2024 → 735k at 31-Dec-2025 → 744k at 30-Jun-2026, forecast to 858k on continued fibre and fixed-wireless share gain, times an implied revenue per subscription (a consumer-plus-enterprise blend, so a revenue-intensity metric rather than a tariff) rising gently with the enterprise mix. Wholesale and ICT disclose no unit measures anywhere in the filings — that gap is flagged, and both are grown at segment level: wholesale on a war-recovery path (roaming and transit were hit; -0.8% in 2026 then ~+2%), ICT on the data-centre ramp (+11.0% at peak), which is anchored on the company's own disclosed programme: five data centres, a hyperscale campus with Microsoft as anchor tenant, and capital commitments UP a quarter-billion dirhams in six months.</w:t>
      </w:r>
    </w:p>
    <w:p>
      <w:pPr>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037"/>
        <w:gridCol w:w="1037"/>
        <w:gridCol w:w="1037"/>
        <w:gridCol w:w="1037"/>
        <w:gridCol w:w="1037"/>
        <w:gridCol w:w="1037"/>
      </w:tblGrid>
      <w:tr>
        <w:tc>
          <w:tcPr>
            <w:tcW w:type="dxa" w:w="2808"/>
            <w:shd w:val="clear" w:color="auto" w:fill="EAF0EE"/>
          </w:tcPr>
          <w:p>
            <w:pPr>
              <w:spacing w:after="20"/>
            </w:pPr>
            <w:r>
              <w:rPr>
                <w:b/>
                <w:color w:val="1C3A36"/>
                <w:sz w:val="16"/>
              </w:rPr>
            </w:r>
          </w:p>
        </w:tc>
        <w:tc>
          <w:tcPr>
            <w:tcW w:type="dxa" w:w="1037"/>
            <w:shd w:val="clear" w:color="auto" w:fill="EAF0EE"/>
          </w:tcPr>
          <w:p>
            <w:pPr>
              <w:spacing w:after="20"/>
            </w:pPr>
            <w:r>
              <w:rPr>
                <w:b/>
                <w:color w:val="1C3A36"/>
                <w:sz w:val="16"/>
              </w:rPr>
              <w:t>FY2025A</w:t>
            </w:r>
          </w:p>
        </w:tc>
        <w:tc>
          <w:tcPr>
            <w:tcW w:type="dxa" w:w="1037"/>
            <w:shd w:val="clear" w:color="auto" w:fill="EAF0EE"/>
          </w:tcPr>
          <w:p>
            <w:pPr>
              <w:spacing w:after="20"/>
            </w:pPr>
            <w:r>
              <w:rPr>
                <w:b/>
                <w:color w:val="1C3A36"/>
                <w:sz w:val="16"/>
              </w:rPr>
              <w:t>FY26E</w:t>
            </w:r>
          </w:p>
        </w:tc>
        <w:tc>
          <w:tcPr>
            <w:tcW w:type="dxa" w:w="1037"/>
            <w:shd w:val="clear" w:color="auto" w:fill="EAF0EE"/>
          </w:tcPr>
          <w:p>
            <w:pPr>
              <w:spacing w:after="20"/>
            </w:pPr>
            <w:r>
              <w:rPr>
                <w:b/>
                <w:color w:val="1C3A36"/>
                <w:sz w:val="16"/>
              </w:rPr>
              <w:t>FY27E</w:t>
            </w:r>
          </w:p>
        </w:tc>
        <w:tc>
          <w:tcPr>
            <w:tcW w:type="dxa" w:w="1037"/>
            <w:shd w:val="clear" w:color="auto" w:fill="EAF0EE"/>
          </w:tcPr>
          <w:p>
            <w:pPr>
              <w:spacing w:after="20"/>
            </w:pPr>
            <w:r>
              <w:rPr>
                <w:b/>
                <w:color w:val="1C3A36"/>
                <w:sz w:val="16"/>
              </w:rPr>
              <w:t>FY28E</w:t>
            </w:r>
          </w:p>
        </w:tc>
        <w:tc>
          <w:tcPr>
            <w:tcW w:type="dxa" w:w="1037"/>
            <w:shd w:val="clear" w:color="auto" w:fill="EAF0EE"/>
          </w:tcPr>
          <w:p>
            <w:pPr>
              <w:spacing w:after="20"/>
            </w:pPr>
            <w:r>
              <w:rPr>
                <w:b/>
                <w:color w:val="1C3A36"/>
                <w:sz w:val="16"/>
              </w:rPr>
              <w:t>FY29E</w:t>
            </w:r>
          </w:p>
        </w:tc>
        <w:tc>
          <w:tcPr>
            <w:tcW w:type="dxa" w:w="1037"/>
            <w:shd w:val="clear" w:color="auto" w:fill="EAF0EE"/>
          </w:tcPr>
          <w:p>
            <w:pPr>
              <w:spacing w:after="20"/>
            </w:pPr>
            <w:r>
              <w:rPr>
                <w:b/>
                <w:color w:val="1C3A36"/>
                <w:sz w:val="16"/>
              </w:rPr>
              <w:t>FY30E</w:t>
            </w:r>
          </w:p>
        </w:tc>
      </w:tr>
      <w:tr>
        <w:tc>
          <w:tcPr>
            <w:tcW w:type="dxa" w:w="2808"/>
          </w:tcPr>
          <w:p>
            <w:pPr>
              <w:spacing w:after="20"/>
            </w:pPr>
            <w:r>
              <w:rPr>
                <w:color w:val="1C3A36"/>
                <w:sz w:val="16"/>
              </w:rPr>
              <w:t>Revenue (AED mn)</w:t>
            </w:r>
          </w:p>
        </w:tc>
        <w:tc>
          <w:tcPr>
            <w:tcW w:type="dxa" w:w="1037"/>
          </w:tcPr>
          <w:p>
            <w:pPr>
              <w:spacing w:after="20"/>
              <w:jc w:val="right"/>
            </w:pPr>
            <w:r>
              <w:rPr>
                <w:color w:val="1C3A36"/>
                <w:sz w:val="16"/>
              </w:rPr>
              <w:t>15,905</w:t>
            </w:r>
          </w:p>
        </w:tc>
        <w:tc>
          <w:tcPr>
            <w:tcW w:type="dxa" w:w="1037"/>
          </w:tcPr>
          <w:p>
            <w:pPr>
              <w:spacing w:after="20"/>
              <w:jc w:val="right"/>
            </w:pPr>
            <w:r>
              <w:rPr>
                <w:color w:val="1C3A36"/>
                <w:sz w:val="16"/>
              </w:rPr>
              <w:t>16,593</w:t>
            </w:r>
          </w:p>
        </w:tc>
        <w:tc>
          <w:tcPr>
            <w:tcW w:type="dxa" w:w="1037"/>
          </w:tcPr>
          <w:p>
            <w:pPr>
              <w:spacing w:after="20"/>
              <w:jc w:val="right"/>
            </w:pPr>
            <w:r>
              <w:rPr>
                <w:color w:val="1C3A36"/>
                <w:sz w:val="16"/>
              </w:rPr>
              <w:t>17,240</w:t>
            </w:r>
          </w:p>
        </w:tc>
        <w:tc>
          <w:tcPr>
            <w:tcW w:type="dxa" w:w="1037"/>
          </w:tcPr>
          <w:p>
            <w:pPr>
              <w:spacing w:after="20"/>
              <w:jc w:val="right"/>
            </w:pPr>
            <w:r>
              <w:rPr>
                <w:color w:val="1C3A36"/>
                <w:sz w:val="16"/>
              </w:rPr>
              <w:t>18,011</w:t>
            </w:r>
          </w:p>
        </w:tc>
        <w:tc>
          <w:tcPr>
            <w:tcW w:type="dxa" w:w="1037"/>
          </w:tcPr>
          <w:p>
            <w:pPr>
              <w:spacing w:after="20"/>
              <w:jc w:val="right"/>
            </w:pPr>
            <w:r>
              <w:rPr>
                <w:color w:val="1C3A36"/>
                <w:sz w:val="16"/>
              </w:rPr>
              <w:t>18,734</w:t>
            </w:r>
          </w:p>
        </w:tc>
        <w:tc>
          <w:tcPr>
            <w:tcW w:type="dxa" w:w="1037"/>
          </w:tcPr>
          <w:p>
            <w:pPr>
              <w:spacing w:after="20"/>
              <w:jc w:val="right"/>
            </w:pPr>
            <w:r>
              <w:rPr>
                <w:color w:val="1C3A36"/>
                <w:sz w:val="16"/>
              </w:rPr>
              <w:t>19,424</w:t>
            </w:r>
          </w:p>
        </w:tc>
      </w:tr>
      <w:tr>
        <w:tc>
          <w:tcPr>
            <w:tcW w:type="dxa" w:w="2808"/>
          </w:tcPr>
          <w:p>
            <w:pPr>
              <w:spacing w:after="20"/>
            </w:pPr>
            <w:r>
              <w:rPr>
                <w:color w:val="1C3A36"/>
                <w:sz w:val="16"/>
              </w:rPr>
              <w:t>growth</w:t>
            </w:r>
          </w:p>
        </w:tc>
        <w:tc>
          <w:tcPr>
            <w:tcW w:type="dxa" w:w="1037"/>
          </w:tcPr>
          <w:p>
            <w:pPr>
              <w:spacing w:after="20"/>
              <w:jc w:val="right"/>
            </w:pPr>
            <w:r>
              <w:rPr>
                <w:color w:val="1C3A36"/>
                <w:sz w:val="16"/>
              </w:rPr>
            </w:r>
          </w:p>
        </w:tc>
        <w:tc>
          <w:tcPr>
            <w:tcW w:type="dxa" w:w="1037"/>
          </w:tcPr>
          <w:p>
            <w:pPr>
              <w:spacing w:after="20"/>
              <w:jc w:val="right"/>
            </w:pPr>
            <w:r>
              <w:rPr>
                <w:color w:val="1C3A36"/>
                <w:sz w:val="16"/>
              </w:rPr>
              <w:t>+4.3%</w:t>
            </w:r>
          </w:p>
        </w:tc>
        <w:tc>
          <w:tcPr>
            <w:tcW w:type="dxa" w:w="1037"/>
          </w:tcPr>
          <w:p>
            <w:pPr>
              <w:spacing w:after="20"/>
              <w:jc w:val="right"/>
            </w:pPr>
            <w:r>
              <w:rPr>
                <w:color w:val="1C3A36"/>
                <w:sz w:val="16"/>
              </w:rPr>
              <w:t>+3.9%</w:t>
            </w:r>
          </w:p>
        </w:tc>
        <w:tc>
          <w:tcPr>
            <w:tcW w:type="dxa" w:w="1037"/>
          </w:tcPr>
          <w:p>
            <w:pPr>
              <w:spacing w:after="20"/>
              <w:jc w:val="right"/>
            </w:pPr>
            <w:r>
              <w:rPr>
                <w:color w:val="1C3A36"/>
                <w:sz w:val="16"/>
              </w:rPr>
              <w:t>+4.5%</w:t>
            </w:r>
          </w:p>
        </w:tc>
        <w:tc>
          <w:tcPr>
            <w:tcW w:type="dxa" w:w="1037"/>
          </w:tcPr>
          <w:p>
            <w:pPr>
              <w:spacing w:after="20"/>
              <w:jc w:val="right"/>
            </w:pPr>
            <w:r>
              <w:rPr>
                <w:color w:val="1C3A36"/>
                <w:sz w:val="16"/>
              </w:rPr>
              <w:t>+4.0%</w:t>
            </w:r>
          </w:p>
        </w:tc>
        <w:tc>
          <w:tcPr>
            <w:tcW w:type="dxa" w:w="1037"/>
          </w:tcPr>
          <w:p>
            <w:pPr>
              <w:spacing w:after="20"/>
              <w:jc w:val="right"/>
            </w:pPr>
            <w:r>
              <w:rPr>
                <w:color w:val="1C3A36"/>
                <w:sz w:val="16"/>
              </w:rPr>
              <w:t>+3.7%</w:t>
            </w:r>
          </w:p>
        </w:tc>
      </w:tr>
      <w:tr>
        <w:tc>
          <w:tcPr>
            <w:tcW w:type="dxa" w:w="2808"/>
          </w:tcPr>
          <w:p>
            <w:pPr>
              <w:spacing w:after="20"/>
            </w:pPr>
            <w:r>
              <w:rPr>
                <w:color w:val="1C3A36"/>
                <w:sz w:val="16"/>
              </w:rPr>
              <w:t>EBITDA (AED mn)</w:t>
            </w:r>
          </w:p>
        </w:tc>
        <w:tc>
          <w:tcPr>
            <w:tcW w:type="dxa" w:w="1037"/>
          </w:tcPr>
          <w:p>
            <w:pPr>
              <w:spacing w:after="20"/>
              <w:jc w:val="right"/>
            </w:pPr>
            <w:r>
              <w:rPr>
                <w:color w:val="1C3A36"/>
                <w:sz w:val="16"/>
              </w:rPr>
              <w:t>7,338</w:t>
            </w:r>
          </w:p>
        </w:tc>
        <w:tc>
          <w:tcPr>
            <w:tcW w:type="dxa" w:w="1037"/>
          </w:tcPr>
          <w:p>
            <w:pPr>
              <w:spacing w:after="20"/>
              <w:jc w:val="right"/>
            </w:pPr>
            <w:r>
              <w:rPr>
                <w:color w:val="1C3A36"/>
                <w:sz w:val="16"/>
              </w:rPr>
              <w:t>7,772</w:t>
            </w:r>
          </w:p>
        </w:tc>
        <w:tc>
          <w:tcPr>
            <w:tcW w:type="dxa" w:w="1037"/>
          </w:tcPr>
          <w:p>
            <w:pPr>
              <w:spacing w:after="20"/>
              <w:jc w:val="right"/>
            </w:pPr>
            <w:r>
              <w:rPr>
                <w:color w:val="1C3A36"/>
                <w:sz w:val="16"/>
              </w:rPr>
              <w:t>8,066</w:t>
            </w:r>
          </w:p>
        </w:tc>
        <w:tc>
          <w:tcPr>
            <w:tcW w:type="dxa" w:w="1037"/>
          </w:tcPr>
          <w:p>
            <w:pPr>
              <w:spacing w:after="20"/>
              <w:jc w:val="right"/>
            </w:pPr>
            <w:r>
              <w:rPr>
                <w:color w:val="1C3A36"/>
                <w:sz w:val="16"/>
              </w:rPr>
              <w:t>8,428</w:t>
            </w:r>
          </w:p>
        </w:tc>
        <w:tc>
          <w:tcPr>
            <w:tcW w:type="dxa" w:w="1037"/>
          </w:tcPr>
          <w:p>
            <w:pPr>
              <w:spacing w:after="20"/>
              <w:jc w:val="right"/>
            </w:pPr>
            <w:r>
              <w:rPr>
                <w:color w:val="1C3A36"/>
                <w:sz w:val="16"/>
              </w:rPr>
              <w:t>8,761</w:t>
            </w:r>
          </w:p>
        </w:tc>
        <w:tc>
          <w:tcPr>
            <w:tcW w:type="dxa" w:w="1037"/>
          </w:tcPr>
          <w:p>
            <w:pPr>
              <w:spacing w:after="20"/>
              <w:jc w:val="right"/>
            </w:pPr>
            <w:r>
              <w:rPr>
                <w:color w:val="1C3A36"/>
                <w:sz w:val="16"/>
              </w:rPr>
              <w:t>9,077</w:t>
            </w:r>
          </w:p>
        </w:tc>
      </w:tr>
      <w:tr>
        <w:tc>
          <w:tcPr>
            <w:tcW w:type="dxa" w:w="2808"/>
            <w:shd w:val="clear" w:color="auto" w:fill="F6F1E6"/>
          </w:tcPr>
          <w:p>
            <w:pPr>
              <w:spacing w:after="20"/>
            </w:pPr>
            <w:r>
              <w:rPr>
                <w:b/>
                <w:color w:val="1C3A36"/>
                <w:sz w:val="16"/>
              </w:rPr>
              <w:t>EBITDA margin — an OUTPUT</w:t>
            </w:r>
          </w:p>
        </w:tc>
        <w:tc>
          <w:tcPr>
            <w:tcW w:type="dxa" w:w="1037"/>
            <w:shd w:val="clear" w:color="auto" w:fill="F6F1E6"/>
          </w:tcPr>
          <w:p>
            <w:pPr>
              <w:spacing w:after="20"/>
              <w:jc w:val="right"/>
            </w:pPr>
            <w:r>
              <w:rPr>
                <w:b/>
                <w:color w:val="1C3A36"/>
                <w:sz w:val="16"/>
              </w:rPr>
              <w:t>46.1%</w:t>
            </w:r>
          </w:p>
        </w:tc>
        <w:tc>
          <w:tcPr>
            <w:tcW w:type="dxa" w:w="1037"/>
            <w:shd w:val="clear" w:color="auto" w:fill="F6F1E6"/>
          </w:tcPr>
          <w:p>
            <w:pPr>
              <w:spacing w:after="20"/>
              <w:jc w:val="right"/>
            </w:pPr>
            <w:r>
              <w:rPr>
                <w:b/>
                <w:color w:val="1C3A36"/>
                <w:sz w:val="16"/>
              </w:rPr>
              <w:t>46.8%</w:t>
            </w:r>
          </w:p>
        </w:tc>
        <w:tc>
          <w:tcPr>
            <w:tcW w:type="dxa" w:w="1037"/>
            <w:shd w:val="clear" w:color="auto" w:fill="F6F1E6"/>
          </w:tcPr>
          <w:p>
            <w:pPr>
              <w:spacing w:after="20"/>
              <w:jc w:val="right"/>
            </w:pPr>
            <w:r>
              <w:rPr>
                <w:b/>
                <w:color w:val="1C3A36"/>
                <w:sz w:val="16"/>
              </w:rPr>
              <w:t>46.8%</w:t>
            </w:r>
          </w:p>
        </w:tc>
        <w:tc>
          <w:tcPr>
            <w:tcW w:type="dxa" w:w="1037"/>
            <w:shd w:val="clear" w:color="auto" w:fill="F6F1E6"/>
          </w:tcPr>
          <w:p>
            <w:pPr>
              <w:spacing w:after="20"/>
              <w:jc w:val="right"/>
            </w:pPr>
            <w:r>
              <w:rPr>
                <w:b/>
                <w:color w:val="1C3A36"/>
                <w:sz w:val="16"/>
              </w:rPr>
              <w:t>46.8%</w:t>
            </w:r>
          </w:p>
        </w:tc>
        <w:tc>
          <w:tcPr>
            <w:tcW w:type="dxa" w:w="1037"/>
            <w:shd w:val="clear" w:color="auto" w:fill="F6F1E6"/>
          </w:tcPr>
          <w:p>
            <w:pPr>
              <w:spacing w:after="20"/>
              <w:jc w:val="right"/>
            </w:pPr>
            <w:r>
              <w:rPr>
                <w:b/>
                <w:color w:val="1C3A36"/>
                <w:sz w:val="16"/>
              </w:rPr>
              <w:t>46.8%</w:t>
            </w:r>
          </w:p>
        </w:tc>
        <w:tc>
          <w:tcPr>
            <w:tcW w:type="dxa" w:w="1037"/>
            <w:shd w:val="clear" w:color="auto" w:fill="F6F1E6"/>
          </w:tcPr>
          <w:p>
            <w:pPr>
              <w:spacing w:after="20"/>
              <w:jc w:val="right"/>
            </w:pPr>
            <w:r>
              <w:rPr>
                <w:b/>
                <w:color w:val="1C3A36"/>
                <w:sz w:val="16"/>
              </w:rPr>
              <w:t>46.7%</w:t>
            </w:r>
          </w:p>
        </w:tc>
      </w:tr>
    </w:tbl>
    <w:p>
      <w:pPr>
        <w:spacing w:after="40"/>
      </w:pPr>
    </w:p>
    <w:p>
      <w:pPr>
        <w:spacing w:after="200" w:before="0"/>
      </w:pPr>
      <w:r>
        <w:rPr>
          <w:b w:val="0"/>
          <w:i/>
          <w:color w:val="6E7B77"/>
          <w:sz w:val="17"/>
        </w:rPr>
        <w:t>Table 6 — the build's output. FY2026E growth of +4.3% lands inside the company's own revised 4-6% guidance; the margin output sits just above the guided 46-47% because the first half already printed 49.2% and the build holds the audited contribution margins rather than forcing the guidance midpoint. The cost stack behind it carries one escalator per cost class: wages on UAE wage inflation, network on network scale, the licence fee and credit losses on revenue, administration on CPI — never one blended index. Two things a reader should be able to see: the ICT contribution margin is LIFTED across the forecast, from the audited 19.4% to 21.5%, on data-centre scale — the other three segments are held at their audited rates; and total operating expenses before depreciation RISE 0.7% in FY2026E against the audited 2025 figure. In the previous edition of this study they fell, because the staff line was built on a mis-stated seasonal ratio — which made the margin expansion an artefact of one input rather than an output of the build. That is corrected here, and the FY2026E margin now lands inside the company's own 46-47% guidance.</w:t>
      </w:r>
    </w:p>
    <w:p>
      <w:pPr>
        <w:spacing w:after="40"/>
        <w:jc w:val="center"/>
      </w:pPr>
      <w:r>
        <w:drawing>
          <wp:inline xmlns:a="http://schemas.openxmlformats.org/drawingml/2006/main" xmlns:pic="http://schemas.openxmlformats.org/drawingml/2006/picture">
            <wp:extent cx="6400800" cy="2639505"/>
            <wp:docPr id="2" name="Picture 2"/>
            <wp:cNvGraphicFramePr>
              <a:graphicFrameLocks noChangeAspect="1"/>
            </wp:cNvGraphicFramePr>
            <a:graphic>
              <a:graphicData uri="http://schemas.openxmlformats.org/drawingml/2006/picture">
                <pic:pic>
                  <pic:nvPicPr>
                    <pic:cNvPr id="0" name="fig7_mix.png"/>
                    <pic:cNvPicPr/>
                  </pic:nvPicPr>
                  <pic:blipFill>
                    <a:blip r:embed="rId10"/>
                    <a:stretch>
                      <a:fillRect/>
                    </a:stretch>
                  </pic:blipFill>
                  <pic:spPr>
                    <a:xfrm>
                      <a:off x="0" y="0"/>
                      <a:ext cx="6400800" cy="2639505"/>
                    </a:xfrm>
                    <a:prstGeom prst="rect"/>
                  </pic:spPr>
                </pic:pic>
              </a:graphicData>
            </a:graphic>
          </wp:inline>
        </w:drawing>
      </w:r>
    </w:p>
    <w:p>
      <w:pPr>
        <w:spacing w:after="200" w:before="0"/>
      </w:pPr>
      <w:r>
        <w:rPr>
          <w:b w:val="0"/>
          <w:i/>
          <w:color w:val="6E7B77"/>
          <w:sz w:val="17"/>
        </w:rPr>
        <w:t>Figure 2 — revenue by segment and the EBITDA margin path. ICT is the growth leg; mobile the recovery story; the margin is flat by construction of the disclosed contribution margins and the escalating cost stack.</w:t>
      </w:r>
    </w:p>
    <w:p>
      <w:pPr>
        <w:spacing w:after="80" w:before="200"/>
      </w:pPr>
      <w:r>
        <w:rPr>
          <w:b/>
          <w:i w:val="0"/>
          <w:color w:val="1C3A36"/>
          <w:sz w:val="24"/>
        </w:rPr>
        <w:t>1.7  The crux — what required return does this business deserve?</w:t>
      </w:r>
    </w:p>
    <w:p>
      <w:pPr>
        <w:spacing w:after="120" w:before="0"/>
      </w:pPr>
      <w:r>
        <w:rPr>
          <w:b w:val="0"/>
          <w:i w:val="0"/>
          <w:color w:val="1C3A36"/>
          <w:sz w:val="21"/>
        </w:rPr>
        <w:t>Every valuation has one judgement that moves it more than all the others. Here it is not an operating driver and it is not the tax regime: it is the price of time. Both readings are computed and published; neither is averaged away.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3672"/>
        <w:gridCol w:w="3600"/>
      </w:tblGrid>
      <w:tr>
        <w:tc>
          <w:tcPr>
            <w:tcW w:type="dxa" w:w="2808"/>
            <w:shd w:val="clear" w:color="auto" w:fill="EAF0EE"/>
          </w:tcPr>
          <w:p>
            <w:pPr>
              <w:spacing w:after="20"/>
            </w:pPr>
            <w:r>
              <w:rPr>
                <w:b/>
                <w:color w:val="1C3A36"/>
                <w:sz w:val="17"/>
              </w:rPr>
            </w:r>
          </w:p>
        </w:tc>
        <w:tc>
          <w:tcPr>
            <w:tcW w:type="dxa" w:w="3672"/>
            <w:shd w:val="clear" w:color="auto" w:fill="EAF0EE"/>
          </w:tcPr>
          <w:p>
            <w:pPr>
              <w:spacing w:after="20"/>
            </w:pPr>
            <w:r>
              <w:rPr>
                <w:b/>
                <w:color w:val="1C3A36"/>
                <w:sz w:val="17"/>
              </w:rPr>
              <w:t>Framing 1 — the measured return</w:t>
            </w:r>
          </w:p>
        </w:tc>
        <w:tc>
          <w:tcPr>
            <w:tcW w:type="dxa" w:w="3600"/>
            <w:shd w:val="clear" w:color="auto" w:fill="EAF0EE"/>
          </w:tcPr>
          <w:p>
            <w:pPr>
              <w:spacing w:after="20"/>
            </w:pPr>
            <w:r>
              <w:rPr>
                <w:b/>
                <w:color w:val="1C3A36"/>
                <w:sz w:val="17"/>
              </w:rPr>
              <w:t>Framing 2 — the market's return</w:t>
            </w:r>
          </w:p>
        </w:tc>
      </w:tr>
      <w:tr>
        <w:tc>
          <w:tcPr>
            <w:tcW w:type="dxa" w:w="2808"/>
          </w:tcPr>
          <w:p>
            <w:pPr>
              <w:spacing w:after="20"/>
            </w:pPr>
            <w:r>
              <w:rPr>
                <w:color w:val="1C3A36"/>
                <w:sz w:val="17"/>
              </w:rPr>
              <w:t>How the terminal is set</w:t>
            </w:r>
          </w:p>
        </w:tc>
        <w:tc>
          <w:tcPr>
            <w:tcW w:type="dxa" w:w="3672"/>
          </w:tcPr>
          <w:p>
            <w:pPr>
              <w:spacing w:after="20"/>
              <w:jc w:val="right"/>
            </w:pPr>
            <w:r>
              <w:rPr>
                <w:color w:val="1C3A36"/>
                <w:sz w:val="17"/>
              </w:rPr>
              <w:t>capitalised at 6.17% with growth of 2.5%</w:t>
            </w:r>
          </w:p>
        </w:tc>
        <w:tc>
          <w:tcPr>
            <w:tcW w:type="dxa" w:w="3600"/>
          </w:tcPr>
          <w:p>
            <w:pPr>
              <w:spacing w:after="20"/>
              <w:jc w:val="right"/>
            </w:pPr>
            <w:r>
              <w:rPr>
                <w:color w:val="1C3A36"/>
                <w:sz w:val="17"/>
              </w:rPr>
              <w:t>du's own current trailing EV/EBITDA held into perpetuity</w:t>
            </w:r>
          </w:p>
        </w:tc>
      </w:tr>
      <w:tr>
        <w:tc>
          <w:tcPr>
            <w:tcW w:type="dxa" w:w="2808"/>
          </w:tcPr>
          <w:p>
            <w:pPr>
              <w:spacing w:after="20"/>
            </w:pPr>
            <w:r>
              <w:rPr>
                <w:color w:val="1C3A36"/>
                <w:sz w:val="17"/>
              </w:rPr>
              <w:t>What that implies for the exit multiple</w:t>
            </w:r>
          </w:p>
        </w:tc>
        <w:tc>
          <w:tcPr>
            <w:tcW w:type="dxa" w:w="3672"/>
          </w:tcPr>
          <w:p>
            <w:pPr>
              <w:spacing w:after="20"/>
              <w:jc w:val="right"/>
            </w:pPr>
            <w:r>
              <w:rPr>
                <w:color w:val="1C3A36"/>
                <w:sz w:val="17"/>
              </w:rPr>
              <w:t>9.95x forward EBITDA</w:t>
            </w:r>
          </w:p>
        </w:tc>
        <w:tc>
          <w:tcPr>
            <w:tcW w:type="dxa" w:w="3600"/>
          </w:tcPr>
          <w:p>
            <w:pPr>
              <w:spacing w:after="20"/>
              <w:jc w:val="right"/>
            </w:pPr>
            <w:r>
              <w:rPr>
                <w:color w:val="1C3A36"/>
                <w:sz w:val="17"/>
              </w:rPr>
              <w:t>7.56x — no re-rating</w:t>
            </w:r>
          </w:p>
        </w:tc>
      </w:tr>
      <w:tr>
        <w:tc>
          <w:tcPr>
            <w:tcW w:type="dxa" w:w="2808"/>
          </w:tcPr>
          <w:p>
            <w:pPr>
              <w:spacing w:after="20"/>
            </w:pPr>
            <w:r>
              <w:rPr>
                <w:color w:val="1C3A36"/>
                <w:sz w:val="17"/>
              </w:rPr>
              <w:t>Cash-flow fair value at the anchor</w:t>
            </w:r>
          </w:p>
        </w:tc>
        <w:tc>
          <w:tcPr>
            <w:tcW w:type="dxa" w:w="3672"/>
          </w:tcPr>
          <w:p>
            <w:pPr>
              <w:spacing w:after="20"/>
              <w:jc w:val="right"/>
            </w:pPr>
            <w:r>
              <w:rPr>
                <w:color w:val="1C3A36"/>
                <w:sz w:val="17"/>
              </w:rPr>
              <w:t>18.17</w:t>
            </w:r>
          </w:p>
        </w:tc>
        <w:tc>
          <w:tcPr>
            <w:tcW w:type="dxa" w:w="3600"/>
          </w:tcPr>
          <w:p>
            <w:pPr>
              <w:spacing w:after="20"/>
              <w:jc w:val="right"/>
            </w:pPr>
            <w:r>
              <w:rPr>
                <w:color w:val="1C3A36"/>
                <w:sz w:val="17"/>
              </w:rPr>
              <w:t>14.40</w:t>
            </w:r>
          </w:p>
        </w:tc>
      </w:tr>
      <w:tr>
        <w:tc>
          <w:tcPr>
            <w:tcW w:type="dxa" w:w="2808"/>
          </w:tcPr>
          <w:p>
            <w:pPr>
              <w:spacing w:after="20"/>
            </w:pPr>
            <w:r>
              <w:rPr>
                <w:color w:val="1C3A36"/>
                <w:sz w:val="17"/>
              </w:rPr>
              <w:t>Weighted central on the same lens set</w:t>
            </w:r>
          </w:p>
        </w:tc>
        <w:tc>
          <w:tcPr>
            <w:tcW w:type="dxa" w:w="3672"/>
          </w:tcPr>
          <w:p>
            <w:pPr>
              <w:spacing w:after="20"/>
              <w:jc w:val="right"/>
            </w:pPr>
            <w:r>
              <w:rPr>
                <w:color w:val="1C3A36"/>
                <w:sz w:val="17"/>
              </w:rPr>
              <w:t>13.45</w:t>
            </w:r>
          </w:p>
        </w:tc>
        <w:tc>
          <w:tcPr>
            <w:tcW w:type="dxa" w:w="3600"/>
          </w:tcPr>
          <w:p>
            <w:pPr>
              <w:spacing w:after="20"/>
              <w:jc w:val="right"/>
            </w:pPr>
            <w:r>
              <w:rPr>
                <w:color w:val="1C3A36"/>
                <w:sz w:val="17"/>
              </w:rPr>
              <w:t>11.75</w:t>
            </w:r>
          </w:p>
        </w:tc>
      </w:tr>
      <w:tr>
        <w:tc>
          <w:tcPr>
            <w:tcW w:type="dxa" w:w="2808"/>
          </w:tcPr>
          <w:p>
            <w:pPr>
              <w:spacing w:after="20"/>
            </w:pPr>
            <w:r>
              <w:rPr>
                <w:color w:val="1C3A36"/>
                <w:sz w:val="17"/>
              </w:rPr>
              <w:t>The judgement is worth</w:t>
            </w:r>
          </w:p>
        </w:tc>
        <w:tc>
          <w:tcPr>
            <w:tcW w:type="dxa" w:w="3672"/>
          </w:tcPr>
          <w:p>
            <w:pPr>
              <w:spacing w:after="20"/>
              <w:jc w:val="right"/>
            </w:pPr>
            <w:r>
              <w:rPr>
                <w:color w:val="1C3A36"/>
                <w:sz w:val="17"/>
              </w:rPr>
              <w:t>AED 3.76 per share on the cash-flow lens</w:t>
            </w:r>
          </w:p>
        </w:tc>
        <w:tc>
          <w:tcPr>
            <w:tcW w:type="dxa" w:w="3600"/>
          </w:tcPr>
          <w:p>
            <w:pPr>
              <w:spacing w:after="20"/>
              <w:jc w:val="right"/>
            </w:pPr>
            <w:r>
              <w:rPr>
                <w:color w:val="1C3A36"/>
                <w:sz w:val="17"/>
              </w:rPr>
            </w:r>
          </w:p>
        </w:tc>
      </w:tr>
    </w:tbl>
    <w:p>
      <w:pPr>
        <w:spacing w:after="40"/>
      </w:pPr>
    </w:p>
    <w:p>
      <w:pPr>
        <w:spacing w:after="200" w:before="0"/>
      </w:pPr>
      <w:r>
        <w:rPr>
          <w:b w:val="0"/>
          <w:i/>
          <w:color w:val="6E7B77"/>
          <w:sz w:val="17"/>
        </w:rPr>
        <w:t>Table 7 — the study's central judgement, both ways. The cash-flow lens rests on du's own measured beta of 0.488, which prices its equity at 6.53%. That is internally consistent — but the terminal it produces values du at 9.95 times forward EBITDA forever, against the 7.56 times the market pays today: a 32% re-rating embedded in a figure presented as intrinsic value. Framing 2 simply declines to assume it. This is the honest form of the observation that 83% of enterprise value sits beyond year five.</w:t>
      </w:r>
    </w:p>
    <w:p>
      <w:pPr>
        <w:spacing w:after="120" w:before="0"/>
      </w:pPr>
      <w:r>
        <w:rPr>
          <w:b w:val="0"/>
          <w:i w:val="0"/>
          <w:color w:val="1C3A36"/>
          <w:sz w:val="21"/>
        </w:rPr>
        <w:t>In real observable units, the two legs of the judgement price out like this. On the return leg: every 0.10 on beta is worth roughly AED 1.54 per share, so the regression's own 90% interval (0.35 to 0.62) spans AED 15.78 to 21.55, and a sector-average 0.80 gives AED 13.36. On the terminal leg: each turn of the exit multiple is worth about AED 1.57 per share. A reader who believes the market is simply wrong about du should take Framing 1; a reader who thinks a licensed single-market operator does not re-rate by a third should take Framing 2; the study refuses to choose for them.</w:t>
      </w:r>
    </w:p>
    <w:p>
      <w:pPr>
        <w:spacing w:after="80" w:before="200"/>
      </w:pPr>
      <w:r>
        <w:rPr>
          <w:b/>
          <w:i w:val="0"/>
          <w:color w:val="1C3A36"/>
          <w:sz w:val="24"/>
        </w:rPr>
        <w:t>The two judgements that are NOT the crux, and why</w:t>
      </w:r>
    </w:p>
    <w:p>
      <w:pPr>
        <w:spacing w:after="120" w:before="0"/>
      </w:pPr>
      <w:r>
        <w:rPr>
          <w:b w:val="0"/>
          <w:i w:val="0"/>
          <w:color w:val="1C3A36"/>
          <w:sz w:val="21"/>
        </w:rPr>
        <w:t>The fiscal regime was the previous edition of this study's central judgement. It is not one any more, and the correction is worth stating plainly: du published its own disclosure of the royalty extension on 24 July 2026 — "Extension of Federal Royalty Scheme for the Period 2027-2029" — carrying the same 38% royalty and 9% corporate tax and expressly retaining the AED 1.8 billion combined annual floor. The prior edition recorded, wrongly, that only the other operator had disclosed it. A reversion to the pre-2024 construction after 2029 remains a real tail and is priced: AED 15.22 per share, against AED 18.17 on the current regime. It is a tail, not a coin-flip.</w:t>
      </w:r>
    </w:p>
    <w:p>
      <w:pPr>
        <w:spacing w:after="120" w:before="0"/>
      </w:pPr>
      <w:r>
        <w:rPr>
          <w:b w:val="0"/>
          <w:i w:val="0"/>
          <w:color w:val="1C3A36"/>
          <w:sz w:val="21"/>
        </w:rPr>
        <w:t>The licence is the second. The regulator extended du's operating licence only to 8 August 2026 — one day after this study's anchor — and has since renewed it for twenty years from 9 August 2026. The renewal announcement sets out obligations (resilience, route diversity, quality of service, national roaming) but publishes NO fee or revenue-share terms. This study therefore holds the licence fee at its historical 2.7% of revenue and flags that as an assumption, not a confirmed fact: each additional percentage point of revenue taken in licence fees costs about AED 0.61 per share.</w:t>
      </w:r>
    </w:p>
    <w:p>
      <w:pPr>
        <w:spacing w:after="80" w:before="200"/>
      </w:pPr>
      <w:r>
        <w:rPr>
          <w:b/>
          <w:i w:val="0"/>
          <w:color w:val="1C3A36"/>
          <w:sz w:val="24"/>
        </w:rPr>
        <w:t>1.8  Macro and country — rates, the peg, and the sourced cost of capital</w:t>
      </w:r>
    </w:p>
    <w:p>
      <w:pPr>
        <w:spacing w:after="120" w:before="0"/>
      </w:pPr>
      <w:r>
        <w:rPr>
          <w:b w:val="0"/>
          <w:i w:val="0"/>
          <w:color w:val="1C3A36"/>
          <w:sz w:val="21"/>
        </w:rPr>
        <w:t>The dirham is hard-pegged to the dollar, so the UAE imports US monetary policy: the central bank's base rate tracks the Fed, and at the sweep date the market was pricing possible HIKES rather than the cuts of six months earlier. The UAE sovereign is rated Aa2, and its dirham curve prices a few basis points ABOVE the US Treasury curve at matched tenors — the July-2026 auction release puts the January-2031 dirham bond at 4 basis points over comparable Treasuries. (The previous edition of this study said "through", which was backwards, and netted a ratings-table spread ten times the market's. Both are corrected below.) Growth is strong (around 5% real in 2025) even as the regional war cut the wider region's 2026 outlook; inflation is around 2%.</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1584"/>
        <w:gridCol w:w="3240"/>
      </w:tblGrid>
      <w:tr>
        <w:tc>
          <w:tcPr>
            <w:tcW w:type="dxa" w:w="4752"/>
            <w:shd w:val="clear" w:color="auto" w:fill="EAF0EE"/>
          </w:tcPr>
          <w:p>
            <w:pPr>
              <w:spacing w:after="20"/>
            </w:pPr>
            <w:r>
              <w:rPr>
                <w:b/>
                <w:color w:val="1C3A36"/>
                <w:sz w:val="17"/>
              </w:rPr>
              <w:t>Component</w:t>
            </w:r>
          </w:p>
        </w:tc>
        <w:tc>
          <w:tcPr>
            <w:tcW w:type="dxa" w:w="1584"/>
            <w:shd w:val="clear" w:color="auto" w:fill="EAF0EE"/>
          </w:tcPr>
          <w:p>
            <w:pPr>
              <w:spacing w:after="20"/>
            </w:pPr>
            <w:r>
              <w:rPr>
                <w:b/>
                <w:color w:val="1C3A36"/>
                <w:sz w:val="17"/>
              </w:rPr>
              <w:t>Value</w:t>
            </w:r>
          </w:p>
        </w:tc>
        <w:tc>
          <w:tcPr>
            <w:tcW w:type="dxa" w:w="3240"/>
            <w:shd w:val="clear" w:color="auto" w:fill="EAF0EE"/>
          </w:tcPr>
          <w:p>
            <w:pPr>
              <w:spacing w:after="20"/>
            </w:pPr>
            <w:r>
              <w:rPr>
                <w:b/>
                <w:color w:val="1C3A36"/>
                <w:sz w:val="17"/>
              </w:rPr>
              <w:t>Source basis</w:t>
            </w:r>
          </w:p>
        </w:tc>
      </w:tr>
      <w:tr>
        <w:tc>
          <w:tcPr>
            <w:tcW w:type="dxa" w:w="4752"/>
          </w:tcPr>
          <w:p>
            <w:pPr>
              <w:spacing w:after="20"/>
            </w:pPr>
            <w:r>
              <w:rPr>
                <w:color w:val="1C3A36"/>
                <w:sz w:val="17"/>
              </w:rPr>
              <w:t>Risk-free rate (Jan-2031 AED T-bond, the longest liquid AED tenor)</w:t>
            </w:r>
          </w:p>
        </w:tc>
        <w:tc>
          <w:tcPr>
            <w:tcW w:type="dxa" w:w="1584"/>
          </w:tcPr>
          <w:p>
            <w:pPr>
              <w:spacing w:after="20"/>
              <w:jc w:val="right"/>
            </w:pPr>
            <w:r>
              <w:rPr>
                <w:color w:val="1C3A36"/>
                <w:sz w:val="17"/>
              </w:rPr>
              <w:t>4.48%</w:t>
            </w:r>
          </w:p>
        </w:tc>
        <w:tc>
          <w:tcPr>
            <w:tcW w:type="dxa" w:w="3240"/>
          </w:tcPr>
          <w:p>
            <w:pPr>
              <w:spacing w:after="20"/>
              <w:jc w:val="right"/>
            </w:pPr>
            <w:r>
              <w:rPr>
                <w:color w:val="1C3A36"/>
                <w:sz w:val="17"/>
              </w:rPr>
              <w:t>UAE MoF/WAM auction release, 30-Jul-2026</w:t>
            </w:r>
          </w:p>
        </w:tc>
      </w:tr>
      <w:tr>
        <w:tc>
          <w:tcPr>
            <w:tcW w:type="dxa" w:w="4752"/>
          </w:tcPr>
          <w:p>
            <w:pPr>
              <w:spacing w:after="20"/>
            </w:pPr>
            <w:r>
              <w:rPr>
                <w:color w:val="1C3A36"/>
                <w:sz w:val="17"/>
              </w:rPr>
              <w:t>less UAE sovereign default spread — MARKET-observed on this very bond</w:t>
            </w:r>
          </w:p>
        </w:tc>
        <w:tc>
          <w:tcPr>
            <w:tcW w:type="dxa" w:w="1584"/>
          </w:tcPr>
          <w:p>
            <w:pPr>
              <w:spacing w:after="20"/>
              <w:jc w:val="right"/>
            </w:pPr>
            <w:r>
              <w:rPr>
                <w:color w:val="1C3A36"/>
                <w:sz w:val="17"/>
              </w:rPr>
              <w:t>0.04%</w:t>
            </w:r>
          </w:p>
        </w:tc>
        <w:tc>
          <w:tcPr>
            <w:tcW w:type="dxa" w:w="3240"/>
          </w:tcPr>
          <w:p>
            <w:pPr>
              <w:spacing w:after="20"/>
              <w:jc w:val="right"/>
            </w:pPr>
            <w:r>
              <w:rPr>
                <w:color w:val="1C3A36"/>
                <w:sz w:val="17"/>
              </w:rPr>
              <w:t>UAE MoF/WAM auction release: +4bp over UST</w:t>
            </w:r>
          </w:p>
        </w:tc>
      </w:tr>
      <w:tr>
        <w:tc>
          <w:tcPr>
            <w:tcW w:type="dxa" w:w="4752"/>
          </w:tcPr>
          <w:p>
            <w:pPr>
              <w:spacing w:after="20"/>
            </w:pPr>
            <w:r>
              <w:rPr>
                <w:color w:val="1C3A36"/>
                <w:sz w:val="17"/>
              </w:rPr>
              <w:t>Risk-free net of the sovereign spread</w:t>
            </w:r>
          </w:p>
        </w:tc>
        <w:tc>
          <w:tcPr>
            <w:tcW w:type="dxa" w:w="1584"/>
          </w:tcPr>
          <w:p>
            <w:pPr>
              <w:spacing w:after="20"/>
              <w:jc w:val="right"/>
            </w:pPr>
            <w:r>
              <w:rPr>
                <w:color w:val="1C3A36"/>
                <w:sz w:val="17"/>
              </w:rPr>
              <w:t>4.44%</w:t>
            </w:r>
          </w:p>
        </w:tc>
        <w:tc>
          <w:tcPr>
            <w:tcW w:type="dxa" w:w="3240"/>
          </w:tcPr>
          <w:p>
            <w:pPr>
              <w:spacing w:after="20"/>
              <w:jc w:val="right"/>
            </w:pPr>
            <w:r>
              <w:rPr>
                <w:color w:val="1C3A36"/>
                <w:sz w:val="17"/>
              </w:rPr>
              <w:t>country risk enters ONCE, via the premium; and this clears the 4.32% matched-tenor Treasury floor</w:t>
            </w:r>
          </w:p>
        </w:tc>
      </w:tr>
      <w:tr>
        <w:tc>
          <w:tcPr>
            <w:tcW w:type="dxa" w:w="4752"/>
          </w:tcPr>
          <w:p>
            <w:pPr>
              <w:spacing w:after="20"/>
            </w:pPr>
            <w:r>
              <w:rPr>
                <w:color w:val="1C3A36"/>
                <w:sz w:val="17"/>
              </w:rPr>
              <w:t>Beta — DU weekly vs the FTSE ADX General Index, 5 years</w:t>
            </w:r>
          </w:p>
        </w:tc>
        <w:tc>
          <w:tcPr>
            <w:tcW w:type="dxa" w:w="1584"/>
          </w:tcPr>
          <w:p>
            <w:pPr>
              <w:spacing w:after="20"/>
              <w:jc w:val="right"/>
            </w:pPr>
            <w:r>
              <w:rPr>
                <w:color w:val="1C3A36"/>
                <w:sz w:val="17"/>
              </w:rPr>
              <w:t>0.488</w:t>
            </w:r>
          </w:p>
        </w:tc>
        <w:tc>
          <w:tcPr>
            <w:tcW w:type="dxa" w:w="3240"/>
          </w:tcPr>
          <w:p>
            <w:pPr>
              <w:spacing w:after="20"/>
              <w:jc w:val="right"/>
            </w:pPr>
            <w:r>
              <w:rPr>
                <w:color w:val="1C3A36"/>
                <w:sz w:val="17"/>
              </w:rPr>
              <w:t>own regression; details below</w:t>
            </w:r>
          </w:p>
        </w:tc>
      </w:tr>
      <w:tr>
        <w:tc>
          <w:tcPr>
            <w:tcW w:type="dxa" w:w="4752"/>
          </w:tcPr>
          <w:p>
            <w:pPr>
              <w:spacing w:after="20"/>
            </w:pPr>
            <w:r>
              <w:rPr>
                <w:color w:val="1C3A36"/>
                <w:sz w:val="17"/>
              </w:rPr>
              <w:t>Equity risk premium (UAE total, same market basis)</w:t>
            </w:r>
          </w:p>
        </w:tc>
        <w:tc>
          <w:tcPr>
            <w:tcW w:type="dxa" w:w="1584"/>
          </w:tcPr>
          <w:p>
            <w:pPr>
              <w:spacing w:after="20"/>
              <w:jc w:val="right"/>
            </w:pPr>
            <w:r>
              <w:rPr>
                <w:color w:val="1C3A36"/>
                <w:sz w:val="17"/>
              </w:rPr>
              <w:t>4.29%</w:t>
            </w:r>
          </w:p>
        </w:tc>
        <w:tc>
          <w:tcPr>
            <w:tcW w:type="dxa" w:w="3240"/>
          </w:tcPr>
          <w:p>
            <w:pPr>
              <w:spacing w:after="20"/>
              <w:jc w:val="right"/>
            </w:pPr>
            <w:r>
              <w:rPr>
                <w:color w:val="1C3A36"/>
                <w:sz w:val="17"/>
              </w:rPr>
              <w:t>Damodaran mature 4.23% + a 6bp country premium scaled off the same 4bp</w:t>
            </w:r>
          </w:p>
        </w:tc>
      </w:tr>
      <w:tr>
        <w:tc>
          <w:tcPr>
            <w:tcW w:type="dxa" w:w="4752"/>
            <w:shd w:val="clear" w:color="auto" w:fill="F6F1E6"/>
          </w:tcPr>
          <w:p>
            <w:pPr>
              <w:spacing w:after="20"/>
            </w:pPr>
            <w:r>
              <w:rPr>
                <w:b/>
                <w:color w:val="1C3A36"/>
                <w:sz w:val="17"/>
              </w:rPr>
              <w:t>Cost of equity</w:t>
            </w:r>
          </w:p>
        </w:tc>
        <w:tc>
          <w:tcPr>
            <w:tcW w:type="dxa" w:w="1584"/>
            <w:shd w:val="clear" w:color="auto" w:fill="F6F1E6"/>
          </w:tcPr>
          <w:p>
            <w:pPr>
              <w:spacing w:after="20"/>
              <w:jc w:val="right"/>
            </w:pPr>
            <w:r>
              <w:rPr>
                <w:b/>
                <w:color w:val="1C3A36"/>
                <w:sz w:val="17"/>
              </w:rPr>
              <w:t>6.53%</w:t>
            </w:r>
          </w:p>
        </w:tc>
        <w:tc>
          <w:tcPr>
            <w:tcW w:type="dxa" w:w="3240"/>
            <w:shd w:val="clear" w:color="auto" w:fill="F6F1E6"/>
          </w:tcPr>
          <w:p>
            <w:pPr>
              <w:spacing w:after="20"/>
              <w:jc w:val="right"/>
            </w:pPr>
            <w:r>
              <w:rPr>
                <w:b/>
                <w:color w:val="1C3A36"/>
                <w:sz w:val="17"/>
              </w:rPr>
              <w:t>build, not assumption</w:t>
            </w:r>
          </w:p>
        </w:tc>
      </w:tr>
      <w:tr>
        <w:tc>
          <w:tcPr>
            <w:tcW w:type="dxa" w:w="4752"/>
          </w:tcPr>
          <w:p>
            <w:pPr>
              <w:spacing w:after="20"/>
            </w:pPr>
            <w:r>
              <w:rPr>
                <w:color w:val="1C3A36"/>
                <w:sz w:val="17"/>
              </w:rPr>
              <w:t>Marginal cost of debt (AED sovereign + GCC telecom spread)</w:t>
            </w:r>
          </w:p>
        </w:tc>
        <w:tc>
          <w:tcPr>
            <w:tcW w:type="dxa" w:w="1584"/>
          </w:tcPr>
          <w:p>
            <w:pPr>
              <w:spacing w:after="20"/>
              <w:jc w:val="right"/>
            </w:pPr>
            <w:r>
              <w:rPr>
                <w:color w:val="1C3A36"/>
                <w:sz w:val="17"/>
              </w:rPr>
              <w:t>5.10%</w:t>
            </w:r>
          </w:p>
        </w:tc>
        <w:tc>
          <w:tcPr>
            <w:tcW w:type="dxa" w:w="3240"/>
          </w:tcPr>
          <w:p>
            <w:pPr>
              <w:spacing w:after="20"/>
              <w:jc w:val="right"/>
            </w:pPr>
            <w:r>
              <w:rPr>
                <w:color w:val="1C3A36"/>
                <w:sz w:val="17"/>
              </w:rPr>
              <w:t>stc sukuk curve evidence; du has no debt</w:t>
            </w:r>
          </w:p>
        </w:tc>
      </w:tr>
      <w:tr>
        <w:tc>
          <w:tcPr>
            <w:tcW w:type="dxa" w:w="4752"/>
          </w:tcPr>
          <w:p>
            <w:pPr>
              <w:spacing w:after="20"/>
            </w:pPr>
            <w:r>
              <w:rPr>
                <w:color w:val="1C3A36"/>
                <w:sz w:val="17"/>
              </w:rPr>
              <w:t>Weights — market equity / lease debt</w:t>
            </w:r>
          </w:p>
        </w:tc>
        <w:tc>
          <w:tcPr>
            <w:tcW w:type="dxa" w:w="1584"/>
          </w:tcPr>
          <w:p>
            <w:pPr>
              <w:spacing w:after="20"/>
              <w:jc w:val="right"/>
            </w:pPr>
            <w:r>
              <w:rPr>
                <w:color w:val="1C3A36"/>
                <w:sz w:val="17"/>
              </w:rPr>
              <w:t>96.6% / 3.4%</w:t>
            </w:r>
          </w:p>
        </w:tc>
        <w:tc>
          <w:tcPr>
            <w:tcW w:type="dxa" w:w="3240"/>
          </w:tcPr>
          <w:p>
            <w:pPr>
              <w:spacing w:after="20"/>
              <w:jc w:val="right"/>
            </w:pPr>
            <w:r>
              <w:rPr>
                <w:color w:val="1C3A36"/>
                <w:sz w:val="17"/>
              </w:rPr>
              <w:t>market capitalisation vs the audited lease book</w:t>
            </w:r>
          </w:p>
        </w:tc>
      </w:tr>
      <w:tr>
        <w:tc>
          <w:tcPr>
            <w:tcW w:type="dxa" w:w="4752"/>
            <w:shd w:val="clear" w:color="auto" w:fill="F6F1E6"/>
          </w:tcPr>
          <w:p>
            <w:pPr>
              <w:spacing w:after="20"/>
            </w:pPr>
            <w:r>
              <w:rPr>
                <w:b/>
                <w:color w:val="1C3A36"/>
                <w:sz w:val="17"/>
              </w:rPr>
              <w:t>Cost of capital — explicit window</w:t>
            </w:r>
          </w:p>
        </w:tc>
        <w:tc>
          <w:tcPr>
            <w:tcW w:type="dxa" w:w="1584"/>
            <w:shd w:val="clear" w:color="auto" w:fill="F6F1E6"/>
          </w:tcPr>
          <w:p>
            <w:pPr>
              <w:spacing w:after="20"/>
              <w:jc w:val="right"/>
            </w:pPr>
            <w:r>
              <w:rPr>
                <w:b/>
                <w:color w:val="1C3A36"/>
                <w:sz w:val="17"/>
              </w:rPr>
              <w:t>6.41%</w:t>
            </w:r>
          </w:p>
        </w:tc>
        <w:tc>
          <w:tcPr>
            <w:tcW w:type="dxa" w:w="3240"/>
            <w:shd w:val="clear" w:color="auto" w:fill="F6F1E6"/>
          </w:tcPr>
          <w:p>
            <w:pPr>
              <w:spacing w:after="20"/>
              <w:jc w:val="right"/>
            </w:pPr>
            <w:r>
              <w:rPr>
                <w:b/>
                <w:color w:val="1C3A36"/>
                <w:sz w:val="17"/>
              </w:rPr>
            </w:r>
          </w:p>
        </w:tc>
      </w:tr>
      <w:tr>
        <w:tc>
          <w:tcPr>
            <w:tcW w:type="dxa" w:w="4752"/>
            <w:shd w:val="clear" w:color="auto" w:fill="F6F1E6"/>
          </w:tcPr>
          <w:p>
            <w:pPr>
              <w:spacing w:after="20"/>
            </w:pPr>
            <w:r>
              <w:rPr>
                <w:b/>
                <w:color w:val="1C3A36"/>
                <w:sz w:val="17"/>
              </w:rPr>
              <w:t>Cost of capital — terminal</w:t>
            </w:r>
          </w:p>
        </w:tc>
        <w:tc>
          <w:tcPr>
            <w:tcW w:type="dxa" w:w="1584"/>
            <w:shd w:val="clear" w:color="auto" w:fill="F6F1E6"/>
          </w:tcPr>
          <w:p>
            <w:pPr>
              <w:spacing w:after="20"/>
              <w:jc w:val="right"/>
            </w:pPr>
            <w:r>
              <w:rPr>
                <w:b/>
                <w:color w:val="1C3A36"/>
                <w:sz w:val="17"/>
              </w:rPr>
              <w:t>6.17%</w:t>
            </w:r>
          </w:p>
        </w:tc>
        <w:tc>
          <w:tcPr>
            <w:tcW w:type="dxa" w:w="3240"/>
            <w:shd w:val="clear" w:color="auto" w:fill="F6F1E6"/>
          </w:tcPr>
          <w:p>
            <w:pPr>
              <w:spacing w:after="20"/>
              <w:jc w:val="right"/>
            </w:pPr>
            <w:r>
              <w:rPr>
                <w:b/>
                <w:color w:val="1C3A36"/>
                <w:sz w:val="17"/>
              </w:rPr>
              <w:t>terminal risk-free 4.30%, debt weight 5%</w:t>
            </w:r>
          </w:p>
        </w:tc>
      </w:tr>
    </w:tbl>
    <w:p>
      <w:pPr>
        <w:spacing w:after="40"/>
      </w:pPr>
    </w:p>
    <w:p>
      <w:pPr>
        <w:spacing w:after="200" w:before="0"/>
      </w:pPr>
      <w:r>
        <w:rPr>
          <w:b w:val="0"/>
          <w:i/>
          <w:color w:val="6E7B77"/>
          <w:sz w:val="17"/>
        </w:rPr>
        <w:t>Table 8 — the cost of capital, built from sourced parts. The sovereign spread is stripped from the risk-free rate because the equity premium already carries the country premium: counting it twice is the classic error this construction exists to avoid. The spread stripped and the premium added back are on the SAME basis — 4 basis points out, a 6 basis-point country premium in — which is the discipline that makes the netting safe. The alternative RATINGS basis (42bp out, a 64bp country premium in, giving a 6.44% cost of equity and 6.32% cost of capital) is published alongside and not averaged in. One test governs the choice: a default-free dirham rate cannot sit BELOW the default-free dollar rate at matched tenor under a hard peg. The market basis clears that floor at 4.44% against 4.32%; the ratings basis would breach it by about 26 basis points, which is why it is the alternative and not the primary.</w:t>
      </w:r>
    </w:p>
    <w:p>
      <w:pPr>
        <w:spacing w:after="80" w:before="200"/>
      </w:pPr>
      <w:r>
        <w:rPr>
          <w:b/>
          <w:i w:val="0"/>
          <w:color w:val="1C3A36"/>
          <w:sz w:val="24"/>
        </w:rPr>
        <w:t>The beta — measured, gated, and honestly low</w:t>
      </w:r>
    </w:p>
    <w:p>
      <w:pPr>
        <w:spacing w:after="120" w:before="0"/>
      </w:pPr>
      <w:r>
        <w:rPr>
          <w:b w:val="0"/>
          <w:i w:val="0"/>
          <w:color w:val="1C3A36"/>
          <w:sz w:val="21"/>
        </w:rPr>
        <w:t>du's beta is measured, not assumed: weekly log-returns against the FTSE ADX General Index — adopted as the base market index for the UAE in this edition — five years, 256 observations: beta 0.488, R² 0.12, standard error 0.083, 90% confidence interval 0.35 to 0.62. The regression passes the usability gate (enough observations, explanatory power, an error smaller than the estimate). du itself lists on the Dubai Financial Market, so the choice of UAE index is itself shown both ways rather than hidden: against the DFM General — the listing venue's own index — the same construction measures 0.472 (R² 0.20, a tighter fit), and an equal-weight composite of the market's own large names cross-checks both at 0.400. All three land in the same place: a defensive, negative-net-debt telecom measuring below 0.5 on either UAE index. That number is also the single assumption doing the most work in this study, because at these weights the cost of capital is essentially the cost of equity. Betas of 0.62 (the interval's top), 0.65 and 0.80 are priced in section 1.9: the last takes the DCF from AED 18.17 to AED 13.36 — close to the spot price. The market, at 19.2× trailing earnings, is implicitly charging a HIGHER required return than any of these regressions produce; section 1.7 prices that disagreement as the study's central judgement rather than dismissing it.</w:t>
      </w:r>
    </w:p>
    <w:p>
      <w:pPr>
        <w:spacing w:after="80" w:before="200"/>
      </w:pPr>
      <w:r>
        <w:rPr>
          <w:b/>
          <w:i w:val="0"/>
          <w:color w:val="1C3A36"/>
          <w:sz w:val="24"/>
        </w:rPr>
        <w:t>Where this construction is contested, and what the alternatives are worth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584"/>
        <w:gridCol w:w="1584"/>
        <w:gridCol w:w="3024"/>
      </w:tblGrid>
      <w:tr>
        <w:tc>
          <w:tcPr>
            <w:tcW w:type="dxa" w:w="3384"/>
            <w:shd w:val="clear" w:color="auto" w:fill="EAF0EE"/>
          </w:tcPr>
          <w:p>
            <w:pPr>
              <w:spacing w:after="20"/>
            </w:pPr>
            <w:r>
              <w:rPr>
                <w:b/>
                <w:color w:val="1C3A36"/>
                <w:sz w:val="16"/>
              </w:rPr>
              <w:t>Contested construction</w:t>
            </w:r>
          </w:p>
        </w:tc>
        <w:tc>
          <w:tcPr>
            <w:tcW w:type="dxa" w:w="1584"/>
            <w:shd w:val="clear" w:color="auto" w:fill="EAF0EE"/>
          </w:tcPr>
          <w:p>
            <w:pPr>
              <w:spacing w:after="20"/>
            </w:pPr>
            <w:r>
              <w:rPr>
                <w:b/>
                <w:color w:val="1C3A36"/>
                <w:sz w:val="16"/>
              </w:rPr>
              <w:t>Base</w:t>
            </w:r>
          </w:p>
        </w:tc>
        <w:tc>
          <w:tcPr>
            <w:tcW w:type="dxa" w:w="1584"/>
            <w:shd w:val="clear" w:color="auto" w:fill="EAF0EE"/>
          </w:tcPr>
          <w:p>
            <w:pPr>
              <w:spacing w:after="20"/>
            </w:pPr>
            <w:r>
              <w:rPr>
                <w:b/>
                <w:color w:val="1C3A36"/>
                <w:sz w:val="16"/>
              </w:rPr>
              <w:t>Alternative</w:t>
            </w:r>
          </w:p>
        </w:tc>
        <w:tc>
          <w:tcPr>
            <w:tcW w:type="dxa" w:w="3024"/>
            <w:shd w:val="clear" w:color="auto" w:fill="EAF0EE"/>
          </w:tcPr>
          <w:p>
            <w:pPr>
              <w:spacing w:after="20"/>
            </w:pPr>
            <w:r>
              <w:rPr>
                <w:b/>
                <w:color w:val="1C3A36"/>
                <w:sz w:val="16"/>
              </w:rPr>
              <w:t>Worth (AED/share)</w:t>
            </w:r>
          </w:p>
        </w:tc>
      </w:tr>
      <w:tr>
        <w:tc>
          <w:tcPr>
            <w:tcW w:type="dxa" w:w="3384"/>
          </w:tcPr>
          <w:p>
            <w:pPr>
              <w:spacing w:after="20"/>
            </w:pPr>
            <w:r>
              <w:rPr>
                <w:color w:val="1C3A36"/>
                <w:sz w:val="16"/>
              </w:rPr>
              <w:t>Risk-free tenor: Jan-2031 AED print vs 10y peg-extrapolated proxy</w:t>
            </w:r>
          </w:p>
        </w:tc>
        <w:tc>
          <w:tcPr>
            <w:tcW w:type="dxa" w:w="1584"/>
          </w:tcPr>
          <w:p>
            <w:pPr>
              <w:spacing w:after="20"/>
              <w:jc w:val="right"/>
            </w:pPr>
            <w:r>
              <w:rPr>
                <w:color w:val="1C3A36"/>
                <w:sz w:val="16"/>
              </w:rPr>
              <w:t>4.48%</w:t>
            </w:r>
          </w:p>
        </w:tc>
        <w:tc>
          <w:tcPr>
            <w:tcW w:type="dxa" w:w="1584"/>
          </w:tcPr>
          <w:p>
            <w:pPr>
              <w:spacing w:after="20"/>
              <w:jc w:val="right"/>
            </w:pPr>
            <w:r>
              <w:rPr>
                <w:color w:val="1C3A36"/>
                <w:sz w:val="16"/>
              </w:rPr>
              <w:t>4.69%</w:t>
            </w:r>
          </w:p>
        </w:tc>
        <w:tc>
          <w:tcPr>
            <w:tcW w:type="dxa" w:w="3024"/>
          </w:tcPr>
          <w:p>
            <w:pPr>
              <w:spacing w:after="20"/>
              <w:jc w:val="right"/>
            </w:pPr>
            <w:r>
              <w:rPr>
                <w:color w:val="1C3A36"/>
                <w:sz w:val="16"/>
              </w:rPr>
              <w:t>17.21 vs 18.17 (-0.96)</w:t>
            </w:r>
          </w:p>
        </w:tc>
      </w:tr>
      <w:tr>
        <w:tc>
          <w:tcPr>
            <w:tcW w:type="dxa" w:w="3384"/>
          </w:tcPr>
          <w:p>
            <w:pPr>
              <w:spacing w:after="20"/>
            </w:pPr>
            <w:r>
              <w:rPr>
                <w:color w:val="1C3A36"/>
                <w:sz w:val="16"/>
              </w:rPr>
              <w:t>Sovereign basis: market-observed 4bp (primary) vs the ratings table 42bp</w:t>
            </w:r>
          </w:p>
        </w:tc>
        <w:tc>
          <w:tcPr>
            <w:tcW w:type="dxa" w:w="1584"/>
          </w:tcPr>
          <w:p>
            <w:pPr>
              <w:spacing w:after="20"/>
              <w:jc w:val="right"/>
            </w:pPr>
            <w:r>
              <w:rPr>
                <w:color w:val="1C3A36"/>
                <w:sz w:val="16"/>
              </w:rPr>
              <w:t>spread 0.04%, ERP 4.29%</w:t>
            </w:r>
          </w:p>
        </w:tc>
        <w:tc>
          <w:tcPr>
            <w:tcW w:type="dxa" w:w="1584"/>
          </w:tcPr>
          <w:p>
            <w:pPr>
              <w:spacing w:after="20"/>
              <w:jc w:val="right"/>
            </w:pPr>
            <w:r>
              <w:rPr>
                <w:color w:val="1C3A36"/>
                <w:sz w:val="16"/>
              </w:rPr>
              <w:t>spread 0.42%, ERP 4.87%</w:t>
            </w:r>
          </w:p>
        </w:tc>
        <w:tc>
          <w:tcPr>
            <w:tcW w:type="dxa" w:w="3024"/>
          </w:tcPr>
          <w:p>
            <w:pPr>
              <w:spacing w:after="20"/>
              <w:jc w:val="right"/>
            </w:pPr>
            <w:r>
              <w:rPr>
                <w:color w:val="1C3A36"/>
                <w:sz w:val="16"/>
              </w:rPr>
              <w:t>cost of capital 6.41% vs 6.32%; the ratings basis breaches the matched-tenor Treasury floor</w:t>
            </w:r>
          </w:p>
        </w:tc>
      </w:tr>
      <w:tr>
        <w:tc>
          <w:tcPr>
            <w:tcW w:type="dxa" w:w="3384"/>
          </w:tcPr>
          <w:p>
            <w:pPr>
              <w:spacing w:after="20"/>
            </w:pPr>
            <w:r>
              <w:rPr>
                <w:color w:val="1C3A36"/>
                <w:sz w:val="16"/>
              </w:rPr>
              <w:t>Beta: regression vs the sector-implied prior</w:t>
            </w:r>
          </w:p>
        </w:tc>
        <w:tc>
          <w:tcPr>
            <w:tcW w:type="dxa" w:w="1584"/>
          </w:tcPr>
          <w:p>
            <w:pPr>
              <w:spacing w:after="20"/>
              <w:jc w:val="right"/>
            </w:pPr>
            <w:r>
              <w:rPr>
                <w:color w:val="1C3A36"/>
                <w:sz w:val="16"/>
              </w:rPr>
              <w:t>0.488</w:t>
            </w:r>
          </w:p>
        </w:tc>
        <w:tc>
          <w:tcPr>
            <w:tcW w:type="dxa" w:w="1584"/>
          </w:tcPr>
          <w:p>
            <w:pPr>
              <w:spacing w:after="20"/>
              <w:jc w:val="right"/>
            </w:pPr>
            <w:r>
              <w:rPr>
                <w:color w:val="1C3A36"/>
                <w:sz w:val="16"/>
              </w:rPr>
              <w:t>0.80</w:t>
            </w:r>
          </w:p>
        </w:tc>
        <w:tc>
          <w:tcPr>
            <w:tcW w:type="dxa" w:w="3024"/>
          </w:tcPr>
          <w:p>
            <w:pPr>
              <w:spacing w:after="20"/>
              <w:jc w:val="right"/>
            </w:pPr>
            <w:r>
              <w:rPr>
                <w:color w:val="1C3A36"/>
                <w:sz w:val="16"/>
              </w:rPr>
              <w:t>18.17 vs 13.36</w:t>
            </w:r>
          </w:p>
        </w:tc>
      </w:tr>
      <w:tr>
        <w:tc>
          <w:tcPr>
            <w:tcW w:type="dxa" w:w="3384"/>
          </w:tcPr>
          <w:p>
            <w:pPr>
              <w:spacing w:after="20"/>
            </w:pPr>
            <w:r>
              <w:rPr>
                <w:color w:val="1C3A36"/>
                <w:sz w:val="16"/>
              </w:rPr>
              <w:t>Terminal: capitalised at the cost of capital vs du's own current multiple</w:t>
            </w:r>
          </w:p>
        </w:tc>
        <w:tc>
          <w:tcPr>
            <w:tcW w:type="dxa" w:w="1584"/>
          </w:tcPr>
          <w:p>
            <w:pPr>
              <w:spacing w:after="20"/>
              <w:jc w:val="right"/>
            </w:pPr>
            <w:r>
              <w:rPr>
                <w:color w:val="1C3A36"/>
                <w:sz w:val="16"/>
              </w:rPr>
              <w:t>9.95x implied</w:t>
            </w:r>
          </w:p>
        </w:tc>
        <w:tc>
          <w:tcPr>
            <w:tcW w:type="dxa" w:w="1584"/>
          </w:tcPr>
          <w:p>
            <w:pPr>
              <w:spacing w:after="20"/>
              <w:jc w:val="right"/>
            </w:pPr>
            <w:r>
              <w:rPr>
                <w:color w:val="1C3A36"/>
                <w:sz w:val="16"/>
              </w:rPr>
              <w:t>7.56x held</w:t>
            </w:r>
          </w:p>
        </w:tc>
        <w:tc>
          <w:tcPr>
            <w:tcW w:type="dxa" w:w="3024"/>
          </w:tcPr>
          <w:p>
            <w:pPr>
              <w:spacing w:after="20"/>
              <w:jc w:val="right"/>
            </w:pPr>
            <w:r>
              <w:rPr>
                <w:color w:val="1C3A36"/>
                <w:sz w:val="16"/>
              </w:rPr>
              <w:t>18.17 vs 14.40 — the study's central judgement</w:t>
            </w:r>
          </w:p>
        </w:tc>
      </w:tr>
      <w:tr>
        <w:tc>
          <w:tcPr>
            <w:tcW w:type="dxa" w:w="3384"/>
          </w:tcPr>
          <w:p>
            <w:pPr>
              <w:spacing w:after="20"/>
            </w:pPr>
            <w:r>
              <w:rPr>
                <w:color w:val="1C3A36"/>
                <w:sz w:val="16"/>
              </w:rPr>
              <w:t>Post-2029 fiscal tail (no longer contested for 2027-29 — du disclosed the extension)</w:t>
            </w:r>
          </w:p>
        </w:tc>
        <w:tc>
          <w:tcPr>
            <w:tcW w:type="dxa" w:w="1584"/>
          </w:tcPr>
          <w:p>
            <w:pPr>
              <w:spacing w:after="20"/>
              <w:jc w:val="right"/>
            </w:pPr>
            <w:r>
              <w:rPr>
                <w:color w:val="1C3A36"/>
                <w:sz w:val="16"/>
              </w:rPr>
              <w:t>43.6%</w:t>
            </w:r>
          </w:p>
        </w:tc>
        <w:tc>
          <w:tcPr>
            <w:tcW w:type="dxa" w:w="1584"/>
          </w:tcPr>
          <w:p>
            <w:pPr>
              <w:spacing w:after="20"/>
              <w:jc w:val="right"/>
            </w:pPr>
            <w:r>
              <w:rPr>
                <w:color w:val="1C3A36"/>
                <w:sz w:val="16"/>
              </w:rPr>
              <w:t>51.7%</w:t>
            </w:r>
          </w:p>
        </w:tc>
        <w:tc>
          <w:tcPr>
            <w:tcW w:type="dxa" w:w="3024"/>
          </w:tcPr>
          <w:p>
            <w:pPr>
              <w:spacing w:after="20"/>
              <w:jc w:val="right"/>
            </w:pPr>
            <w:r>
              <w:rPr>
                <w:color w:val="1C3A36"/>
                <w:sz w:val="16"/>
              </w:rPr>
              <w:t>18.17 vs 15.22</w:t>
            </w:r>
          </w:p>
        </w:tc>
      </w:tr>
    </w:tbl>
    <w:p>
      <w:pPr>
        <w:spacing w:after="40"/>
      </w:pPr>
    </w:p>
    <w:p>
      <w:pPr>
        <w:spacing w:after="200" w:before="0"/>
      </w:pPr>
      <w:r>
        <w:rPr>
          <w:b w:val="0"/>
          <w:i/>
          <w:color w:val="6E7B77"/>
          <w:sz w:val="17"/>
        </w:rPr>
        <w:t>Table 9 — every contested construction priced, not just named. Two retired errors are preserved for the audit trail: an UN-netted risk-free rate would give a 6.57% cost of equity, the sovereign-risk double-count this method exists to prevent; and netting the ratings-table spread while adding back a ratings-based country premium — the previous edition's construction — put the "risk-free" dirham rate below the matched-tenor Treasury, which a hard peg cannot support.</w:t>
      </w:r>
    </w:p>
    <w:p>
      <w:pPr>
        <w:spacing w:after="80" w:before="200"/>
      </w:pPr>
      <w:r>
        <w:rPr>
          <w:b/>
          <w:i w:val="0"/>
          <w:color w:val="1C3A36"/>
          <w:sz w:val="24"/>
        </w:rPr>
        <w:t>1.9  Sensitivity — the discount rate, the growth, the regime and the war</w:t>
      </w:r>
    </w:p>
    <w:p>
      <w:pPr>
        <w:spacing w:after="40"/>
        <w:jc w:val="center"/>
      </w:pPr>
      <w:r>
        <w:drawing>
          <wp:inline xmlns:a="http://schemas.openxmlformats.org/drawingml/2006/main" xmlns:pic="http://schemas.openxmlformats.org/drawingml/2006/picture">
            <wp:extent cx="6035040" cy="2902931"/>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6035040" cy="2902931"/>
                    </a:xfrm>
                    <a:prstGeom prst="rect"/>
                  </pic:spPr>
                </pic:pic>
              </a:graphicData>
            </a:graphic>
          </wp:inline>
        </w:drawing>
      </w:r>
    </w:p>
    <w:p>
      <w:pPr>
        <w:spacing w:after="200" w:before="0"/>
      </w:pPr>
      <w:r>
        <w:rPr>
          <w:b w:val="0"/>
          <w:i/>
          <w:color w:val="6E7B77"/>
          <w:sz w:val="17"/>
        </w:rPr>
        <w:t>Figure 3 — DCF fair value against the terminal cost of capital and terminal growth. Bold cells sit within about 80 fils of spot.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008"/>
        <w:gridCol w:w="1008"/>
        <w:gridCol w:w="1008"/>
        <w:gridCol w:w="1008"/>
        <w:gridCol w:w="1008"/>
        <w:gridCol w:w="1008"/>
      </w:tblGrid>
      <w:tr>
        <w:tc>
          <w:tcPr>
            <w:tcW w:type="dxa" w:w="3744"/>
            <w:shd w:val="clear" w:color="auto" w:fill="EAF0EE"/>
          </w:tcPr>
          <w:p>
            <w:pPr>
              <w:spacing w:after="20"/>
            </w:pPr>
            <w:r>
              <w:rPr>
                <w:b/>
                <w:color w:val="1C3A36"/>
                <w:sz w:val="16"/>
              </w:rPr>
              <w:t>Driver (grid)</w:t>
            </w:r>
          </w:p>
        </w:tc>
        <w:tc>
          <w:tcPr>
            <w:tcW w:type="dxa" w:w="1008"/>
            <w:shd w:val="clear" w:color="auto" w:fill="EAF0EE"/>
          </w:tcPr>
          <w:p>
            <w:pPr>
              <w:spacing w:after="20"/>
            </w:pPr>
            <w:r>
              <w:rPr>
                <w:b/>
                <w:color w:val="1C3A36"/>
                <w:sz w:val="16"/>
              </w:rPr>
            </w:r>
          </w:p>
        </w:tc>
        <w:tc>
          <w:tcPr>
            <w:tcW w:type="dxa" w:w="1008"/>
            <w:shd w:val="clear" w:color="auto" w:fill="EAF0EE"/>
          </w:tcPr>
          <w:p>
            <w:pPr>
              <w:spacing w:after="20"/>
            </w:pPr>
            <w:r>
              <w:rPr>
                <w:b/>
                <w:color w:val="1C3A36"/>
                <w:sz w:val="16"/>
              </w:rPr>
            </w:r>
          </w:p>
        </w:tc>
        <w:tc>
          <w:tcPr>
            <w:tcW w:type="dxa" w:w="1008"/>
            <w:shd w:val="clear" w:color="auto" w:fill="EAF0EE"/>
          </w:tcPr>
          <w:p>
            <w:pPr>
              <w:spacing w:after="20"/>
            </w:pPr>
            <w:r>
              <w:rPr>
                <w:b/>
                <w:color w:val="1C3A36"/>
                <w:sz w:val="16"/>
              </w:rPr>
              <w:t>base</w:t>
            </w:r>
          </w:p>
        </w:tc>
        <w:tc>
          <w:tcPr>
            <w:tcW w:type="dxa" w:w="1008"/>
            <w:shd w:val="clear" w:color="auto" w:fill="EAF0EE"/>
          </w:tcPr>
          <w:p>
            <w:pPr>
              <w:spacing w:after="20"/>
            </w:pPr>
            <w:r>
              <w:rPr>
                <w:b/>
                <w:color w:val="1C3A36"/>
                <w:sz w:val="16"/>
              </w:rPr>
            </w:r>
          </w:p>
        </w:tc>
        <w:tc>
          <w:tcPr>
            <w:tcW w:type="dxa" w:w="1008"/>
            <w:shd w:val="clear" w:color="auto" w:fill="EAF0EE"/>
          </w:tcPr>
          <w:p>
            <w:pPr>
              <w:spacing w:after="20"/>
            </w:pPr>
            <w:r>
              <w:rPr>
                <w:b/>
                <w:color w:val="1C3A36"/>
                <w:sz w:val="16"/>
              </w:rPr>
            </w:r>
          </w:p>
        </w:tc>
        <w:tc>
          <w:tcPr>
            <w:tcW w:type="dxa" w:w="1008"/>
            <w:shd w:val="clear" w:color="auto" w:fill="EAF0EE"/>
          </w:tcPr>
          <w:p>
            <w:pPr>
              <w:spacing w:after="20"/>
            </w:pPr>
            <w:r>
              <w:rPr>
                <w:b/>
                <w:color w:val="1C3A36"/>
                <w:sz w:val="16"/>
              </w:rPr>
              <w:t>swing</w:t>
            </w:r>
          </w:p>
        </w:tc>
      </w:tr>
      <w:tr>
        <w:tc>
          <w:tcPr>
            <w:tcW w:type="dxa" w:w="3744"/>
          </w:tcPr>
          <w:p>
            <w:pPr>
              <w:spacing w:after="20"/>
            </w:pPr>
            <w:r>
              <w:rPr>
                <w:color w:val="1C3A36"/>
                <w:sz w:val="16"/>
              </w:rPr>
              <w:t>Beta  (0.35 / 0.49 / 0.62 / 0.65 / 0.80)</w:t>
            </w:r>
          </w:p>
        </w:tc>
        <w:tc>
          <w:tcPr>
            <w:tcW w:type="dxa" w:w="1008"/>
          </w:tcPr>
          <w:p>
            <w:pPr>
              <w:spacing w:after="20"/>
              <w:jc w:val="right"/>
            </w:pPr>
            <w:r>
              <w:rPr>
                <w:color w:val="1C3A36"/>
                <w:sz w:val="16"/>
              </w:rPr>
              <w:t>21.55</w:t>
            </w:r>
          </w:p>
        </w:tc>
        <w:tc>
          <w:tcPr>
            <w:tcW w:type="dxa" w:w="1008"/>
          </w:tcPr>
          <w:p>
            <w:pPr>
              <w:spacing w:after="20"/>
              <w:jc w:val="right"/>
            </w:pPr>
            <w:r>
              <w:rPr>
                <w:color w:val="1C3A36"/>
                <w:sz w:val="16"/>
              </w:rPr>
              <w:t>18.17</w:t>
            </w:r>
          </w:p>
        </w:tc>
        <w:tc>
          <w:tcPr>
            <w:tcW w:type="dxa" w:w="1008"/>
          </w:tcPr>
          <w:p>
            <w:pPr>
              <w:spacing w:after="20"/>
              <w:jc w:val="right"/>
            </w:pPr>
            <w:r>
              <w:rPr>
                <w:color w:val="1C3A36"/>
                <w:sz w:val="16"/>
              </w:rPr>
              <w:t>15.78</w:t>
            </w:r>
          </w:p>
        </w:tc>
        <w:tc>
          <w:tcPr>
            <w:tcW w:type="dxa" w:w="1008"/>
          </w:tcPr>
          <w:p>
            <w:pPr>
              <w:spacing w:after="20"/>
              <w:jc w:val="right"/>
            </w:pPr>
            <w:r>
              <w:rPr>
                <w:color w:val="1C3A36"/>
                <w:sz w:val="16"/>
              </w:rPr>
              <w:t>15.32</w:t>
            </w:r>
          </w:p>
        </w:tc>
        <w:tc>
          <w:tcPr>
            <w:tcW w:type="dxa" w:w="1008"/>
          </w:tcPr>
          <w:p>
            <w:pPr>
              <w:spacing w:after="20"/>
              <w:jc w:val="right"/>
            </w:pPr>
            <w:r>
              <w:rPr>
                <w:color w:val="1C3A36"/>
                <w:sz w:val="16"/>
              </w:rPr>
              <w:t>13.36</w:t>
            </w:r>
          </w:p>
        </w:tc>
        <w:tc>
          <w:tcPr>
            <w:tcW w:type="dxa" w:w="1008"/>
          </w:tcPr>
          <w:p>
            <w:pPr>
              <w:spacing w:after="20"/>
              <w:jc w:val="right"/>
            </w:pPr>
            <w:r>
              <w:rPr>
                <w:color w:val="1C3A36"/>
                <w:sz w:val="16"/>
              </w:rPr>
              <w:t>8.19</w:t>
            </w:r>
          </w:p>
        </w:tc>
      </w:tr>
      <w:tr>
        <w:tc>
          <w:tcPr>
            <w:tcW w:type="dxa" w:w="3744"/>
          </w:tcPr>
          <w:p>
            <w:pPr>
              <w:spacing w:after="20"/>
            </w:pPr>
            <w:r>
              <w:rPr>
                <w:color w:val="1C3A36"/>
                <w:sz w:val="16"/>
              </w:rPr>
              <w:t>Combined fiscal take  (40% / 44% / 47% / 50% / 53%)</w:t>
            </w:r>
          </w:p>
        </w:tc>
        <w:tc>
          <w:tcPr>
            <w:tcW w:type="dxa" w:w="1008"/>
          </w:tcPr>
          <w:p>
            <w:pPr>
              <w:spacing w:after="20"/>
              <w:jc w:val="right"/>
            </w:pPr>
            <w:r>
              <w:rPr>
                <w:color w:val="1C3A36"/>
                <w:sz w:val="16"/>
              </w:rPr>
              <w:t>19.46</w:t>
            </w:r>
          </w:p>
        </w:tc>
        <w:tc>
          <w:tcPr>
            <w:tcW w:type="dxa" w:w="1008"/>
          </w:tcPr>
          <w:p>
            <w:pPr>
              <w:spacing w:after="20"/>
              <w:jc w:val="right"/>
            </w:pPr>
            <w:r>
              <w:rPr>
                <w:color w:val="1C3A36"/>
                <w:sz w:val="16"/>
              </w:rPr>
              <w:t>18.17</w:t>
            </w:r>
          </w:p>
        </w:tc>
        <w:tc>
          <w:tcPr>
            <w:tcW w:type="dxa" w:w="1008"/>
          </w:tcPr>
          <w:p>
            <w:pPr>
              <w:spacing w:after="20"/>
              <w:jc w:val="right"/>
            </w:pPr>
            <w:r>
              <w:rPr>
                <w:color w:val="1C3A36"/>
                <w:sz w:val="16"/>
              </w:rPr>
              <w:t>16.92</w:t>
            </w:r>
          </w:p>
        </w:tc>
        <w:tc>
          <w:tcPr>
            <w:tcW w:type="dxa" w:w="1008"/>
          </w:tcPr>
          <w:p>
            <w:pPr>
              <w:spacing w:after="20"/>
              <w:jc w:val="right"/>
            </w:pPr>
            <w:r>
              <w:rPr>
                <w:color w:val="1C3A36"/>
                <w:sz w:val="16"/>
              </w:rPr>
              <w:t>15.83</w:t>
            </w:r>
          </w:p>
        </w:tc>
        <w:tc>
          <w:tcPr>
            <w:tcW w:type="dxa" w:w="1008"/>
          </w:tcPr>
          <w:p>
            <w:pPr>
              <w:spacing w:after="20"/>
              <w:jc w:val="right"/>
            </w:pPr>
            <w:r>
              <w:rPr>
                <w:color w:val="1C3A36"/>
                <w:sz w:val="16"/>
              </w:rPr>
              <w:t>14.71</w:t>
            </w:r>
          </w:p>
        </w:tc>
        <w:tc>
          <w:tcPr>
            <w:tcW w:type="dxa" w:w="1008"/>
          </w:tcPr>
          <w:p>
            <w:pPr>
              <w:spacing w:after="20"/>
              <w:jc w:val="right"/>
            </w:pPr>
            <w:r>
              <w:rPr>
                <w:color w:val="1C3A36"/>
                <w:sz w:val="16"/>
              </w:rPr>
              <w:t>4.76</w:t>
            </w:r>
          </w:p>
        </w:tc>
      </w:tr>
      <w:tr>
        <w:tc>
          <w:tcPr>
            <w:tcW w:type="dxa" w:w="3744"/>
          </w:tcPr>
          <w:p>
            <w:pPr>
              <w:spacing w:after="20"/>
            </w:pPr>
            <w:r>
              <w:rPr>
                <w:color w:val="1C3A36"/>
                <w:sz w:val="16"/>
              </w:rPr>
              <w:t>Blended ARPU (×)  (0.92 / 0.96 / 1.00 / 1.04 / 1.08)</w:t>
            </w:r>
          </w:p>
        </w:tc>
        <w:tc>
          <w:tcPr>
            <w:tcW w:type="dxa" w:w="1008"/>
          </w:tcPr>
          <w:p>
            <w:pPr>
              <w:spacing w:after="20"/>
              <w:jc w:val="right"/>
            </w:pPr>
            <w:r>
              <w:rPr>
                <w:color w:val="1C3A36"/>
                <w:sz w:val="16"/>
              </w:rPr>
              <w:t>16.26</w:t>
            </w:r>
          </w:p>
        </w:tc>
        <w:tc>
          <w:tcPr>
            <w:tcW w:type="dxa" w:w="1008"/>
          </w:tcPr>
          <w:p>
            <w:pPr>
              <w:spacing w:after="20"/>
              <w:jc w:val="right"/>
            </w:pPr>
            <w:r>
              <w:rPr>
                <w:color w:val="1C3A36"/>
                <w:sz w:val="16"/>
              </w:rPr>
              <w:t>17.22</w:t>
            </w:r>
          </w:p>
        </w:tc>
        <w:tc>
          <w:tcPr>
            <w:tcW w:type="dxa" w:w="1008"/>
          </w:tcPr>
          <w:p>
            <w:pPr>
              <w:spacing w:after="20"/>
              <w:jc w:val="right"/>
            </w:pPr>
            <w:r>
              <w:rPr>
                <w:color w:val="1C3A36"/>
                <w:sz w:val="16"/>
              </w:rPr>
              <w:t>18.17</w:t>
            </w:r>
          </w:p>
        </w:tc>
        <w:tc>
          <w:tcPr>
            <w:tcW w:type="dxa" w:w="1008"/>
          </w:tcPr>
          <w:p>
            <w:pPr>
              <w:spacing w:after="20"/>
              <w:jc w:val="right"/>
            </w:pPr>
            <w:r>
              <w:rPr>
                <w:color w:val="1C3A36"/>
                <w:sz w:val="16"/>
              </w:rPr>
              <w:t>19.12</w:t>
            </w:r>
          </w:p>
        </w:tc>
        <w:tc>
          <w:tcPr>
            <w:tcW w:type="dxa" w:w="1008"/>
          </w:tcPr>
          <w:p>
            <w:pPr>
              <w:spacing w:after="20"/>
              <w:jc w:val="right"/>
            </w:pPr>
            <w:r>
              <w:rPr>
                <w:color w:val="1C3A36"/>
                <w:sz w:val="16"/>
              </w:rPr>
              <w:t>20.07</w:t>
            </w:r>
          </w:p>
        </w:tc>
        <w:tc>
          <w:tcPr>
            <w:tcW w:type="dxa" w:w="1008"/>
          </w:tcPr>
          <w:p>
            <w:pPr>
              <w:spacing w:after="20"/>
              <w:jc w:val="right"/>
            </w:pPr>
            <w:r>
              <w:rPr>
                <w:color w:val="1C3A36"/>
                <w:sz w:val="16"/>
              </w:rPr>
              <w:t>3.81</w:t>
            </w:r>
          </w:p>
        </w:tc>
      </w:tr>
      <w:tr>
        <w:tc>
          <w:tcPr>
            <w:tcW w:type="dxa" w:w="3744"/>
          </w:tcPr>
          <w:p>
            <w:pPr>
              <w:spacing w:after="20"/>
            </w:pPr>
            <w:r>
              <w:rPr>
                <w:color w:val="1C3A36"/>
                <w:sz w:val="16"/>
              </w:rPr>
              <w:t>Subscribers ('000, shift)  (-400 / -200 / +0 / +200 / +400)</w:t>
            </w:r>
          </w:p>
        </w:tc>
        <w:tc>
          <w:tcPr>
            <w:tcW w:type="dxa" w:w="1008"/>
          </w:tcPr>
          <w:p>
            <w:pPr>
              <w:spacing w:after="20"/>
              <w:jc w:val="right"/>
            </w:pPr>
            <w:r>
              <w:rPr>
                <w:color w:val="1C3A36"/>
                <w:sz w:val="16"/>
              </w:rPr>
              <w:t>17.26</w:t>
            </w:r>
          </w:p>
        </w:tc>
        <w:tc>
          <w:tcPr>
            <w:tcW w:type="dxa" w:w="1008"/>
          </w:tcPr>
          <w:p>
            <w:pPr>
              <w:spacing w:after="20"/>
              <w:jc w:val="right"/>
            </w:pPr>
            <w:r>
              <w:rPr>
                <w:color w:val="1C3A36"/>
                <w:sz w:val="16"/>
              </w:rPr>
              <w:t>17.72</w:t>
            </w:r>
          </w:p>
        </w:tc>
        <w:tc>
          <w:tcPr>
            <w:tcW w:type="dxa" w:w="1008"/>
          </w:tcPr>
          <w:p>
            <w:pPr>
              <w:spacing w:after="20"/>
              <w:jc w:val="right"/>
            </w:pPr>
            <w:r>
              <w:rPr>
                <w:color w:val="1C3A36"/>
                <w:sz w:val="16"/>
              </w:rPr>
              <w:t>18.17</w:t>
            </w:r>
          </w:p>
        </w:tc>
        <w:tc>
          <w:tcPr>
            <w:tcW w:type="dxa" w:w="1008"/>
          </w:tcPr>
          <w:p>
            <w:pPr>
              <w:spacing w:after="20"/>
              <w:jc w:val="right"/>
            </w:pPr>
            <w:r>
              <w:rPr>
                <w:color w:val="1C3A36"/>
                <w:sz w:val="16"/>
              </w:rPr>
              <w:t>18.62</w:t>
            </w:r>
          </w:p>
        </w:tc>
        <w:tc>
          <w:tcPr>
            <w:tcW w:type="dxa" w:w="1008"/>
          </w:tcPr>
          <w:p>
            <w:pPr>
              <w:spacing w:after="20"/>
              <w:jc w:val="right"/>
            </w:pPr>
            <w:r>
              <w:rPr>
                <w:color w:val="1C3A36"/>
                <w:sz w:val="16"/>
              </w:rPr>
              <w:t>19.08</w:t>
            </w:r>
          </w:p>
        </w:tc>
        <w:tc>
          <w:tcPr>
            <w:tcW w:type="dxa" w:w="1008"/>
          </w:tcPr>
          <w:p>
            <w:pPr>
              <w:spacing w:after="20"/>
              <w:jc w:val="right"/>
            </w:pPr>
            <w:r>
              <w:rPr>
                <w:color w:val="1C3A36"/>
                <w:sz w:val="16"/>
              </w:rPr>
              <w:t>1.81</w:t>
            </w:r>
          </w:p>
        </w:tc>
      </w:tr>
      <w:tr>
        <w:tc>
          <w:tcPr>
            <w:tcW w:type="dxa" w:w="3744"/>
          </w:tcPr>
          <w:p>
            <w:pPr>
              <w:spacing w:after="20"/>
            </w:pPr>
            <w:r>
              <w:rPr>
                <w:color w:val="1C3A36"/>
                <w:sz w:val="16"/>
              </w:rPr>
              <w:t>Contribution margins (×)  (0.94 / 0.97 / 1.00 / 1.03 / 1.06)</w:t>
            </w:r>
          </w:p>
        </w:tc>
        <w:tc>
          <w:tcPr>
            <w:tcW w:type="dxa" w:w="1008"/>
          </w:tcPr>
          <w:p>
            <w:pPr>
              <w:spacing w:after="20"/>
              <w:jc w:val="right"/>
            </w:pPr>
            <w:r>
              <w:rPr>
                <w:color w:val="1C3A36"/>
                <w:sz w:val="16"/>
              </w:rPr>
              <w:t>15.74</w:t>
            </w:r>
          </w:p>
        </w:tc>
        <w:tc>
          <w:tcPr>
            <w:tcW w:type="dxa" w:w="1008"/>
          </w:tcPr>
          <w:p>
            <w:pPr>
              <w:spacing w:after="20"/>
              <w:jc w:val="right"/>
            </w:pPr>
            <w:r>
              <w:rPr>
                <w:color w:val="1C3A36"/>
                <w:sz w:val="16"/>
              </w:rPr>
              <w:t>16.95</w:t>
            </w:r>
          </w:p>
        </w:tc>
        <w:tc>
          <w:tcPr>
            <w:tcW w:type="dxa" w:w="1008"/>
          </w:tcPr>
          <w:p>
            <w:pPr>
              <w:spacing w:after="20"/>
              <w:jc w:val="right"/>
            </w:pPr>
            <w:r>
              <w:rPr>
                <w:color w:val="1C3A36"/>
                <w:sz w:val="16"/>
              </w:rPr>
              <w:t>18.17</w:t>
            </w:r>
          </w:p>
        </w:tc>
        <w:tc>
          <w:tcPr>
            <w:tcW w:type="dxa" w:w="1008"/>
          </w:tcPr>
          <w:p>
            <w:pPr>
              <w:spacing w:after="20"/>
              <w:jc w:val="right"/>
            </w:pPr>
            <w:r>
              <w:rPr>
                <w:color w:val="1C3A36"/>
                <w:sz w:val="16"/>
              </w:rPr>
              <w:t>19.38</w:t>
            </w:r>
          </w:p>
        </w:tc>
        <w:tc>
          <w:tcPr>
            <w:tcW w:type="dxa" w:w="1008"/>
          </w:tcPr>
          <w:p>
            <w:pPr>
              <w:spacing w:after="20"/>
              <w:jc w:val="right"/>
            </w:pPr>
            <w:r>
              <w:rPr>
                <w:color w:val="1C3A36"/>
                <w:sz w:val="16"/>
              </w:rPr>
              <w:t>20.60</w:t>
            </w:r>
          </w:p>
        </w:tc>
        <w:tc>
          <w:tcPr>
            <w:tcW w:type="dxa" w:w="1008"/>
          </w:tcPr>
          <w:p>
            <w:pPr>
              <w:spacing w:after="20"/>
              <w:jc w:val="right"/>
            </w:pPr>
            <w:r>
              <w:rPr>
                <w:color w:val="1C3A36"/>
                <w:sz w:val="16"/>
              </w:rPr>
              <w:t>4.86</w:t>
            </w:r>
          </w:p>
        </w:tc>
      </w:tr>
      <w:tr>
        <w:tc>
          <w:tcPr>
            <w:tcW w:type="dxa" w:w="3744"/>
          </w:tcPr>
          <w:p>
            <w:pPr>
              <w:spacing w:after="20"/>
            </w:pPr>
            <w:r>
              <w:rPr>
                <w:color w:val="1C3A36"/>
                <w:sz w:val="16"/>
              </w:rPr>
              <w:t>Capex path (×)  (0.85 / 0.93 / 1.00 / 1.10 / 1.20)</w:t>
            </w:r>
          </w:p>
        </w:tc>
        <w:tc>
          <w:tcPr>
            <w:tcW w:type="dxa" w:w="1008"/>
          </w:tcPr>
          <w:p>
            <w:pPr>
              <w:spacing w:after="20"/>
              <w:jc w:val="right"/>
            </w:pPr>
            <w:r>
              <w:rPr>
                <w:color w:val="1C3A36"/>
                <w:sz w:val="16"/>
              </w:rPr>
              <w:t>19.19</w:t>
            </w:r>
          </w:p>
        </w:tc>
        <w:tc>
          <w:tcPr>
            <w:tcW w:type="dxa" w:w="1008"/>
          </w:tcPr>
          <w:p>
            <w:pPr>
              <w:spacing w:after="20"/>
              <w:jc w:val="right"/>
            </w:pPr>
            <w:r>
              <w:rPr>
                <w:color w:val="1C3A36"/>
                <w:sz w:val="16"/>
              </w:rPr>
              <w:t>18.68</w:t>
            </w:r>
          </w:p>
        </w:tc>
        <w:tc>
          <w:tcPr>
            <w:tcW w:type="dxa" w:w="1008"/>
          </w:tcPr>
          <w:p>
            <w:pPr>
              <w:spacing w:after="20"/>
              <w:jc w:val="right"/>
            </w:pPr>
            <w:r>
              <w:rPr>
                <w:color w:val="1C3A36"/>
                <w:sz w:val="16"/>
              </w:rPr>
              <w:t>18.17</w:t>
            </w:r>
          </w:p>
        </w:tc>
        <w:tc>
          <w:tcPr>
            <w:tcW w:type="dxa" w:w="1008"/>
          </w:tcPr>
          <w:p>
            <w:pPr>
              <w:spacing w:after="20"/>
              <w:jc w:val="right"/>
            </w:pPr>
            <w:r>
              <w:rPr>
                <w:color w:val="1C3A36"/>
                <w:sz w:val="16"/>
              </w:rPr>
              <w:t>17.49</w:t>
            </w:r>
          </w:p>
        </w:tc>
        <w:tc>
          <w:tcPr>
            <w:tcW w:type="dxa" w:w="1008"/>
          </w:tcPr>
          <w:p>
            <w:pPr>
              <w:spacing w:after="20"/>
              <w:jc w:val="right"/>
            </w:pPr>
            <w:r>
              <w:rPr>
                <w:color w:val="1C3A36"/>
                <w:sz w:val="16"/>
              </w:rPr>
              <w:t>16.80</w:t>
            </w:r>
          </w:p>
        </w:tc>
        <w:tc>
          <w:tcPr>
            <w:tcW w:type="dxa" w:w="1008"/>
          </w:tcPr>
          <w:p>
            <w:pPr>
              <w:spacing w:after="20"/>
              <w:jc w:val="right"/>
            </w:pPr>
            <w:r>
              <w:rPr>
                <w:color w:val="1C3A36"/>
                <w:sz w:val="16"/>
              </w:rPr>
              <w:t>2.39</w:t>
            </w:r>
          </w:p>
        </w:tc>
      </w:tr>
      <w:tr>
        <w:tc>
          <w:tcPr>
            <w:tcW w:type="dxa" w:w="3744"/>
          </w:tcPr>
          <w:p>
            <w:pPr>
              <w:spacing w:after="20"/>
            </w:pPr>
            <w:r>
              <w:rPr>
                <w:color w:val="1C3A36"/>
                <w:sz w:val="16"/>
              </w:rPr>
              <w:t>Terminal ROIC  (18% / 22% / 26% / 30% / 34%)</w:t>
            </w:r>
          </w:p>
        </w:tc>
        <w:tc>
          <w:tcPr>
            <w:tcW w:type="dxa" w:w="1008"/>
          </w:tcPr>
          <w:p>
            <w:pPr>
              <w:spacing w:after="20"/>
              <w:jc w:val="right"/>
            </w:pPr>
            <w:r>
              <w:rPr>
                <w:color w:val="1C3A36"/>
                <w:sz w:val="16"/>
              </w:rPr>
              <w:t>17.40</w:t>
            </w:r>
          </w:p>
        </w:tc>
        <w:tc>
          <w:tcPr>
            <w:tcW w:type="dxa" w:w="1008"/>
          </w:tcPr>
          <w:p>
            <w:pPr>
              <w:spacing w:after="20"/>
              <w:jc w:val="right"/>
            </w:pPr>
            <w:r>
              <w:rPr>
                <w:color w:val="1C3A36"/>
                <w:sz w:val="16"/>
              </w:rPr>
              <w:t>17.84</w:t>
            </w:r>
          </w:p>
        </w:tc>
        <w:tc>
          <w:tcPr>
            <w:tcW w:type="dxa" w:w="1008"/>
          </w:tcPr>
          <w:p>
            <w:pPr>
              <w:spacing w:after="20"/>
              <w:jc w:val="right"/>
            </w:pPr>
            <w:r>
              <w:rPr>
                <w:color w:val="1C3A36"/>
                <w:sz w:val="16"/>
              </w:rPr>
              <w:t>18.17</w:t>
            </w:r>
          </w:p>
        </w:tc>
        <w:tc>
          <w:tcPr>
            <w:tcW w:type="dxa" w:w="1008"/>
          </w:tcPr>
          <w:p>
            <w:pPr>
              <w:spacing w:after="20"/>
              <w:jc w:val="right"/>
            </w:pPr>
            <w:r>
              <w:rPr>
                <w:color w:val="1C3A36"/>
                <w:sz w:val="16"/>
              </w:rPr>
              <w:t>18.36</w:t>
            </w:r>
          </w:p>
        </w:tc>
        <w:tc>
          <w:tcPr>
            <w:tcW w:type="dxa" w:w="1008"/>
          </w:tcPr>
          <w:p>
            <w:pPr>
              <w:spacing w:after="20"/>
              <w:jc w:val="right"/>
            </w:pPr>
            <w:r>
              <w:rPr>
                <w:color w:val="1C3A36"/>
                <w:sz w:val="16"/>
              </w:rPr>
              <w:t>18.53</w:t>
            </w:r>
          </w:p>
        </w:tc>
        <w:tc>
          <w:tcPr>
            <w:tcW w:type="dxa" w:w="1008"/>
          </w:tcPr>
          <w:p>
            <w:pPr>
              <w:spacing w:after="20"/>
              <w:jc w:val="right"/>
            </w:pPr>
            <w:r>
              <w:rPr>
                <w:color w:val="1C3A36"/>
                <w:sz w:val="16"/>
              </w:rPr>
              <w:t>1.13</w:t>
            </w:r>
          </w:p>
        </w:tc>
      </w:tr>
    </w:tbl>
    <w:p>
      <w:pPr>
        <w:spacing w:after="40"/>
      </w:pPr>
    </w:p>
    <w:p>
      <w:pPr>
        <w:spacing w:after="200" w:before="0"/>
      </w:pPr>
      <w:r>
        <w:rPr>
          <w:b w:val="0"/>
          <w:i/>
          <w:color w:val="6E7B77"/>
          <w:sz w:val="17"/>
        </w:rPr>
        <w:t>Table 10 — single-driver sensitivities on the DCF (AED/share); the middle column is the base. Each cell is a complete re-run of the model including the unit build, and each grid returns the base case at its base parameter — a check this study failed in its previous edition, where the beta row was computed on a retired construction and its base cell missed the headline by AED 1.77. The rank order is the honest hierarchy: the discount rate dwarfs every operating driver, and the fiscal take comes next; among operating drivers ARPU is king, which is why a duopoly that does not price-war deserves its premium.</w:t>
      </w:r>
    </w:p>
    <w:p>
      <w:pPr>
        <w:spacing w:after="120" w:before="280"/>
      </w:pPr>
      <w:r>
        <w:rPr>
          <w:b/>
          <w:i w:val="0"/>
          <w:color w:val="1C3A36"/>
          <w:sz w:val="30"/>
        </w:rPr>
        <w:t>2  Technical and price structure</w:t>
      </w:r>
    </w:p>
    <w:p>
      <w:pPr>
        <w:spacing w:after="40"/>
        <w:jc w:val="center"/>
      </w:pPr>
      <w:r>
        <w:drawing>
          <wp:inline xmlns:a="http://schemas.openxmlformats.org/drawingml/2006/main" xmlns:pic="http://schemas.openxmlformats.org/drawingml/2006/picture">
            <wp:extent cx="6400800" cy="2499359"/>
            <wp:docPr id="4" name="Picture 4"/>
            <wp:cNvGraphicFramePr>
              <a:graphicFrameLocks noChangeAspect="1"/>
            </wp:cNvGraphicFramePr>
            <a:graphic>
              <a:graphicData uri="http://schemas.openxmlformats.org/drawingml/2006/picture">
                <pic:pic>
                  <pic:nvPicPr>
                    <pic:cNvPr id="0" name="fig3_ma.png"/>
                    <pic:cNvPicPr/>
                  </pic:nvPicPr>
                  <pic:blipFill>
                    <a:blip r:embed="rId12"/>
                    <a:stretch>
                      <a:fillRect/>
                    </a:stretch>
                  </pic:blipFill>
                  <pic:spPr>
                    <a:xfrm>
                      <a:off x="0" y="0"/>
                      <a:ext cx="6400800" cy="2499359"/>
                    </a:xfrm>
                    <a:prstGeom prst="rect"/>
                  </pic:spPr>
                </pic:pic>
              </a:graphicData>
            </a:graphic>
          </wp:inline>
        </w:drawing>
      </w:r>
    </w:p>
    <w:p>
      <w:pPr>
        <w:spacing w:after="200" w:before="0"/>
      </w:pPr>
      <w:r>
        <w:rPr>
          <w:b w:val="0"/>
          <w:i/>
          <w:color w:val="6E7B77"/>
          <w:sz w:val="17"/>
        </w:rPr>
        <w:t>Figure 4 — price against the 20-, 50-, 100- and 200-session moving averages over the last 260 sessions.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656"/>
        <w:gridCol w:w="5760"/>
      </w:tblGrid>
      <w:tr>
        <w:tc>
          <w:tcPr>
            <w:tcW w:type="dxa" w:w="2664"/>
            <w:shd w:val="clear" w:color="auto" w:fill="EAF0EE"/>
          </w:tcPr>
          <w:p>
            <w:pPr>
              <w:spacing w:after="20"/>
            </w:pPr>
            <w:r>
              <w:rPr>
                <w:b/>
                <w:color w:val="1C3A36"/>
                <w:sz w:val="17"/>
              </w:rPr>
              <w:t>Marker</w:t>
            </w:r>
          </w:p>
        </w:tc>
        <w:tc>
          <w:tcPr>
            <w:tcW w:type="dxa" w:w="1656"/>
            <w:shd w:val="clear" w:color="auto" w:fill="EAF0EE"/>
          </w:tcPr>
          <w:p>
            <w:pPr>
              <w:spacing w:after="20"/>
            </w:pPr>
            <w:r>
              <w:rPr>
                <w:b/>
                <w:color w:val="1C3A36"/>
                <w:sz w:val="17"/>
              </w:rPr>
              <w:t>Level (AED)</w:t>
            </w:r>
          </w:p>
        </w:tc>
        <w:tc>
          <w:tcPr>
            <w:tcW w:type="dxa" w:w="5760"/>
            <w:shd w:val="clear" w:color="auto" w:fill="EAF0EE"/>
          </w:tcPr>
          <w:p>
            <w:pPr>
              <w:spacing w:after="20"/>
            </w:pPr>
            <w:r>
              <w:rPr>
                <w:b/>
                <w:color w:val="1C3A36"/>
                <w:sz w:val="17"/>
              </w:rPr>
              <w:t>Reading</w:t>
            </w:r>
          </w:p>
        </w:tc>
      </w:tr>
      <w:tr>
        <w:tc>
          <w:tcPr>
            <w:tcW w:type="dxa" w:w="2664"/>
          </w:tcPr>
          <w:p>
            <w:pPr>
              <w:spacing w:after="20"/>
            </w:pPr>
            <w:r>
              <w:rPr>
                <w:color w:val="1C3A36"/>
                <w:sz w:val="17"/>
              </w:rPr>
              <w:t>Last close</w:t>
            </w:r>
          </w:p>
        </w:tc>
        <w:tc>
          <w:tcPr>
            <w:tcW w:type="dxa" w:w="1656"/>
          </w:tcPr>
          <w:p>
            <w:pPr>
              <w:spacing w:after="20"/>
              <w:jc w:val="right"/>
            </w:pPr>
            <w:r>
              <w:rPr>
                <w:color w:val="1C3A36"/>
                <w:sz w:val="17"/>
              </w:rPr>
              <w:t>12.30</w:t>
            </w:r>
          </w:p>
        </w:tc>
        <w:tc>
          <w:tcPr>
            <w:tcW w:type="dxa" w:w="5760"/>
          </w:tcPr>
          <w:p>
            <w:pPr>
              <w:spacing w:after="20"/>
              <w:jc w:val="right"/>
            </w:pPr>
            <w:r>
              <w:rPr>
                <w:color w:val="1C3A36"/>
                <w:sz w:val="17"/>
              </w:rPr>
              <w:t>the anchor for everything in this study</w:t>
            </w:r>
          </w:p>
        </w:tc>
      </w:tr>
      <w:tr>
        <w:tc>
          <w:tcPr>
            <w:tcW w:type="dxa" w:w="2664"/>
          </w:tcPr>
          <w:p>
            <w:pPr>
              <w:spacing w:after="20"/>
            </w:pPr>
            <w:r>
              <w:rPr>
                <w:color w:val="1C3A36"/>
                <w:sz w:val="17"/>
              </w:rPr>
              <w:t>20-session average</w:t>
            </w:r>
          </w:p>
        </w:tc>
        <w:tc>
          <w:tcPr>
            <w:tcW w:type="dxa" w:w="1656"/>
          </w:tcPr>
          <w:p>
            <w:pPr>
              <w:spacing w:after="20"/>
              <w:jc w:val="right"/>
            </w:pPr>
            <w:r>
              <w:rPr>
                <w:color w:val="1C3A36"/>
                <w:sz w:val="17"/>
              </w:rPr>
              <w:t>12.18</w:t>
            </w:r>
          </w:p>
        </w:tc>
        <w:tc>
          <w:tcPr>
            <w:tcW w:type="dxa" w:w="5760"/>
          </w:tcPr>
          <w:p>
            <w:pPr>
              <w:spacing w:after="20"/>
              <w:jc w:val="right"/>
            </w:pPr>
            <w:r>
              <w:rPr>
                <w:color w:val="1C3A36"/>
                <w:sz w:val="17"/>
              </w:rPr>
              <w:t>price is +1.0% against it</w:t>
            </w:r>
          </w:p>
        </w:tc>
      </w:tr>
      <w:tr>
        <w:tc>
          <w:tcPr>
            <w:tcW w:type="dxa" w:w="2664"/>
          </w:tcPr>
          <w:p>
            <w:pPr>
              <w:spacing w:after="20"/>
            </w:pPr>
            <w:r>
              <w:rPr>
                <w:color w:val="1C3A36"/>
                <w:sz w:val="17"/>
              </w:rPr>
              <w:t>50-session average</w:t>
            </w:r>
          </w:p>
        </w:tc>
        <w:tc>
          <w:tcPr>
            <w:tcW w:type="dxa" w:w="1656"/>
          </w:tcPr>
          <w:p>
            <w:pPr>
              <w:spacing w:after="20"/>
              <w:jc w:val="right"/>
            </w:pPr>
            <w:r>
              <w:rPr>
                <w:color w:val="1C3A36"/>
                <w:sz w:val="17"/>
              </w:rPr>
              <w:t>11.92</w:t>
            </w:r>
          </w:p>
        </w:tc>
        <w:tc>
          <w:tcPr>
            <w:tcW w:type="dxa" w:w="5760"/>
          </w:tcPr>
          <w:p>
            <w:pPr>
              <w:spacing w:after="20"/>
              <w:jc w:val="right"/>
            </w:pPr>
            <w:r>
              <w:rPr>
                <w:color w:val="1C3A36"/>
                <w:sz w:val="17"/>
              </w:rPr>
              <w:t>price is +3.2% against it</w:t>
            </w:r>
          </w:p>
        </w:tc>
      </w:tr>
      <w:tr>
        <w:tc>
          <w:tcPr>
            <w:tcW w:type="dxa" w:w="2664"/>
          </w:tcPr>
          <w:p>
            <w:pPr>
              <w:spacing w:after="20"/>
            </w:pPr>
            <w:r>
              <w:rPr>
                <w:color w:val="1C3A36"/>
                <w:sz w:val="17"/>
              </w:rPr>
              <w:t>100-session average</w:t>
            </w:r>
          </w:p>
        </w:tc>
        <w:tc>
          <w:tcPr>
            <w:tcW w:type="dxa" w:w="1656"/>
          </w:tcPr>
          <w:p>
            <w:pPr>
              <w:spacing w:after="20"/>
              <w:jc w:val="right"/>
            </w:pPr>
            <w:r>
              <w:rPr>
                <w:color w:val="1C3A36"/>
                <w:sz w:val="17"/>
              </w:rPr>
              <w:t>11.22</w:t>
            </w:r>
          </w:p>
        </w:tc>
        <w:tc>
          <w:tcPr>
            <w:tcW w:type="dxa" w:w="5760"/>
          </w:tcPr>
          <w:p>
            <w:pPr>
              <w:spacing w:after="20"/>
              <w:jc w:val="right"/>
            </w:pPr>
            <w:r>
              <w:rPr>
                <w:color w:val="1C3A36"/>
                <w:sz w:val="17"/>
              </w:rPr>
              <w:t>price is +9.6% against it</w:t>
            </w:r>
          </w:p>
        </w:tc>
      </w:tr>
      <w:tr>
        <w:tc>
          <w:tcPr>
            <w:tcW w:type="dxa" w:w="2664"/>
          </w:tcPr>
          <w:p>
            <w:pPr>
              <w:spacing w:after="20"/>
            </w:pPr>
            <w:r>
              <w:rPr>
                <w:color w:val="1C3A36"/>
                <w:sz w:val="17"/>
              </w:rPr>
              <w:t>200-session average</w:t>
            </w:r>
          </w:p>
        </w:tc>
        <w:tc>
          <w:tcPr>
            <w:tcW w:type="dxa" w:w="1656"/>
          </w:tcPr>
          <w:p>
            <w:pPr>
              <w:spacing w:after="20"/>
              <w:jc w:val="right"/>
            </w:pPr>
            <w:r>
              <w:rPr>
                <w:color w:val="1C3A36"/>
                <w:sz w:val="17"/>
              </w:rPr>
              <w:t>10.60</w:t>
            </w:r>
          </w:p>
        </w:tc>
        <w:tc>
          <w:tcPr>
            <w:tcW w:type="dxa" w:w="5760"/>
          </w:tcPr>
          <w:p>
            <w:pPr>
              <w:spacing w:after="20"/>
              <w:jc w:val="right"/>
            </w:pPr>
            <w:r>
              <w:rPr>
                <w:color w:val="1C3A36"/>
                <w:sz w:val="17"/>
              </w:rPr>
              <w:t>price is +16.0% against it</w:t>
            </w:r>
          </w:p>
        </w:tc>
      </w:tr>
      <w:tr>
        <w:tc>
          <w:tcPr>
            <w:tcW w:type="dxa" w:w="2664"/>
          </w:tcPr>
          <w:p>
            <w:pPr>
              <w:spacing w:after="20"/>
            </w:pPr>
            <w:r>
              <w:rPr>
                <w:color w:val="1C3A36"/>
                <w:sz w:val="17"/>
              </w:rPr>
              <w:t>52-week high (closing basis)</w:t>
            </w:r>
          </w:p>
        </w:tc>
        <w:tc>
          <w:tcPr>
            <w:tcW w:type="dxa" w:w="1656"/>
          </w:tcPr>
          <w:p>
            <w:pPr>
              <w:spacing w:after="20"/>
              <w:jc w:val="right"/>
            </w:pPr>
            <w:r>
              <w:rPr>
                <w:color w:val="1C3A36"/>
                <w:sz w:val="17"/>
              </w:rPr>
              <w:t>12.76</w:t>
            </w:r>
          </w:p>
        </w:tc>
        <w:tc>
          <w:tcPr>
            <w:tcW w:type="dxa" w:w="5760"/>
          </w:tcPr>
          <w:p>
            <w:pPr>
              <w:spacing w:after="20"/>
              <w:jc w:val="right"/>
            </w:pPr>
            <w:r>
              <w:rPr>
                <w:color w:val="1C3A36"/>
                <w:sz w:val="17"/>
              </w:rPr>
              <w:t>-3.6% from the high</w:t>
            </w:r>
          </w:p>
        </w:tc>
      </w:tr>
      <w:tr>
        <w:tc>
          <w:tcPr>
            <w:tcW w:type="dxa" w:w="2664"/>
          </w:tcPr>
          <w:p>
            <w:pPr>
              <w:spacing w:after="20"/>
            </w:pPr>
            <w:r>
              <w:rPr>
                <w:color w:val="1C3A36"/>
                <w:sz w:val="17"/>
              </w:rPr>
              <w:t>52-week high (intraday)</w:t>
            </w:r>
          </w:p>
        </w:tc>
        <w:tc>
          <w:tcPr>
            <w:tcW w:type="dxa" w:w="1656"/>
          </w:tcPr>
          <w:p>
            <w:pPr>
              <w:spacing w:after="20"/>
              <w:jc w:val="right"/>
            </w:pPr>
            <w:r>
              <w:rPr>
                <w:color w:val="1C3A36"/>
                <w:sz w:val="17"/>
              </w:rPr>
              <w:t>12.80</w:t>
            </w:r>
          </w:p>
        </w:tc>
        <w:tc>
          <w:tcPr>
            <w:tcW w:type="dxa" w:w="5760"/>
          </w:tcPr>
          <w:p>
            <w:pPr>
              <w:spacing w:after="20"/>
              <w:jc w:val="right"/>
            </w:pPr>
            <w:r>
              <w:rPr>
                <w:color w:val="1C3A36"/>
                <w:sz w:val="17"/>
              </w:rPr>
              <w:t>-3.9% from the high — the conventional basis, and the wider of the two</w:t>
            </w:r>
          </w:p>
        </w:tc>
      </w:tr>
      <w:tr>
        <w:tc>
          <w:tcPr>
            <w:tcW w:type="dxa" w:w="2664"/>
          </w:tcPr>
          <w:p>
            <w:pPr>
              <w:spacing w:after="20"/>
            </w:pPr>
            <w:r>
              <w:rPr>
                <w:color w:val="1C3A36"/>
                <w:sz w:val="17"/>
              </w:rPr>
              <w:t>52-week low (closing basis)</w:t>
            </w:r>
          </w:p>
        </w:tc>
        <w:tc>
          <w:tcPr>
            <w:tcW w:type="dxa" w:w="1656"/>
          </w:tcPr>
          <w:p>
            <w:pPr>
              <w:spacing w:after="20"/>
              <w:jc w:val="right"/>
            </w:pPr>
            <w:r>
              <w:rPr>
                <w:color w:val="1C3A36"/>
                <w:sz w:val="17"/>
              </w:rPr>
              <w:t>9.17</w:t>
            </w:r>
          </w:p>
        </w:tc>
        <w:tc>
          <w:tcPr>
            <w:tcW w:type="dxa" w:w="5760"/>
          </w:tcPr>
          <w:p>
            <w:pPr>
              <w:spacing w:after="20"/>
              <w:jc w:val="right"/>
            </w:pPr>
            <w:r>
              <w:rPr>
                <w:color w:val="1C3A36"/>
                <w:sz w:val="17"/>
              </w:rPr>
              <w:t>+34.1% from the low</w:t>
            </w:r>
          </w:p>
        </w:tc>
      </w:tr>
      <w:tr>
        <w:tc>
          <w:tcPr>
            <w:tcW w:type="dxa" w:w="2664"/>
          </w:tcPr>
          <w:p>
            <w:pPr>
              <w:spacing w:after="20"/>
            </w:pPr>
            <w:r>
              <w:rPr>
                <w:color w:val="1C3A36"/>
                <w:sz w:val="17"/>
              </w:rPr>
              <w:t>52-week low (intraday)</w:t>
            </w:r>
          </w:p>
        </w:tc>
        <w:tc>
          <w:tcPr>
            <w:tcW w:type="dxa" w:w="1656"/>
          </w:tcPr>
          <w:p>
            <w:pPr>
              <w:spacing w:after="20"/>
              <w:jc w:val="right"/>
            </w:pPr>
            <w:r>
              <w:rPr>
                <w:color w:val="1C3A36"/>
                <w:sz w:val="17"/>
              </w:rPr>
              <w:t>9.05</w:t>
            </w:r>
          </w:p>
        </w:tc>
        <w:tc>
          <w:tcPr>
            <w:tcW w:type="dxa" w:w="5760"/>
          </w:tcPr>
          <w:p>
            <w:pPr>
              <w:spacing w:after="20"/>
              <w:jc w:val="right"/>
            </w:pPr>
            <w:r>
              <w:rPr>
                <w:color w:val="1C3A36"/>
                <w:sz w:val="17"/>
              </w:rPr>
              <w:t>+35.9% from the low — the same two bases as the high above</w:t>
            </w:r>
          </w:p>
        </w:tc>
      </w:tr>
      <w:tr>
        <w:tc>
          <w:tcPr>
            <w:tcW w:type="dxa" w:w="2664"/>
          </w:tcPr>
          <w:p>
            <w:pPr>
              <w:spacing w:after="20"/>
            </w:pPr>
            <w:r>
              <w:rPr>
                <w:color w:val="1C3A36"/>
                <w:sz w:val="17"/>
              </w:rPr>
              <w:t>Annualised volatility</w:t>
            </w:r>
          </w:p>
        </w:tc>
        <w:tc>
          <w:tcPr>
            <w:tcW w:type="dxa" w:w="1656"/>
          </w:tcPr>
          <w:p>
            <w:pPr>
              <w:spacing w:after="20"/>
              <w:jc w:val="right"/>
            </w:pPr>
            <w:r>
              <w:rPr>
                <w:color w:val="1C3A36"/>
                <w:sz w:val="17"/>
              </w:rPr>
              <w:t>28.1%</w:t>
            </w:r>
          </w:p>
        </w:tc>
        <w:tc>
          <w:tcPr>
            <w:tcW w:type="dxa" w:w="5760"/>
          </w:tcPr>
          <w:p>
            <w:pPr>
              <w:spacing w:after="20"/>
              <w:jc w:val="right"/>
            </w:pPr>
            <w:r>
              <w:rPr>
                <w:color w:val="1C3A36"/>
                <w:sz w:val="17"/>
              </w:rPr>
              <w:t>the fitted range-based volatility model's CURRENT state — elevated by the war-quarter swings — and the input to the price cone in section 3</w:t>
            </w:r>
          </w:p>
        </w:tc>
      </w:tr>
    </w:tbl>
    <w:p>
      <w:pPr>
        <w:spacing w:after="40"/>
      </w:pPr>
    </w:p>
    <w:p>
      <w:pPr>
        <w:spacing w:after="200" w:before="0"/>
      </w:pPr>
      <w:r>
        <w:rPr>
          <w:b w:val="0"/>
          <w:i w:val="0"/>
          <w:color w:val="1C3A36"/>
          <w:sz w:val="21"/>
        </w:rPr>
        <w:t>The share sits +16.0% above its 200-session average but -3.6% below its 52-week closing high — an uptrend that has given back its top since the war quarter. Realised volatility over the last 50 sessions is 21.4%; the model's range-based estimate of 28.1% reflects the regime of the last months rather than a single session. None of this is a valuation argument; it is the price context the valuation has to be read against, and the gap between a recovering price and a fundamental central above it is what section 4 addresses.</w:t>
      </w:r>
    </w:p>
    <w:p>
      <w:pPr>
        <w:spacing w:after="120" w:before="280"/>
      </w:pPr>
      <w:r>
        <w:rPr>
          <w:b/>
          <w:i w:val="0"/>
          <w:color w:val="1C3A36"/>
          <w:sz w:val="30"/>
        </w:rPr>
        <w:t>3  A probabilistic price map</w:t>
      </w:r>
    </w:p>
    <w:p>
      <w:pPr>
        <w:spacing w:after="120" w:before="0"/>
      </w:pPr>
      <w:r>
        <w:rPr>
          <w:b w:val="0"/>
          <w:i w:val="0"/>
          <w:color w:val="1C3A36"/>
          <w:sz w:val="21"/>
        </w:rPr>
        <w:t>This section answers a different question from the valuation. It does not ask what the business is worth; it asks where the share price could plausibly be in one and three months, given how this share has actually moved. The engine simulates 50,000 price paths from a volatility model fitted to the daily high-low-open-close range, with a fat-tailed shock distribution and a drift anchored to the cost of carry — the dollar policy path under the dirham's peg, net of the dividend yield — carrying no directional view.</w:t>
      </w:r>
    </w:p>
    <w:p>
      <w:pPr>
        <w:spacing w:after="120" w:before="0"/>
      </w:pPr>
      <w:r>
        <w:rPr>
          <w:b w:val="0"/>
          <w:i w:val="0"/>
          <w:color w:val="1C3A36"/>
          <w:sz w:val="21"/>
        </w:rPr>
        <w:t>The widths below are tested rather than assumed, and the honest result is stated plainly: over the last five years of non-overlapping quarterly windows (18 of them, origins 2022-01-27 to 2026-04-29, each forecast using only data available before it), the model scored -0.74% against a random-walk benchmark anchored on the same cost of carry — statistically indistinguishable from the benchmark (the confidence interval spans zero), neither better nor worse. Outcomes were spread evenly across the distribution: a uniformity test returns p = 0.69, which at 18 windows means the test cannot reject uniformity — a statement about the test's power, not a certificate of calibration. On coverage the honest finding is OVER-dispersion, not calibration: outcomes fell inside the stated bands MORE often than advertised at every level (61% inside the 50% band, 94% inside the 80%, 100% inside the 90%), and for this low-volatility share the bands run about 53% wider than the benchmark's. The cone is too wide rather than too confident, and a reader should treat the outer bands as generous. Over the full history the model UNDERPERFORMS the benchmark on windows that predate the 2022 change in the exchange's trading week. Those windows are excluded from the calibration for that reason, and the figures quoted above are the post-exclusion set — 18 windows with origins from 2022-01-27 to 2026-04-29, all after the change. The previous edition quoted a nineteen-window set beginning 27 October 2021 in the same breath as the exclusion, which was inconsistent.</w:t>
      </w:r>
    </w:p>
    <w:p>
      <w:pPr>
        <w:spacing w:after="120" w:before="0"/>
      </w:pPr>
      <w:r>
        <w:rPr>
          <w:b w:val="0"/>
          <w:i w:val="0"/>
          <w:color w:val="1C3A36"/>
          <w:sz w:val="21"/>
        </w:rPr>
        <w:t>This is a map of price dispersion, not a forecast, and it is never blended with the fair-value work above.</w:t>
      </w:r>
    </w:p>
    <w:p>
      <w:pPr>
        <w:spacing w:after="40"/>
        <w:jc w:val="center"/>
      </w:pPr>
      <w:r>
        <w:drawing>
          <wp:inline xmlns:a="http://schemas.openxmlformats.org/drawingml/2006/main" xmlns:pic="http://schemas.openxmlformats.org/drawingml/2006/picture">
            <wp:extent cx="6400800" cy="2743200"/>
            <wp:docPr id="5" name="Picture 5"/>
            <wp:cNvGraphicFramePr>
              <a:graphicFrameLocks noChangeAspect="1"/>
            </wp:cNvGraphicFramePr>
            <a:graphic>
              <a:graphicData uri="http://schemas.openxmlformats.org/drawingml/2006/picture">
                <pic:pic>
                  <pic:nvPicPr>
                    <pic:cNvPr id="0" name="fig4_fan.png"/>
                    <pic:cNvPicPr/>
                  </pic:nvPicPr>
                  <pic:blipFill>
                    <a:blip r:embed="rId13"/>
                    <a:stretch>
                      <a:fillRect/>
                    </a:stretch>
                  </pic:blipFill>
                  <pic:spPr>
                    <a:xfrm>
                      <a:off x="0" y="0"/>
                      <a:ext cx="6400800" cy="2743200"/>
                    </a:xfrm>
                    <a:prstGeom prst="rect"/>
                  </pic:spPr>
                </pic:pic>
              </a:graphicData>
            </a:graphic>
          </wp:inline>
        </w:drawing>
      </w:r>
    </w:p>
    <w:p>
      <w:pPr>
        <w:spacing w:after="200" w:before="0"/>
      </w:pPr>
      <w:r>
        <w:rPr>
          <w:b w:val="0"/>
          <w:i/>
          <w:color w:val="6E7B77"/>
          <w:sz w:val="17"/>
        </w:rPr>
        <w:t>Figure 5 — the forward price cone to three months. The dashed brass line is the fundamental central estimate of 13.45; the dotted line is the spot of 12.30.</w:t>
      </w:r>
    </w:p>
    <w:p>
      <w:pPr>
        <w:spacing w:after="80" w:before="200"/>
      </w:pPr>
      <w:r>
        <w:rPr>
          <w:b/>
          <w:i w:val="0"/>
          <w:color w:val="1C3A36"/>
          <w:sz w:val="24"/>
        </w:rPr>
        <w:t>Percentile map (AED/share)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152"/>
        <w:gridCol w:w="1152"/>
        <w:gridCol w:w="1152"/>
        <w:gridCol w:w="1152"/>
        <w:gridCol w:w="1152"/>
        <w:gridCol w:w="1512"/>
      </w:tblGrid>
      <w:tr>
        <w:tc>
          <w:tcPr>
            <w:tcW w:type="dxa" w:w="2808"/>
            <w:shd w:val="clear" w:color="auto" w:fill="EAF0EE"/>
          </w:tcPr>
          <w:p>
            <w:pPr>
              <w:spacing w:after="20"/>
            </w:pPr>
            <w:r>
              <w:rPr>
                <w:b/>
                <w:color w:val="1C3A36"/>
                <w:sz w:val="17"/>
              </w:rPr>
              <w:t>Horizon</w:t>
            </w:r>
          </w:p>
        </w:tc>
        <w:tc>
          <w:tcPr>
            <w:tcW w:type="dxa" w:w="1152"/>
            <w:shd w:val="clear" w:color="auto" w:fill="EAF0EE"/>
          </w:tcPr>
          <w:p>
            <w:pPr>
              <w:spacing w:after="20"/>
            </w:pPr>
            <w:r>
              <w:rPr>
                <w:b/>
                <w:color w:val="1C3A36"/>
                <w:sz w:val="17"/>
              </w:rPr>
              <w:t>5th</w:t>
            </w:r>
          </w:p>
        </w:tc>
        <w:tc>
          <w:tcPr>
            <w:tcW w:type="dxa" w:w="1152"/>
            <w:shd w:val="clear" w:color="auto" w:fill="EAF0EE"/>
          </w:tcPr>
          <w:p>
            <w:pPr>
              <w:spacing w:after="20"/>
            </w:pPr>
            <w:r>
              <w:rPr>
                <w:b/>
                <w:color w:val="1C3A36"/>
                <w:sz w:val="17"/>
              </w:rPr>
              <w:t>25th</w:t>
            </w:r>
          </w:p>
        </w:tc>
        <w:tc>
          <w:tcPr>
            <w:tcW w:type="dxa" w:w="1152"/>
            <w:shd w:val="clear" w:color="auto" w:fill="EAF0EE"/>
          </w:tcPr>
          <w:p>
            <w:pPr>
              <w:spacing w:after="20"/>
            </w:pPr>
            <w:r>
              <w:rPr>
                <w:b/>
                <w:color w:val="1C3A36"/>
                <w:sz w:val="17"/>
              </w:rPr>
              <w:t>Median</w:t>
            </w:r>
          </w:p>
        </w:tc>
        <w:tc>
          <w:tcPr>
            <w:tcW w:type="dxa" w:w="1152"/>
            <w:shd w:val="clear" w:color="auto" w:fill="EAF0EE"/>
          </w:tcPr>
          <w:p>
            <w:pPr>
              <w:spacing w:after="20"/>
            </w:pPr>
            <w:r>
              <w:rPr>
                <w:b/>
                <w:color w:val="1C3A36"/>
                <w:sz w:val="17"/>
              </w:rPr>
              <w:t>75th</w:t>
            </w:r>
          </w:p>
        </w:tc>
        <w:tc>
          <w:tcPr>
            <w:tcW w:type="dxa" w:w="1152"/>
            <w:shd w:val="clear" w:color="auto" w:fill="EAF0EE"/>
          </w:tcPr>
          <w:p>
            <w:pPr>
              <w:spacing w:after="20"/>
            </w:pPr>
            <w:r>
              <w:rPr>
                <w:b/>
                <w:color w:val="1C3A36"/>
                <w:sz w:val="17"/>
              </w:rPr>
              <w:t>95th</w:t>
            </w:r>
          </w:p>
        </w:tc>
        <w:tc>
          <w:tcPr>
            <w:tcW w:type="dxa" w:w="1512"/>
            <w:shd w:val="clear" w:color="auto" w:fill="EAF0EE"/>
          </w:tcPr>
          <w:p>
            <w:pPr>
              <w:spacing w:after="20"/>
            </w:pPr>
            <w:r>
              <w:rPr>
                <w:b/>
                <w:color w:val="1C3A36"/>
                <w:sz w:val="17"/>
              </w:rPr>
              <w:t>P(above spot)</w:t>
            </w:r>
          </w:p>
        </w:tc>
      </w:tr>
      <w:tr>
        <w:tc>
          <w:tcPr>
            <w:tcW w:type="dxa" w:w="2808"/>
          </w:tcPr>
          <w:p>
            <w:pPr>
              <w:spacing w:after="20"/>
            </w:pPr>
            <w:r>
              <w:rPr>
                <w:color w:val="1C3A36"/>
                <w:sz w:val="17"/>
              </w:rPr>
              <w:t>One month — to 2026-09-07</w:t>
            </w:r>
          </w:p>
        </w:tc>
        <w:tc>
          <w:tcPr>
            <w:tcW w:type="dxa" w:w="1152"/>
          </w:tcPr>
          <w:p>
            <w:pPr>
              <w:spacing w:after="20"/>
              <w:jc w:val="right"/>
            </w:pPr>
            <w:r>
              <w:rPr>
                <w:color w:val="1C3A36"/>
                <w:sz w:val="17"/>
              </w:rPr>
              <w:t>10.85</w:t>
            </w:r>
          </w:p>
        </w:tc>
        <w:tc>
          <w:tcPr>
            <w:tcW w:type="dxa" w:w="1152"/>
          </w:tcPr>
          <w:p>
            <w:pPr>
              <w:spacing w:after="20"/>
              <w:jc w:val="right"/>
            </w:pPr>
            <w:r>
              <w:rPr>
                <w:color w:val="1C3A36"/>
                <w:sz w:val="17"/>
              </w:rPr>
              <w:t>11.71</w:t>
            </w:r>
          </w:p>
        </w:tc>
        <w:tc>
          <w:tcPr>
            <w:tcW w:type="dxa" w:w="1152"/>
          </w:tcPr>
          <w:p>
            <w:pPr>
              <w:spacing w:after="20"/>
              <w:jc w:val="right"/>
            </w:pPr>
            <w:r>
              <w:rPr>
                <w:color w:val="1C3A36"/>
                <w:sz w:val="17"/>
              </w:rPr>
              <w:t>12.28</w:t>
            </w:r>
          </w:p>
        </w:tc>
        <w:tc>
          <w:tcPr>
            <w:tcW w:type="dxa" w:w="1152"/>
          </w:tcPr>
          <w:p>
            <w:pPr>
              <w:spacing w:after="20"/>
              <w:jc w:val="right"/>
            </w:pPr>
            <w:r>
              <w:rPr>
                <w:color w:val="1C3A36"/>
                <w:sz w:val="17"/>
              </w:rPr>
              <w:t>12.89</w:t>
            </w:r>
          </w:p>
        </w:tc>
        <w:tc>
          <w:tcPr>
            <w:tcW w:type="dxa" w:w="1152"/>
          </w:tcPr>
          <w:p>
            <w:pPr>
              <w:spacing w:after="20"/>
              <w:jc w:val="right"/>
            </w:pPr>
            <w:r>
              <w:rPr>
                <w:color w:val="1C3A36"/>
                <w:sz w:val="17"/>
              </w:rPr>
              <w:t>13.88</w:t>
            </w:r>
          </w:p>
        </w:tc>
        <w:tc>
          <w:tcPr>
            <w:tcW w:type="dxa" w:w="1512"/>
          </w:tcPr>
          <w:p>
            <w:pPr>
              <w:spacing w:after="20"/>
              <w:jc w:val="right"/>
            </w:pPr>
            <w:r>
              <w:rPr>
                <w:color w:val="1C3A36"/>
                <w:sz w:val="17"/>
              </w:rPr>
              <w:t>49%</w:t>
            </w:r>
          </w:p>
        </w:tc>
      </w:tr>
      <w:tr>
        <w:tc>
          <w:tcPr>
            <w:tcW w:type="dxa" w:w="2808"/>
          </w:tcPr>
          <w:p>
            <w:pPr>
              <w:spacing w:after="20"/>
            </w:pPr>
            <w:r>
              <w:rPr>
                <w:color w:val="1C3A36"/>
                <w:sz w:val="17"/>
              </w:rPr>
              <w:t>Three months — to 2026-11-09</w:t>
            </w:r>
          </w:p>
        </w:tc>
        <w:tc>
          <w:tcPr>
            <w:tcW w:type="dxa" w:w="1152"/>
          </w:tcPr>
          <w:p>
            <w:pPr>
              <w:spacing w:after="20"/>
              <w:jc w:val="right"/>
            </w:pPr>
            <w:r>
              <w:rPr>
                <w:color w:val="1C3A36"/>
                <w:sz w:val="17"/>
              </w:rPr>
              <w:t>9.82</w:t>
            </w:r>
          </w:p>
        </w:tc>
        <w:tc>
          <w:tcPr>
            <w:tcW w:type="dxa" w:w="1152"/>
          </w:tcPr>
          <w:p>
            <w:pPr>
              <w:spacing w:after="20"/>
              <w:jc w:val="right"/>
            </w:pPr>
            <w:r>
              <w:rPr>
                <w:color w:val="1C3A36"/>
                <w:sz w:val="17"/>
              </w:rPr>
              <w:t>11.26</w:t>
            </w:r>
          </w:p>
        </w:tc>
        <w:tc>
          <w:tcPr>
            <w:tcW w:type="dxa" w:w="1152"/>
          </w:tcPr>
          <w:p>
            <w:pPr>
              <w:spacing w:after="20"/>
              <w:jc w:val="right"/>
            </w:pPr>
            <w:r>
              <w:rPr>
                <w:color w:val="1C3A36"/>
                <w:sz w:val="17"/>
              </w:rPr>
              <w:t>12.26</w:t>
            </w:r>
          </w:p>
        </w:tc>
        <w:tc>
          <w:tcPr>
            <w:tcW w:type="dxa" w:w="1152"/>
          </w:tcPr>
          <w:p>
            <w:pPr>
              <w:spacing w:after="20"/>
              <w:jc w:val="right"/>
            </w:pPr>
            <w:r>
              <w:rPr>
                <w:color w:val="1C3A36"/>
                <w:sz w:val="17"/>
              </w:rPr>
              <w:t>13.35</w:t>
            </w:r>
          </w:p>
        </w:tc>
        <w:tc>
          <w:tcPr>
            <w:tcW w:type="dxa" w:w="1152"/>
          </w:tcPr>
          <w:p>
            <w:pPr>
              <w:spacing w:after="20"/>
              <w:jc w:val="right"/>
            </w:pPr>
            <w:r>
              <w:rPr>
                <w:color w:val="1C3A36"/>
                <w:sz w:val="17"/>
              </w:rPr>
              <w:t>15.32</w:t>
            </w:r>
          </w:p>
        </w:tc>
        <w:tc>
          <w:tcPr>
            <w:tcW w:type="dxa" w:w="1512"/>
          </w:tcPr>
          <w:p>
            <w:pPr>
              <w:spacing w:after="20"/>
              <w:jc w:val="right"/>
            </w:pPr>
            <w:r>
              <w:rPr>
                <w:color w:val="1C3A36"/>
                <w:sz w:val="17"/>
              </w:rPr>
              <w:t>49%</w:t>
            </w:r>
          </w:p>
        </w:tc>
      </w:tr>
    </w:tbl>
    <w:p>
      <w:pPr>
        <w:spacing w:after="40"/>
      </w:pPr>
    </w:p>
    <w:p>
      <w:pPr>
        <w:spacing w:after="40"/>
        <w:jc w:val="center"/>
      </w:pPr>
      <w:r>
        <w:drawing>
          <wp:inline xmlns:a="http://schemas.openxmlformats.org/drawingml/2006/main" xmlns:pic="http://schemas.openxmlformats.org/drawingml/2006/picture">
            <wp:extent cx="4937760" cy="2468880"/>
            <wp:docPr id="6" name="Picture 6"/>
            <wp:cNvGraphicFramePr>
              <a:graphicFrameLocks noChangeAspect="1"/>
            </wp:cNvGraphicFramePr>
            <a:graphic>
              <a:graphicData uri="http://schemas.openxmlformats.org/drawingml/2006/picture">
                <pic:pic>
                  <pic:nvPicPr>
                    <pic:cNvPr id="0" name="fig5_dist.png"/>
                    <pic:cNvPicPr/>
                  </pic:nvPicPr>
                  <pic:blipFill>
                    <a:blip r:embed="rId14"/>
                    <a:stretch>
                      <a:fillRect/>
                    </a:stretch>
                  </pic:blipFill>
                  <pic:spPr>
                    <a:xfrm>
                      <a:off x="0" y="0"/>
                      <a:ext cx="4937760" cy="2468880"/>
                    </a:xfrm>
                    <a:prstGeom prst="rect"/>
                  </pic:spPr>
                </pic:pic>
              </a:graphicData>
            </a:graphic>
          </wp:inline>
        </w:drawing>
      </w:r>
    </w:p>
    <w:p>
      <w:pPr>
        <w:spacing w:after="200" w:before="0"/>
      </w:pPr>
      <w:r>
        <w:rPr>
          <w:b w:val="0"/>
          <w:i/>
          <w:color w:val="6E7B77"/>
          <w:sz w:val="17"/>
        </w:rPr>
        <w:t>Figure 6 — price distribution at one month.</w:t>
      </w:r>
    </w:p>
    <w:p>
      <w:pPr>
        <w:spacing w:after="40"/>
        <w:jc w:val="center"/>
      </w:pPr>
      <w:r>
        <w:drawing>
          <wp:inline xmlns:a="http://schemas.openxmlformats.org/drawingml/2006/main" xmlns:pic="http://schemas.openxmlformats.org/drawingml/2006/picture">
            <wp:extent cx="4937760" cy="2468880"/>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4937760" cy="2468880"/>
                    </a:xfrm>
                    <a:prstGeom prst="rect"/>
                  </pic:spPr>
                </pic:pic>
              </a:graphicData>
            </a:graphic>
          </wp:inline>
        </w:drawing>
      </w:r>
    </w:p>
    <w:p>
      <w:pPr>
        <w:spacing w:after="200" w:before="0"/>
      </w:pPr>
      <w:r>
        <w:rPr>
          <w:b w:val="0"/>
          <w:i/>
          <w:color w:val="6E7B77"/>
          <w:sz w:val="17"/>
        </w:rPr>
        <w:t>Figure 7 — price distribution at three months.</w:t>
      </w:r>
    </w:p>
    <w:p>
      <w:pPr>
        <w:spacing w:after="80" w:before="200"/>
      </w:pPr>
      <w:r>
        <w:rPr>
          <w:b/>
          <w:i w:val="0"/>
          <w:color w:val="1C3A36"/>
          <w:sz w:val="24"/>
        </w:rPr>
        <w:t>Level-touch ladder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1872"/>
        <w:gridCol w:w="1872"/>
      </w:tblGrid>
      <w:tr>
        <w:tc>
          <w:tcPr>
            <w:tcW w:type="dxa" w:w="4752"/>
            <w:shd w:val="clear" w:color="auto" w:fill="EAF0EE"/>
          </w:tcPr>
          <w:p>
            <w:pPr>
              <w:spacing w:after="20"/>
            </w:pPr>
            <w:r>
              <w:rPr>
                <w:b/>
                <w:color w:val="1C3A36"/>
                <w:sz w:val="17"/>
              </w:rPr>
              <w:t>Event</w:t>
            </w:r>
          </w:p>
        </w:tc>
        <w:tc>
          <w:tcPr>
            <w:tcW w:type="dxa" w:w="1872"/>
            <w:shd w:val="clear" w:color="auto" w:fill="EAF0EE"/>
          </w:tcPr>
          <w:p>
            <w:pPr>
              <w:spacing w:after="20"/>
            </w:pPr>
            <w:r>
              <w:rPr>
                <w:b/>
                <w:color w:val="1C3A36"/>
                <w:sz w:val="17"/>
              </w:rPr>
              <w:t>One month</w:t>
            </w:r>
          </w:p>
        </w:tc>
        <w:tc>
          <w:tcPr>
            <w:tcW w:type="dxa" w:w="1872"/>
            <w:shd w:val="clear" w:color="auto" w:fill="EAF0EE"/>
          </w:tcPr>
          <w:p>
            <w:pPr>
              <w:spacing w:after="20"/>
            </w:pPr>
            <w:r>
              <w:rPr>
                <w:b/>
                <w:color w:val="1C3A36"/>
                <w:sz w:val="17"/>
              </w:rPr>
              <w:t>Three months</w:t>
            </w:r>
          </w:p>
        </w:tc>
      </w:tr>
      <w:tr>
        <w:tc>
          <w:tcPr>
            <w:tcW w:type="dxa" w:w="4752"/>
          </w:tcPr>
          <w:p>
            <w:pPr>
              <w:spacing w:after="20"/>
            </w:pPr>
            <w:r>
              <w:rPr>
                <w:color w:val="1C3A36"/>
                <w:sz w:val="17"/>
              </w:rPr>
              <w:t>Finishes 10% or more above spot</w:t>
            </w:r>
          </w:p>
        </w:tc>
        <w:tc>
          <w:tcPr>
            <w:tcW w:type="dxa" w:w="1872"/>
          </w:tcPr>
          <w:p>
            <w:pPr>
              <w:spacing w:after="20"/>
              <w:jc w:val="right"/>
            </w:pPr>
            <w:r>
              <w:rPr>
                <w:color w:val="1C3A36"/>
                <w:sz w:val="17"/>
              </w:rPr>
              <w:t>9%</w:t>
            </w:r>
          </w:p>
        </w:tc>
        <w:tc>
          <w:tcPr>
            <w:tcW w:type="dxa" w:w="1872"/>
          </w:tcPr>
          <w:p>
            <w:pPr>
              <w:spacing w:after="20"/>
              <w:jc w:val="right"/>
            </w:pPr>
            <w:r>
              <w:rPr>
                <w:color w:val="1C3A36"/>
                <w:sz w:val="17"/>
              </w:rPr>
              <w:t>22%</w:t>
            </w:r>
          </w:p>
        </w:tc>
      </w:tr>
      <w:tr>
        <w:tc>
          <w:tcPr>
            <w:tcW w:type="dxa" w:w="4752"/>
          </w:tcPr>
          <w:p>
            <w:pPr>
              <w:spacing w:after="20"/>
            </w:pPr>
            <w:r>
              <w:rPr>
                <w:color w:val="1C3A36"/>
                <w:sz w:val="17"/>
              </w:rPr>
              <w:t>Finishes 10% or more below spot</w:t>
            </w:r>
          </w:p>
        </w:tc>
        <w:tc>
          <w:tcPr>
            <w:tcW w:type="dxa" w:w="1872"/>
          </w:tcPr>
          <w:p>
            <w:pPr>
              <w:spacing w:after="20"/>
              <w:jc w:val="right"/>
            </w:pPr>
            <w:r>
              <w:rPr>
                <w:color w:val="1C3A36"/>
                <w:sz w:val="17"/>
              </w:rPr>
              <w:t>8%</w:t>
            </w:r>
          </w:p>
        </w:tc>
        <w:tc>
          <w:tcPr>
            <w:tcW w:type="dxa" w:w="1872"/>
          </w:tcPr>
          <w:p>
            <w:pPr>
              <w:spacing w:after="20"/>
              <w:jc w:val="right"/>
            </w:pPr>
            <w:r>
              <w:rPr>
                <w:color w:val="1C3A36"/>
                <w:sz w:val="17"/>
              </w:rPr>
              <w:t>21%</w:t>
            </w:r>
          </w:p>
        </w:tc>
      </w:tr>
      <w:tr>
        <w:tc>
          <w:tcPr>
            <w:tcW w:type="dxa" w:w="4752"/>
          </w:tcPr>
          <w:p>
            <w:pPr>
              <w:spacing w:after="20"/>
            </w:pPr>
            <w:r>
              <w:rPr>
                <w:color w:val="1C3A36"/>
                <w:sz w:val="17"/>
              </w:rPr>
              <w:t>Touches 10% above spot at any point</w:t>
            </w:r>
          </w:p>
        </w:tc>
        <w:tc>
          <w:tcPr>
            <w:tcW w:type="dxa" w:w="1872"/>
          </w:tcPr>
          <w:p>
            <w:pPr>
              <w:spacing w:after="20"/>
              <w:jc w:val="right"/>
            </w:pPr>
            <w:r>
              <w:rPr>
                <w:color w:val="1C3A36"/>
                <w:sz w:val="17"/>
              </w:rPr>
              <w:t>15%</w:t>
            </w:r>
          </w:p>
        </w:tc>
        <w:tc>
          <w:tcPr>
            <w:tcW w:type="dxa" w:w="1872"/>
          </w:tcPr>
          <w:p>
            <w:pPr>
              <w:spacing w:after="20"/>
              <w:jc w:val="right"/>
            </w:pPr>
            <w:r>
              <w:rPr>
                <w:color w:val="1C3A36"/>
                <w:sz w:val="17"/>
              </w:rPr>
              <w:t>41%</w:t>
            </w:r>
          </w:p>
        </w:tc>
      </w:tr>
      <w:tr>
        <w:tc>
          <w:tcPr>
            <w:tcW w:type="dxa" w:w="4752"/>
          </w:tcPr>
          <w:p>
            <w:pPr>
              <w:spacing w:after="20"/>
            </w:pPr>
            <w:r>
              <w:rPr>
                <w:color w:val="1C3A36"/>
                <w:sz w:val="17"/>
              </w:rPr>
              <w:t>Touches 10% below spot at any point</w:t>
            </w:r>
          </w:p>
        </w:tc>
        <w:tc>
          <w:tcPr>
            <w:tcW w:type="dxa" w:w="1872"/>
          </w:tcPr>
          <w:p>
            <w:pPr>
              <w:spacing w:after="20"/>
              <w:jc w:val="right"/>
            </w:pPr>
            <w:r>
              <w:rPr>
                <w:color w:val="1C3A36"/>
                <w:sz w:val="17"/>
              </w:rPr>
              <w:t>13%</w:t>
            </w:r>
          </w:p>
        </w:tc>
        <w:tc>
          <w:tcPr>
            <w:tcW w:type="dxa" w:w="1872"/>
          </w:tcPr>
          <w:p>
            <w:pPr>
              <w:spacing w:after="20"/>
              <w:jc w:val="right"/>
            </w:pPr>
            <w:r>
              <w:rPr>
                <w:color w:val="1C3A36"/>
                <w:sz w:val="17"/>
              </w:rPr>
              <w:t>38%</w:t>
            </w:r>
          </w:p>
        </w:tc>
      </w:tr>
    </w:tbl>
    <w:p>
      <w:pPr>
        <w:spacing w:after="40"/>
      </w:pPr>
    </w:p>
    <w:p>
      <w:pPr>
        <w:spacing w:after="120" w:before="0"/>
      </w:pPr>
      <w:r>
        <w:rPr>
          <w:b w:val="0"/>
          <w:i w:val="0"/>
          <w:color w:val="1C3A36"/>
          <w:sz w:val="21"/>
        </w:rPr>
      </w:r>
    </w:p>
    <w:p>
      <w:pPr>
        <w:spacing w:after="120" w:before="280"/>
      </w:pPr>
      <w:r>
        <w:rPr>
          <w:b/>
          <w:i w:val="0"/>
          <w:color w:val="1C3A36"/>
          <w:sz w:val="30"/>
        </w:rPr>
        <w:t>4  Comparison of the lenses</w:t>
      </w:r>
    </w:p>
    <w:p>
      <w:pPr>
        <w:spacing w:after="120" w:before="0"/>
      </w:pPr>
      <w:r>
        <w:rPr>
          <w:b w:val="0"/>
          <w:i w:val="0"/>
          <w:color w:val="1C3A36"/>
          <w:sz w:val="21"/>
        </w:rPr>
        <w:t>The field disagrees, and the disagreement is informative. The cash-flow lens reads AED 18.17; the two market-anchored lenses read AED 8.58 and AED 8.57; the book lens AED 14.12. The spread is NOT about the forecast — all four lenses consume the same build, and the near-term numbers are anchored on a printed first half. It is about the price of time and certainty: the measured beta prices du's equity at a 6.5% required return, while the regional market, at the peer median multiple, implicitly charges something closer to the return implied by a 15-16× earnings multiple on a slow-growing annuity — two to three points more. Discount this study's own cash flows at that market-implied rate and you get, in effect, the relative lens.</w:t>
      </w:r>
    </w:p>
    <w:p>
      <w:pPr>
        <w:spacing w:after="120" w:before="0"/>
      </w:pPr>
      <w:r>
        <w:rPr>
          <w:b w:val="0"/>
          <w:i w:val="0"/>
          <w:color w:val="1C3A36"/>
          <w:sz w:val="21"/>
        </w:rPr>
        <w:t>What would close the gap from each side. The DCF is right and the market re-rates if: the fiscal regime is extended on current terms with the floor lapsing or lightening; the licence renews on comparable terms; the war recovery completes; and the data-centre leg starts printing revenue the market can see. The market is right and the DCF is generous if: the royalty regime reverts or worsens (Framing B alone closes most of the gap — AED 15.22); the measured beta understates the true risk of a single-market, single-licence operator (beta 0.80 alone takes the DCF to AED 13.36); or terminal reinvestment needs are heavier than 9.4% of profit. The weighted central of AED 13.45 embodies exactly this balance: it leans toward the cash flows but pays the market-anchored lenses the 45% respect their discipline has earned — while noting, as 1.4 does, that those two lenses are one reading of one multiple, not two.</w:t>
      </w:r>
    </w:p>
    <w:p>
      <w:pPr>
        <w:spacing w:after="40"/>
        <w:jc w:val="center"/>
      </w:pPr>
      <w:r>
        <w:drawing>
          <wp:inline xmlns:a="http://schemas.openxmlformats.org/drawingml/2006/main" xmlns:pic="http://schemas.openxmlformats.org/drawingml/2006/picture">
            <wp:extent cx="6400800" cy="2309567"/>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6400800" cy="2309567"/>
                    </a:xfrm>
                    <a:prstGeom prst="rect"/>
                  </pic:spPr>
                </pic:pic>
              </a:graphicData>
            </a:graphic>
          </wp:inline>
        </w:drawing>
      </w:r>
    </w:p>
    <w:p>
      <w:pPr>
        <w:spacing w:after="200" w:before="0"/>
      </w:pPr>
      <w:r>
        <w:rPr>
          <w:b w:val="0"/>
          <w:i/>
          <w:color w:val="6E7B77"/>
          <w:sz w:val="17"/>
        </w:rPr>
        <w:t>Figure 8 — the expert panel's three independent reads (Appendix C), against spot.</w:t>
      </w:r>
    </w:p>
    <w:p>
      <w:pPr>
        <w:spacing w:after="120" w:before="280"/>
      </w:pPr>
      <w:r>
        <w:rPr>
          <w:b/>
          <w:i w:val="0"/>
          <w:color w:val="1C3A36"/>
          <w:sz w:val="30"/>
        </w:rPr>
        <w:t>5  Catalysts to watch</w:t>
      </w:r>
    </w:p>
    <w:p>
      <w:pPr>
        <w:pStyle w:val="ListBullet"/>
        <w:spacing w:after="60"/>
      </w:pPr>
      <w:r>
        <w:rPr>
          <w:b/>
          <w:color w:val="1C3A36"/>
          <w:sz w:val="21"/>
        </w:rPr>
        <w:t xml:space="preserve">1 · The post-2026 fiscal regime (direction: either; size: the study's largest). </w:t>
      </w:r>
      <w:r>
        <w:rPr>
          <w:color w:val="1C3A36"/>
          <w:sz w:val="21"/>
        </w:rPr>
        <w:t>du's own filings describe the 38% + 9% regime as effective 2024-2026. The other operator has disclosed a ministry notification extending the structure through 2029; du's mirroring disclosure — and whether the AED 1.8bn combined floor carries over — is the single most valuable sentence the company can publish: AED 18.17 versus AED 15.22 per share between the framings.</w:t>
      </w:r>
    </w:p>
    <w:p>
      <w:pPr>
        <w:pStyle w:val="ListBullet"/>
        <w:spacing w:after="60"/>
      </w:pPr>
      <w:r>
        <w:rPr>
          <w:b/>
          <w:color w:val="1C3A36"/>
          <w:sz w:val="21"/>
        </w:rPr>
        <w:t xml:space="preserve">2 · The licence renewal (direction: binary-adverse tail; timing: now). </w:t>
      </w:r>
      <w:r>
        <w:rPr>
          <w:color w:val="1C3A36"/>
          <w:sz w:val="21"/>
        </w:rPr>
        <w:t>The TDRA extension ran to 8 August 2026 with conclusion expected "on or before" that date — i.e. the outcome is due at press time. Renewal on comparable terms is the base case and would be a non-event; a renewal that raises the fee ratio costs roughly AED 0.61 per share per percentage point of revenue.</w:t>
      </w:r>
    </w:p>
    <w:p>
      <w:pPr>
        <w:pStyle w:val="ListBullet"/>
        <w:spacing w:after="60"/>
      </w:pPr>
      <w:r>
        <w:rPr>
          <w:b/>
          <w:color w:val="1C3A36"/>
          <w:sz w:val="21"/>
        </w:rPr>
        <w:t xml:space="preserve">3 · The war recovery (direction: up if the ceasefire holds). </w:t>
      </w:r>
      <w:r>
        <w:rPr>
          <w:color w:val="1C3A36"/>
          <w:sz w:val="21"/>
        </w:rPr>
        <w:t>Prepaid subscribers, roaming and wholesale transit all recover with tourism; the company itself reports gross adds below pre-war levels with a ceasefire in place. The Q3-2026 print (late October) is the first clean read; a return to net adds above +150k/quarter would put the bull subscriber path in play.</w:t>
      </w:r>
    </w:p>
    <w:p>
      <w:pPr>
        <w:pStyle w:val="ListBullet"/>
        <w:spacing w:after="60"/>
      </w:pPr>
      <w:r>
        <w:rPr>
          <w:b/>
          <w:color w:val="1C3A36"/>
          <w:sz w:val="21"/>
        </w:rPr>
        <w:t xml:space="preserve">4 · The data-centre leg (direction: up; horizon: 2027-2028). </w:t>
      </w:r>
      <w:r>
        <w:rPr>
          <w:color w:val="1C3A36"/>
          <w:sz w:val="21"/>
        </w:rPr>
        <w:t>Five data centres plus the Microsoft-anchored hyperscale campus; commitments rose to AED 2,412mn at mid-2026. First disclosed hyperscale revenue — or a named second anchor tenant — would convert the ICT growth path from house assumption to disclosed run-rate.</w:t>
      </w:r>
    </w:p>
    <w:p>
      <w:pPr>
        <w:pStyle w:val="ListBullet"/>
        <w:spacing w:after="60"/>
      </w:pPr>
      <w:r>
        <w:rPr>
          <w:b/>
          <w:color w:val="1C3A36"/>
          <w:sz w:val="21"/>
        </w:rPr>
        <w:t xml:space="preserve">5 · The dividend (direction: up, mechanically). </w:t>
      </w:r>
      <w:r>
        <w:rPr>
          <w:color w:val="1C3A36"/>
          <w:sz w:val="21"/>
        </w:rPr>
        <w:t>The board raised the interim 8.3% in the same release that cut revenue guidance — a statement of intent. At the forecast payout the FY2026E dividend is AED 0.68; at the regional benchmark yield that alone is worth AED 13.82 per share (section 1.3).</w:t>
      </w:r>
    </w:p>
    <w:p>
      <w:pPr>
        <w:spacing w:after="80" w:before="0"/>
      </w:pPr>
      <w:r>
        <w:rPr>
          <w:b w:val="0"/>
          <w:i w:val="0"/>
          <w:color w:val="1C3A36"/>
          <w:sz w:val="21"/>
        </w:rPr>
      </w:r>
    </w:p>
    <w:p>
      <w:pPr>
        <w:spacing w:after="120" w:before="280"/>
      </w:pPr>
      <w:r>
        <w:rPr>
          <w:b/>
          <w:i w:val="0"/>
          <w:color w:val="1C3A36"/>
          <w:sz w:val="30"/>
        </w:rPr>
        <w:t>6  Reading the probability zones</w:t>
      </w:r>
    </w:p>
    <w:p>
      <w:pPr>
        <w:spacing w:after="120" w:before="0"/>
      </w:pPr>
      <w:r>
        <w:rPr>
          <w:b w:val="0"/>
          <w:i w:val="0"/>
          <w:color w:val="1C3A36"/>
          <w:sz w:val="21"/>
        </w:rPr>
        <w:t>How to read sections 2-3 against section 1. The three-month cone spans AED 9.82 to 15.32 — the price can visit a lot of places in ninety days without any of them being a statement about value. The fundamental central of AED 13.45 sits inside the cone's upper half: reaching it within a quarter would be a strong but not extraordinary move. Three zones, then:</w:t>
      </w:r>
    </w:p>
    <w:p>
      <w:pPr>
        <w:pStyle w:val="ListBullet"/>
        <w:spacing w:after="60"/>
      </w:pPr>
      <w:r>
        <w:rPr>
          <w:b/>
          <w:color w:val="1C3A36"/>
          <w:sz w:val="21"/>
        </w:rPr>
        <w:t xml:space="preserve">Below AED 11.26 (the cone's lower quarter): </w:t>
      </w:r>
      <w:r>
        <w:rPr>
          <w:color w:val="1C3A36"/>
          <w:sz w:val="21"/>
        </w:rPr>
        <w:t>price weakness this deep with no fiscal or licence news would widen the value gap mechanically; with adverse regime news it would simply be the market pricing Framing B — check which before reading it as opportunity.</w:t>
      </w:r>
    </w:p>
    <w:p>
      <w:pPr>
        <w:pStyle w:val="ListBullet"/>
        <w:spacing w:after="60"/>
      </w:pPr>
      <w:r>
        <w:rPr>
          <w:b/>
          <w:color w:val="1C3A36"/>
          <w:sz w:val="21"/>
        </w:rPr>
        <w:t xml:space="preserve">AED 11.26 to 13.35 (the middle half): </w:t>
      </w:r>
      <w:r>
        <w:rPr>
          <w:color w:val="1C3A36"/>
          <w:sz w:val="21"/>
        </w:rPr>
        <w:t>noise. Nothing in this band changes any conclusion in this study.</w:t>
      </w:r>
    </w:p>
    <w:p>
      <w:pPr>
        <w:pStyle w:val="ListBullet"/>
        <w:spacing w:after="60"/>
      </w:pPr>
      <w:r>
        <w:rPr>
          <w:b/>
          <w:color w:val="1C3A36"/>
          <w:sz w:val="21"/>
        </w:rPr>
        <w:t xml:space="preserve">Above AED 13.35: </w:t>
      </w:r>
      <w:r>
        <w:rPr>
          <w:color w:val="1C3A36"/>
          <w:sz w:val="21"/>
        </w:rPr>
        <w:t>the market starting to pay for the recovery and the regime extension before they are printed; at the cone's top the share would still sit below the cash-flow lens but at the weighted central.</w:t>
      </w:r>
    </w:p>
    <w:p>
      <w:pPr>
        <w:spacing w:after="200" w:before="0"/>
      </w:pPr>
      <w:r>
        <w:rPr>
          <w:b w:val="0"/>
          <w:i w:val="0"/>
          <w:color w:val="1C3A36"/>
          <w:sz w:val="21"/>
        </w:rPr>
        <w:t>The cone is honest about its own limits: for this share its bands have historically run wider than needed (section 3), so the outer zones are conservative.</w:t>
      </w:r>
    </w:p>
    <w:p>
      <w:pPr>
        <w:spacing w:after="120" w:before="280"/>
      </w:pPr>
      <w:r>
        <w:rPr>
          <w:b/>
          <w:i w:val="0"/>
          <w:color w:val="1C3A36"/>
          <w:sz w:val="30"/>
        </w:rPr>
        <w:t>7  Caveats and what would change our mind</w:t>
      </w:r>
    </w:p>
    <w:p>
      <w:pPr>
        <w:pStyle w:val="ListBullet"/>
        <w:spacing w:after="60"/>
      </w:pPr>
      <w:r>
        <w:rPr>
          <w:b/>
          <w:color w:val="1C3A36"/>
          <w:sz w:val="21"/>
        </w:rPr>
        <w:t xml:space="preserve">The discount rate is the study. </w:t>
      </w:r>
      <w:r>
        <w:rPr>
          <w:color w:val="1C3A36"/>
          <w:sz w:val="21"/>
        </w:rPr>
        <w:t>A 0.488 measured beta against an Aa2 curve prices du's equity at 6.5%. Every conclusion that differs from the market traces to that number; section 1.8 prices the alternatives and section 4 takes the other side seriously. If du's risk is the sector's rather than its regression's, the central is several dirhams lower.</w:t>
      </w:r>
    </w:p>
    <w:p>
      <w:pPr>
        <w:pStyle w:val="ListBullet"/>
        <w:spacing w:after="60"/>
      </w:pPr>
      <w:r>
        <w:rPr>
          <w:b/>
          <w:color w:val="1C3A36"/>
          <w:sz w:val="21"/>
        </w:rPr>
        <w:t xml:space="preserve">The terminal value is most of the value. </w:t>
      </w:r>
      <w:r>
        <w:rPr>
          <w:color w:val="1C3A36"/>
          <w:sz w:val="21"/>
        </w:rPr>
        <w:t>83% of the DCF's enterprise value is beyond year five. That is the honest shape of a low-discount-rate annuity, and it is why the licence and the royalty — the two things that could touch the annuity itself — outrank every operating driver.</w:t>
      </w:r>
    </w:p>
    <w:p>
      <w:pPr>
        <w:pStyle w:val="ListBullet"/>
        <w:spacing w:after="60"/>
      </w:pPr>
      <w:r>
        <w:rPr>
          <w:b/>
          <w:color w:val="1C3A36"/>
          <w:sz w:val="21"/>
        </w:rPr>
        <w:t xml:space="preserve">The fiscal regime is not ours to forecast. </w:t>
      </w:r>
      <w:r>
        <w:rPr>
          <w:color w:val="1C3A36"/>
          <w:sz w:val="21"/>
        </w:rPr>
        <w:t>Both framings are priced throughout; the study REFUSES a single number where the state has not yet published one. If a harsher-than-either construction emerged, both framings would need re-striking.</w:t>
      </w:r>
    </w:p>
    <w:p>
      <w:pPr>
        <w:pStyle w:val="ListBullet"/>
        <w:spacing w:after="60"/>
      </w:pPr>
      <w:r>
        <w:rPr>
          <w:b/>
          <w:color w:val="1C3A36"/>
          <w:sz w:val="21"/>
        </w:rPr>
        <w:t xml:space="preserve">The war path. </w:t>
      </w:r>
      <w:r>
        <w:rPr>
          <w:color w:val="1C3A36"/>
          <w:sz w:val="21"/>
        </w:rPr>
        <w:t>The base case assumes the ceasefire holds and tourism normalises into 2027. A re-opened conflict invalidates the subscriber path, the wholesale recovery and possibly the multiple — the bear scenario, not the base.</w:t>
      </w:r>
    </w:p>
    <w:p>
      <w:pPr>
        <w:pStyle w:val="ListBullet"/>
        <w:spacing w:after="60"/>
      </w:pPr>
      <w:r>
        <w:rPr>
          <w:b/>
          <w:color w:val="1C3A36"/>
          <w:sz w:val="21"/>
        </w:rPr>
        <w:t xml:space="preserve">Wholesale and ICT are built top-down. </w:t>
      </w:r>
      <w:r>
        <w:rPr>
          <w:color w:val="1C3A36"/>
          <w:sz w:val="21"/>
        </w:rPr>
        <w:t>No unit disclosures exist for either; both are flagged. The ICT ramp in particular leans on a disclosed programme whose revenue model (colocation vs services) the company has not yet broken out.</w:t>
      </w:r>
    </w:p>
    <w:p>
      <w:pPr>
        <w:pStyle w:val="ListBullet"/>
        <w:spacing w:after="60"/>
      </w:pPr>
      <w:r>
        <w:rPr>
          <w:b/>
          <w:color w:val="1C3A36"/>
          <w:sz w:val="21"/>
        </w:rPr>
        <w:t xml:space="preserve">What would change our mind, concretely. </w:t>
      </w:r>
      <w:r>
        <w:rPr>
          <w:color w:val="1C3A36"/>
          <w:sz w:val="21"/>
        </w:rPr>
        <w:t>A royalty construction harsher than Framing B; licence renewal terms materially above the current fee ratio; two consecutive quarters of negative postpaid net adds; ARPU breaking below AED 60 without a mix explanation; or the payout being cut other than for a named investment programme. Any one of these re-opens the build; the register in Appendix B tells a reader exactly which inputs to re-examine first.</w:t>
      </w:r>
    </w:p>
    <w:p>
      <w:pPr>
        <w:spacing w:after="120" w:before="0"/>
      </w:pPr>
      <w:r>
        <w:rPr>
          <w:b w:val="0"/>
          <w:i w:val="0"/>
          <w:color w:val="1C3A36"/>
          <w:sz w:val="21"/>
        </w:rPr>
      </w:r>
    </w:p>
    <w:p>
      <w:pPr>
        <w:spacing w:after="120" w:before="280"/>
      </w:pPr>
      <w:r>
        <w:rPr>
          <w:b/>
          <w:i w:val="0"/>
          <w:color w:val="1C3A36"/>
          <w:sz w:val="30"/>
        </w:rPr>
        <w:t>Appendix A  Financial statements</w:t>
      </w:r>
    </w:p>
    <w:p>
      <w:pPr>
        <w:spacing w:after="80" w:before="200"/>
      </w:pPr>
      <w:r>
        <w:rPr>
          <w:b/>
          <w:i w:val="0"/>
          <w:color w:val="1C3A36"/>
          <w:sz w:val="24"/>
        </w:rPr>
        <w:t>A.1  Income statement — three years historical and five years forecast (consolidated, AED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78"/>
        <w:gridCol w:w="907"/>
        <w:gridCol w:w="907"/>
        <w:gridCol w:w="907"/>
        <w:gridCol w:w="907"/>
        <w:gridCol w:w="907"/>
        <w:gridCol w:w="907"/>
        <w:gridCol w:w="907"/>
        <w:gridCol w:w="907"/>
      </w:tblGrid>
      <w:tr>
        <w:tc>
          <w:tcPr>
            <w:tcW w:type="dxa" w:w="2678"/>
            <w:shd w:val="clear" w:color="auto" w:fill="EAF0EE"/>
          </w:tcPr>
          <w:p>
            <w:pPr>
              <w:spacing w:after="20"/>
            </w:pPr>
            <w:r>
              <w:rPr>
                <w:b/>
                <w:color w:val="1C3A36"/>
                <w:sz w:val="16"/>
              </w:rPr>
              <w:t>AED mn</w:t>
            </w:r>
          </w:p>
        </w:tc>
        <w:tc>
          <w:tcPr>
            <w:tcW w:type="dxa" w:w="907"/>
            <w:shd w:val="clear" w:color="auto" w:fill="EAF0EE"/>
          </w:tcPr>
          <w:p>
            <w:pPr>
              <w:spacing w:after="20"/>
            </w:pPr>
            <w:r>
              <w:rPr>
                <w:b/>
                <w:color w:val="1C3A36"/>
                <w:sz w:val="16"/>
              </w:rPr>
              <w:t>FY2023</w:t>
            </w:r>
          </w:p>
        </w:tc>
        <w:tc>
          <w:tcPr>
            <w:tcW w:type="dxa" w:w="907"/>
            <w:shd w:val="clear" w:color="auto" w:fill="EAF0EE"/>
          </w:tcPr>
          <w:p>
            <w:pPr>
              <w:spacing w:after="20"/>
            </w:pPr>
            <w:r>
              <w:rPr>
                <w:b/>
                <w:color w:val="1C3A36"/>
                <w:sz w:val="16"/>
              </w:rPr>
              <w:t>FY2024</w:t>
            </w:r>
          </w:p>
        </w:tc>
        <w:tc>
          <w:tcPr>
            <w:tcW w:type="dxa" w:w="907"/>
            <w:shd w:val="clear" w:color="auto" w:fill="EAF0EE"/>
          </w:tcPr>
          <w:p>
            <w:pPr>
              <w:spacing w:after="20"/>
            </w:pPr>
            <w:r>
              <w:rPr>
                <w:b/>
                <w:color w:val="1C3A36"/>
                <w:sz w:val="16"/>
              </w:rPr>
              <w:t>FY2025</w:t>
            </w:r>
          </w:p>
        </w:tc>
        <w:tc>
          <w:tcPr>
            <w:tcW w:type="dxa" w:w="907"/>
            <w:shd w:val="clear" w:color="auto" w:fill="EAF0EE"/>
          </w:tcPr>
          <w:p>
            <w:pPr>
              <w:spacing w:after="20"/>
            </w:pPr>
            <w:r>
              <w:rPr>
                <w:b/>
                <w:color w:val="1C3A36"/>
                <w:sz w:val="16"/>
              </w:rPr>
              <w:t>FY26E</w:t>
            </w:r>
          </w:p>
        </w:tc>
        <w:tc>
          <w:tcPr>
            <w:tcW w:type="dxa" w:w="907"/>
            <w:shd w:val="clear" w:color="auto" w:fill="EAF0EE"/>
          </w:tcPr>
          <w:p>
            <w:pPr>
              <w:spacing w:after="20"/>
            </w:pPr>
            <w:r>
              <w:rPr>
                <w:b/>
                <w:color w:val="1C3A36"/>
                <w:sz w:val="16"/>
              </w:rPr>
              <w:t>FY27E</w:t>
            </w:r>
          </w:p>
        </w:tc>
        <w:tc>
          <w:tcPr>
            <w:tcW w:type="dxa" w:w="907"/>
            <w:shd w:val="clear" w:color="auto" w:fill="EAF0EE"/>
          </w:tcPr>
          <w:p>
            <w:pPr>
              <w:spacing w:after="20"/>
            </w:pPr>
            <w:r>
              <w:rPr>
                <w:b/>
                <w:color w:val="1C3A36"/>
                <w:sz w:val="16"/>
              </w:rPr>
              <w:t>FY28E</w:t>
            </w:r>
          </w:p>
        </w:tc>
        <w:tc>
          <w:tcPr>
            <w:tcW w:type="dxa" w:w="907"/>
            <w:shd w:val="clear" w:color="auto" w:fill="EAF0EE"/>
          </w:tcPr>
          <w:p>
            <w:pPr>
              <w:spacing w:after="20"/>
            </w:pPr>
            <w:r>
              <w:rPr>
                <w:b/>
                <w:color w:val="1C3A36"/>
                <w:sz w:val="16"/>
              </w:rPr>
              <w:t>FY29E</w:t>
            </w:r>
          </w:p>
        </w:tc>
        <w:tc>
          <w:tcPr>
            <w:tcW w:type="dxa" w:w="907"/>
            <w:shd w:val="clear" w:color="auto" w:fill="EAF0EE"/>
          </w:tcPr>
          <w:p>
            <w:pPr>
              <w:spacing w:after="20"/>
            </w:pPr>
            <w:r>
              <w:rPr>
                <w:b/>
                <w:color w:val="1C3A36"/>
                <w:sz w:val="16"/>
              </w:rPr>
              <w:t>FY30E</w:t>
            </w:r>
          </w:p>
        </w:tc>
      </w:tr>
      <w:tr>
        <w:tc>
          <w:tcPr>
            <w:tcW w:type="dxa" w:w="2678"/>
          </w:tcPr>
          <w:p>
            <w:pPr>
              <w:spacing w:after="20"/>
            </w:pPr>
            <w:r>
              <w:rPr>
                <w:color w:val="1C3A36"/>
                <w:sz w:val="16"/>
              </w:rPr>
              <w:t>Revenue</w:t>
            </w:r>
          </w:p>
        </w:tc>
        <w:tc>
          <w:tcPr>
            <w:tcW w:type="dxa" w:w="907"/>
          </w:tcPr>
          <w:p>
            <w:pPr>
              <w:spacing w:after="20"/>
              <w:jc w:val="right"/>
            </w:pPr>
            <w:r>
              <w:rPr>
                <w:color w:val="1C3A36"/>
                <w:sz w:val="16"/>
              </w:rPr>
              <w:t>13,636</w:t>
            </w:r>
          </w:p>
        </w:tc>
        <w:tc>
          <w:tcPr>
            <w:tcW w:type="dxa" w:w="907"/>
          </w:tcPr>
          <w:p>
            <w:pPr>
              <w:spacing w:after="20"/>
              <w:jc w:val="right"/>
            </w:pPr>
            <w:r>
              <w:rPr>
                <w:color w:val="1C3A36"/>
                <w:sz w:val="16"/>
              </w:rPr>
              <w:t>14,636</w:t>
            </w:r>
          </w:p>
        </w:tc>
        <w:tc>
          <w:tcPr>
            <w:tcW w:type="dxa" w:w="907"/>
          </w:tcPr>
          <w:p>
            <w:pPr>
              <w:spacing w:after="20"/>
              <w:jc w:val="right"/>
            </w:pPr>
            <w:r>
              <w:rPr>
                <w:color w:val="1C3A36"/>
                <w:sz w:val="16"/>
              </w:rPr>
              <w:t>15,905</w:t>
            </w:r>
          </w:p>
        </w:tc>
        <w:tc>
          <w:tcPr>
            <w:tcW w:type="dxa" w:w="907"/>
          </w:tcPr>
          <w:p>
            <w:pPr>
              <w:spacing w:after="20"/>
              <w:jc w:val="right"/>
            </w:pPr>
            <w:r>
              <w:rPr>
                <w:color w:val="1C3A36"/>
                <w:sz w:val="16"/>
              </w:rPr>
              <w:t>16,593</w:t>
            </w:r>
          </w:p>
        </w:tc>
        <w:tc>
          <w:tcPr>
            <w:tcW w:type="dxa" w:w="907"/>
          </w:tcPr>
          <w:p>
            <w:pPr>
              <w:spacing w:after="20"/>
              <w:jc w:val="right"/>
            </w:pPr>
            <w:r>
              <w:rPr>
                <w:color w:val="1C3A36"/>
                <w:sz w:val="16"/>
              </w:rPr>
              <w:t>17,240</w:t>
            </w:r>
          </w:p>
        </w:tc>
        <w:tc>
          <w:tcPr>
            <w:tcW w:type="dxa" w:w="907"/>
          </w:tcPr>
          <w:p>
            <w:pPr>
              <w:spacing w:after="20"/>
              <w:jc w:val="right"/>
            </w:pPr>
            <w:r>
              <w:rPr>
                <w:color w:val="1C3A36"/>
                <w:sz w:val="16"/>
              </w:rPr>
              <w:t>18,011</w:t>
            </w:r>
          </w:p>
        </w:tc>
        <w:tc>
          <w:tcPr>
            <w:tcW w:type="dxa" w:w="907"/>
          </w:tcPr>
          <w:p>
            <w:pPr>
              <w:spacing w:after="20"/>
              <w:jc w:val="right"/>
            </w:pPr>
            <w:r>
              <w:rPr>
                <w:color w:val="1C3A36"/>
                <w:sz w:val="16"/>
              </w:rPr>
              <w:t>18,734</w:t>
            </w:r>
          </w:p>
        </w:tc>
        <w:tc>
          <w:tcPr>
            <w:tcW w:type="dxa" w:w="907"/>
          </w:tcPr>
          <w:p>
            <w:pPr>
              <w:spacing w:after="20"/>
              <w:jc w:val="right"/>
            </w:pPr>
            <w:r>
              <w:rPr>
                <w:color w:val="1C3A36"/>
                <w:sz w:val="16"/>
              </w:rPr>
              <w:t>19,424</w:t>
            </w:r>
          </w:p>
        </w:tc>
      </w:tr>
      <w:tr>
        <w:tc>
          <w:tcPr>
            <w:tcW w:type="dxa" w:w="2678"/>
            <w:shd w:val="clear" w:color="auto" w:fill="F6F1E6"/>
          </w:tcPr>
          <w:p>
            <w:pPr>
              <w:spacing w:after="20"/>
            </w:pPr>
            <w:r>
              <w:rPr>
                <w:b/>
                <w:color w:val="1C3A36"/>
                <w:sz w:val="16"/>
              </w:rPr>
              <w:t>EBITDA</w:t>
            </w:r>
          </w:p>
        </w:tc>
        <w:tc>
          <w:tcPr>
            <w:tcW w:type="dxa" w:w="907"/>
            <w:shd w:val="clear" w:color="auto" w:fill="F6F1E6"/>
          </w:tcPr>
          <w:p>
            <w:pPr>
              <w:spacing w:after="20"/>
              <w:jc w:val="right"/>
            </w:pPr>
            <w:r>
              <w:rPr>
                <w:b/>
                <w:color w:val="1C3A36"/>
                <w:sz w:val="16"/>
              </w:rPr>
              <w:t>5,800</w:t>
            </w:r>
          </w:p>
        </w:tc>
        <w:tc>
          <w:tcPr>
            <w:tcW w:type="dxa" w:w="907"/>
            <w:shd w:val="clear" w:color="auto" w:fill="F6F1E6"/>
          </w:tcPr>
          <w:p>
            <w:pPr>
              <w:spacing w:after="20"/>
              <w:jc w:val="right"/>
            </w:pPr>
            <w:r>
              <w:rPr>
                <w:b/>
                <w:color w:val="1C3A36"/>
                <w:sz w:val="16"/>
              </w:rPr>
              <w:t>6,470</w:t>
            </w:r>
          </w:p>
        </w:tc>
        <w:tc>
          <w:tcPr>
            <w:tcW w:type="dxa" w:w="907"/>
            <w:shd w:val="clear" w:color="auto" w:fill="F6F1E6"/>
          </w:tcPr>
          <w:p>
            <w:pPr>
              <w:spacing w:after="20"/>
              <w:jc w:val="right"/>
            </w:pPr>
            <w:r>
              <w:rPr>
                <w:b/>
                <w:color w:val="1C3A36"/>
                <w:sz w:val="16"/>
              </w:rPr>
              <w:t>7,338</w:t>
            </w:r>
          </w:p>
        </w:tc>
        <w:tc>
          <w:tcPr>
            <w:tcW w:type="dxa" w:w="907"/>
            <w:shd w:val="clear" w:color="auto" w:fill="F6F1E6"/>
          </w:tcPr>
          <w:p>
            <w:pPr>
              <w:spacing w:after="20"/>
              <w:jc w:val="right"/>
            </w:pPr>
            <w:r>
              <w:rPr>
                <w:b/>
                <w:color w:val="1C3A36"/>
                <w:sz w:val="16"/>
              </w:rPr>
              <w:t>7,772</w:t>
            </w:r>
          </w:p>
        </w:tc>
        <w:tc>
          <w:tcPr>
            <w:tcW w:type="dxa" w:w="907"/>
            <w:shd w:val="clear" w:color="auto" w:fill="F6F1E6"/>
          </w:tcPr>
          <w:p>
            <w:pPr>
              <w:spacing w:after="20"/>
              <w:jc w:val="right"/>
            </w:pPr>
            <w:r>
              <w:rPr>
                <w:b/>
                <w:color w:val="1C3A36"/>
                <w:sz w:val="16"/>
              </w:rPr>
              <w:t>8,066</w:t>
            </w:r>
          </w:p>
        </w:tc>
        <w:tc>
          <w:tcPr>
            <w:tcW w:type="dxa" w:w="907"/>
            <w:shd w:val="clear" w:color="auto" w:fill="F6F1E6"/>
          </w:tcPr>
          <w:p>
            <w:pPr>
              <w:spacing w:after="20"/>
              <w:jc w:val="right"/>
            </w:pPr>
            <w:r>
              <w:rPr>
                <w:b/>
                <w:color w:val="1C3A36"/>
                <w:sz w:val="16"/>
              </w:rPr>
              <w:t>8,428</w:t>
            </w:r>
          </w:p>
        </w:tc>
        <w:tc>
          <w:tcPr>
            <w:tcW w:type="dxa" w:w="907"/>
            <w:shd w:val="clear" w:color="auto" w:fill="F6F1E6"/>
          </w:tcPr>
          <w:p>
            <w:pPr>
              <w:spacing w:after="20"/>
              <w:jc w:val="right"/>
            </w:pPr>
            <w:r>
              <w:rPr>
                <w:b/>
                <w:color w:val="1C3A36"/>
                <w:sz w:val="16"/>
              </w:rPr>
              <w:t>8,761</w:t>
            </w:r>
          </w:p>
        </w:tc>
        <w:tc>
          <w:tcPr>
            <w:tcW w:type="dxa" w:w="907"/>
            <w:shd w:val="clear" w:color="auto" w:fill="F6F1E6"/>
          </w:tcPr>
          <w:p>
            <w:pPr>
              <w:spacing w:after="20"/>
              <w:jc w:val="right"/>
            </w:pPr>
            <w:r>
              <w:rPr>
                <w:b/>
                <w:color w:val="1C3A36"/>
                <w:sz w:val="16"/>
              </w:rPr>
              <w:t>9,077</w:t>
            </w:r>
          </w:p>
        </w:tc>
      </w:tr>
      <w:tr>
        <w:tc>
          <w:tcPr>
            <w:tcW w:type="dxa" w:w="2678"/>
          </w:tcPr>
          <w:p>
            <w:pPr>
              <w:spacing w:after="20"/>
            </w:pPr>
            <w:r>
              <w:rPr>
                <w:color w:val="1C3A36"/>
                <w:sz w:val="16"/>
              </w:rPr>
              <w:t>EBITDA margin</w:t>
            </w:r>
          </w:p>
        </w:tc>
        <w:tc>
          <w:tcPr>
            <w:tcW w:type="dxa" w:w="907"/>
          </w:tcPr>
          <w:p>
            <w:pPr>
              <w:spacing w:after="20"/>
              <w:jc w:val="right"/>
            </w:pPr>
            <w:r>
              <w:rPr>
                <w:color w:val="1C3A36"/>
                <w:sz w:val="16"/>
              </w:rPr>
              <w:t>42.5%</w:t>
            </w:r>
          </w:p>
        </w:tc>
        <w:tc>
          <w:tcPr>
            <w:tcW w:type="dxa" w:w="907"/>
          </w:tcPr>
          <w:p>
            <w:pPr>
              <w:spacing w:after="20"/>
              <w:jc w:val="right"/>
            </w:pPr>
            <w:r>
              <w:rPr>
                <w:color w:val="1C3A36"/>
                <w:sz w:val="16"/>
              </w:rPr>
              <w:t>44.2%</w:t>
            </w:r>
          </w:p>
        </w:tc>
        <w:tc>
          <w:tcPr>
            <w:tcW w:type="dxa" w:w="907"/>
          </w:tcPr>
          <w:p>
            <w:pPr>
              <w:spacing w:after="20"/>
              <w:jc w:val="right"/>
            </w:pPr>
            <w:r>
              <w:rPr>
                <w:color w:val="1C3A36"/>
                <w:sz w:val="16"/>
              </w:rPr>
              <w:t>46.1%</w:t>
            </w:r>
          </w:p>
        </w:tc>
        <w:tc>
          <w:tcPr>
            <w:tcW w:type="dxa" w:w="907"/>
          </w:tcPr>
          <w:p>
            <w:pPr>
              <w:spacing w:after="20"/>
              <w:jc w:val="right"/>
            </w:pPr>
            <w:r>
              <w:rPr>
                <w:color w:val="1C3A36"/>
                <w:sz w:val="16"/>
              </w:rPr>
              <w:t>46.8%</w:t>
            </w:r>
          </w:p>
        </w:tc>
        <w:tc>
          <w:tcPr>
            <w:tcW w:type="dxa" w:w="907"/>
          </w:tcPr>
          <w:p>
            <w:pPr>
              <w:spacing w:after="20"/>
              <w:jc w:val="right"/>
            </w:pPr>
            <w:r>
              <w:rPr>
                <w:color w:val="1C3A36"/>
                <w:sz w:val="16"/>
              </w:rPr>
              <w:t>46.8%</w:t>
            </w:r>
          </w:p>
        </w:tc>
        <w:tc>
          <w:tcPr>
            <w:tcW w:type="dxa" w:w="907"/>
          </w:tcPr>
          <w:p>
            <w:pPr>
              <w:spacing w:after="20"/>
              <w:jc w:val="right"/>
            </w:pPr>
            <w:r>
              <w:rPr>
                <w:color w:val="1C3A36"/>
                <w:sz w:val="16"/>
              </w:rPr>
              <w:t>46.8%</w:t>
            </w:r>
          </w:p>
        </w:tc>
        <w:tc>
          <w:tcPr>
            <w:tcW w:type="dxa" w:w="907"/>
          </w:tcPr>
          <w:p>
            <w:pPr>
              <w:spacing w:after="20"/>
              <w:jc w:val="right"/>
            </w:pPr>
            <w:r>
              <w:rPr>
                <w:color w:val="1C3A36"/>
                <w:sz w:val="16"/>
              </w:rPr>
              <w:t>46.8%</w:t>
            </w:r>
          </w:p>
        </w:tc>
        <w:tc>
          <w:tcPr>
            <w:tcW w:type="dxa" w:w="907"/>
          </w:tcPr>
          <w:p>
            <w:pPr>
              <w:spacing w:after="20"/>
              <w:jc w:val="right"/>
            </w:pPr>
            <w:r>
              <w:rPr>
                <w:color w:val="1C3A36"/>
                <w:sz w:val="16"/>
              </w:rPr>
              <w:t>46.7%</w:t>
            </w:r>
          </w:p>
        </w:tc>
      </w:tr>
      <w:tr>
        <w:tc>
          <w:tcPr>
            <w:tcW w:type="dxa" w:w="2678"/>
          </w:tcPr>
          <w:p>
            <w:pPr>
              <w:spacing w:after="20"/>
            </w:pPr>
            <w:r>
              <w:rPr>
                <w:color w:val="1C3A36"/>
                <w:sz w:val="16"/>
              </w:rPr>
              <w:t>Depreciation &amp; amortisation</w:t>
            </w:r>
          </w:p>
        </w:tc>
        <w:tc>
          <w:tcPr>
            <w:tcW w:type="dxa" w:w="907"/>
          </w:tcPr>
          <w:p>
            <w:pPr>
              <w:spacing w:after="20"/>
              <w:jc w:val="right"/>
            </w:pPr>
            <w:r>
              <w:rPr>
                <w:color w:val="1C3A36"/>
                <w:sz w:val="16"/>
              </w:rPr>
              <w:t>-2,198</w:t>
            </w:r>
          </w:p>
        </w:tc>
        <w:tc>
          <w:tcPr>
            <w:tcW w:type="dxa" w:w="907"/>
          </w:tcPr>
          <w:p>
            <w:pPr>
              <w:spacing w:after="20"/>
              <w:jc w:val="right"/>
            </w:pPr>
            <w:r>
              <w:rPr>
                <w:color w:val="1C3A36"/>
                <w:sz w:val="16"/>
              </w:rPr>
              <w:t>-2,154</w:t>
            </w:r>
          </w:p>
        </w:tc>
        <w:tc>
          <w:tcPr>
            <w:tcW w:type="dxa" w:w="907"/>
          </w:tcPr>
          <w:p>
            <w:pPr>
              <w:spacing w:after="20"/>
              <w:jc w:val="right"/>
            </w:pPr>
            <w:r>
              <w:rPr>
                <w:color w:val="1C3A36"/>
                <w:sz w:val="16"/>
              </w:rPr>
              <w:t>-2,168</w:t>
            </w:r>
          </w:p>
        </w:tc>
        <w:tc>
          <w:tcPr>
            <w:tcW w:type="dxa" w:w="907"/>
          </w:tcPr>
          <w:p>
            <w:pPr>
              <w:spacing w:after="20"/>
              <w:jc w:val="right"/>
            </w:pPr>
            <w:r>
              <w:rPr>
                <w:color w:val="1C3A36"/>
                <w:sz w:val="16"/>
              </w:rPr>
              <w:t>-2,235</w:t>
            </w:r>
          </w:p>
        </w:tc>
        <w:tc>
          <w:tcPr>
            <w:tcW w:type="dxa" w:w="907"/>
          </w:tcPr>
          <w:p>
            <w:pPr>
              <w:spacing w:after="20"/>
              <w:jc w:val="right"/>
            </w:pPr>
            <w:r>
              <w:rPr>
                <w:color w:val="1C3A36"/>
                <w:sz w:val="16"/>
              </w:rPr>
              <w:t>-2,352</w:t>
            </w:r>
          </w:p>
        </w:tc>
        <w:tc>
          <w:tcPr>
            <w:tcW w:type="dxa" w:w="907"/>
          </w:tcPr>
          <w:p>
            <w:pPr>
              <w:spacing w:after="20"/>
              <w:jc w:val="right"/>
            </w:pPr>
            <w:r>
              <w:rPr>
                <w:color w:val="1C3A36"/>
                <w:sz w:val="16"/>
              </w:rPr>
              <w:t>-2,448</w:t>
            </w:r>
          </w:p>
        </w:tc>
        <w:tc>
          <w:tcPr>
            <w:tcW w:type="dxa" w:w="907"/>
          </w:tcPr>
          <w:p>
            <w:pPr>
              <w:spacing w:after="20"/>
              <w:jc w:val="right"/>
            </w:pPr>
            <w:r>
              <w:rPr>
                <w:color w:val="1C3A36"/>
                <w:sz w:val="16"/>
              </w:rPr>
              <w:t>-2,530</w:t>
            </w:r>
          </w:p>
        </w:tc>
        <w:tc>
          <w:tcPr>
            <w:tcW w:type="dxa" w:w="907"/>
          </w:tcPr>
          <w:p>
            <w:pPr>
              <w:spacing w:after="20"/>
              <w:jc w:val="right"/>
            </w:pPr>
            <w:r>
              <w:rPr>
                <w:color w:val="1C3A36"/>
                <w:sz w:val="16"/>
              </w:rPr>
              <w:t>-2,582</w:t>
            </w:r>
          </w:p>
        </w:tc>
      </w:tr>
      <w:tr>
        <w:tc>
          <w:tcPr>
            <w:tcW w:type="dxa" w:w="2678"/>
          </w:tcPr>
          <w:p>
            <w:pPr>
              <w:spacing w:after="20"/>
            </w:pPr>
            <w:r>
              <w:rPr>
                <w:color w:val="1C3A36"/>
                <w:sz w:val="16"/>
              </w:rPr>
              <w:t>Operating profit (EBIT)</w:t>
            </w:r>
          </w:p>
        </w:tc>
        <w:tc>
          <w:tcPr>
            <w:tcW w:type="dxa" w:w="907"/>
          </w:tcPr>
          <w:p>
            <w:pPr>
              <w:spacing w:after="20"/>
              <w:jc w:val="right"/>
            </w:pPr>
            <w:r>
              <w:rPr>
                <w:color w:val="1C3A36"/>
                <w:sz w:val="16"/>
              </w:rPr>
              <w:t>3,601</w:t>
            </w:r>
          </w:p>
        </w:tc>
        <w:tc>
          <w:tcPr>
            <w:tcW w:type="dxa" w:w="907"/>
          </w:tcPr>
          <w:p>
            <w:pPr>
              <w:spacing w:after="20"/>
              <w:jc w:val="right"/>
            </w:pPr>
            <w:r>
              <w:rPr>
                <w:color w:val="1C3A36"/>
                <w:sz w:val="16"/>
              </w:rPr>
              <w:t>4,316</w:t>
            </w:r>
          </w:p>
        </w:tc>
        <w:tc>
          <w:tcPr>
            <w:tcW w:type="dxa" w:w="907"/>
          </w:tcPr>
          <w:p>
            <w:pPr>
              <w:spacing w:after="20"/>
              <w:jc w:val="right"/>
            </w:pPr>
            <w:r>
              <w:rPr>
                <w:color w:val="1C3A36"/>
                <w:sz w:val="16"/>
              </w:rPr>
              <w:t>5,170</w:t>
            </w:r>
          </w:p>
        </w:tc>
        <w:tc>
          <w:tcPr>
            <w:tcW w:type="dxa" w:w="907"/>
          </w:tcPr>
          <w:p>
            <w:pPr>
              <w:spacing w:after="20"/>
              <w:jc w:val="right"/>
            </w:pPr>
            <w:r>
              <w:rPr>
                <w:color w:val="1C3A36"/>
                <w:sz w:val="16"/>
              </w:rPr>
              <w:t>5,537</w:t>
            </w:r>
          </w:p>
        </w:tc>
        <w:tc>
          <w:tcPr>
            <w:tcW w:type="dxa" w:w="907"/>
          </w:tcPr>
          <w:p>
            <w:pPr>
              <w:spacing w:after="20"/>
              <w:jc w:val="right"/>
            </w:pPr>
            <w:r>
              <w:rPr>
                <w:color w:val="1C3A36"/>
                <w:sz w:val="16"/>
              </w:rPr>
              <w:t>5,714</w:t>
            </w:r>
          </w:p>
        </w:tc>
        <w:tc>
          <w:tcPr>
            <w:tcW w:type="dxa" w:w="907"/>
          </w:tcPr>
          <w:p>
            <w:pPr>
              <w:spacing w:after="20"/>
              <w:jc w:val="right"/>
            </w:pPr>
            <w:r>
              <w:rPr>
                <w:color w:val="1C3A36"/>
                <w:sz w:val="16"/>
              </w:rPr>
              <w:t>5,980</w:t>
            </w:r>
          </w:p>
        </w:tc>
        <w:tc>
          <w:tcPr>
            <w:tcW w:type="dxa" w:w="907"/>
          </w:tcPr>
          <w:p>
            <w:pPr>
              <w:spacing w:after="20"/>
              <w:jc w:val="right"/>
            </w:pPr>
            <w:r>
              <w:rPr>
                <w:color w:val="1C3A36"/>
                <w:sz w:val="16"/>
              </w:rPr>
              <w:t>6,231</w:t>
            </w:r>
          </w:p>
        </w:tc>
        <w:tc>
          <w:tcPr>
            <w:tcW w:type="dxa" w:w="907"/>
          </w:tcPr>
          <w:p>
            <w:pPr>
              <w:spacing w:after="20"/>
              <w:jc w:val="right"/>
            </w:pPr>
            <w:r>
              <w:rPr>
                <w:color w:val="1C3A36"/>
                <w:sz w:val="16"/>
              </w:rPr>
              <w:t>6,495</w:t>
            </w:r>
          </w:p>
        </w:tc>
      </w:tr>
      <w:tr>
        <w:tc>
          <w:tcPr>
            <w:tcW w:type="dxa" w:w="2678"/>
          </w:tcPr>
          <w:p>
            <w:pPr>
              <w:spacing w:after="20"/>
            </w:pPr>
            <w:r>
              <w:rPr>
                <w:color w:val="1C3A36"/>
                <w:sz w:val="16"/>
              </w:rPr>
              <w:t>Net finance income / (cost)</w:t>
            </w:r>
          </w:p>
        </w:tc>
        <w:tc>
          <w:tcPr>
            <w:tcW w:type="dxa" w:w="907"/>
          </w:tcPr>
          <w:p>
            <w:pPr>
              <w:spacing w:after="20"/>
              <w:jc w:val="right"/>
            </w:pPr>
            <w:r>
              <w:rPr>
                <w:color w:val="1C3A36"/>
                <w:sz w:val="16"/>
              </w:rPr>
              <w:t>-40</w:t>
            </w:r>
          </w:p>
        </w:tc>
        <w:tc>
          <w:tcPr>
            <w:tcW w:type="dxa" w:w="907"/>
          </w:tcPr>
          <w:p>
            <w:pPr>
              <w:spacing w:after="20"/>
              <w:jc w:val="right"/>
            </w:pPr>
            <w:r>
              <w:rPr>
                <w:color w:val="1C3A36"/>
                <w:sz w:val="16"/>
              </w:rPr>
              <w:t>-8</w:t>
            </w:r>
          </w:p>
        </w:tc>
        <w:tc>
          <w:tcPr>
            <w:tcW w:type="dxa" w:w="907"/>
          </w:tcPr>
          <w:p>
            <w:pPr>
              <w:spacing w:after="20"/>
              <w:jc w:val="right"/>
            </w:pPr>
            <w:r>
              <w:rPr>
                <w:color w:val="1C3A36"/>
                <w:sz w:val="16"/>
              </w:rPr>
              <w:t>-20</w:t>
            </w:r>
          </w:p>
        </w:tc>
        <w:tc>
          <w:tcPr>
            <w:tcW w:type="dxa" w:w="907"/>
          </w:tcPr>
          <w:p>
            <w:pPr>
              <w:spacing w:after="20"/>
              <w:jc w:val="right"/>
            </w:pPr>
            <w:r>
              <w:rPr>
                <w:color w:val="1C3A36"/>
                <w:sz w:val="16"/>
              </w:rPr>
              <w:t>4</w:t>
            </w:r>
          </w:p>
        </w:tc>
        <w:tc>
          <w:tcPr>
            <w:tcW w:type="dxa" w:w="907"/>
          </w:tcPr>
          <w:p>
            <w:pPr>
              <w:spacing w:after="20"/>
              <w:jc w:val="right"/>
            </w:pPr>
            <w:r>
              <w:rPr>
                <w:color w:val="1C3A36"/>
                <w:sz w:val="16"/>
              </w:rPr>
              <w:t>-3</w:t>
            </w:r>
          </w:p>
        </w:tc>
        <w:tc>
          <w:tcPr>
            <w:tcW w:type="dxa" w:w="907"/>
          </w:tcPr>
          <w:p>
            <w:pPr>
              <w:spacing w:after="20"/>
              <w:jc w:val="right"/>
            </w:pPr>
            <w:r>
              <w:rPr>
                <w:color w:val="1C3A36"/>
                <w:sz w:val="16"/>
              </w:rPr>
              <w:t>-7</w:t>
            </w:r>
          </w:p>
        </w:tc>
        <w:tc>
          <w:tcPr>
            <w:tcW w:type="dxa" w:w="907"/>
          </w:tcPr>
          <w:p>
            <w:pPr>
              <w:spacing w:after="20"/>
              <w:jc w:val="right"/>
            </w:pPr>
            <w:r>
              <w:rPr>
                <w:color w:val="1C3A36"/>
                <w:sz w:val="16"/>
              </w:rPr>
              <w:t>-9</w:t>
            </w:r>
          </w:p>
        </w:tc>
        <w:tc>
          <w:tcPr>
            <w:tcW w:type="dxa" w:w="907"/>
          </w:tcPr>
          <w:p>
            <w:pPr>
              <w:spacing w:after="20"/>
              <w:jc w:val="right"/>
            </w:pPr>
            <w:r>
              <w:rPr>
                <w:color w:val="1C3A36"/>
                <w:sz w:val="16"/>
              </w:rPr>
              <w:t>-5</w:t>
            </w:r>
          </w:p>
        </w:tc>
      </w:tr>
      <w:tr>
        <w:tc>
          <w:tcPr>
            <w:tcW w:type="dxa" w:w="2678"/>
          </w:tcPr>
          <w:p>
            <w:pPr>
              <w:spacing w:after="20"/>
            </w:pPr>
            <w:r>
              <w:rPr>
                <w:color w:val="1C3A36"/>
                <w:sz w:val="16"/>
              </w:rPr>
              <w:t>Share of equity-accounted investments and net impairment</w:t>
            </w:r>
          </w:p>
        </w:tc>
        <w:tc>
          <w:tcPr>
            <w:tcW w:type="dxa" w:w="907"/>
          </w:tcPr>
          <w:p>
            <w:pPr>
              <w:spacing w:after="20"/>
              <w:jc w:val="right"/>
            </w:pPr>
            <w:r>
              <w:rPr>
                <w:color w:val="1C3A36"/>
                <w:sz w:val="16"/>
              </w:rPr>
              <w:t>-2.7</w:t>
            </w:r>
          </w:p>
        </w:tc>
        <w:tc>
          <w:tcPr>
            <w:tcW w:type="dxa" w:w="907"/>
          </w:tcPr>
          <w:p>
            <w:pPr>
              <w:spacing w:after="20"/>
              <w:jc w:val="right"/>
            </w:pPr>
            <w:r>
              <w:rPr>
                <w:color w:val="1C3A36"/>
                <w:sz w:val="16"/>
              </w:rPr>
              <w:t>-2.5</w:t>
            </w:r>
          </w:p>
        </w:tc>
        <w:tc>
          <w:tcPr>
            <w:tcW w:type="dxa" w:w="907"/>
          </w:tcPr>
          <w:p>
            <w:pPr>
              <w:spacing w:after="20"/>
              <w:jc w:val="right"/>
            </w:pPr>
            <w:r>
              <w:rPr>
                <w:color w:val="1C3A36"/>
                <w:sz w:val="16"/>
              </w:rPr>
              <w:t>-1.0</w:t>
            </w:r>
          </w:p>
        </w:tc>
        <w:tc>
          <w:tcPr>
            <w:tcW w:type="dxa" w:w="907"/>
          </w:tcPr>
          <w:p>
            <w:pPr>
              <w:spacing w:after="20"/>
              <w:jc w:val="right"/>
            </w:pPr>
            <w:r>
              <w:rPr>
                <w:color w:val="1C3A36"/>
                <w:sz w:val="16"/>
              </w:rPr>
              <w:t>0.0</w:t>
            </w:r>
          </w:p>
        </w:tc>
        <w:tc>
          <w:tcPr>
            <w:tcW w:type="dxa" w:w="907"/>
          </w:tcPr>
          <w:p>
            <w:pPr>
              <w:spacing w:after="20"/>
              <w:jc w:val="right"/>
            </w:pPr>
            <w:r>
              <w:rPr>
                <w:color w:val="1C3A36"/>
                <w:sz w:val="16"/>
              </w:rPr>
              <w:t>0.0</w:t>
            </w:r>
          </w:p>
        </w:tc>
        <w:tc>
          <w:tcPr>
            <w:tcW w:type="dxa" w:w="907"/>
          </w:tcPr>
          <w:p>
            <w:pPr>
              <w:spacing w:after="20"/>
              <w:jc w:val="right"/>
            </w:pPr>
            <w:r>
              <w:rPr>
                <w:color w:val="1C3A36"/>
                <w:sz w:val="16"/>
              </w:rPr>
              <w:t>0.0</w:t>
            </w:r>
          </w:p>
        </w:tc>
        <w:tc>
          <w:tcPr>
            <w:tcW w:type="dxa" w:w="907"/>
          </w:tcPr>
          <w:p>
            <w:pPr>
              <w:spacing w:after="20"/>
              <w:jc w:val="right"/>
            </w:pPr>
            <w:r>
              <w:rPr>
                <w:color w:val="1C3A36"/>
                <w:sz w:val="16"/>
              </w:rPr>
              <w:t>0.0</w:t>
            </w:r>
          </w:p>
        </w:tc>
        <w:tc>
          <w:tcPr>
            <w:tcW w:type="dxa" w:w="907"/>
          </w:tcPr>
          <w:p>
            <w:pPr>
              <w:spacing w:after="20"/>
              <w:jc w:val="right"/>
            </w:pPr>
            <w:r>
              <w:rPr>
                <w:color w:val="1C3A36"/>
                <w:sz w:val="16"/>
              </w:rPr>
              <w:t>0.0</w:t>
            </w:r>
          </w:p>
        </w:tc>
      </w:tr>
      <w:tr>
        <w:tc>
          <w:tcPr>
            <w:tcW w:type="dxa" w:w="2678"/>
          </w:tcPr>
          <w:p>
            <w:pPr>
              <w:spacing w:after="20"/>
            </w:pPr>
            <w:r>
              <w:rPr>
                <w:color w:val="1C3A36"/>
                <w:sz w:val="16"/>
              </w:rPr>
              <w:t>Profit before royalty and tax</w:t>
            </w:r>
          </w:p>
        </w:tc>
        <w:tc>
          <w:tcPr>
            <w:tcW w:type="dxa" w:w="907"/>
          </w:tcPr>
          <w:p>
            <w:pPr>
              <w:spacing w:after="20"/>
              <w:jc w:val="right"/>
            </w:pPr>
            <w:r>
              <w:rPr>
                <w:color w:val="1C3A36"/>
                <w:sz w:val="16"/>
              </w:rPr>
              <w:t>3,559</w:t>
            </w:r>
          </w:p>
        </w:tc>
        <w:tc>
          <w:tcPr>
            <w:tcW w:type="dxa" w:w="907"/>
          </w:tcPr>
          <w:p>
            <w:pPr>
              <w:spacing w:after="20"/>
              <w:jc w:val="right"/>
            </w:pPr>
            <w:r>
              <w:rPr>
                <w:color w:val="1C3A36"/>
                <w:sz w:val="16"/>
              </w:rPr>
              <w:t>4,306</w:t>
            </w:r>
          </w:p>
        </w:tc>
        <w:tc>
          <w:tcPr>
            <w:tcW w:type="dxa" w:w="907"/>
          </w:tcPr>
          <w:p>
            <w:pPr>
              <w:spacing w:after="20"/>
              <w:jc w:val="right"/>
            </w:pPr>
            <w:r>
              <w:rPr>
                <w:color w:val="1C3A36"/>
                <w:sz w:val="16"/>
              </w:rPr>
              <w:t>5,149</w:t>
            </w:r>
          </w:p>
        </w:tc>
        <w:tc>
          <w:tcPr>
            <w:tcW w:type="dxa" w:w="907"/>
          </w:tcPr>
          <w:p>
            <w:pPr>
              <w:spacing w:after="20"/>
              <w:jc w:val="right"/>
            </w:pPr>
            <w:r>
              <w:rPr>
                <w:color w:val="1C3A36"/>
                <w:sz w:val="16"/>
              </w:rPr>
              <w:t>5,541</w:t>
            </w:r>
          </w:p>
        </w:tc>
        <w:tc>
          <w:tcPr>
            <w:tcW w:type="dxa" w:w="907"/>
          </w:tcPr>
          <w:p>
            <w:pPr>
              <w:spacing w:after="20"/>
              <w:jc w:val="right"/>
            </w:pPr>
            <w:r>
              <w:rPr>
                <w:color w:val="1C3A36"/>
                <w:sz w:val="16"/>
              </w:rPr>
              <w:t>5,711</w:t>
            </w:r>
          </w:p>
        </w:tc>
        <w:tc>
          <w:tcPr>
            <w:tcW w:type="dxa" w:w="907"/>
          </w:tcPr>
          <w:p>
            <w:pPr>
              <w:spacing w:after="20"/>
              <w:jc w:val="right"/>
            </w:pPr>
            <w:r>
              <w:rPr>
                <w:color w:val="1C3A36"/>
                <w:sz w:val="16"/>
              </w:rPr>
              <w:t>5,973</w:t>
            </w:r>
          </w:p>
        </w:tc>
        <w:tc>
          <w:tcPr>
            <w:tcW w:type="dxa" w:w="907"/>
          </w:tcPr>
          <w:p>
            <w:pPr>
              <w:spacing w:after="20"/>
              <w:jc w:val="right"/>
            </w:pPr>
            <w:r>
              <w:rPr>
                <w:color w:val="1C3A36"/>
                <w:sz w:val="16"/>
              </w:rPr>
              <w:t>6,222</w:t>
            </w:r>
          </w:p>
        </w:tc>
        <w:tc>
          <w:tcPr>
            <w:tcW w:type="dxa" w:w="907"/>
          </w:tcPr>
          <w:p>
            <w:pPr>
              <w:spacing w:after="20"/>
              <w:jc w:val="right"/>
            </w:pPr>
            <w:r>
              <w:rPr>
                <w:color w:val="1C3A36"/>
                <w:sz w:val="16"/>
              </w:rPr>
              <w:t>6,490</w:t>
            </w:r>
          </w:p>
        </w:tc>
      </w:tr>
      <w:tr>
        <w:tc>
          <w:tcPr>
            <w:tcW w:type="dxa" w:w="2678"/>
            <w:shd w:val="clear" w:color="auto" w:fill="F6F1E6"/>
          </w:tcPr>
          <w:p>
            <w:pPr>
              <w:spacing w:after="20"/>
            </w:pPr>
            <w:r>
              <w:rPr>
                <w:b/>
                <w:color w:val="1C3A36"/>
                <w:sz w:val="16"/>
              </w:rPr>
              <w:t>Federal royalty and income tax</w:t>
            </w:r>
          </w:p>
        </w:tc>
        <w:tc>
          <w:tcPr>
            <w:tcW w:type="dxa" w:w="907"/>
            <w:shd w:val="clear" w:color="auto" w:fill="F6F1E6"/>
          </w:tcPr>
          <w:p>
            <w:pPr>
              <w:spacing w:after="20"/>
              <w:jc w:val="right"/>
            </w:pPr>
            <w:r>
              <w:rPr>
                <w:b/>
                <w:color w:val="1C3A36"/>
                <w:sz w:val="16"/>
              </w:rPr>
              <w:t>-1,891</w:t>
            </w:r>
          </w:p>
        </w:tc>
        <w:tc>
          <w:tcPr>
            <w:tcW w:type="dxa" w:w="907"/>
            <w:shd w:val="clear" w:color="auto" w:fill="F6F1E6"/>
          </w:tcPr>
          <w:p>
            <w:pPr>
              <w:spacing w:after="20"/>
              <w:jc w:val="right"/>
            </w:pPr>
            <w:r>
              <w:rPr>
                <w:b/>
                <w:color w:val="1C3A36"/>
                <w:sz w:val="16"/>
              </w:rPr>
              <w:t>-1,819</w:t>
            </w:r>
          </w:p>
        </w:tc>
        <w:tc>
          <w:tcPr>
            <w:tcW w:type="dxa" w:w="907"/>
            <w:shd w:val="clear" w:color="auto" w:fill="F6F1E6"/>
          </w:tcPr>
          <w:p>
            <w:pPr>
              <w:spacing w:after="20"/>
              <w:jc w:val="right"/>
            </w:pPr>
            <w:r>
              <w:rPr>
                <w:b/>
                <w:color w:val="1C3A36"/>
                <w:sz w:val="16"/>
              </w:rPr>
              <w:t>-2,244</w:t>
            </w:r>
          </w:p>
        </w:tc>
        <w:tc>
          <w:tcPr>
            <w:tcW w:type="dxa" w:w="907"/>
            <w:shd w:val="clear" w:color="auto" w:fill="F6F1E6"/>
          </w:tcPr>
          <w:p>
            <w:pPr>
              <w:spacing w:after="20"/>
              <w:jc w:val="right"/>
            </w:pPr>
            <w:r>
              <w:rPr>
                <w:b/>
                <w:color w:val="1C3A36"/>
                <w:sz w:val="16"/>
              </w:rPr>
              <w:t>-2,414</w:t>
            </w:r>
          </w:p>
        </w:tc>
        <w:tc>
          <w:tcPr>
            <w:tcW w:type="dxa" w:w="907"/>
            <w:shd w:val="clear" w:color="auto" w:fill="F6F1E6"/>
          </w:tcPr>
          <w:p>
            <w:pPr>
              <w:spacing w:after="20"/>
              <w:jc w:val="right"/>
            </w:pPr>
            <w:r>
              <w:rPr>
                <w:b/>
                <w:color w:val="1C3A36"/>
                <w:sz w:val="16"/>
              </w:rPr>
              <w:t>-2,488</w:t>
            </w:r>
          </w:p>
        </w:tc>
        <w:tc>
          <w:tcPr>
            <w:tcW w:type="dxa" w:w="907"/>
            <w:shd w:val="clear" w:color="auto" w:fill="F6F1E6"/>
          </w:tcPr>
          <w:p>
            <w:pPr>
              <w:spacing w:after="20"/>
              <w:jc w:val="right"/>
            </w:pPr>
            <w:r>
              <w:rPr>
                <w:b/>
                <w:color w:val="1C3A36"/>
                <w:sz w:val="16"/>
              </w:rPr>
              <w:t>-2,602</w:t>
            </w:r>
          </w:p>
        </w:tc>
        <w:tc>
          <w:tcPr>
            <w:tcW w:type="dxa" w:w="907"/>
            <w:shd w:val="clear" w:color="auto" w:fill="F6F1E6"/>
          </w:tcPr>
          <w:p>
            <w:pPr>
              <w:spacing w:after="20"/>
              <w:jc w:val="right"/>
            </w:pPr>
            <w:r>
              <w:rPr>
                <w:b/>
                <w:color w:val="1C3A36"/>
                <w:sz w:val="16"/>
              </w:rPr>
              <w:t>-2,711</w:t>
            </w:r>
          </w:p>
        </w:tc>
        <w:tc>
          <w:tcPr>
            <w:tcW w:type="dxa" w:w="907"/>
            <w:shd w:val="clear" w:color="auto" w:fill="F6F1E6"/>
          </w:tcPr>
          <w:p>
            <w:pPr>
              <w:spacing w:after="20"/>
              <w:jc w:val="right"/>
            </w:pPr>
            <w:r>
              <w:rPr>
                <w:b/>
                <w:color w:val="1C3A36"/>
                <w:sz w:val="16"/>
              </w:rPr>
              <w:t>-2,828</w:t>
            </w:r>
          </w:p>
        </w:tc>
      </w:tr>
      <w:tr>
        <w:tc>
          <w:tcPr>
            <w:tcW w:type="dxa" w:w="2678"/>
          </w:tcPr>
          <w:p>
            <w:pPr>
              <w:spacing w:after="20"/>
            </w:pPr>
            <w:r>
              <w:rPr>
                <w:color w:val="1C3A36"/>
                <w:sz w:val="16"/>
              </w:rPr>
              <w:t>Net profit</w:t>
            </w:r>
          </w:p>
        </w:tc>
        <w:tc>
          <w:tcPr>
            <w:tcW w:type="dxa" w:w="907"/>
          </w:tcPr>
          <w:p>
            <w:pPr>
              <w:spacing w:after="20"/>
              <w:jc w:val="right"/>
            </w:pPr>
            <w:r>
              <w:rPr>
                <w:color w:val="1C3A36"/>
                <w:sz w:val="16"/>
              </w:rPr>
              <w:t>1,668</w:t>
            </w:r>
          </w:p>
        </w:tc>
        <w:tc>
          <w:tcPr>
            <w:tcW w:type="dxa" w:w="907"/>
          </w:tcPr>
          <w:p>
            <w:pPr>
              <w:spacing w:after="20"/>
              <w:jc w:val="right"/>
            </w:pPr>
            <w:r>
              <w:rPr>
                <w:color w:val="1C3A36"/>
                <w:sz w:val="16"/>
              </w:rPr>
              <w:t>2,488</w:t>
            </w:r>
          </w:p>
        </w:tc>
        <w:tc>
          <w:tcPr>
            <w:tcW w:type="dxa" w:w="907"/>
          </w:tcPr>
          <w:p>
            <w:pPr>
              <w:spacing w:after="20"/>
              <w:jc w:val="right"/>
            </w:pPr>
            <w:r>
              <w:rPr>
                <w:color w:val="1C3A36"/>
                <w:sz w:val="16"/>
              </w:rPr>
              <w:t>2,905</w:t>
            </w:r>
          </w:p>
        </w:tc>
        <w:tc>
          <w:tcPr>
            <w:tcW w:type="dxa" w:w="907"/>
          </w:tcPr>
          <w:p>
            <w:pPr>
              <w:spacing w:after="20"/>
              <w:jc w:val="right"/>
            </w:pPr>
            <w:r>
              <w:rPr>
                <w:color w:val="1C3A36"/>
                <w:sz w:val="16"/>
              </w:rPr>
              <w:t>3,127</w:t>
            </w:r>
          </w:p>
        </w:tc>
        <w:tc>
          <w:tcPr>
            <w:tcW w:type="dxa" w:w="907"/>
          </w:tcPr>
          <w:p>
            <w:pPr>
              <w:spacing w:after="20"/>
              <w:jc w:val="right"/>
            </w:pPr>
            <w:r>
              <w:rPr>
                <w:color w:val="1C3A36"/>
                <w:sz w:val="16"/>
              </w:rPr>
              <w:t>3,223</w:t>
            </w:r>
          </w:p>
        </w:tc>
        <w:tc>
          <w:tcPr>
            <w:tcW w:type="dxa" w:w="907"/>
          </w:tcPr>
          <w:p>
            <w:pPr>
              <w:spacing w:after="20"/>
              <w:jc w:val="right"/>
            </w:pPr>
            <w:r>
              <w:rPr>
                <w:color w:val="1C3A36"/>
                <w:sz w:val="16"/>
              </w:rPr>
              <w:t>3,371</w:t>
            </w:r>
          </w:p>
        </w:tc>
        <w:tc>
          <w:tcPr>
            <w:tcW w:type="dxa" w:w="907"/>
          </w:tcPr>
          <w:p>
            <w:pPr>
              <w:spacing w:after="20"/>
              <w:jc w:val="right"/>
            </w:pPr>
            <w:r>
              <w:rPr>
                <w:color w:val="1C3A36"/>
                <w:sz w:val="16"/>
              </w:rPr>
              <w:t>3,511</w:t>
            </w:r>
          </w:p>
        </w:tc>
        <w:tc>
          <w:tcPr>
            <w:tcW w:type="dxa" w:w="907"/>
          </w:tcPr>
          <w:p>
            <w:pPr>
              <w:spacing w:after="20"/>
              <w:jc w:val="right"/>
            </w:pPr>
            <w:r>
              <w:rPr>
                <w:color w:val="1C3A36"/>
                <w:sz w:val="16"/>
              </w:rPr>
              <w:t>3,662</w:t>
            </w:r>
          </w:p>
        </w:tc>
      </w:tr>
      <w:tr>
        <w:tc>
          <w:tcPr>
            <w:tcW w:type="dxa" w:w="2678"/>
          </w:tcPr>
          <w:p>
            <w:pPr>
              <w:spacing w:after="20"/>
            </w:pPr>
            <w:r>
              <w:rPr>
                <w:color w:val="1C3A36"/>
                <w:sz w:val="16"/>
              </w:rPr>
              <w:t>Earnings per share (AED)</w:t>
            </w:r>
          </w:p>
        </w:tc>
        <w:tc>
          <w:tcPr>
            <w:tcW w:type="dxa" w:w="907"/>
          </w:tcPr>
          <w:p>
            <w:pPr>
              <w:spacing w:after="20"/>
              <w:jc w:val="right"/>
            </w:pPr>
            <w:r>
              <w:rPr>
                <w:color w:val="1C3A36"/>
                <w:sz w:val="16"/>
              </w:rPr>
              <w:t>0.37</w:t>
            </w:r>
          </w:p>
        </w:tc>
        <w:tc>
          <w:tcPr>
            <w:tcW w:type="dxa" w:w="907"/>
          </w:tcPr>
          <w:p>
            <w:pPr>
              <w:spacing w:after="20"/>
              <w:jc w:val="right"/>
            </w:pPr>
            <w:r>
              <w:rPr>
                <w:color w:val="1C3A36"/>
                <w:sz w:val="16"/>
              </w:rPr>
              <w:t>0.55</w:t>
            </w:r>
          </w:p>
        </w:tc>
        <w:tc>
          <w:tcPr>
            <w:tcW w:type="dxa" w:w="907"/>
          </w:tcPr>
          <w:p>
            <w:pPr>
              <w:spacing w:after="20"/>
              <w:jc w:val="right"/>
            </w:pPr>
            <w:r>
              <w:rPr>
                <w:color w:val="1C3A36"/>
                <w:sz w:val="16"/>
              </w:rPr>
              <w:t>0.64</w:t>
            </w:r>
          </w:p>
        </w:tc>
        <w:tc>
          <w:tcPr>
            <w:tcW w:type="dxa" w:w="907"/>
          </w:tcPr>
          <w:p>
            <w:pPr>
              <w:spacing w:after="20"/>
              <w:jc w:val="right"/>
            </w:pPr>
            <w:r>
              <w:rPr>
                <w:color w:val="1C3A36"/>
                <w:sz w:val="16"/>
              </w:rPr>
              <w:t>0.69</w:t>
            </w:r>
          </w:p>
        </w:tc>
        <w:tc>
          <w:tcPr>
            <w:tcW w:type="dxa" w:w="907"/>
          </w:tcPr>
          <w:p>
            <w:pPr>
              <w:spacing w:after="20"/>
              <w:jc w:val="right"/>
            </w:pPr>
            <w:r>
              <w:rPr>
                <w:color w:val="1C3A36"/>
                <w:sz w:val="16"/>
              </w:rPr>
              <w:t>0.71</w:t>
            </w:r>
          </w:p>
        </w:tc>
        <w:tc>
          <w:tcPr>
            <w:tcW w:type="dxa" w:w="907"/>
          </w:tcPr>
          <w:p>
            <w:pPr>
              <w:spacing w:after="20"/>
              <w:jc w:val="right"/>
            </w:pPr>
            <w:r>
              <w:rPr>
                <w:color w:val="1C3A36"/>
                <w:sz w:val="16"/>
              </w:rPr>
              <w:t>0.74</w:t>
            </w:r>
          </w:p>
        </w:tc>
        <w:tc>
          <w:tcPr>
            <w:tcW w:type="dxa" w:w="907"/>
          </w:tcPr>
          <w:p>
            <w:pPr>
              <w:spacing w:after="20"/>
              <w:jc w:val="right"/>
            </w:pPr>
            <w:r>
              <w:rPr>
                <w:color w:val="1C3A36"/>
                <w:sz w:val="16"/>
              </w:rPr>
              <w:t>0.77</w:t>
            </w:r>
          </w:p>
        </w:tc>
        <w:tc>
          <w:tcPr>
            <w:tcW w:type="dxa" w:w="907"/>
          </w:tcPr>
          <w:p>
            <w:pPr>
              <w:spacing w:after="20"/>
              <w:jc w:val="right"/>
            </w:pPr>
            <w:r>
              <w:rPr>
                <w:color w:val="1C3A36"/>
                <w:sz w:val="16"/>
              </w:rPr>
              <w:t>0.81</w:t>
            </w:r>
          </w:p>
        </w:tc>
      </w:tr>
      <w:tr>
        <w:tc>
          <w:tcPr>
            <w:tcW w:type="dxa" w:w="2678"/>
          </w:tcPr>
          <w:p>
            <w:pPr>
              <w:spacing w:after="20"/>
            </w:pPr>
            <w:r>
              <w:rPr>
                <w:color w:val="1C3A36"/>
                <w:sz w:val="16"/>
              </w:rPr>
              <w:t>Dividend per share (AED)</w:t>
            </w:r>
          </w:p>
        </w:tc>
        <w:tc>
          <w:tcPr>
            <w:tcW w:type="dxa" w:w="907"/>
          </w:tcPr>
          <w:p>
            <w:pPr>
              <w:spacing w:after="20"/>
              <w:jc w:val="right"/>
            </w:pPr>
            <w:r>
              <w:rPr>
                <w:color w:val="1C3A36"/>
                <w:sz w:val="16"/>
              </w:rPr>
              <w:t>0.34</w:t>
            </w:r>
          </w:p>
        </w:tc>
        <w:tc>
          <w:tcPr>
            <w:tcW w:type="dxa" w:w="907"/>
          </w:tcPr>
          <w:p>
            <w:pPr>
              <w:spacing w:after="20"/>
              <w:jc w:val="right"/>
            </w:pPr>
            <w:r>
              <w:rPr>
                <w:color w:val="1C3A36"/>
                <w:sz w:val="16"/>
              </w:rPr>
              <w:t>0.54</w:t>
            </w:r>
          </w:p>
        </w:tc>
        <w:tc>
          <w:tcPr>
            <w:tcW w:type="dxa" w:w="907"/>
          </w:tcPr>
          <w:p>
            <w:pPr>
              <w:spacing w:after="20"/>
              <w:jc w:val="right"/>
            </w:pPr>
            <w:r>
              <w:rPr>
                <w:color w:val="1C3A36"/>
                <w:sz w:val="16"/>
              </w:rPr>
              <w:t>0.64</w:t>
            </w:r>
          </w:p>
        </w:tc>
        <w:tc>
          <w:tcPr>
            <w:tcW w:type="dxa" w:w="907"/>
          </w:tcPr>
          <w:p>
            <w:pPr>
              <w:spacing w:after="20"/>
              <w:jc w:val="right"/>
            </w:pPr>
            <w:r>
              <w:rPr>
                <w:color w:val="1C3A36"/>
                <w:sz w:val="16"/>
              </w:rPr>
              <w:t>0.68</w:t>
            </w:r>
          </w:p>
        </w:tc>
        <w:tc>
          <w:tcPr>
            <w:tcW w:type="dxa" w:w="907"/>
          </w:tcPr>
          <w:p>
            <w:pPr>
              <w:spacing w:after="20"/>
              <w:jc w:val="right"/>
            </w:pPr>
            <w:r>
              <w:rPr>
                <w:color w:val="1C3A36"/>
                <w:sz w:val="16"/>
              </w:rPr>
              <w:t>0.70</w:t>
            </w:r>
          </w:p>
        </w:tc>
        <w:tc>
          <w:tcPr>
            <w:tcW w:type="dxa" w:w="907"/>
          </w:tcPr>
          <w:p>
            <w:pPr>
              <w:spacing w:after="20"/>
              <w:jc w:val="right"/>
            </w:pPr>
            <w:r>
              <w:rPr>
                <w:color w:val="1C3A36"/>
                <w:sz w:val="16"/>
              </w:rPr>
              <w:t>0.73</w:t>
            </w:r>
          </w:p>
        </w:tc>
        <w:tc>
          <w:tcPr>
            <w:tcW w:type="dxa" w:w="907"/>
          </w:tcPr>
          <w:p>
            <w:pPr>
              <w:spacing w:after="20"/>
              <w:jc w:val="right"/>
            </w:pPr>
            <w:r>
              <w:rPr>
                <w:color w:val="1C3A36"/>
                <w:sz w:val="16"/>
              </w:rPr>
              <w:t>0.76</w:t>
            </w:r>
          </w:p>
        </w:tc>
        <w:tc>
          <w:tcPr>
            <w:tcW w:type="dxa" w:w="907"/>
          </w:tcPr>
          <w:p>
            <w:pPr>
              <w:spacing w:after="20"/>
              <w:jc w:val="right"/>
            </w:pPr>
            <w:r>
              <w:rPr>
                <w:color w:val="1C3A36"/>
                <w:sz w:val="16"/>
              </w:rPr>
              <w:t>0.79</w:t>
            </w:r>
          </w:p>
        </w:tc>
      </w:tr>
    </w:tbl>
    <w:p>
      <w:pPr>
        <w:spacing w:after="40"/>
      </w:pPr>
    </w:p>
    <w:p>
      <w:pPr>
        <w:spacing w:after="200" w:before="0"/>
      </w:pPr>
      <w:r>
        <w:rPr>
          <w:b w:val="0"/>
          <w:i/>
          <w:color w:val="6E7B77"/>
          <w:sz w:val="17"/>
        </w:rPr>
        <w:t>Table A1 — every column now foots: the associates-and-impairment line, previously omitted, is what reconciled operating profit to profit before royalty in the audited statements. FY2023-25 are the audited figures (FY2024 on the re-presented basis of the FY2025 statements, so the two recent years sit on one presentation; FY2023 EBITDA is derived from audited components because the older format prints no such line, and is flagged as such). The FY2023 royalty is the old-regime charge; no corporate income tax existed before 2024.</w:t>
      </w:r>
    </w:p>
    <w:p>
      <w:pPr>
        <w:spacing w:after="80" w:before="200"/>
      </w:pPr>
      <w:r>
        <w:rPr>
          <w:b/>
          <w:i w:val="0"/>
          <w:color w:val="1C3A36"/>
          <w:sz w:val="24"/>
        </w:rPr>
        <w:t>A.2  Balance sheet — condensed house layout (consolidated, AED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78"/>
        <w:gridCol w:w="907"/>
        <w:gridCol w:w="907"/>
        <w:gridCol w:w="907"/>
        <w:gridCol w:w="907"/>
        <w:gridCol w:w="907"/>
        <w:gridCol w:w="907"/>
        <w:gridCol w:w="907"/>
        <w:gridCol w:w="907"/>
      </w:tblGrid>
      <w:tr>
        <w:tc>
          <w:tcPr>
            <w:tcW w:type="dxa" w:w="2678"/>
            <w:shd w:val="clear" w:color="auto" w:fill="EAF0EE"/>
          </w:tcPr>
          <w:p>
            <w:pPr>
              <w:spacing w:after="20"/>
            </w:pPr>
            <w:r>
              <w:rPr>
                <w:b/>
                <w:color w:val="1C3A36"/>
                <w:sz w:val="16"/>
              </w:rPr>
              <w:t>AED mn</w:t>
            </w:r>
          </w:p>
        </w:tc>
        <w:tc>
          <w:tcPr>
            <w:tcW w:type="dxa" w:w="907"/>
            <w:shd w:val="clear" w:color="auto" w:fill="EAF0EE"/>
          </w:tcPr>
          <w:p>
            <w:pPr>
              <w:spacing w:after="20"/>
            </w:pPr>
            <w:r>
              <w:rPr>
                <w:b/>
                <w:color w:val="1C3A36"/>
                <w:sz w:val="16"/>
              </w:rPr>
              <w:t>FY2023</w:t>
            </w:r>
          </w:p>
        </w:tc>
        <w:tc>
          <w:tcPr>
            <w:tcW w:type="dxa" w:w="907"/>
            <w:shd w:val="clear" w:color="auto" w:fill="EAF0EE"/>
          </w:tcPr>
          <w:p>
            <w:pPr>
              <w:spacing w:after="20"/>
            </w:pPr>
            <w:r>
              <w:rPr>
                <w:b/>
                <w:color w:val="1C3A36"/>
                <w:sz w:val="16"/>
              </w:rPr>
              <w:t>FY2024</w:t>
            </w:r>
          </w:p>
        </w:tc>
        <w:tc>
          <w:tcPr>
            <w:tcW w:type="dxa" w:w="907"/>
            <w:shd w:val="clear" w:color="auto" w:fill="EAF0EE"/>
          </w:tcPr>
          <w:p>
            <w:pPr>
              <w:spacing w:after="20"/>
            </w:pPr>
            <w:r>
              <w:rPr>
                <w:b/>
                <w:color w:val="1C3A36"/>
                <w:sz w:val="16"/>
              </w:rPr>
              <w:t>FY2025</w:t>
            </w:r>
          </w:p>
        </w:tc>
        <w:tc>
          <w:tcPr>
            <w:tcW w:type="dxa" w:w="907"/>
            <w:shd w:val="clear" w:color="auto" w:fill="EAF0EE"/>
          </w:tcPr>
          <w:p>
            <w:pPr>
              <w:spacing w:after="20"/>
            </w:pPr>
            <w:r>
              <w:rPr>
                <w:b/>
                <w:color w:val="1C3A36"/>
                <w:sz w:val="16"/>
              </w:rPr>
              <w:t>FY26E</w:t>
            </w:r>
          </w:p>
        </w:tc>
        <w:tc>
          <w:tcPr>
            <w:tcW w:type="dxa" w:w="907"/>
            <w:shd w:val="clear" w:color="auto" w:fill="EAF0EE"/>
          </w:tcPr>
          <w:p>
            <w:pPr>
              <w:spacing w:after="20"/>
            </w:pPr>
            <w:r>
              <w:rPr>
                <w:b/>
                <w:color w:val="1C3A36"/>
                <w:sz w:val="16"/>
              </w:rPr>
              <w:t>FY27E</w:t>
            </w:r>
          </w:p>
        </w:tc>
        <w:tc>
          <w:tcPr>
            <w:tcW w:type="dxa" w:w="907"/>
            <w:shd w:val="clear" w:color="auto" w:fill="EAF0EE"/>
          </w:tcPr>
          <w:p>
            <w:pPr>
              <w:spacing w:after="20"/>
            </w:pPr>
            <w:r>
              <w:rPr>
                <w:b/>
                <w:color w:val="1C3A36"/>
                <w:sz w:val="16"/>
              </w:rPr>
              <w:t>FY28E</w:t>
            </w:r>
          </w:p>
        </w:tc>
        <w:tc>
          <w:tcPr>
            <w:tcW w:type="dxa" w:w="907"/>
            <w:shd w:val="clear" w:color="auto" w:fill="EAF0EE"/>
          </w:tcPr>
          <w:p>
            <w:pPr>
              <w:spacing w:after="20"/>
            </w:pPr>
            <w:r>
              <w:rPr>
                <w:b/>
                <w:color w:val="1C3A36"/>
                <w:sz w:val="16"/>
              </w:rPr>
              <w:t>FY29E</w:t>
            </w:r>
          </w:p>
        </w:tc>
        <w:tc>
          <w:tcPr>
            <w:tcW w:type="dxa" w:w="907"/>
            <w:shd w:val="clear" w:color="auto" w:fill="EAF0EE"/>
          </w:tcPr>
          <w:p>
            <w:pPr>
              <w:spacing w:after="20"/>
            </w:pPr>
            <w:r>
              <w:rPr>
                <w:b/>
                <w:color w:val="1C3A36"/>
                <w:sz w:val="16"/>
              </w:rPr>
              <w:t>FY30E</w:t>
            </w:r>
          </w:p>
        </w:tc>
      </w:tr>
      <w:tr>
        <w:tc>
          <w:tcPr>
            <w:tcW w:type="dxa" w:w="2678"/>
          </w:tcPr>
          <w:p>
            <w:pPr>
              <w:spacing w:after="20"/>
            </w:pPr>
            <w:r>
              <w:rPr>
                <w:color w:val="1C3A36"/>
                <w:sz w:val="16"/>
              </w:rPr>
              <w:t>Property, plant and equipment</w:t>
            </w:r>
          </w:p>
        </w:tc>
        <w:tc>
          <w:tcPr>
            <w:tcW w:type="dxa" w:w="907"/>
          </w:tcPr>
          <w:p>
            <w:pPr>
              <w:spacing w:after="20"/>
              <w:jc w:val="right"/>
            </w:pPr>
            <w:r>
              <w:rPr>
                <w:color w:val="1C3A36"/>
                <w:sz w:val="16"/>
              </w:rPr>
              <w:t>9,723</w:t>
            </w:r>
          </w:p>
        </w:tc>
        <w:tc>
          <w:tcPr>
            <w:tcW w:type="dxa" w:w="907"/>
          </w:tcPr>
          <w:p>
            <w:pPr>
              <w:spacing w:after="20"/>
              <w:jc w:val="right"/>
            </w:pPr>
            <w:r>
              <w:rPr>
                <w:color w:val="1C3A36"/>
                <w:sz w:val="16"/>
              </w:rPr>
              <w:t>9,838</w:t>
            </w:r>
          </w:p>
        </w:tc>
        <w:tc>
          <w:tcPr>
            <w:tcW w:type="dxa" w:w="907"/>
          </w:tcPr>
          <w:p>
            <w:pPr>
              <w:spacing w:after="20"/>
              <w:jc w:val="right"/>
            </w:pPr>
            <w:r>
              <w:rPr>
                <w:color w:val="1C3A36"/>
                <w:sz w:val="16"/>
              </w:rPr>
              <w:t>10,289</w:t>
            </w:r>
          </w:p>
        </w:tc>
        <w:tc>
          <w:tcPr>
            <w:tcW w:type="dxa" w:w="907"/>
          </w:tcPr>
          <w:p>
            <w:pPr>
              <w:spacing w:after="20"/>
              <w:jc w:val="right"/>
            </w:pPr>
            <w:r>
              <w:rPr>
                <w:color w:val="1C3A36"/>
                <w:sz w:val="16"/>
              </w:rPr>
              <w:t>10,887</w:t>
            </w:r>
          </w:p>
        </w:tc>
        <w:tc>
          <w:tcPr>
            <w:tcW w:type="dxa" w:w="907"/>
          </w:tcPr>
          <w:p>
            <w:pPr>
              <w:spacing w:after="20"/>
              <w:jc w:val="right"/>
            </w:pPr>
            <w:r>
              <w:rPr>
                <w:color w:val="1C3A36"/>
                <w:sz w:val="16"/>
              </w:rPr>
              <w:t>11,403</w:t>
            </w:r>
          </w:p>
        </w:tc>
        <w:tc>
          <w:tcPr>
            <w:tcW w:type="dxa" w:w="907"/>
          </w:tcPr>
          <w:p>
            <w:pPr>
              <w:spacing w:after="20"/>
              <w:jc w:val="right"/>
            </w:pPr>
            <w:r>
              <w:rPr>
                <w:color w:val="1C3A36"/>
                <w:sz w:val="16"/>
              </w:rPr>
              <w:t>11,860</w:t>
            </w:r>
          </w:p>
        </w:tc>
        <w:tc>
          <w:tcPr>
            <w:tcW w:type="dxa" w:w="907"/>
          </w:tcPr>
          <w:p>
            <w:pPr>
              <w:spacing w:after="20"/>
              <w:jc w:val="right"/>
            </w:pPr>
            <w:r>
              <w:rPr>
                <w:color w:val="1C3A36"/>
                <w:sz w:val="16"/>
              </w:rPr>
              <w:t>12,173</w:t>
            </w:r>
          </w:p>
        </w:tc>
        <w:tc>
          <w:tcPr>
            <w:tcW w:type="dxa" w:w="907"/>
          </w:tcPr>
          <w:p>
            <w:pPr>
              <w:spacing w:after="20"/>
              <w:jc w:val="right"/>
            </w:pPr>
            <w:r>
              <w:rPr>
                <w:color w:val="1C3A36"/>
                <w:sz w:val="16"/>
              </w:rPr>
              <w:t>12,432</w:t>
            </w:r>
          </w:p>
        </w:tc>
      </w:tr>
      <w:tr>
        <w:tc>
          <w:tcPr>
            <w:tcW w:type="dxa" w:w="2678"/>
          </w:tcPr>
          <w:p>
            <w:pPr>
              <w:spacing w:after="20"/>
            </w:pPr>
            <w:r>
              <w:rPr>
                <w:color w:val="1C3A36"/>
                <w:sz w:val="16"/>
              </w:rPr>
              <w:t>Right-of-use assets</w:t>
            </w:r>
          </w:p>
        </w:tc>
        <w:tc>
          <w:tcPr>
            <w:tcW w:type="dxa" w:w="907"/>
          </w:tcPr>
          <w:p>
            <w:pPr>
              <w:spacing w:after="20"/>
              <w:jc w:val="right"/>
            </w:pPr>
            <w:r>
              <w:rPr>
                <w:color w:val="1C3A36"/>
                <w:sz w:val="16"/>
              </w:rPr>
              <w:t>1,597</w:t>
            </w:r>
          </w:p>
        </w:tc>
        <w:tc>
          <w:tcPr>
            <w:tcW w:type="dxa" w:w="907"/>
          </w:tcPr>
          <w:p>
            <w:pPr>
              <w:spacing w:after="20"/>
              <w:jc w:val="right"/>
            </w:pPr>
            <w:r>
              <w:rPr>
                <w:color w:val="1C3A36"/>
                <w:sz w:val="16"/>
              </w:rPr>
              <w:t>1,657</w:t>
            </w:r>
          </w:p>
        </w:tc>
        <w:tc>
          <w:tcPr>
            <w:tcW w:type="dxa" w:w="907"/>
          </w:tcPr>
          <w:p>
            <w:pPr>
              <w:spacing w:after="20"/>
              <w:jc w:val="right"/>
            </w:pPr>
            <w:r>
              <w:rPr>
                <w:color w:val="1C3A36"/>
                <w:sz w:val="16"/>
              </w:rPr>
              <w:t>1,515</w:t>
            </w:r>
          </w:p>
        </w:tc>
        <w:tc>
          <w:tcPr>
            <w:tcW w:type="dxa" w:w="907"/>
          </w:tcPr>
          <w:p>
            <w:pPr>
              <w:spacing w:after="20"/>
              <w:jc w:val="right"/>
            </w:pPr>
            <w:r>
              <w:rPr>
                <w:color w:val="1C3A36"/>
                <w:sz w:val="16"/>
              </w:rPr>
              <w:t>1,515</w:t>
            </w:r>
          </w:p>
        </w:tc>
        <w:tc>
          <w:tcPr>
            <w:tcW w:type="dxa" w:w="907"/>
          </w:tcPr>
          <w:p>
            <w:pPr>
              <w:spacing w:after="20"/>
              <w:jc w:val="right"/>
            </w:pPr>
            <w:r>
              <w:rPr>
                <w:color w:val="1C3A36"/>
                <w:sz w:val="16"/>
              </w:rPr>
              <w:t>1,515</w:t>
            </w:r>
          </w:p>
        </w:tc>
        <w:tc>
          <w:tcPr>
            <w:tcW w:type="dxa" w:w="907"/>
          </w:tcPr>
          <w:p>
            <w:pPr>
              <w:spacing w:after="20"/>
              <w:jc w:val="right"/>
            </w:pPr>
            <w:r>
              <w:rPr>
                <w:color w:val="1C3A36"/>
                <w:sz w:val="16"/>
              </w:rPr>
              <w:t>1,515</w:t>
            </w:r>
          </w:p>
        </w:tc>
        <w:tc>
          <w:tcPr>
            <w:tcW w:type="dxa" w:w="907"/>
          </w:tcPr>
          <w:p>
            <w:pPr>
              <w:spacing w:after="20"/>
              <w:jc w:val="right"/>
            </w:pPr>
            <w:r>
              <w:rPr>
                <w:color w:val="1C3A36"/>
                <w:sz w:val="16"/>
              </w:rPr>
              <w:t>1,515</w:t>
            </w:r>
          </w:p>
        </w:tc>
        <w:tc>
          <w:tcPr>
            <w:tcW w:type="dxa" w:w="907"/>
          </w:tcPr>
          <w:p>
            <w:pPr>
              <w:spacing w:after="20"/>
              <w:jc w:val="right"/>
            </w:pPr>
            <w:r>
              <w:rPr>
                <w:color w:val="1C3A36"/>
                <w:sz w:val="16"/>
              </w:rPr>
              <w:t>1,515</w:t>
            </w:r>
          </w:p>
        </w:tc>
      </w:tr>
      <w:tr>
        <w:tc>
          <w:tcPr>
            <w:tcW w:type="dxa" w:w="2678"/>
          </w:tcPr>
          <w:p>
            <w:pPr>
              <w:spacing w:after="20"/>
            </w:pPr>
            <w:r>
              <w:rPr>
                <w:color w:val="1C3A36"/>
                <w:sz w:val="16"/>
              </w:rPr>
              <w:t>Intangibles (excl. goodwill)</w:t>
            </w:r>
          </w:p>
        </w:tc>
        <w:tc>
          <w:tcPr>
            <w:tcW w:type="dxa" w:w="907"/>
          </w:tcPr>
          <w:p>
            <w:pPr>
              <w:spacing w:after="20"/>
              <w:jc w:val="right"/>
            </w:pPr>
            <w:r>
              <w:rPr>
                <w:color w:val="1C3A36"/>
                <w:sz w:val="16"/>
              </w:rPr>
              <w:t>1,111</w:t>
            </w:r>
          </w:p>
        </w:tc>
        <w:tc>
          <w:tcPr>
            <w:tcW w:type="dxa" w:w="907"/>
          </w:tcPr>
          <w:p>
            <w:pPr>
              <w:spacing w:after="20"/>
              <w:jc w:val="right"/>
            </w:pPr>
            <w:r>
              <w:rPr>
                <w:color w:val="1C3A36"/>
                <w:sz w:val="16"/>
              </w:rPr>
              <w:t>847</w:t>
            </w:r>
          </w:p>
        </w:tc>
        <w:tc>
          <w:tcPr>
            <w:tcW w:type="dxa" w:w="907"/>
          </w:tcPr>
          <w:p>
            <w:pPr>
              <w:spacing w:after="20"/>
              <w:jc w:val="right"/>
            </w:pPr>
            <w:r>
              <w:rPr>
                <w:color w:val="1C3A36"/>
                <w:sz w:val="16"/>
              </w:rPr>
              <w:t>870</w:t>
            </w:r>
          </w:p>
        </w:tc>
        <w:tc>
          <w:tcPr>
            <w:tcW w:type="dxa" w:w="907"/>
          </w:tcPr>
          <w:p>
            <w:pPr>
              <w:spacing w:after="20"/>
              <w:jc w:val="right"/>
            </w:pPr>
            <w:r>
              <w:rPr>
                <w:color w:val="1C3A36"/>
                <w:sz w:val="16"/>
              </w:rPr>
              <w:t>963</w:t>
            </w:r>
          </w:p>
        </w:tc>
        <w:tc>
          <w:tcPr>
            <w:tcW w:type="dxa" w:w="907"/>
          </w:tcPr>
          <w:p>
            <w:pPr>
              <w:spacing w:after="20"/>
              <w:jc w:val="right"/>
            </w:pPr>
            <w:r>
              <w:rPr>
                <w:color w:val="1C3A36"/>
                <w:sz w:val="16"/>
              </w:rPr>
              <w:t>1,031</w:t>
            </w:r>
          </w:p>
        </w:tc>
        <w:tc>
          <w:tcPr>
            <w:tcW w:type="dxa" w:w="907"/>
          </w:tcPr>
          <w:p>
            <w:pPr>
              <w:spacing w:after="20"/>
              <w:jc w:val="right"/>
            </w:pPr>
            <w:r>
              <w:rPr>
                <w:color w:val="1C3A36"/>
                <w:sz w:val="16"/>
              </w:rPr>
              <w:t>1,083</w:t>
            </w:r>
          </w:p>
        </w:tc>
        <w:tc>
          <w:tcPr>
            <w:tcW w:type="dxa" w:w="907"/>
          </w:tcPr>
          <w:p>
            <w:pPr>
              <w:spacing w:after="20"/>
              <w:jc w:val="right"/>
            </w:pPr>
            <w:r>
              <w:rPr>
                <w:color w:val="1C3A36"/>
                <w:sz w:val="16"/>
              </w:rPr>
              <w:t>1,109</w:t>
            </w:r>
          </w:p>
        </w:tc>
        <w:tc>
          <w:tcPr>
            <w:tcW w:type="dxa" w:w="907"/>
          </w:tcPr>
          <w:p>
            <w:pPr>
              <w:spacing w:after="20"/>
              <w:jc w:val="right"/>
            </w:pPr>
            <w:r>
              <w:rPr>
                <w:color w:val="1C3A36"/>
                <w:sz w:val="16"/>
              </w:rPr>
              <w:t>1,127</w:t>
            </w:r>
          </w:p>
        </w:tc>
      </w:tr>
      <w:tr>
        <w:tc>
          <w:tcPr>
            <w:tcW w:type="dxa" w:w="2678"/>
          </w:tcPr>
          <w:p>
            <w:pPr>
              <w:spacing w:after="20"/>
            </w:pPr>
            <w:r>
              <w:rPr>
                <w:color w:val="1C3A36"/>
                <w:sz w:val="16"/>
              </w:rPr>
              <w:t>Goodwill</w:t>
            </w:r>
          </w:p>
        </w:tc>
        <w:tc>
          <w:tcPr>
            <w:tcW w:type="dxa" w:w="907"/>
          </w:tcPr>
          <w:p>
            <w:pPr>
              <w:spacing w:after="20"/>
              <w:jc w:val="right"/>
            </w:pPr>
            <w:r>
              <w:rPr>
                <w:color w:val="1C3A36"/>
                <w:sz w:val="16"/>
              </w:rPr>
              <w:t>—</w:t>
            </w:r>
          </w:p>
        </w:tc>
        <w:tc>
          <w:tcPr>
            <w:tcW w:type="dxa" w:w="907"/>
          </w:tcPr>
          <w:p>
            <w:pPr>
              <w:spacing w:after="20"/>
              <w:jc w:val="right"/>
            </w:pPr>
            <w:r>
              <w:rPr>
                <w:color w:val="1C3A36"/>
                <w:sz w:val="16"/>
              </w:rPr>
              <w:t>413</w:t>
            </w:r>
          </w:p>
        </w:tc>
        <w:tc>
          <w:tcPr>
            <w:tcW w:type="dxa" w:w="907"/>
          </w:tcPr>
          <w:p>
            <w:pPr>
              <w:spacing w:after="20"/>
              <w:jc w:val="right"/>
            </w:pPr>
            <w:r>
              <w:rPr>
                <w:color w:val="1C3A36"/>
                <w:sz w:val="16"/>
              </w:rPr>
              <w:t>413</w:t>
            </w:r>
          </w:p>
        </w:tc>
        <w:tc>
          <w:tcPr>
            <w:tcW w:type="dxa" w:w="907"/>
          </w:tcPr>
          <w:p>
            <w:pPr>
              <w:spacing w:after="20"/>
              <w:jc w:val="right"/>
            </w:pPr>
            <w:r>
              <w:rPr>
                <w:color w:val="1C3A36"/>
                <w:sz w:val="16"/>
              </w:rPr>
              <w:t>413</w:t>
            </w:r>
          </w:p>
        </w:tc>
        <w:tc>
          <w:tcPr>
            <w:tcW w:type="dxa" w:w="907"/>
          </w:tcPr>
          <w:p>
            <w:pPr>
              <w:spacing w:after="20"/>
              <w:jc w:val="right"/>
            </w:pPr>
            <w:r>
              <w:rPr>
                <w:color w:val="1C3A36"/>
                <w:sz w:val="16"/>
              </w:rPr>
              <w:t>413</w:t>
            </w:r>
          </w:p>
        </w:tc>
        <w:tc>
          <w:tcPr>
            <w:tcW w:type="dxa" w:w="907"/>
          </w:tcPr>
          <w:p>
            <w:pPr>
              <w:spacing w:after="20"/>
              <w:jc w:val="right"/>
            </w:pPr>
            <w:r>
              <w:rPr>
                <w:color w:val="1C3A36"/>
                <w:sz w:val="16"/>
              </w:rPr>
              <w:t>413</w:t>
            </w:r>
          </w:p>
        </w:tc>
        <w:tc>
          <w:tcPr>
            <w:tcW w:type="dxa" w:w="907"/>
          </w:tcPr>
          <w:p>
            <w:pPr>
              <w:spacing w:after="20"/>
              <w:jc w:val="right"/>
            </w:pPr>
            <w:r>
              <w:rPr>
                <w:color w:val="1C3A36"/>
                <w:sz w:val="16"/>
              </w:rPr>
              <w:t>413</w:t>
            </w:r>
          </w:p>
        </w:tc>
        <w:tc>
          <w:tcPr>
            <w:tcW w:type="dxa" w:w="907"/>
          </w:tcPr>
          <w:p>
            <w:pPr>
              <w:spacing w:after="20"/>
              <w:jc w:val="right"/>
            </w:pPr>
            <w:r>
              <w:rPr>
                <w:color w:val="1C3A36"/>
                <w:sz w:val="16"/>
              </w:rPr>
              <w:t>413</w:t>
            </w:r>
          </w:p>
        </w:tc>
      </w:tr>
      <w:tr>
        <w:tc>
          <w:tcPr>
            <w:tcW w:type="dxa" w:w="2678"/>
          </w:tcPr>
          <w:p>
            <w:pPr>
              <w:spacing w:after="20"/>
            </w:pPr>
            <w:r>
              <w:rPr>
                <w:color w:val="1C3A36"/>
                <w:sz w:val="16"/>
              </w:rPr>
              <w:t>Net working capital</w:t>
            </w:r>
          </w:p>
        </w:tc>
        <w:tc>
          <w:tcPr>
            <w:tcW w:type="dxa" w:w="907"/>
          </w:tcPr>
          <w:p>
            <w:pPr>
              <w:spacing w:after="20"/>
              <w:jc w:val="right"/>
            </w:pPr>
            <w:r>
              <w:rPr>
                <w:color w:val="1C3A36"/>
                <w:sz w:val="16"/>
              </w:rPr>
              <w:t>-965</w:t>
            </w:r>
          </w:p>
        </w:tc>
        <w:tc>
          <w:tcPr>
            <w:tcW w:type="dxa" w:w="907"/>
          </w:tcPr>
          <w:p>
            <w:pPr>
              <w:spacing w:after="20"/>
              <w:jc w:val="right"/>
            </w:pPr>
            <w:r>
              <w:rPr>
                <w:color w:val="1C3A36"/>
                <w:sz w:val="16"/>
              </w:rPr>
              <w:t>-1,220</w:t>
            </w:r>
          </w:p>
        </w:tc>
        <w:tc>
          <w:tcPr>
            <w:tcW w:type="dxa" w:w="907"/>
          </w:tcPr>
          <w:p>
            <w:pPr>
              <w:spacing w:after="20"/>
              <w:jc w:val="right"/>
            </w:pPr>
            <w:r>
              <w:rPr>
                <w:color w:val="1C3A36"/>
                <w:sz w:val="16"/>
              </w:rPr>
              <w:t>-1,062</w:t>
            </w:r>
          </w:p>
        </w:tc>
        <w:tc>
          <w:tcPr>
            <w:tcW w:type="dxa" w:w="907"/>
          </w:tcPr>
          <w:p>
            <w:pPr>
              <w:spacing w:after="20"/>
              <w:jc w:val="right"/>
            </w:pPr>
            <w:r>
              <w:rPr>
                <w:color w:val="1C3A36"/>
                <w:sz w:val="16"/>
              </w:rPr>
              <w:t>-1,108</w:t>
            </w:r>
          </w:p>
        </w:tc>
        <w:tc>
          <w:tcPr>
            <w:tcW w:type="dxa" w:w="907"/>
          </w:tcPr>
          <w:p>
            <w:pPr>
              <w:spacing w:after="20"/>
              <w:jc w:val="right"/>
            </w:pPr>
            <w:r>
              <w:rPr>
                <w:color w:val="1C3A36"/>
                <w:sz w:val="16"/>
              </w:rPr>
              <w:t>-1,152</w:t>
            </w:r>
          </w:p>
        </w:tc>
        <w:tc>
          <w:tcPr>
            <w:tcW w:type="dxa" w:w="907"/>
          </w:tcPr>
          <w:p>
            <w:pPr>
              <w:spacing w:after="20"/>
              <w:jc w:val="right"/>
            </w:pPr>
            <w:r>
              <w:rPr>
                <w:color w:val="1C3A36"/>
                <w:sz w:val="16"/>
              </w:rPr>
              <w:t>-1,203</w:t>
            </w:r>
          </w:p>
        </w:tc>
        <w:tc>
          <w:tcPr>
            <w:tcW w:type="dxa" w:w="907"/>
          </w:tcPr>
          <w:p>
            <w:pPr>
              <w:spacing w:after="20"/>
              <w:jc w:val="right"/>
            </w:pPr>
            <w:r>
              <w:rPr>
                <w:color w:val="1C3A36"/>
                <w:sz w:val="16"/>
              </w:rPr>
              <w:t>-1,251</w:t>
            </w:r>
          </w:p>
        </w:tc>
        <w:tc>
          <w:tcPr>
            <w:tcW w:type="dxa" w:w="907"/>
          </w:tcPr>
          <w:p>
            <w:pPr>
              <w:spacing w:after="20"/>
              <w:jc w:val="right"/>
            </w:pPr>
            <w:r>
              <w:rPr>
                <w:color w:val="1C3A36"/>
                <w:sz w:val="16"/>
              </w:rPr>
              <w:t>-1,297</w:t>
            </w:r>
          </w:p>
        </w:tc>
      </w:tr>
      <w:tr>
        <w:tc>
          <w:tcPr>
            <w:tcW w:type="dxa" w:w="2678"/>
          </w:tcPr>
          <w:p>
            <w:pPr>
              <w:spacing w:after="20"/>
            </w:pPr>
            <w:r>
              <w:rPr>
                <w:color w:val="1C3A36"/>
                <w:sz w:val="16"/>
              </w:rPr>
              <w:t>Cash and term deposits</w:t>
            </w:r>
          </w:p>
        </w:tc>
        <w:tc>
          <w:tcPr>
            <w:tcW w:type="dxa" w:w="907"/>
          </w:tcPr>
          <w:p>
            <w:pPr>
              <w:spacing w:after="20"/>
              <w:jc w:val="right"/>
            </w:pPr>
            <w:r>
              <w:rPr>
                <w:color w:val="1C3A36"/>
                <w:sz w:val="16"/>
              </w:rPr>
              <w:t>1,937</w:t>
            </w:r>
          </w:p>
        </w:tc>
        <w:tc>
          <w:tcPr>
            <w:tcW w:type="dxa" w:w="907"/>
          </w:tcPr>
          <w:p>
            <w:pPr>
              <w:spacing w:after="20"/>
              <w:jc w:val="right"/>
            </w:pPr>
            <w:r>
              <w:rPr>
                <w:color w:val="1C3A36"/>
                <w:sz w:val="16"/>
              </w:rPr>
              <w:t>2,283</w:t>
            </w:r>
          </w:p>
        </w:tc>
        <w:tc>
          <w:tcPr>
            <w:tcW w:type="dxa" w:w="907"/>
          </w:tcPr>
          <w:p>
            <w:pPr>
              <w:spacing w:after="20"/>
              <w:jc w:val="right"/>
            </w:pPr>
            <w:r>
              <w:rPr>
                <w:color w:val="1C3A36"/>
                <w:sz w:val="16"/>
              </w:rPr>
              <w:t>2,250</w:t>
            </w:r>
          </w:p>
        </w:tc>
        <w:tc>
          <w:tcPr>
            <w:tcW w:type="dxa" w:w="907"/>
          </w:tcPr>
          <w:p>
            <w:pPr>
              <w:spacing w:after="20"/>
              <w:jc w:val="right"/>
            </w:pPr>
            <w:r>
              <w:rPr>
                <w:color w:val="1C3A36"/>
                <w:sz w:val="16"/>
              </w:rPr>
              <w:t>2,021</w:t>
            </w:r>
          </w:p>
        </w:tc>
        <w:tc>
          <w:tcPr>
            <w:tcW w:type="dxa" w:w="907"/>
          </w:tcPr>
          <w:p>
            <w:pPr>
              <w:spacing w:after="20"/>
              <w:jc w:val="right"/>
            </w:pPr>
            <w:r>
              <w:rPr>
                <w:color w:val="1C3A36"/>
                <w:sz w:val="16"/>
              </w:rPr>
              <w:t>1,895</w:t>
            </w:r>
          </w:p>
        </w:tc>
        <w:tc>
          <w:tcPr>
            <w:tcW w:type="dxa" w:w="907"/>
          </w:tcPr>
          <w:p>
            <w:pPr>
              <w:spacing w:after="20"/>
              <w:jc w:val="right"/>
            </w:pPr>
            <w:r>
              <w:rPr>
                <w:color w:val="1C3A36"/>
                <w:sz w:val="16"/>
              </w:rPr>
              <w:t>1,850</w:t>
            </w:r>
          </w:p>
        </w:tc>
        <w:tc>
          <w:tcPr>
            <w:tcW w:type="dxa" w:w="907"/>
          </w:tcPr>
          <w:p>
            <w:pPr>
              <w:spacing w:after="20"/>
              <w:jc w:val="right"/>
            </w:pPr>
            <w:r>
              <w:rPr>
                <w:color w:val="1C3A36"/>
                <w:sz w:val="16"/>
              </w:rPr>
              <w:t>1,970</w:t>
            </w:r>
          </w:p>
        </w:tc>
        <w:tc>
          <w:tcPr>
            <w:tcW w:type="dxa" w:w="907"/>
          </w:tcPr>
          <w:p>
            <w:pPr>
              <w:spacing w:after="20"/>
              <w:jc w:val="right"/>
            </w:pPr>
            <w:r>
              <w:rPr>
                <w:color w:val="1C3A36"/>
                <w:sz w:val="16"/>
              </w:rPr>
              <w:t>2,147</w:t>
            </w:r>
          </w:p>
        </w:tc>
      </w:tr>
      <w:tr>
        <w:tc>
          <w:tcPr>
            <w:tcW w:type="dxa" w:w="2678"/>
          </w:tcPr>
          <w:p>
            <w:pPr>
              <w:spacing w:after="20"/>
            </w:pPr>
            <w:r>
              <w:rPr>
                <w:color w:val="1C3A36"/>
                <w:sz w:val="16"/>
              </w:rPr>
              <w:t>Lease liabilities</w:t>
            </w:r>
          </w:p>
        </w:tc>
        <w:tc>
          <w:tcPr>
            <w:tcW w:type="dxa" w:w="907"/>
          </w:tcPr>
          <w:p>
            <w:pPr>
              <w:spacing w:after="20"/>
              <w:jc w:val="right"/>
            </w:pPr>
            <w:r>
              <w:rPr>
                <w:color w:val="1C3A36"/>
                <w:sz w:val="16"/>
              </w:rPr>
              <w:t>2,105</w:t>
            </w:r>
          </w:p>
        </w:tc>
        <w:tc>
          <w:tcPr>
            <w:tcW w:type="dxa" w:w="907"/>
          </w:tcPr>
          <w:p>
            <w:pPr>
              <w:spacing w:after="20"/>
              <w:jc w:val="right"/>
            </w:pPr>
            <w:r>
              <w:rPr>
                <w:color w:val="1C3A36"/>
                <w:sz w:val="16"/>
              </w:rPr>
              <w:t>1,999</w:t>
            </w:r>
          </w:p>
        </w:tc>
        <w:tc>
          <w:tcPr>
            <w:tcW w:type="dxa" w:w="907"/>
          </w:tcPr>
          <w:p>
            <w:pPr>
              <w:spacing w:after="20"/>
              <w:jc w:val="right"/>
            </w:pPr>
            <w:r>
              <w:rPr>
                <w:color w:val="1C3A36"/>
                <w:sz w:val="16"/>
              </w:rPr>
              <w:t>1,939</w:t>
            </w:r>
          </w:p>
        </w:tc>
        <w:tc>
          <w:tcPr>
            <w:tcW w:type="dxa" w:w="907"/>
          </w:tcPr>
          <w:p>
            <w:pPr>
              <w:spacing w:after="20"/>
              <w:jc w:val="right"/>
            </w:pPr>
            <w:r>
              <w:rPr>
                <w:color w:val="1C3A36"/>
                <w:sz w:val="16"/>
              </w:rPr>
              <w:t>1,939</w:t>
            </w:r>
          </w:p>
        </w:tc>
        <w:tc>
          <w:tcPr>
            <w:tcW w:type="dxa" w:w="907"/>
          </w:tcPr>
          <w:p>
            <w:pPr>
              <w:spacing w:after="20"/>
              <w:jc w:val="right"/>
            </w:pPr>
            <w:r>
              <w:rPr>
                <w:color w:val="1C3A36"/>
                <w:sz w:val="16"/>
              </w:rPr>
              <w:t>1,939</w:t>
            </w:r>
          </w:p>
        </w:tc>
        <w:tc>
          <w:tcPr>
            <w:tcW w:type="dxa" w:w="907"/>
          </w:tcPr>
          <w:p>
            <w:pPr>
              <w:spacing w:after="20"/>
              <w:jc w:val="right"/>
            </w:pPr>
            <w:r>
              <w:rPr>
                <w:color w:val="1C3A36"/>
                <w:sz w:val="16"/>
              </w:rPr>
              <w:t>1,939</w:t>
            </w:r>
          </w:p>
        </w:tc>
        <w:tc>
          <w:tcPr>
            <w:tcW w:type="dxa" w:w="907"/>
          </w:tcPr>
          <w:p>
            <w:pPr>
              <w:spacing w:after="20"/>
              <w:jc w:val="right"/>
            </w:pPr>
            <w:r>
              <w:rPr>
                <w:color w:val="1C3A36"/>
                <w:sz w:val="16"/>
              </w:rPr>
              <w:t>1,939</w:t>
            </w:r>
          </w:p>
        </w:tc>
        <w:tc>
          <w:tcPr>
            <w:tcW w:type="dxa" w:w="907"/>
          </w:tcPr>
          <w:p>
            <w:pPr>
              <w:spacing w:after="20"/>
              <w:jc w:val="right"/>
            </w:pPr>
            <w:r>
              <w:rPr>
                <w:color w:val="1C3A36"/>
                <w:sz w:val="16"/>
              </w:rPr>
              <w:t>1,939</w:t>
            </w:r>
          </w:p>
        </w:tc>
      </w:tr>
      <w:tr>
        <w:tc>
          <w:tcPr>
            <w:tcW w:type="dxa" w:w="2678"/>
            <w:shd w:val="clear" w:color="auto" w:fill="F6F1E6"/>
          </w:tcPr>
          <w:p>
            <w:pPr>
              <w:spacing w:after="20"/>
            </w:pPr>
            <w:r>
              <w:rPr>
                <w:b/>
                <w:color w:val="1C3A36"/>
                <w:sz w:val="16"/>
              </w:rPr>
              <w:t>Total equity</w:t>
            </w:r>
          </w:p>
        </w:tc>
        <w:tc>
          <w:tcPr>
            <w:tcW w:type="dxa" w:w="907"/>
            <w:shd w:val="clear" w:color="auto" w:fill="F6F1E6"/>
          </w:tcPr>
          <w:p>
            <w:pPr>
              <w:spacing w:after="20"/>
              <w:jc w:val="right"/>
            </w:pPr>
            <w:r>
              <w:rPr>
                <w:b/>
                <w:color w:val="1C3A36"/>
                <w:sz w:val="16"/>
              </w:rPr>
              <w:t>9,243</w:t>
            </w:r>
          </w:p>
        </w:tc>
        <w:tc>
          <w:tcPr>
            <w:tcW w:type="dxa" w:w="907"/>
            <w:shd w:val="clear" w:color="auto" w:fill="F6F1E6"/>
          </w:tcPr>
          <w:p>
            <w:pPr>
              <w:spacing w:after="20"/>
              <w:jc w:val="right"/>
            </w:pPr>
            <w:r>
              <w:rPr>
                <w:b/>
                <w:color w:val="1C3A36"/>
                <w:sz w:val="16"/>
              </w:rPr>
              <w:t>9,878</w:t>
            </w:r>
          </w:p>
        </w:tc>
        <w:tc>
          <w:tcPr>
            <w:tcW w:type="dxa" w:w="907"/>
            <w:shd w:val="clear" w:color="auto" w:fill="F6F1E6"/>
          </w:tcPr>
          <w:p>
            <w:pPr>
              <w:spacing w:after="20"/>
              <w:jc w:val="right"/>
            </w:pPr>
            <w:r>
              <w:rPr>
                <w:b/>
                <w:color w:val="1C3A36"/>
                <w:sz w:val="16"/>
              </w:rPr>
              <w:t>10,148</w:t>
            </w:r>
          </w:p>
        </w:tc>
        <w:tc>
          <w:tcPr>
            <w:tcW w:type="dxa" w:w="907"/>
            <w:shd w:val="clear" w:color="auto" w:fill="F6F1E6"/>
          </w:tcPr>
          <w:p>
            <w:pPr>
              <w:spacing w:after="20"/>
              <w:jc w:val="right"/>
            </w:pPr>
            <w:r>
              <w:rPr>
                <w:b/>
                <w:color w:val="1C3A36"/>
                <w:sz w:val="16"/>
              </w:rPr>
              <w:t>10,211</w:t>
            </w:r>
          </w:p>
        </w:tc>
        <w:tc>
          <w:tcPr>
            <w:tcW w:type="dxa" w:w="907"/>
            <w:shd w:val="clear" w:color="auto" w:fill="F6F1E6"/>
          </w:tcPr>
          <w:p>
            <w:pPr>
              <w:spacing w:after="20"/>
              <w:jc w:val="right"/>
            </w:pPr>
            <w:r>
              <w:rPr>
                <w:b/>
                <w:color w:val="1C3A36"/>
                <w:sz w:val="16"/>
              </w:rPr>
              <w:t>10,275</w:t>
            </w:r>
          </w:p>
        </w:tc>
        <w:tc>
          <w:tcPr>
            <w:tcW w:type="dxa" w:w="907"/>
            <w:shd w:val="clear" w:color="auto" w:fill="F6F1E6"/>
          </w:tcPr>
          <w:p>
            <w:pPr>
              <w:spacing w:after="20"/>
              <w:jc w:val="right"/>
            </w:pPr>
            <w:r>
              <w:rPr>
                <w:b/>
                <w:color w:val="1C3A36"/>
                <w:sz w:val="16"/>
              </w:rPr>
              <w:t>10,343</w:t>
            </w:r>
          </w:p>
        </w:tc>
        <w:tc>
          <w:tcPr>
            <w:tcW w:type="dxa" w:w="907"/>
            <w:shd w:val="clear" w:color="auto" w:fill="F6F1E6"/>
          </w:tcPr>
          <w:p>
            <w:pPr>
              <w:spacing w:after="20"/>
              <w:jc w:val="right"/>
            </w:pPr>
            <w:r>
              <w:rPr>
                <w:b/>
                <w:color w:val="1C3A36"/>
                <w:sz w:val="16"/>
              </w:rPr>
              <w:t>10,413</w:t>
            </w:r>
          </w:p>
        </w:tc>
        <w:tc>
          <w:tcPr>
            <w:tcW w:type="dxa" w:w="907"/>
            <w:shd w:val="clear" w:color="auto" w:fill="F6F1E6"/>
          </w:tcPr>
          <w:p>
            <w:pPr>
              <w:spacing w:after="20"/>
              <w:jc w:val="right"/>
            </w:pPr>
            <w:r>
              <w:rPr>
                <w:b/>
                <w:color w:val="1C3A36"/>
                <w:sz w:val="16"/>
              </w:rPr>
              <w:t>10,486</w:t>
            </w:r>
          </w:p>
        </w:tc>
      </w:tr>
      <w:tr>
        <w:tc>
          <w:tcPr>
            <w:tcW w:type="dxa" w:w="2678"/>
          </w:tcPr>
          <w:p>
            <w:pPr>
              <w:spacing w:after="20"/>
            </w:pPr>
            <w:r>
              <w:rPr>
                <w:color w:val="1C3A36"/>
                <w:sz w:val="16"/>
              </w:rPr>
              <w:t>Net cash after leases</w:t>
            </w:r>
          </w:p>
        </w:tc>
        <w:tc>
          <w:tcPr>
            <w:tcW w:type="dxa" w:w="907"/>
          </w:tcPr>
          <w:p>
            <w:pPr>
              <w:spacing w:after="20"/>
              <w:jc w:val="right"/>
            </w:pPr>
            <w:r>
              <w:rPr>
                <w:color w:val="1C3A36"/>
                <w:sz w:val="16"/>
              </w:rPr>
              <w:t>-168</w:t>
            </w:r>
          </w:p>
        </w:tc>
        <w:tc>
          <w:tcPr>
            <w:tcW w:type="dxa" w:w="907"/>
          </w:tcPr>
          <w:p>
            <w:pPr>
              <w:spacing w:after="20"/>
              <w:jc w:val="right"/>
            </w:pPr>
            <w:r>
              <w:rPr>
                <w:color w:val="1C3A36"/>
                <w:sz w:val="16"/>
              </w:rPr>
              <w:t>285</w:t>
            </w:r>
          </w:p>
        </w:tc>
        <w:tc>
          <w:tcPr>
            <w:tcW w:type="dxa" w:w="907"/>
          </w:tcPr>
          <w:p>
            <w:pPr>
              <w:spacing w:after="20"/>
              <w:jc w:val="right"/>
            </w:pPr>
            <w:r>
              <w:rPr>
                <w:color w:val="1C3A36"/>
                <w:sz w:val="16"/>
              </w:rPr>
              <w:t>311</w:t>
            </w:r>
          </w:p>
        </w:tc>
        <w:tc>
          <w:tcPr>
            <w:tcW w:type="dxa" w:w="907"/>
          </w:tcPr>
          <w:p>
            <w:pPr>
              <w:spacing w:after="20"/>
              <w:jc w:val="right"/>
            </w:pPr>
            <w:r>
              <w:rPr>
                <w:color w:val="1C3A36"/>
                <w:sz w:val="16"/>
              </w:rPr>
              <w:t>82</w:t>
            </w:r>
          </w:p>
        </w:tc>
        <w:tc>
          <w:tcPr>
            <w:tcW w:type="dxa" w:w="907"/>
          </w:tcPr>
          <w:p>
            <w:pPr>
              <w:spacing w:after="20"/>
              <w:jc w:val="right"/>
            </w:pPr>
            <w:r>
              <w:rPr>
                <w:color w:val="1C3A36"/>
                <w:sz w:val="16"/>
              </w:rPr>
              <w:t>-44</w:t>
            </w:r>
          </w:p>
        </w:tc>
        <w:tc>
          <w:tcPr>
            <w:tcW w:type="dxa" w:w="907"/>
          </w:tcPr>
          <w:p>
            <w:pPr>
              <w:spacing w:after="20"/>
              <w:jc w:val="right"/>
            </w:pPr>
            <w:r>
              <w:rPr>
                <w:color w:val="1C3A36"/>
                <w:sz w:val="16"/>
              </w:rPr>
              <w:t>-89</w:t>
            </w:r>
          </w:p>
        </w:tc>
        <w:tc>
          <w:tcPr>
            <w:tcW w:type="dxa" w:w="907"/>
          </w:tcPr>
          <w:p>
            <w:pPr>
              <w:spacing w:after="20"/>
              <w:jc w:val="right"/>
            </w:pPr>
            <w:r>
              <w:rPr>
                <w:color w:val="1C3A36"/>
                <w:sz w:val="16"/>
              </w:rPr>
              <w:t>31</w:t>
            </w:r>
          </w:p>
        </w:tc>
        <w:tc>
          <w:tcPr>
            <w:tcW w:type="dxa" w:w="907"/>
          </w:tcPr>
          <w:p>
            <w:pPr>
              <w:spacing w:after="20"/>
              <w:jc w:val="right"/>
            </w:pPr>
            <w:r>
              <w:rPr>
                <w:color w:val="1C3A36"/>
                <w:sz w:val="16"/>
              </w:rPr>
              <w:t>208</w:t>
            </w:r>
          </w:p>
        </w:tc>
      </w:tr>
    </w:tbl>
    <w:p>
      <w:pPr>
        <w:spacing w:after="40"/>
      </w:pPr>
    </w:p>
    <w:p>
      <w:pPr>
        <w:spacing w:after="200" w:before="0"/>
      </w:pPr>
      <w:r>
        <w:rPr>
          <w:b w:val="0"/>
          <w:i/>
          <w:color w:val="6E7B77"/>
          <w:sz w:val="17"/>
        </w:rPr>
        <w:t>Table A2 — a condensed layout: receivables, payables, contract balances and the royalty accrual are netted inside working capital (the FY2023 payables line still contained the royalty accrual, separately disclosed from FY2024; it is excluded in every year so the series is like-for-like). Zero drawn borrowings in every year shown. Goodwill was not a separate line in the FY2023 layout.</w:t>
      </w:r>
    </w:p>
    <w:p>
      <w:pPr>
        <w:spacing w:after="80" w:before="200"/>
      </w:pPr>
      <w:r>
        <w:rPr>
          <w:b/>
          <w:i w:val="0"/>
          <w:color w:val="1C3A36"/>
          <w:sz w:val="24"/>
        </w:rPr>
        <w:t>A.3  Forecast balance sheet and cash-flow markers</w:t>
      </w:r>
    </w:p>
    <w:p>
      <w:pPr>
        <w:spacing w:after="200" w:before="0"/>
      </w:pPr>
      <w:r>
        <w:rPr>
          <w:b w:val="0"/>
          <w:i w:val="0"/>
          <w:color w:val="1C3A36"/>
          <w:sz w:val="21"/>
        </w:rPr>
        <w:t>The equity walk: profit less the 98% payout compounds equity from AED 10,148mn to AED 10,486mn by FY2030E. The cash walk is the stress line: at a near-total payout plus the data-centre capex peak, cash and term deposits fall from AED 2,250mn to AED 2,147mn by the last forecast year, declining in every year of the forecast with no rebuild inside the window — the audited mid-2026 position (term deposits nil after the royalty settlement and final dividend) already shows exactly this mechanic, and the undrawn AED 2.0bn facility is the disclosed backstop. Working capital RELEASES cash every year; the lease book is held flat with replacement charged at depreciation.</w:t>
      </w:r>
    </w:p>
    <w:p>
      <w:pPr>
        <w:spacing w:after="120" w:before="280"/>
      </w:pPr>
      <w:r>
        <w:rPr>
          <w:b/>
          <w:i w:val="0"/>
          <w:color w:val="1C3A36"/>
          <w:sz w:val="30"/>
        </w:rPr>
        <w:t>Appendix B  Peer frame, risk register — and the research register</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1728"/>
        <w:gridCol w:w="1440"/>
        <w:gridCol w:w="1152"/>
        <w:gridCol w:w="3888"/>
      </w:tblGrid>
      <w:tr>
        <w:tc>
          <w:tcPr>
            <w:tcW w:type="dxa" w:w="1872"/>
            <w:shd w:val="clear" w:color="auto" w:fill="EAF0EE"/>
          </w:tcPr>
          <w:p>
            <w:pPr>
              <w:spacing w:after="20"/>
            </w:pPr>
            <w:r>
              <w:rPr>
                <w:b/>
                <w:color w:val="1C3A36"/>
                <w:sz w:val="17"/>
              </w:rPr>
              <w:t>Company</w:t>
            </w:r>
          </w:p>
        </w:tc>
        <w:tc>
          <w:tcPr>
            <w:tcW w:type="dxa" w:w="1728"/>
            <w:shd w:val="clear" w:color="auto" w:fill="EAF0EE"/>
          </w:tcPr>
          <w:p>
            <w:pPr>
              <w:spacing w:after="20"/>
            </w:pPr>
            <w:r>
              <w:rPr>
                <w:b/>
                <w:color w:val="1C3A36"/>
                <w:sz w:val="17"/>
              </w:rPr>
              <w:t>Market</w:t>
            </w:r>
          </w:p>
        </w:tc>
        <w:tc>
          <w:tcPr>
            <w:tcW w:type="dxa" w:w="1440"/>
            <w:shd w:val="clear" w:color="auto" w:fill="EAF0EE"/>
          </w:tcPr>
          <w:p>
            <w:pPr>
              <w:spacing w:after="20"/>
            </w:pPr>
            <w:r>
              <w:rPr>
                <w:b/>
                <w:color w:val="1C3A36"/>
                <w:sz w:val="17"/>
              </w:rPr>
              <w:t>Trailing P/E</w:t>
            </w:r>
          </w:p>
        </w:tc>
        <w:tc>
          <w:tcPr>
            <w:tcW w:type="dxa" w:w="1152"/>
            <w:shd w:val="clear" w:color="auto" w:fill="EAF0EE"/>
          </w:tcPr>
          <w:p>
            <w:pPr>
              <w:spacing w:after="20"/>
            </w:pPr>
            <w:r>
              <w:rPr>
                <w:b/>
                <w:color w:val="1C3A36"/>
                <w:sz w:val="17"/>
              </w:rPr>
              <w:t>Yield</w:t>
            </w:r>
          </w:p>
        </w:tc>
        <w:tc>
          <w:tcPr>
            <w:tcW w:type="dxa" w:w="3888"/>
            <w:shd w:val="clear" w:color="auto" w:fill="EAF0EE"/>
          </w:tcPr>
          <w:p>
            <w:pPr>
              <w:spacing w:after="20"/>
            </w:pPr>
            <w:r>
              <w:rPr>
                <w:b/>
                <w:color w:val="1C3A36"/>
                <w:sz w:val="17"/>
              </w:rPr>
              <w:t>Read-across</w:t>
            </w:r>
          </w:p>
        </w:tc>
      </w:tr>
      <w:tr>
        <w:tc>
          <w:tcPr>
            <w:tcW w:type="dxa" w:w="1872"/>
          </w:tcPr>
          <w:p>
            <w:pPr>
              <w:spacing w:after="20"/>
            </w:pPr>
            <w:r>
              <w:rPr>
                <w:color w:val="1C3A36"/>
                <w:sz w:val="17"/>
              </w:rPr>
              <w:t>e&amp;</w:t>
            </w:r>
          </w:p>
        </w:tc>
        <w:tc>
          <w:tcPr>
            <w:tcW w:type="dxa" w:w="1728"/>
          </w:tcPr>
          <w:p>
            <w:pPr>
              <w:spacing w:after="20"/>
              <w:jc w:val="right"/>
            </w:pPr>
            <w:r>
              <w:rPr>
                <w:color w:val="1C3A36"/>
                <w:sz w:val="17"/>
              </w:rPr>
              <w:t>UAE (ADX)</w:t>
            </w:r>
          </w:p>
        </w:tc>
        <w:tc>
          <w:tcPr>
            <w:tcW w:type="dxa" w:w="1440"/>
          </w:tcPr>
          <w:p>
            <w:pPr>
              <w:spacing w:after="20"/>
              <w:jc w:val="right"/>
            </w:pPr>
            <w:r>
              <w:rPr>
                <w:color w:val="1C3A36"/>
                <w:sz w:val="17"/>
              </w:rPr>
              <w:t>~20.7×</w:t>
            </w:r>
          </w:p>
        </w:tc>
        <w:tc>
          <w:tcPr>
            <w:tcW w:type="dxa" w:w="1152"/>
          </w:tcPr>
          <w:p>
            <w:pPr>
              <w:spacing w:after="20"/>
              <w:jc w:val="right"/>
            </w:pPr>
            <w:r>
              <w:rPr>
                <w:color w:val="1C3A36"/>
                <w:sz w:val="17"/>
              </w:rPr>
              <w:t>~4.8%</w:t>
            </w:r>
          </w:p>
        </w:tc>
        <w:tc>
          <w:tcPr>
            <w:tcW w:type="dxa" w:w="3888"/>
          </w:tcPr>
          <w:p>
            <w:pPr>
              <w:spacing w:after="20"/>
              <w:jc w:val="right"/>
            </w:pPr>
            <w:r>
              <w:rPr>
                <w:color w:val="1C3A36"/>
                <w:sz w:val="17"/>
              </w:rPr>
              <w:t>the duopoly partner: scale + international assets earn the premium multiple</w:t>
            </w:r>
          </w:p>
        </w:tc>
      </w:tr>
      <w:tr>
        <w:tc>
          <w:tcPr>
            <w:tcW w:type="dxa" w:w="1872"/>
          </w:tcPr>
          <w:p>
            <w:pPr>
              <w:spacing w:after="20"/>
            </w:pPr>
            <w:r>
              <w:rPr>
                <w:color w:val="1C3A36"/>
                <w:sz w:val="17"/>
              </w:rPr>
              <w:t>stc</w:t>
            </w:r>
          </w:p>
        </w:tc>
        <w:tc>
          <w:tcPr>
            <w:tcW w:type="dxa" w:w="1728"/>
          </w:tcPr>
          <w:p>
            <w:pPr>
              <w:spacing w:after="20"/>
              <w:jc w:val="right"/>
            </w:pPr>
            <w:r>
              <w:rPr>
                <w:color w:val="1C3A36"/>
                <w:sz w:val="17"/>
              </w:rPr>
              <w:t>Saudi Arabia</w:t>
            </w:r>
          </w:p>
        </w:tc>
        <w:tc>
          <w:tcPr>
            <w:tcW w:type="dxa" w:w="1440"/>
          </w:tcPr>
          <w:p>
            <w:pPr>
              <w:spacing w:after="20"/>
              <w:jc w:val="right"/>
            </w:pPr>
            <w:r>
              <w:rPr>
                <w:color w:val="1C3A36"/>
                <w:sz w:val="17"/>
              </w:rPr>
              <w:t>~18.9×</w:t>
            </w:r>
          </w:p>
        </w:tc>
        <w:tc>
          <w:tcPr>
            <w:tcW w:type="dxa" w:w="1152"/>
          </w:tcPr>
          <w:p>
            <w:pPr>
              <w:spacing w:after="20"/>
              <w:jc w:val="right"/>
            </w:pPr>
            <w:r>
              <w:rPr>
                <w:color w:val="1C3A36"/>
                <w:sz w:val="17"/>
              </w:rPr>
              <w:t>~5.2%</w:t>
            </w:r>
          </w:p>
        </w:tc>
        <w:tc>
          <w:tcPr>
            <w:tcW w:type="dxa" w:w="3888"/>
          </w:tcPr>
          <w:p>
            <w:pPr>
              <w:spacing w:after="20"/>
              <w:jc w:val="right"/>
            </w:pPr>
            <w:r>
              <w:rPr>
                <w:color w:val="1C3A36"/>
                <w:sz w:val="17"/>
              </w:rPr>
              <w:t>the regional benchmark payer</w:t>
            </w:r>
          </w:p>
        </w:tc>
      </w:tr>
      <w:tr>
        <w:tc>
          <w:tcPr>
            <w:tcW w:type="dxa" w:w="1872"/>
          </w:tcPr>
          <w:p>
            <w:pPr>
              <w:spacing w:after="20"/>
            </w:pPr>
            <w:r>
              <w:rPr>
                <w:color w:val="1C3A36"/>
                <w:sz w:val="17"/>
              </w:rPr>
              <w:t>Mobily</w:t>
            </w:r>
          </w:p>
        </w:tc>
        <w:tc>
          <w:tcPr>
            <w:tcW w:type="dxa" w:w="1728"/>
          </w:tcPr>
          <w:p>
            <w:pPr>
              <w:spacing w:after="20"/>
              <w:jc w:val="right"/>
            </w:pPr>
            <w:r>
              <w:rPr>
                <w:color w:val="1C3A36"/>
                <w:sz w:val="17"/>
              </w:rPr>
              <w:t>Saudi Arabia</w:t>
            </w:r>
          </w:p>
        </w:tc>
        <w:tc>
          <w:tcPr>
            <w:tcW w:type="dxa" w:w="1440"/>
          </w:tcPr>
          <w:p>
            <w:pPr>
              <w:spacing w:after="20"/>
              <w:jc w:val="right"/>
            </w:pPr>
            <w:r>
              <w:rPr>
                <w:color w:val="1C3A36"/>
                <w:sz w:val="17"/>
              </w:rPr>
              <w:t>~15.5×</w:t>
            </w:r>
          </w:p>
        </w:tc>
        <w:tc>
          <w:tcPr>
            <w:tcW w:type="dxa" w:w="1152"/>
          </w:tcPr>
          <w:p>
            <w:pPr>
              <w:spacing w:after="20"/>
              <w:jc w:val="right"/>
            </w:pPr>
            <w:r>
              <w:rPr>
                <w:color w:val="1C3A36"/>
                <w:sz w:val="17"/>
              </w:rPr>
              <w:t>~2.9%</w:t>
            </w:r>
          </w:p>
        </w:tc>
        <w:tc>
          <w:tcPr>
            <w:tcW w:type="dxa" w:w="3888"/>
          </w:tcPr>
          <w:p>
            <w:pPr>
              <w:spacing w:after="20"/>
              <w:jc w:val="right"/>
            </w:pPr>
            <w:r>
              <w:rPr>
                <w:color w:val="1C3A36"/>
                <w:sz w:val="17"/>
              </w:rPr>
              <w:t>closest structural analogue — the #2 that closed the gap; sets the justified P/E</w:t>
            </w:r>
          </w:p>
        </w:tc>
      </w:tr>
      <w:tr>
        <w:tc>
          <w:tcPr>
            <w:tcW w:type="dxa" w:w="1872"/>
          </w:tcPr>
          <w:p>
            <w:pPr>
              <w:spacing w:after="20"/>
            </w:pPr>
            <w:r>
              <w:rPr>
                <w:color w:val="1C3A36"/>
                <w:sz w:val="17"/>
              </w:rPr>
              <w:t>Ooredoo</w:t>
            </w:r>
          </w:p>
        </w:tc>
        <w:tc>
          <w:tcPr>
            <w:tcW w:type="dxa" w:w="1728"/>
          </w:tcPr>
          <w:p>
            <w:pPr>
              <w:spacing w:after="20"/>
              <w:jc w:val="right"/>
            </w:pPr>
            <w:r>
              <w:rPr>
                <w:color w:val="1C3A36"/>
                <w:sz w:val="17"/>
              </w:rPr>
              <w:t>Qatar</w:t>
            </w:r>
          </w:p>
        </w:tc>
        <w:tc>
          <w:tcPr>
            <w:tcW w:type="dxa" w:w="1440"/>
          </w:tcPr>
          <w:p>
            <w:pPr>
              <w:spacing w:after="20"/>
              <w:jc w:val="right"/>
            </w:pPr>
            <w:r>
              <w:rPr>
                <w:color w:val="1C3A36"/>
                <w:sz w:val="17"/>
              </w:rPr>
              <w:t>~12.5×</w:t>
            </w:r>
          </w:p>
        </w:tc>
        <w:tc>
          <w:tcPr>
            <w:tcW w:type="dxa" w:w="1152"/>
          </w:tcPr>
          <w:p>
            <w:pPr>
              <w:spacing w:after="20"/>
              <w:jc w:val="right"/>
            </w:pPr>
            <w:r>
              <w:rPr>
                <w:color w:val="1C3A36"/>
                <w:sz w:val="17"/>
              </w:rPr>
              <w:t>~4.6%</w:t>
            </w:r>
          </w:p>
        </w:tc>
        <w:tc>
          <w:tcPr>
            <w:tcW w:type="dxa" w:w="3888"/>
          </w:tcPr>
          <w:p>
            <w:pPr>
              <w:spacing w:after="20"/>
              <w:jc w:val="right"/>
            </w:pPr>
            <w:r>
              <w:rPr>
                <w:color w:val="1C3A36"/>
                <w:sz w:val="17"/>
              </w:rPr>
              <w:t>multi-market, softer growth</w:t>
            </w:r>
          </w:p>
        </w:tc>
      </w:tr>
      <w:tr>
        <w:tc>
          <w:tcPr>
            <w:tcW w:type="dxa" w:w="1872"/>
          </w:tcPr>
          <w:p>
            <w:pPr>
              <w:spacing w:after="20"/>
            </w:pPr>
            <w:r>
              <w:rPr>
                <w:color w:val="1C3A36"/>
                <w:sz w:val="17"/>
              </w:rPr>
              <w:t>Zain</w:t>
            </w:r>
          </w:p>
        </w:tc>
        <w:tc>
          <w:tcPr>
            <w:tcW w:type="dxa" w:w="1728"/>
          </w:tcPr>
          <w:p>
            <w:pPr>
              <w:spacing w:after="20"/>
              <w:jc w:val="right"/>
            </w:pPr>
            <w:r>
              <w:rPr>
                <w:color w:val="1C3A36"/>
                <w:sz w:val="17"/>
              </w:rPr>
              <w:t>Kuwait</w:t>
            </w:r>
          </w:p>
        </w:tc>
        <w:tc>
          <w:tcPr>
            <w:tcW w:type="dxa" w:w="1440"/>
          </w:tcPr>
          <w:p>
            <w:pPr>
              <w:spacing w:after="20"/>
              <w:jc w:val="right"/>
            </w:pPr>
            <w:r>
              <w:rPr>
                <w:color w:val="1C3A36"/>
                <w:sz w:val="17"/>
              </w:rPr>
              <w:t>~9×</w:t>
            </w:r>
          </w:p>
        </w:tc>
        <w:tc>
          <w:tcPr>
            <w:tcW w:type="dxa" w:w="1152"/>
          </w:tcPr>
          <w:p>
            <w:pPr>
              <w:spacing w:after="20"/>
              <w:jc w:val="right"/>
            </w:pPr>
            <w:r>
              <w:rPr>
                <w:color w:val="1C3A36"/>
                <w:sz w:val="17"/>
              </w:rPr>
              <w:t>~6-7%</w:t>
            </w:r>
          </w:p>
        </w:tc>
        <w:tc>
          <w:tcPr>
            <w:tcW w:type="dxa" w:w="3888"/>
          </w:tcPr>
          <w:p>
            <w:pPr>
              <w:spacing w:after="20"/>
              <w:jc w:val="right"/>
            </w:pPr>
            <w:r>
              <w:rPr>
                <w:color w:val="1C3A36"/>
                <w:sz w:val="17"/>
              </w:rPr>
              <w:t>levered multi-market; the bracket floor</w:t>
            </w:r>
          </w:p>
        </w:tc>
      </w:tr>
      <w:tr>
        <w:tc>
          <w:tcPr>
            <w:tcW w:type="dxa" w:w="1872"/>
          </w:tcPr>
          <w:p>
            <w:pPr>
              <w:spacing w:after="20"/>
            </w:pPr>
            <w:r>
              <w:rPr>
                <w:color w:val="1C3A36"/>
                <w:sz w:val="17"/>
              </w:rPr>
              <w:t>Omantel</w:t>
            </w:r>
          </w:p>
        </w:tc>
        <w:tc>
          <w:tcPr>
            <w:tcW w:type="dxa" w:w="1728"/>
          </w:tcPr>
          <w:p>
            <w:pPr>
              <w:spacing w:after="20"/>
              <w:jc w:val="right"/>
            </w:pPr>
            <w:r>
              <w:rPr>
                <w:color w:val="1C3A36"/>
                <w:sz w:val="17"/>
              </w:rPr>
              <w:t>Oman</w:t>
            </w:r>
          </w:p>
        </w:tc>
        <w:tc>
          <w:tcPr>
            <w:tcW w:type="dxa" w:w="1440"/>
          </w:tcPr>
          <w:p>
            <w:pPr>
              <w:spacing w:after="20"/>
              <w:jc w:val="right"/>
            </w:pPr>
            <w:r>
              <w:rPr>
                <w:color w:val="1C3A36"/>
                <w:sz w:val="17"/>
              </w:rPr>
              <w:t>~11.4×</w:t>
            </w:r>
          </w:p>
        </w:tc>
        <w:tc>
          <w:tcPr>
            <w:tcW w:type="dxa" w:w="1152"/>
          </w:tcPr>
          <w:p>
            <w:pPr>
              <w:spacing w:after="20"/>
              <w:jc w:val="right"/>
            </w:pPr>
            <w:r>
              <w:rPr>
                <w:color w:val="1C3A36"/>
                <w:sz w:val="17"/>
              </w:rPr>
              <w:t>~6.7%</w:t>
            </w:r>
          </w:p>
        </w:tc>
        <w:tc>
          <w:tcPr>
            <w:tcW w:type="dxa" w:w="3888"/>
          </w:tcPr>
          <w:p>
            <w:pPr>
              <w:spacing w:after="20"/>
              <w:jc w:val="right"/>
            </w:pPr>
            <w:r>
              <w:rPr>
                <w:color w:val="1C3A36"/>
                <w:sz w:val="17"/>
              </w:rPr>
              <w:t>small-market incumbent, yield-heavy</w:t>
            </w:r>
          </w:p>
        </w:tc>
      </w:tr>
      <w:tr>
        <w:tc>
          <w:tcPr>
            <w:tcW w:type="dxa" w:w="1872"/>
          </w:tcPr>
          <w:p>
            <w:pPr>
              <w:spacing w:after="20"/>
            </w:pPr>
            <w:r>
              <w:rPr>
                <w:color w:val="1C3A36"/>
                <w:sz w:val="17"/>
              </w:rPr>
              <w:t>DT / Vodafone</w:t>
            </w:r>
          </w:p>
        </w:tc>
        <w:tc>
          <w:tcPr>
            <w:tcW w:type="dxa" w:w="1728"/>
          </w:tcPr>
          <w:p>
            <w:pPr>
              <w:spacing w:after="20"/>
              <w:jc w:val="right"/>
            </w:pPr>
            <w:r>
              <w:rPr>
                <w:color w:val="1C3A36"/>
                <w:sz w:val="17"/>
              </w:rPr>
              <w:t>Developed</w:t>
            </w:r>
          </w:p>
        </w:tc>
        <w:tc>
          <w:tcPr>
            <w:tcW w:type="dxa" w:w="1440"/>
          </w:tcPr>
          <w:p>
            <w:pPr>
              <w:spacing w:after="20"/>
              <w:jc w:val="right"/>
            </w:pPr>
            <w:r>
              <w:rPr>
                <w:color w:val="1C3A36"/>
                <w:sz w:val="17"/>
              </w:rPr>
              <w:t>n/m</w:t>
            </w:r>
          </w:p>
        </w:tc>
        <w:tc>
          <w:tcPr>
            <w:tcW w:type="dxa" w:w="1152"/>
          </w:tcPr>
          <w:p>
            <w:pPr>
              <w:spacing w:after="20"/>
              <w:jc w:val="right"/>
            </w:pPr>
            <w:r>
              <w:rPr>
                <w:color w:val="1C3A36"/>
                <w:sz w:val="17"/>
              </w:rPr>
              <w:t>~3.4%</w:t>
            </w:r>
          </w:p>
        </w:tc>
        <w:tc>
          <w:tcPr>
            <w:tcW w:type="dxa" w:w="3888"/>
          </w:tcPr>
          <w:p>
            <w:pPr>
              <w:spacing w:after="20"/>
              <w:jc w:val="right"/>
            </w:pPr>
            <w:r>
              <w:rPr>
                <w:color w:val="1C3A36"/>
                <w:sz w:val="17"/>
              </w:rPr>
              <w:t>the developed bracket: more leverage, lower returns, lower multiples</w:t>
            </w:r>
          </w:p>
        </w:tc>
      </w:tr>
    </w:tbl>
    <w:p>
      <w:pPr>
        <w:spacing w:after="40"/>
      </w:pPr>
    </w:p>
    <w:p>
      <w:pPr>
        <w:spacing w:after="200" w:before="0"/>
      </w:pPr>
      <w:r>
        <w:rPr>
          <w:b w:val="0"/>
          <w:i/>
          <w:color w:val="6E7B77"/>
          <w:sz w:val="17"/>
        </w:rPr>
        <w:t>Table B1 — aggregator reads at the sweep date, labelled cross-check; never a build source. du computes at 19.2× trailing earnings and 7.6× trailing EV/EBITDA from its own audited figures.</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744"/>
        <w:gridCol w:w="3672"/>
      </w:tblGrid>
      <w:tr>
        <w:tc>
          <w:tcPr>
            <w:tcW w:type="dxa" w:w="2664"/>
            <w:shd w:val="clear" w:color="auto" w:fill="EAF0EE"/>
          </w:tcPr>
          <w:p>
            <w:pPr>
              <w:spacing w:after="20"/>
            </w:pPr>
            <w:r>
              <w:rPr>
                <w:b/>
                <w:color w:val="1C3A36"/>
                <w:sz w:val="17"/>
              </w:rPr>
              <w:t>Risk</w:t>
            </w:r>
          </w:p>
        </w:tc>
        <w:tc>
          <w:tcPr>
            <w:tcW w:type="dxa" w:w="3744"/>
            <w:shd w:val="clear" w:color="auto" w:fill="EAF0EE"/>
          </w:tcPr>
          <w:p>
            <w:pPr>
              <w:spacing w:after="20"/>
            </w:pPr>
            <w:r>
              <w:rPr>
                <w:b/>
                <w:color w:val="1C3A36"/>
                <w:sz w:val="17"/>
              </w:rPr>
              <w:t>Mechanism</w:t>
            </w:r>
          </w:p>
        </w:tc>
        <w:tc>
          <w:tcPr>
            <w:tcW w:type="dxa" w:w="3672"/>
            <w:shd w:val="clear" w:color="auto" w:fill="EAF0EE"/>
          </w:tcPr>
          <w:p>
            <w:pPr>
              <w:spacing w:after="20"/>
            </w:pPr>
            <w:r>
              <w:rPr>
                <w:b/>
                <w:color w:val="1C3A36"/>
                <w:sz w:val="17"/>
              </w:rPr>
              <w:t>Where it is priced</w:t>
            </w:r>
          </w:p>
        </w:tc>
      </w:tr>
      <w:tr>
        <w:tc>
          <w:tcPr>
            <w:tcW w:type="dxa" w:w="2664"/>
          </w:tcPr>
          <w:p>
            <w:pPr>
              <w:spacing w:after="20"/>
            </w:pPr>
            <w:r>
              <w:rPr>
                <w:color w:val="1C3A36"/>
                <w:sz w:val="17"/>
              </w:rPr>
              <w:t>Fiscal regime reversion or worsening</w:t>
            </w:r>
          </w:p>
        </w:tc>
        <w:tc>
          <w:tcPr>
            <w:tcW w:type="dxa" w:w="3744"/>
          </w:tcPr>
          <w:p>
            <w:pPr>
              <w:spacing w:after="20"/>
              <w:jc w:val="right"/>
            </w:pPr>
            <w:r>
              <w:rPr>
                <w:color w:val="1C3A36"/>
                <w:sz w:val="17"/>
              </w:rPr>
              <w:t>combined take above the current 44%</w:t>
            </w:r>
          </w:p>
        </w:tc>
        <w:tc>
          <w:tcPr>
            <w:tcW w:type="dxa" w:w="3672"/>
          </w:tcPr>
          <w:p>
            <w:pPr>
              <w:spacing w:after="20"/>
              <w:jc w:val="right"/>
            </w:pPr>
            <w:r>
              <w:rPr>
                <w:color w:val="1C3A36"/>
                <w:sz w:val="17"/>
              </w:rPr>
              <w:t>Framing B throughout: AED 15.22</w:t>
            </w:r>
          </w:p>
        </w:tc>
      </w:tr>
      <w:tr>
        <w:tc>
          <w:tcPr>
            <w:tcW w:type="dxa" w:w="2664"/>
          </w:tcPr>
          <w:p>
            <w:pPr>
              <w:spacing w:after="20"/>
            </w:pPr>
            <w:r>
              <w:rPr>
                <w:color w:val="1C3A36"/>
                <w:sz w:val="17"/>
              </w:rPr>
              <w:t>Licence renewal on worse terms</w:t>
            </w:r>
          </w:p>
        </w:tc>
        <w:tc>
          <w:tcPr>
            <w:tcW w:type="dxa" w:w="3744"/>
          </w:tcPr>
          <w:p>
            <w:pPr>
              <w:spacing w:after="20"/>
              <w:jc w:val="right"/>
            </w:pPr>
            <w:r>
              <w:rPr>
                <w:color w:val="1C3A36"/>
                <w:sz w:val="17"/>
              </w:rPr>
              <w:t>fee ratio above 2.7% of revenue</w:t>
            </w:r>
          </w:p>
        </w:tc>
        <w:tc>
          <w:tcPr>
            <w:tcW w:type="dxa" w:w="3672"/>
          </w:tcPr>
          <w:p>
            <w:pPr>
              <w:spacing w:after="20"/>
              <w:jc w:val="right"/>
            </w:pPr>
            <w:r>
              <w:rPr>
                <w:color w:val="1C3A36"/>
                <w:sz w:val="17"/>
              </w:rPr>
              <w:t>~AED 0.61/share per +1pp (section 1.9)</w:t>
            </w:r>
          </w:p>
        </w:tc>
      </w:tr>
      <w:tr>
        <w:tc>
          <w:tcPr>
            <w:tcW w:type="dxa" w:w="2664"/>
          </w:tcPr>
          <w:p>
            <w:pPr>
              <w:spacing w:after="20"/>
            </w:pPr>
            <w:r>
              <w:rPr>
                <w:color w:val="1C3A36"/>
                <w:sz w:val="17"/>
              </w:rPr>
              <w:t>War re-escalation</w:t>
            </w:r>
          </w:p>
        </w:tc>
        <w:tc>
          <w:tcPr>
            <w:tcW w:type="dxa" w:w="3744"/>
          </w:tcPr>
          <w:p>
            <w:pPr>
              <w:spacing w:after="20"/>
              <w:jc w:val="right"/>
            </w:pPr>
            <w:r>
              <w:rPr>
                <w:color w:val="1C3A36"/>
                <w:sz w:val="17"/>
              </w:rPr>
              <w:t>prepaid, roaming, wholesale transit reverse</w:t>
            </w:r>
          </w:p>
        </w:tc>
        <w:tc>
          <w:tcPr>
            <w:tcW w:type="dxa" w:w="3672"/>
          </w:tcPr>
          <w:p>
            <w:pPr>
              <w:spacing w:after="20"/>
              <w:jc w:val="right"/>
            </w:pPr>
            <w:r>
              <w:rPr>
                <w:color w:val="1C3A36"/>
                <w:sz w:val="17"/>
              </w:rPr>
              <w:t>subscriber sensitivity and the DCF bear</w:t>
            </w:r>
          </w:p>
        </w:tc>
      </w:tr>
      <w:tr>
        <w:tc>
          <w:tcPr>
            <w:tcW w:type="dxa" w:w="2664"/>
          </w:tcPr>
          <w:p>
            <w:pPr>
              <w:spacing w:after="20"/>
            </w:pPr>
            <w:r>
              <w:rPr>
                <w:color w:val="1C3A36"/>
                <w:sz w:val="17"/>
              </w:rPr>
              <w:t>Required-return mismeasurement</w:t>
            </w:r>
          </w:p>
        </w:tc>
        <w:tc>
          <w:tcPr>
            <w:tcW w:type="dxa" w:w="3744"/>
          </w:tcPr>
          <w:p>
            <w:pPr>
              <w:spacing w:after="20"/>
              <w:jc w:val="right"/>
            </w:pPr>
            <w:r>
              <w:rPr>
                <w:color w:val="1C3A36"/>
                <w:sz w:val="17"/>
              </w:rPr>
              <w:t>the 0.488 regression beta understates true risk</w:t>
            </w:r>
          </w:p>
        </w:tc>
        <w:tc>
          <w:tcPr>
            <w:tcW w:type="dxa" w:w="3672"/>
          </w:tcPr>
          <w:p>
            <w:pPr>
              <w:spacing w:after="20"/>
              <w:jc w:val="right"/>
            </w:pPr>
            <w:r>
              <w:rPr>
                <w:color w:val="1C3A36"/>
                <w:sz w:val="17"/>
              </w:rPr>
              <w:t>beta grid to 0.80: AED 13.36</w:t>
            </w:r>
          </w:p>
        </w:tc>
      </w:tr>
      <w:tr>
        <w:tc>
          <w:tcPr>
            <w:tcW w:type="dxa" w:w="2664"/>
          </w:tcPr>
          <w:p>
            <w:pPr>
              <w:spacing w:after="20"/>
            </w:pPr>
            <w:r>
              <w:rPr>
                <w:color w:val="1C3A36"/>
                <w:sz w:val="17"/>
              </w:rPr>
              <w:t>Data-centre execution</w:t>
            </w:r>
          </w:p>
        </w:tc>
        <w:tc>
          <w:tcPr>
            <w:tcW w:type="dxa" w:w="3744"/>
          </w:tcPr>
          <w:p>
            <w:pPr>
              <w:spacing w:after="20"/>
              <w:jc w:val="right"/>
            </w:pPr>
            <w:r>
              <w:rPr>
                <w:color w:val="1C3A36"/>
                <w:sz w:val="17"/>
              </w:rPr>
              <w:t>ICT ramp slips; capex stays high without the revenue</w:t>
            </w:r>
          </w:p>
        </w:tc>
        <w:tc>
          <w:tcPr>
            <w:tcW w:type="dxa" w:w="3672"/>
          </w:tcPr>
          <w:p>
            <w:pPr>
              <w:spacing w:after="20"/>
              <w:jc w:val="right"/>
            </w:pPr>
            <w:r>
              <w:rPr>
                <w:color w:val="1C3A36"/>
                <w:sz w:val="17"/>
              </w:rPr>
              <w:t>ICT growth and capex grids</w:t>
            </w:r>
          </w:p>
        </w:tc>
      </w:tr>
      <w:tr>
        <w:tc>
          <w:tcPr>
            <w:tcW w:type="dxa" w:w="2664"/>
          </w:tcPr>
          <w:p>
            <w:pPr>
              <w:spacing w:after="20"/>
            </w:pPr>
            <w:r>
              <w:rPr>
                <w:color w:val="1C3A36"/>
                <w:sz w:val="17"/>
              </w:rPr>
              <w:t>Payout sustainability</w:t>
            </w:r>
          </w:p>
        </w:tc>
        <w:tc>
          <w:tcPr>
            <w:tcW w:type="dxa" w:w="3744"/>
          </w:tcPr>
          <w:p>
            <w:pPr>
              <w:spacing w:after="20"/>
              <w:jc w:val="right"/>
            </w:pPr>
            <w:r>
              <w:rPr>
                <w:color w:val="1C3A36"/>
                <w:sz w:val="17"/>
              </w:rPr>
              <w:t>near-total payout + capex peak drains liquidity</w:t>
            </w:r>
          </w:p>
        </w:tc>
        <w:tc>
          <w:tcPr>
            <w:tcW w:type="dxa" w:w="3672"/>
          </w:tcPr>
          <w:p>
            <w:pPr>
              <w:spacing w:after="20"/>
              <w:jc w:val="right"/>
            </w:pPr>
            <w:r>
              <w:rPr>
                <w:color w:val="1C3A36"/>
                <w:sz w:val="17"/>
              </w:rPr>
              <w:t>the cash walk in A.3; the undrawn facility is the backstop</w:t>
            </w:r>
          </w:p>
        </w:tc>
      </w:tr>
      <w:tr>
        <w:tc>
          <w:tcPr>
            <w:tcW w:type="dxa" w:w="2664"/>
          </w:tcPr>
          <w:p>
            <w:pPr>
              <w:spacing w:after="20"/>
            </w:pPr>
            <w:r>
              <w:rPr>
                <w:color w:val="1C3A36"/>
                <w:sz w:val="17"/>
              </w:rPr>
              <w:t>Concentration</w:t>
            </w:r>
          </w:p>
        </w:tc>
        <w:tc>
          <w:tcPr>
            <w:tcW w:type="dxa" w:w="3744"/>
          </w:tcPr>
          <w:p>
            <w:pPr>
              <w:spacing w:after="20"/>
              <w:jc w:val="right"/>
            </w:pPr>
            <w:r>
              <w:rPr>
                <w:color w:val="1C3A36"/>
                <w:sz w:val="17"/>
              </w:rPr>
              <w:t>one market, one regulator, one licence</w:t>
            </w:r>
          </w:p>
        </w:tc>
        <w:tc>
          <w:tcPr>
            <w:tcW w:type="dxa" w:w="3672"/>
          </w:tcPr>
          <w:p>
            <w:pPr>
              <w:spacing w:after="20"/>
              <w:jc w:val="right"/>
            </w:pPr>
            <w:r>
              <w:rPr>
                <w:color w:val="1C3A36"/>
                <w:sz w:val="17"/>
              </w:rPr>
              <w:t>the weight given to market-anchored lenses in the synthesis</w:t>
            </w:r>
          </w:p>
        </w:tc>
      </w:tr>
    </w:tbl>
    <w:p>
      <w:pPr>
        <w:spacing w:after="40"/>
      </w:pPr>
    </w:p>
    <w:p>
      <w:pPr>
        <w:spacing w:after="80" w:before="200"/>
      </w:pPr>
      <w:r>
        <w:rPr>
          <w:b/>
          <w:i w:val="0"/>
          <w:color w:val="1C3A36"/>
          <w:sz w:val="24"/>
        </w:rPr>
        <w:t>B.3  The research register — layers, dated, negative results included</w:t>
      </w:r>
    </w:p>
    <w:p>
      <w:pPr>
        <w:spacing w:after="200" w:before="0"/>
      </w:pPr>
      <w:r>
        <w:rPr>
          <w:b w:val="0"/>
          <w:i w:val="0"/>
          <w:color w:val="1C3A36"/>
          <w:sz w:val="21"/>
        </w:rPr>
        <w:t>The full input register — every input with value, source and date, grouped by research layer, with the judgement table (each judgement paired with what would overturn it), the negative-results table and the source-discrepancy notes — ships as the companion bibliography document. Highlights a reader should know: all statement figures were read from the company's own audited/reviewed filings on its investor-relations portal (four complete fiscal years, plus both 2026 interims, swept in before the build); the UAE sovereign credit-default-swap quote was UNREACHABLE at the sweep date and the market spread was proxied by the traded Abu Dhabi dollar curve, disclosed rather than silently substituted; no public peer EV/EBITDA was clean enough to use; and no announcement of concluded licence-renewal terms existed at the sweep date — a dated negative search, not an oversight.</w:t>
      </w:r>
    </w:p>
    <w:p>
      <w:pPr>
        <w:spacing w:after="120" w:before="280"/>
      </w:pPr>
      <w:r>
        <w:rPr>
          <w:b/>
          <w:i w:val="0"/>
          <w:color w:val="1C3A36"/>
          <w:sz w:val="30"/>
        </w:rPr>
        <w:t>Appendix C  The expert valuation panel</w:t>
      </w:r>
    </w:p>
    <w:p>
      <w:pPr>
        <w:spacing w:after="120" w:before="0"/>
      </w:pPr>
      <w:r>
        <w:rPr>
          <w:b w:val="0"/>
          <w:i w:val="0"/>
          <w:color w:val="1C3A36"/>
          <w:sz w:val="21"/>
        </w:rPr>
        <w:t>Three experts, three methods, each with worked arithmetic, a named sensitivity and a falsifier stated in advance. One caveat a reader is owed up front, because it limits what the panel proves: Expert 3's economic-profit method is ALGEBRAICALLY equivalent to the cash-flow model given the same profit, capital and cost of capital, and Expert 2's dividend model is a perpetuity on the same terminal cost of equity and growth at a payout near 100%. So of the three, only Expert 1 is genuinely independent of the primary lens; the other two are better read as consistency checks on it than as external corroboration. The panel median is reported on that understanding. They are labelled Expert 1/2/3; their methods, not their names, are the point. Cast by method: an earnings-power investor, a dividend-stream investor, and an economic-profit analyst.</w:t>
      </w:r>
    </w:p>
    <w:p>
      <w:pPr>
        <w:spacing w:after="80" w:before="200"/>
      </w:pPr>
      <w:r>
        <w:rPr>
          <w:b/>
          <w:i w:val="0"/>
          <w:color w:val="1C3A36"/>
          <w:sz w:val="24"/>
        </w:rPr>
        <w:t>C.1  Expert 1 — earnings power: through-cycle earnings at a conservative multiple</w:t>
      </w:r>
    </w:p>
    <w:p>
      <w:pPr>
        <w:spacing w:after="120" w:before="0"/>
      </w:pPr>
      <w:r>
        <w:rPr>
          <w:b w:val="0"/>
          <w:i w:val="0"/>
          <w:color w:val="1C3A36"/>
          <w:sz w:val="21"/>
        </w:rPr>
        <w:t>Worldview: buy durable earnings power at a multiple that does not need the story to work. Works best on stable franchises near mid-cycle; fails when the cycle is mistaken for the trend or when a regime change (here: fiscal) resets the earnings base itself.</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192"/>
        <w:gridCol w:w="3312"/>
      </w:tblGrid>
      <w:tr>
        <w:tc>
          <w:tcPr>
            <w:tcW w:type="dxa" w:w="6192"/>
            <w:shd w:val="clear" w:color="auto" w:fill="EAF0EE"/>
          </w:tcPr>
          <w:p>
            <w:pPr>
              <w:spacing w:after="20"/>
            </w:pPr>
            <w:r>
              <w:rPr>
                <w:b/>
                <w:color w:val="1C3A36"/>
                <w:sz w:val="18"/>
              </w:rPr>
              <w:t>Step</w:t>
            </w:r>
          </w:p>
        </w:tc>
        <w:tc>
          <w:tcPr>
            <w:tcW w:type="dxa" w:w="3312"/>
            <w:shd w:val="clear" w:color="auto" w:fill="EAF0EE"/>
          </w:tcPr>
          <w:p>
            <w:pPr>
              <w:spacing w:after="20"/>
            </w:pPr>
            <w:r>
              <w:rPr>
                <w:b/>
                <w:color w:val="1C3A36"/>
                <w:sz w:val="18"/>
              </w:rPr>
              <w:t>Value</w:t>
            </w:r>
          </w:p>
        </w:tc>
      </w:tr>
      <w:tr>
        <w:tc>
          <w:tcPr>
            <w:tcW w:type="dxa" w:w="6192"/>
          </w:tcPr>
          <w:p>
            <w:pPr>
              <w:spacing w:after="20"/>
            </w:pPr>
            <w:r>
              <w:rPr>
                <w:color w:val="1C3A36"/>
                <w:sz w:val="18"/>
              </w:rPr>
              <w:t>Mid-cycle earnings per share (FY2028E)</w:t>
            </w:r>
          </w:p>
        </w:tc>
        <w:tc>
          <w:tcPr>
            <w:tcW w:type="dxa" w:w="3312"/>
          </w:tcPr>
          <w:p>
            <w:pPr>
              <w:spacing w:after="20"/>
              <w:jc w:val="right"/>
            </w:pPr>
            <w:r>
              <w:rPr>
                <w:color w:val="1C3A36"/>
                <w:sz w:val="18"/>
              </w:rPr>
              <w:t>0.74</w:t>
            </w:r>
          </w:p>
        </w:tc>
      </w:tr>
      <w:tr>
        <w:tc>
          <w:tcPr>
            <w:tcW w:type="dxa" w:w="6192"/>
          </w:tcPr>
          <w:p>
            <w:pPr>
              <w:spacing w:after="20"/>
            </w:pPr>
            <w:r>
              <w:rPr>
                <w:color w:val="1C3A36"/>
                <w:sz w:val="18"/>
              </w:rPr>
              <w:t>Through-cycle multiple applied</w:t>
            </w:r>
          </w:p>
        </w:tc>
        <w:tc>
          <w:tcPr>
            <w:tcW w:type="dxa" w:w="3312"/>
          </w:tcPr>
          <w:p>
            <w:pPr>
              <w:spacing w:after="20"/>
              <w:jc w:val="right"/>
            </w:pPr>
            <w:r>
              <w:rPr>
                <w:color w:val="1C3A36"/>
                <w:sz w:val="18"/>
              </w:rPr>
              <w:t>15.0×</w:t>
            </w:r>
          </w:p>
        </w:tc>
      </w:tr>
      <w:tr>
        <w:tc>
          <w:tcPr>
            <w:tcW w:type="dxa" w:w="6192"/>
          </w:tcPr>
          <w:p>
            <w:pPr>
              <w:spacing w:after="20"/>
            </w:pPr>
            <w:r>
              <w:rPr>
                <w:color w:val="1C3A36"/>
                <w:sz w:val="18"/>
              </w:rPr>
              <w:t>Value at FY2028 (EPS × multiple)</w:t>
            </w:r>
          </w:p>
        </w:tc>
        <w:tc>
          <w:tcPr>
            <w:tcW w:type="dxa" w:w="3312"/>
          </w:tcPr>
          <w:p>
            <w:pPr>
              <w:spacing w:after="20"/>
              <w:jc w:val="right"/>
            </w:pPr>
            <w:r>
              <w:rPr>
                <w:color w:val="1C3A36"/>
                <w:sz w:val="18"/>
              </w:rPr>
              <w:t>11.15</w:t>
            </w:r>
          </w:p>
        </w:tc>
      </w:tr>
      <w:tr>
        <w:tc>
          <w:tcPr>
            <w:tcW w:type="dxa" w:w="6192"/>
          </w:tcPr>
          <w:p>
            <w:pPr>
              <w:spacing w:after="20"/>
            </w:pPr>
            <w:r>
              <w:rPr>
                <w:color w:val="1C3A36"/>
                <w:sz w:val="18"/>
              </w:rPr>
              <w:t>discounted two years at the cost of equity</w:t>
            </w:r>
          </w:p>
        </w:tc>
        <w:tc>
          <w:tcPr>
            <w:tcW w:type="dxa" w:w="3312"/>
          </w:tcPr>
          <w:p>
            <w:pPr>
              <w:spacing w:after="20"/>
              <w:jc w:val="right"/>
            </w:pPr>
            <w:r>
              <w:rPr>
                <w:color w:val="1C3A36"/>
                <w:sz w:val="18"/>
              </w:rPr>
              <w:t>9.83</w:t>
            </w:r>
          </w:p>
        </w:tc>
      </w:tr>
      <w:tr>
        <w:tc>
          <w:tcPr>
            <w:tcW w:type="dxa" w:w="6192"/>
            <w:shd w:val="clear" w:color="auto" w:fill="F6F1E6"/>
          </w:tcPr>
          <w:p>
            <w:pPr>
              <w:spacing w:after="20"/>
            </w:pPr>
            <w:r>
              <w:rPr>
                <w:b/>
                <w:color w:val="1C3A36"/>
                <w:sz w:val="18"/>
              </w:rPr>
              <w:t>× the anchor accretion factor of 1.0387, as every other lens is rolled</w:t>
            </w:r>
          </w:p>
        </w:tc>
        <w:tc>
          <w:tcPr>
            <w:tcW w:type="dxa" w:w="3312"/>
            <w:shd w:val="clear" w:color="auto" w:fill="F6F1E6"/>
          </w:tcPr>
          <w:p>
            <w:pPr>
              <w:spacing w:after="20"/>
              <w:jc w:val="right"/>
            </w:pPr>
            <w:r>
              <w:rPr>
                <w:b/>
                <w:color w:val="1C3A36"/>
                <w:sz w:val="18"/>
              </w:rPr>
              <w:t>10.21</w:t>
            </w:r>
          </w:p>
        </w:tc>
      </w:tr>
      <w:tr>
        <w:tc>
          <w:tcPr>
            <w:tcW w:type="dxa" w:w="6192"/>
          </w:tcPr>
          <w:p>
            <w:pPr>
              <w:spacing w:after="20"/>
            </w:pPr>
            <w:r>
              <w:rPr>
                <w:color w:val="1C3A36"/>
                <w:sz w:val="18"/>
              </w:rPr>
              <w:t>less the dividends gone ex before the anchor</w:t>
            </w:r>
          </w:p>
        </w:tc>
        <w:tc>
          <w:tcPr>
            <w:tcW w:type="dxa" w:w="3312"/>
          </w:tcPr>
          <w:p>
            <w:pPr>
              <w:spacing w:after="20"/>
              <w:jc w:val="right"/>
            </w:pPr>
            <w:r>
              <w:rPr>
                <w:color w:val="1C3A36"/>
                <w:sz w:val="18"/>
              </w:rPr>
              <w:t>0.66</w:t>
            </w:r>
          </w:p>
        </w:tc>
      </w:tr>
      <w:tr>
        <w:tc>
          <w:tcPr>
            <w:tcW w:type="dxa" w:w="6192"/>
          </w:tcPr>
          <w:p>
            <w:pPr>
              <w:spacing w:after="20"/>
            </w:pPr>
            <w:r>
              <w:rPr>
                <w:color w:val="1C3A36"/>
                <w:sz w:val="18"/>
              </w:rPr>
              <w:t>Expert 1 fair value (anchor date)</w:t>
            </w:r>
          </w:p>
        </w:tc>
        <w:tc>
          <w:tcPr>
            <w:tcW w:type="dxa" w:w="3312"/>
          </w:tcPr>
          <w:p>
            <w:pPr>
              <w:spacing w:after="20"/>
              <w:jc w:val="right"/>
            </w:pPr>
            <w:r>
              <w:rPr>
                <w:color w:val="1C3A36"/>
                <w:sz w:val="18"/>
              </w:rPr>
              <w:t>9.55</w:t>
            </w:r>
          </w:p>
        </w:tc>
      </w:tr>
      <w:tr>
        <w:tc>
          <w:tcPr>
            <w:tcW w:type="dxa" w:w="6192"/>
          </w:tcPr>
          <w:p>
            <w:pPr>
              <w:spacing w:after="20"/>
            </w:pPr>
            <w:r>
              <w:rPr>
                <w:color w:val="1C3A36"/>
                <w:sz w:val="18"/>
              </w:rPr>
              <w:t>Range: 12× to 17.5× the same earnings</w:t>
            </w:r>
          </w:p>
        </w:tc>
        <w:tc>
          <w:tcPr>
            <w:tcW w:type="dxa" w:w="3312"/>
          </w:tcPr>
          <w:p>
            <w:pPr>
              <w:spacing w:after="20"/>
              <w:jc w:val="right"/>
            </w:pPr>
            <w:r>
              <w:rPr>
                <w:color w:val="1C3A36"/>
                <w:sz w:val="18"/>
              </w:rPr>
              <w:t>7.51 – 11.25</w:t>
            </w:r>
          </w:p>
        </w:tc>
      </w:tr>
    </w:tbl>
    <w:p>
      <w:pPr>
        <w:spacing w:after="40"/>
      </w:pPr>
    </w:p>
    <w:p>
      <w:pPr>
        <w:spacing w:after="120" w:before="0"/>
      </w:pPr>
      <w:r>
        <w:rPr>
          <w:b w:val="0"/>
          <w:i w:val="0"/>
          <w:color w:val="1C3A36"/>
          <w:sz w:val="21"/>
        </w:rPr>
        <w:t>Named sensitivity: the multiple. Each turn of the multiple is worth AED 0.68 per share at mid-cycle earnings. Falsifier, stated in advance: if FY2027 earnings per share prints below the FY2026 estimate — i.e. the war recovery stalls into earnings — the mid-cycle base is wrong and this read is withdrawn.</w:t>
      </w:r>
    </w:p>
    <w:p>
      <w:pPr>
        <w:spacing w:after="80" w:before="200"/>
      </w:pPr>
      <w:r>
        <w:rPr>
          <w:b/>
          <w:i w:val="0"/>
          <w:color w:val="1C3A36"/>
          <w:sz w:val="24"/>
        </w:rPr>
        <w:t>C.2  Expert 2 — the dividend stream: the natural lens for a full-payout duopoly</w:t>
      </w:r>
    </w:p>
    <w:p>
      <w:pPr>
        <w:spacing w:after="120" w:before="0"/>
      </w:pPr>
      <w:r>
        <w:rPr>
          <w:b w:val="0"/>
          <w:i w:val="0"/>
          <w:color w:val="1C3A36"/>
          <w:sz w:val="21"/>
        </w:rPr>
        <w:t>Worldview: for a company that pays out essentially everything, the dividend IS the cash flow; value it directly as a growing perpetuity. Works best when payout is policy, not accident, and the balance sheet cannot be raided; fails when the payout is about to be cut — the model capitalises a promise.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192"/>
        <w:gridCol w:w="3312"/>
      </w:tblGrid>
      <w:tr>
        <w:tc>
          <w:tcPr>
            <w:tcW w:type="dxa" w:w="6192"/>
            <w:shd w:val="clear" w:color="auto" w:fill="EAF0EE"/>
          </w:tcPr>
          <w:p>
            <w:pPr>
              <w:spacing w:after="20"/>
            </w:pPr>
            <w:r>
              <w:rPr>
                <w:b/>
                <w:color w:val="1C3A36"/>
                <w:sz w:val="18"/>
              </w:rPr>
              <w:t>Step</w:t>
            </w:r>
          </w:p>
        </w:tc>
        <w:tc>
          <w:tcPr>
            <w:tcW w:type="dxa" w:w="3312"/>
            <w:shd w:val="clear" w:color="auto" w:fill="EAF0EE"/>
          </w:tcPr>
          <w:p>
            <w:pPr>
              <w:spacing w:after="20"/>
            </w:pPr>
            <w:r>
              <w:rPr>
                <w:b/>
                <w:color w:val="1C3A36"/>
                <w:sz w:val="18"/>
              </w:rPr>
              <w:t>Value</w:t>
            </w:r>
          </w:p>
        </w:tc>
      </w:tr>
      <w:tr>
        <w:tc>
          <w:tcPr>
            <w:tcW w:type="dxa" w:w="6192"/>
          </w:tcPr>
          <w:p>
            <w:pPr>
              <w:spacing w:after="20"/>
            </w:pPr>
            <w:r>
              <w:rPr>
                <w:color w:val="1C3A36"/>
                <w:sz w:val="18"/>
              </w:rPr>
              <w:t>FY2026E dividend per share</w:t>
            </w:r>
          </w:p>
        </w:tc>
        <w:tc>
          <w:tcPr>
            <w:tcW w:type="dxa" w:w="3312"/>
          </w:tcPr>
          <w:p>
            <w:pPr>
              <w:spacing w:after="20"/>
              <w:jc w:val="right"/>
            </w:pPr>
            <w:r>
              <w:rPr>
                <w:color w:val="1C3A36"/>
                <w:sz w:val="18"/>
              </w:rPr>
              <w:t>0.68</w:t>
            </w:r>
          </w:p>
        </w:tc>
      </w:tr>
      <w:tr>
        <w:tc>
          <w:tcPr>
            <w:tcW w:type="dxa" w:w="6192"/>
          </w:tcPr>
          <w:p>
            <w:pPr>
              <w:spacing w:after="20"/>
            </w:pPr>
            <w:r>
              <w:rPr>
                <w:color w:val="1C3A36"/>
                <w:sz w:val="18"/>
              </w:rPr>
              <w:t>grown at 2.5% into a perpetuity at the terminal cost of equity 6.35%</w:t>
            </w:r>
          </w:p>
        </w:tc>
        <w:tc>
          <w:tcPr>
            <w:tcW w:type="dxa" w:w="3312"/>
          </w:tcPr>
          <w:p>
            <w:pPr>
              <w:spacing w:after="20"/>
              <w:jc w:val="right"/>
            </w:pPr>
            <w:r>
              <w:rPr>
                <w:color w:val="1C3A36"/>
                <w:sz w:val="18"/>
              </w:rPr>
              <w:t>17.98</w:t>
            </w:r>
          </w:p>
        </w:tc>
      </w:tr>
      <w:tr>
        <w:tc>
          <w:tcPr>
            <w:tcW w:type="dxa" w:w="6192"/>
          </w:tcPr>
          <w:p>
            <w:pPr>
              <w:spacing w:after="20"/>
            </w:pPr>
            <w:r>
              <w:rPr>
                <w:color w:val="1C3A36"/>
                <w:sz w:val="18"/>
              </w:rPr>
              <w:t>× the anchor accretion factor of 1.0387, as every other lens is rolled</w:t>
            </w:r>
          </w:p>
        </w:tc>
        <w:tc>
          <w:tcPr>
            <w:tcW w:type="dxa" w:w="3312"/>
          </w:tcPr>
          <w:p>
            <w:pPr>
              <w:spacing w:after="20"/>
              <w:jc w:val="right"/>
            </w:pPr>
            <w:r>
              <w:rPr>
                <w:color w:val="1C3A36"/>
                <w:sz w:val="18"/>
              </w:rPr>
              <w:t>18.68</w:t>
            </w:r>
          </w:p>
        </w:tc>
      </w:tr>
      <w:tr>
        <w:tc>
          <w:tcPr>
            <w:tcW w:type="dxa" w:w="6192"/>
            <w:shd w:val="clear" w:color="auto" w:fill="F6F1E6"/>
          </w:tcPr>
          <w:p>
            <w:pPr>
              <w:spacing w:after="20"/>
            </w:pPr>
            <w:r>
              <w:rPr>
                <w:b/>
                <w:color w:val="1C3A36"/>
                <w:sz w:val="18"/>
              </w:rPr>
              <w:t>less the dividends gone ex before the anchor</w:t>
            </w:r>
          </w:p>
        </w:tc>
        <w:tc>
          <w:tcPr>
            <w:tcW w:type="dxa" w:w="3312"/>
            <w:shd w:val="clear" w:color="auto" w:fill="F6F1E6"/>
          </w:tcPr>
          <w:p>
            <w:pPr>
              <w:spacing w:after="20"/>
              <w:jc w:val="right"/>
            </w:pPr>
            <w:r>
              <w:rPr>
                <w:b/>
                <w:color w:val="1C3A36"/>
                <w:sz w:val="18"/>
              </w:rPr>
              <w:t>0.66</w:t>
            </w:r>
          </w:p>
        </w:tc>
      </w:tr>
      <w:tr>
        <w:tc>
          <w:tcPr>
            <w:tcW w:type="dxa" w:w="6192"/>
          </w:tcPr>
          <w:p>
            <w:pPr>
              <w:spacing w:after="20"/>
            </w:pPr>
            <w:r>
              <w:rPr>
                <w:color w:val="1C3A36"/>
                <w:sz w:val="18"/>
              </w:rPr>
              <w:t>Expert 2 fair value (anchor date)</w:t>
            </w:r>
          </w:p>
        </w:tc>
        <w:tc>
          <w:tcPr>
            <w:tcW w:type="dxa" w:w="3312"/>
          </w:tcPr>
          <w:p>
            <w:pPr>
              <w:spacing w:after="20"/>
              <w:jc w:val="right"/>
            </w:pPr>
            <w:r>
              <w:rPr>
                <w:color w:val="1C3A36"/>
                <w:sz w:val="18"/>
              </w:rPr>
              <w:t>18.02</w:t>
            </w:r>
          </w:p>
        </w:tc>
      </w:tr>
      <w:tr>
        <w:tc>
          <w:tcPr>
            <w:tcW w:type="dxa" w:w="6192"/>
          </w:tcPr>
          <w:p>
            <w:pPr>
              <w:spacing w:after="20"/>
            </w:pPr>
            <w:r>
              <w:rPr>
                <w:color w:val="1C3A36"/>
                <w:sz w:val="18"/>
              </w:rPr>
              <w:t>Range: cut-and-higher-rate bear to 3%-growth bull</w:t>
            </w:r>
          </w:p>
        </w:tc>
        <w:tc>
          <w:tcPr>
            <w:tcW w:type="dxa" w:w="3312"/>
          </w:tcPr>
          <w:p>
            <w:pPr>
              <w:spacing w:after="20"/>
              <w:jc w:val="right"/>
            </w:pPr>
            <w:r>
              <w:rPr>
                <w:color w:val="1C3A36"/>
                <w:sz w:val="18"/>
              </w:rPr>
              <w:t>9.53 – 20.91</w:t>
            </w:r>
          </w:p>
        </w:tc>
      </w:tr>
    </w:tbl>
    <w:p>
      <w:pPr>
        <w:spacing w:after="40"/>
      </w:pPr>
    </w:p>
    <w:p>
      <w:pPr>
        <w:spacing w:after="120" w:before="0"/>
      </w:pPr>
      <w:r>
        <w:rPr>
          <w:b w:val="0"/>
          <w:i w:val="0"/>
          <w:color w:val="1C3A36"/>
          <w:sz w:val="21"/>
        </w:rPr>
        <w:t>Named sensitivity: the growth-rate spread (Ke − g). At these levels each 50 basis points of spread is worth roughly AED 2.34 per share. Falsifier: an interim or final dividend DECLARED lower than the prior year's equivalent — the first cut in the record — withdraws this read immediately.</w:t>
      </w:r>
    </w:p>
    <w:p>
      <w:pPr>
        <w:spacing w:after="80" w:before="200"/>
      </w:pPr>
      <w:r>
        <w:rPr>
          <w:b/>
          <w:i w:val="0"/>
          <w:color w:val="1C3A36"/>
          <w:sz w:val="24"/>
        </w:rPr>
        <w:t>C.3  Expert 3 — cash returns: economic profit on invested capital</w:t>
      </w:r>
    </w:p>
    <w:p>
      <w:pPr>
        <w:spacing w:after="120" w:before="0"/>
      </w:pPr>
      <w:r>
        <w:rPr>
          <w:b w:val="0"/>
          <w:i w:val="0"/>
          <w:color w:val="1C3A36"/>
          <w:sz w:val="21"/>
        </w:rPr>
        <w:t>Worldview: value = capital + the present value of returns ABOVE the cost of capital; a franchise is only worth a premium while its return spread lasts. Works best where invested capital is measurable and returns are stable; fails when intangible capital (spectrum rights, the licence itself) does the earning but sits off the balance sheet — which flatters the measured return.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192"/>
        <w:gridCol w:w="3312"/>
      </w:tblGrid>
      <w:tr>
        <w:tc>
          <w:tcPr>
            <w:tcW w:type="dxa" w:w="6192"/>
            <w:shd w:val="clear" w:color="auto" w:fill="EAF0EE"/>
          </w:tcPr>
          <w:p>
            <w:pPr>
              <w:spacing w:after="20"/>
            </w:pPr>
            <w:r>
              <w:rPr>
                <w:b/>
                <w:color w:val="1C3A36"/>
                <w:sz w:val="18"/>
              </w:rPr>
              <w:t>Step</w:t>
            </w:r>
          </w:p>
        </w:tc>
        <w:tc>
          <w:tcPr>
            <w:tcW w:type="dxa" w:w="3312"/>
            <w:shd w:val="clear" w:color="auto" w:fill="EAF0EE"/>
          </w:tcPr>
          <w:p>
            <w:pPr>
              <w:spacing w:after="20"/>
            </w:pPr>
            <w:r>
              <w:rPr>
                <w:b/>
                <w:color w:val="1C3A36"/>
                <w:sz w:val="18"/>
              </w:rPr>
              <w:t>AED mn</w:t>
            </w:r>
          </w:p>
        </w:tc>
      </w:tr>
      <w:tr>
        <w:tc>
          <w:tcPr>
            <w:tcW w:type="dxa" w:w="6192"/>
          </w:tcPr>
          <w:p>
            <w:pPr>
              <w:spacing w:after="20"/>
            </w:pPr>
            <w:r>
              <w:rPr>
                <w:color w:val="1C3A36"/>
                <w:sz w:val="18"/>
              </w:rPr>
              <w:t>Invested capital, FY2025 (PP&amp;E + right-of-use + intangibles + goodwill + working capital)</w:t>
            </w:r>
          </w:p>
        </w:tc>
        <w:tc>
          <w:tcPr>
            <w:tcW w:type="dxa" w:w="3312"/>
          </w:tcPr>
          <w:p>
            <w:pPr>
              <w:spacing w:after="20"/>
              <w:jc w:val="right"/>
            </w:pPr>
            <w:r>
              <w:rPr>
                <w:color w:val="1C3A36"/>
                <w:sz w:val="18"/>
              </w:rPr>
              <w:t>12,025</w:t>
            </w:r>
          </w:p>
        </w:tc>
      </w:tr>
      <w:tr>
        <w:tc>
          <w:tcPr>
            <w:tcW w:type="dxa" w:w="6192"/>
          </w:tcPr>
          <w:p>
            <w:pPr>
              <w:spacing w:after="20"/>
            </w:pPr>
            <w:r>
              <w:rPr>
                <w:color w:val="1C3A36"/>
                <w:sz w:val="18"/>
              </w:rPr>
              <w:t>PV of five years of economic profit (NOPAT less capital charge at the forward rate)</w:t>
            </w:r>
          </w:p>
        </w:tc>
        <w:tc>
          <w:tcPr>
            <w:tcW w:type="dxa" w:w="3312"/>
          </w:tcPr>
          <w:p>
            <w:pPr>
              <w:spacing w:after="20"/>
              <w:jc w:val="right"/>
            </w:pPr>
            <w:r>
              <w:rPr>
                <w:color w:val="1C3A36"/>
                <w:sz w:val="18"/>
              </w:rPr>
              <w:t>10,613</w:t>
            </w:r>
          </w:p>
        </w:tc>
      </w:tr>
      <w:tr>
        <w:tc>
          <w:tcPr>
            <w:tcW w:type="dxa" w:w="6192"/>
          </w:tcPr>
          <w:p>
            <w:pPr>
              <w:spacing w:after="20"/>
            </w:pPr>
            <w:r>
              <w:rPr>
                <w:color w:val="1C3A36"/>
                <w:sz w:val="18"/>
              </w:rPr>
              <w:t>PV of the terminal economic-profit annuity</w:t>
            </w:r>
          </w:p>
        </w:tc>
        <w:tc>
          <w:tcPr>
            <w:tcW w:type="dxa" w:w="3312"/>
          </w:tcPr>
          <w:p>
            <w:pPr>
              <w:spacing w:after="20"/>
              <w:jc w:val="right"/>
            </w:pPr>
            <w:r>
              <w:rPr>
                <w:color w:val="1C3A36"/>
                <w:sz w:val="18"/>
              </w:rPr>
              <w:t>57,338</w:t>
            </w:r>
          </w:p>
        </w:tc>
      </w:tr>
      <w:tr>
        <w:tc>
          <w:tcPr>
            <w:tcW w:type="dxa" w:w="6192"/>
          </w:tcPr>
          <w:p>
            <w:pPr>
              <w:spacing w:after="20"/>
            </w:pPr>
            <w:r>
              <w:rPr>
                <w:color w:val="1C3A36"/>
                <w:sz w:val="18"/>
              </w:rPr>
              <w:t>Implied enterprise value</w:t>
            </w:r>
          </w:p>
        </w:tc>
        <w:tc>
          <w:tcPr>
            <w:tcW w:type="dxa" w:w="3312"/>
          </w:tcPr>
          <w:p>
            <w:pPr>
              <w:spacing w:after="20"/>
              <w:jc w:val="right"/>
            </w:pPr>
            <w:r>
              <w:rPr>
                <w:color w:val="1C3A36"/>
                <w:sz w:val="18"/>
              </w:rPr>
              <w:t>79,975</w:t>
            </w:r>
          </w:p>
        </w:tc>
      </w:tr>
      <w:tr>
        <w:tc>
          <w:tcPr>
            <w:tcW w:type="dxa" w:w="6192"/>
            <w:shd w:val="clear" w:color="auto" w:fill="F6F1E6"/>
          </w:tcPr>
          <w:p>
            <w:pPr>
              <w:spacing w:after="20"/>
            </w:pPr>
            <w:r>
              <w:rPr>
                <w:b/>
                <w:color w:val="1C3A36"/>
                <w:sz w:val="18"/>
              </w:rPr>
              <w:t>bridge to equity (leases out, cash in), per share at the anchor</w:t>
            </w:r>
          </w:p>
        </w:tc>
        <w:tc>
          <w:tcPr>
            <w:tcW w:type="dxa" w:w="3312"/>
            <w:shd w:val="clear" w:color="auto" w:fill="F6F1E6"/>
          </w:tcPr>
          <w:p>
            <w:pPr>
              <w:spacing w:after="20"/>
              <w:jc w:val="right"/>
            </w:pPr>
            <w:r>
              <w:rPr>
                <w:b/>
                <w:color w:val="1C3A36"/>
                <w:sz w:val="18"/>
              </w:rPr>
              <w:t>17.74</w:t>
            </w:r>
          </w:p>
        </w:tc>
      </w:tr>
      <w:tr>
        <w:tc>
          <w:tcPr>
            <w:tcW w:type="dxa" w:w="6192"/>
          </w:tcPr>
          <w:p>
            <w:pPr>
              <w:spacing w:after="20"/>
            </w:pPr>
            <w:r>
              <w:rPr>
                <w:color w:val="1C3A36"/>
                <w:sz w:val="18"/>
              </w:rPr>
              <w:t>Range: fading spreads on the low side; a judgemental +12% on the high side</w:t>
            </w:r>
          </w:p>
        </w:tc>
        <w:tc>
          <w:tcPr>
            <w:tcW w:type="dxa" w:w="3312"/>
          </w:tcPr>
          <w:p>
            <w:pPr>
              <w:spacing w:after="20"/>
              <w:jc w:val="right"/>
            </w:pPr>
            <w:r>
              <w:rPr>
                <w:color w:val="1C3A36"/>
                <w:sz w:val="18"/>
              </w:rPr>
              <w:t>11.75 – 19.87</w:t>
            </w:r>
          </w:p>
        </w:tc>
      </w:tr>
    </w:tbl>
    <w:p>
      <w:pPr>
        <w:spacing w:after="40"/>
      </w:pPr>
    </w:p>
    <w:p>
      <w:pPr>
        <w:spacing w:after="120" w:before="0"/>
      </w:pPr>
      <w:r>
        <w:rPr>
          <w:b w:val="0"/>
          <w:i w:val="0"/>
          <w:color w:val="1C3A36"/>
          <w:sz w:val="21"/>
        </w:rPr>
        <w:t>The return spread behind it: forecast returns on capital of 25% / 25% / 25% / 25% / 26% against forward costs of capital of 6.4% / 6.4% / 6.3% / 6.2% / 6.2% — a spread of roughly twenty points, which is what a licensed duopoly with negative working capital looks like in this framework. Named sensitivity: terminal capital intensity — if the data-centre era permanently raises invested capital per dirham of profit, the terminal annuity shrinks. Falsifier: return on invested capital printing below 20% for two consecutive years.</w:t>
      </w:r>
    </w:p>
    <w:p>
      <w:pPr>
        <w:spacing w:after="80" w:before="200"/>
      </w:pPr>
      <w:r>
        <w:rPr>
          <w:b/>
          <w:i w:val="0"/>
          <w:color w:val="1C3A36"/>
          <w:sz w:val="24"/>
        </w:rPr>
        <w:t>C.4  Cross-examination</w:t>
      </w:r>
    </w:p>
    <w:p>
      <w:pPr>
        <w:pStyle w:val="ListBullet"/>
        <w:spacing w:after="60"/>
      </w:pPr>
      <w:r>
        <w:rPr>
          <w:b/>
          <w:color w:val="1C3A36"/>
          <w:sz w:val="21"/>
        </w:rPr>
        <w:t xml:space="preserve">Expert 2 to Expert 1: </w:t>
      </w:r>
      <w:r>
        <w:rPr>
          <w:color w:val="1C3A36"/>
          <w:sz w:val="21"/>
        </w:rPr>
        <w:t>your multiple is a market mood; my denominator is a policy rate. CONCEDED in part by Expert 1: the multiple carries sentiment — which is exactly why it is set at the peer median rather than du's own historical average.</w:t>
      </w:r>
    </w:p>
    <w:p>
      <w:pPr>
        <w:pStyle w:val="ListBullet"/>
        <w:spacing w:after="60"/>
      </w:pPr>
      <w:r>
        <w:rPr>
          <w:b/>
          <w:color w:val="1C3A36"/>
          <w:sz w:val="21"/>
        </w:rPr>
        <w:t xml:space="preserve">Expert 1 to Expert 2: </w:t>
      </w:r>
      <w:r>
        <w:rPr>
          <w:color w:val="1C3A36"/>
          <w:sz w:val="21"/>
        </w:rPr>
        <w:t>you capitalise a promise at a 3.7-point spread; one cut and your number is fiction. REJECTED by Expert 2: the payout has risen through a war quarter and a guidance cut — the board has told you what the dividend is for.</w:t>
      </w:r>
    </w:p>
    <w:p>
      <w:pPr>
        <w:pStyle w:val="ListBullet"/>
        <w:spacing w:after="60"/>
      </w:pPr>
      <w:r>
        <w:rPr>
          <w:b/>
          <w:color w:val="1C3A36"/>
          <w:sz w:val="21"/>
        </w:rPr>
        <w:t xml:space="preserve">Expert 3 to both: </w:t>
      </w:r>
      <w:r>
        <w:rPr>
          <w:color w:val="1C3A36"/>
          <w:sz w:val="21"/>
        </w:rPr>
        <w:t>neither of you charges for capital. The spread is the asset. CONCEDED by both — with the counter, ACCEPTED by Expert 3, that his invested-capital base omits the licence value itself, so his measured spread flatters the franchise precisely when the licence is up for renewal.</w:t>
      </w:r>
    </w:p>
    <w:p>
      <w:pPr>
        <w:pStyle w:val="ListBullet"/>
        <w:spacing w:after="60"/>
      </w:pPr>
      <w:r>
        <w:rPr>
          <w:b/>
          <w:color w:val="1C3A36"/>
          <w:sz w:val="21"/>
        </w:rPr>
        <w:t xml:space="preserve">All three to the primary model: </w:t>
      </w:r>
      <w:r>
        <w:rPr>
          <w:color w:val="1C3A36"/>
          <w:sz w:val="21"/>
        </w:rPr>
        <w:t>the DCF's terminal value is 83% of enterprise value at a discount rate its own section calls the study's biggest assumption. The model's answer: the beta is measured, gated, cross-checked, and priced against its alternatives in two separate tables — the disagreement is put in front of the reader rather than resolved by fiat.</w:t>
      </w:r>
    </w:p>
    <w:p>
      <w:pPr>
        <w:spacing w:after="80" w:before="200"/>
      </w:pPr>
      <w:r>
        <w:rPr>
          <w:b/>
          <w:i w:val="0"/>
          <w:color w:val="1C3A36"/>
          <w:sz w:val="24"/>
        </w:rPr>
        <w:t>C.5  The three in one room</w:t>
      </w:r>
    </w:p>
    <w:p>
      <w:pPr>
        <w:spacing w:after="120" w:before="0"/>
      </w:pPr>
      <w:r>
        <w:rPr>
          <w:b w:val="0"/>
          <w:i w:val="0"/>
          <w:color w:val="1C3A36"/>
          <w:sz w:val="21"/>
        </w:rPr>
        <w:t>Where they land: Expert 1 at AED 9.55, Expert 2 at AED 18.02, Expert 3 at AED 17.74 — a panel median of AED 17.74. The shape of the disagreement is the study in miniature: the earnings-power read hugs the market because it borrows the market's multiple; the two cash-based reads sit together well above it because they price du's cash at du's measured risk — and, as section 1.7 sets out, that gap is itself the study's central unresolved judgement rather than a conclusion about it.</w:t>
      </w:r>
    </w:p>
    <w:p>
      <w:pPr>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4824"/>
        <w:gridCol w:w="1944"/>
      </w:tblGrid>
      <w:tr>
        <w:tc>
          <w:tcPr>
            <w:tcW w:type="dxa" w:w="3312"/>
            <w:shd w:val="clear" w:color="auto" w:fill="EAF0EE"/>
          </w:tcPr>
          <w:p>
            <w:pPr>
              <w:spacing w:after="20"/>
            </w:pPr>
            <w:r>
              <w:rPr>
                <w:b/>
                <w:color w:val="1C3A36"/>
                <w:sz w:val="17"/>
              </w:rPr>
              <w:t>Gap</w:t>
            </w:r>
          </w:p>
        </w:tc>
        <w:tc>
          <w:tcPr>
            <w:tcW w:type="dxa" w:w="4824"/>
            <w:shd w:val="clear" w:color="auto" w:fill="EAF0EE"/>
          </w:tcPr>
          <w:p>
            <w:pPr>
              <w:spacing w:after="20"/>
            </w:pPr>
            <w:r>
              <w:rPr>
                <w:b/>
                <w:color w:val="1C3A36"/>
                <w:sz w:val="17"/>
              </w:rPr>
              <w:t>Driver of the gap</w:t>
            </w:r>
          </w:p>
        </w:tc>
        <w:tc>
          <w:tcPr>
            <w:tcW w:type="dxa" w:w="1944"/>
            <w:shd w:val="clear" w:color="auto" w:fill="EAF0EE"/>
          </w:tcPr>
          <w:p>
            <w:pPr>
              <w:spacing w:after="20"/>
            </w:pPr>
            <w:r>
              <w:rPr>
                <w:b/>
                <w:color w:val="1C3A36"/>
                <w:sz w:val="17"/>
              </w:rPr>
              <w:t>Worth (AED/share)</w:t>
            </w:r>
          </w:p>
        </w:tc>
      </w:tr>
      <w:tr>
        <w:tc>
          <w:tcPr>
            <w:tcW w:type="dxa" w:w="3312"/>
          </w:tcPr>
          <w:p>
            <w:pPr>
              <w:spacing w:after="20"/>
            </w:pPr>
            <w:r>
              <w:rPr>
                <w:color w:val="1C3A36"/>
                <w:sz w:val="17"/>
              </w:rPr>
              <w:t>Expert 1 (9.55) vs Expert 2 (18.02)</w:t>
            </w:r>
          </w:p>
        </w:tc>
        <w:tc>
          <w:tcPr>
            <w:tcW w:type="dxa" w:w="4824"/>
          </w:tcPr>
          <w:p>
            <w:pPr>
              <w:spacing w:after="20"/>
              <w:jc w:val="right"/>
            </w:pPr>
            <w:r>
              <w:rPr>
                <w:color w:val="1C3A36"/>
                <w:sz w:val="17"/>
              </w:rPr>
              <w:t>market multiple vs measured cost of equity as the price of the same cash</w:t>
            </w:r>
          </w:p>
        </w:tc>
        <w:tc>
          <w:tcPr>
            <w:tcW w:type="dxa" w:w="1944"/>
          </w:tcPr>
          <w:p>
            <w:pPr>
              <w:spacing w:after="20"/>
              <w:jc w:val="right"/>
            </w:pPr>
            <w:r>
              <w:rPr>
                <w:color w:val="1C3A36"/>
                <w:sz w:val="17"/>
              </w:rPr>
              <w:t>8.47</w:t>
            </w:r>
          </w:p>
        </w:tc>
      </w:tr>
      <w:tr>
        <w:tc>
          <w:tcPr>
            <w:tcW w:type="dxa" w:w="3312"/>
          </w:tcPr>
          <w:p>
            <w:pPr>
              <w:spacing w:after="20"/>
            </w:pPr>
            <w:r>
              <w:rPr>
                <w:color w:val="1C3A36"/>
                <w:sz w:val="17"/>
              </w:rPr>
              <w:t>Expert 2 (18.02) vs Expert 3 (17.74)</w:t>
            </w:r>
          </w:p>
        </w:tc>
        <w:tc>
          <w:tcPr>
            <w:tcW w:type="dxa" w:w="4824"/>
          </w:tcPr>
          <w:p>
            <w:pPr>
              <w:spacing w:after="20"/>
              <w:jc w:val="right"/>
            </w:pPr>
            <w:r>
              <w:rPr>
                <w:color w:val="1C3A36"/>
                <w:sz w:val="17"/>
              </w:rPr>
              <w:t>payout-as-perpetuity vs capital-charged spread — small, because at ~100% payout the dividend nearly IS the economic profit</w:t>
            </w:r>
          </w:p>
        </w:tc>
        <w:tc>
          <w:tcPr>
            <w:tcW w:type="dxa" w:w="1944"/>
          </w:tcPr>
          <w:p>
            <w:pPr>
              <w:spacing w:after="20"/>
              <w:jc w:val="right"/>
            </w:pPr>
            <w:r>
              <w:rPr>
                <w:color w:val="1C3A36"/>
                <w:sz w:val="17"/>
              </w:rPr>
              <w:t>0.28</w:t>
            </w:r>
          </w:p>
        </w:tc>
      </w:tr>
      <w:tr>
        <w:tc>
          <w:tcPr>
            <w:tcW w:type="dxa" w:w="3312"/>
          </w:tcPr>
          <w:p>
            <w:pPr>
              <w:spacing w:after="20"/>
            </w:pPr>
            <w:r>
              <w:rPr>
                <w:color w:val="1C3A36"/>
                <w:sz w:val="17"/>
              </w:rPr>
              <w:t>Panel median vs the study's weighted central (13.45)</w:t>
            </w:r>
          </w:p>
        </w:tc>
        <w:tc>
          <w:tcPr>
            <w:tcW w:type="dxa" w:w="4824"/>
          </w:tcPr>
          <w:p>
            <w:pPr>
              <w:spacing w:after="20"/>
              <w:jc w:val="right"/>
            </w:pPr>
            <w:r>
              <w:rPr>
                <w:color w:val="1C3A36"/>
                <w:sz w:val="17"/>
              </w:rPr>
              <w:t>the synthesis deliberately weights the market-anchored lenses the panel's cash-flow majority does not</w:t>
            </w:r>
          </w:p>
        </w:tc>
        <w:tc>
          <w:tcPr>
            <w:tcW w:type="dxa" w:w="1944"/>
          </w:tcPr>
          <w:p>
            <w:pPr>
              <w:spacing w:after="20"/>
              <w:jc w:val="right"/>
            </w:pPr>
            <w:r>
              <w:rPr>
                <w:color w:val="1C3A36"/>
                <w:sz w:val="17"/>
              </w:rPr>
              <w:t>4.29</w:t>
            </w:r>
          </w:p>
        </w:tc>
      </w:tr>
    </w:tbl>
    <w:p>
      <w:pPr>
        <w:spacing w:after="40"/>
      </w:pPr>
    </w:p>
    <w:p>
      <w:pPr>
        <w:spacing w:after="200" w:before="0"/>
      </w:pPr>
      <w:r>
        <w:rPr>
          <w:b w:val="0"/>
          <w:i/>
          <w:color w:val="6E7B77"/>
          <w:sz w:val="17"/>
        </w:rPr>
        <w:t>Table C1 — the divergence table: which assumption drives which gap.</w:t>
      </w:r>
    </w:p>
    <w:p>
      <w:pPr>
        <w:spacing w:after="120" w:before="280"/>
      </w:pPr>
      <w:r>
        <w:rPr>
          <w:b/>
          <w:i w:val="0"/>
          <w:color w:val="1C3A36"/>
          <w:sz w:val="30"/>
        </w:rPr>
        <w:t>About this series</w:t>
      </w:r>
    </w:p>
    <w:p>
      <w:pPr>
        <w:spacing w:after="120" w:before="0"/>
      </w:pPr>
      <w:r>
        <w:rPr>
          <w:b w:val="0"/>
          <w:i w:val="0"/>
          <w:color w:val="1C3A36"/>
          <w:sz w:val="21"/>
        </w:rPr>
        <w:t>Testahil publishes independent, educational valuation studies of listed companies and metals. Each study separates fundamental value (built from audited filings, bottom-up) from price probability (a calibrated simulation of where the price could trade), and publishes ranges and distributions rather than targets. Delivered studies are never retro-edited; corrections are made forward, in the open. The companion Excel model is formula-driven so every figure can be traced to its driver, and the companion bibliography lists every input with source and date.</w:t>
      </w:r>
    </w:p>
    <w:p>
      <w:pPr>
        <w:spacing w:after="120" w:before="280"/>
      </w:pPr>
      <w:r>
        <w:rPr>
          <w:b/>
          <w:i w:val="0"/>
          <w:color w:val="1C3A36"/>
          <w:sz w:val="30"/>
        </w:rPr>
        <w:t>Disclosure &amp; Disclaimer</w:t>
      </w:r>
    </w:p>
    <w:p>
      <w:pPr>
        <w:spacing w:after="120" w:before="0"/>
      </w:pPr>
      <w:r>
        <w:rPr>
          <w:b w:val="0"/>
          <w:i w:val="0"/>
          <w:color w:val="1C3A36"/>
          <w:sz w:val="18"/>
        </w:rPr>
        <w:t>This document is educational analysis, not investment advice, an offer, a solicitation, or a recommendation to buy or sell any security. It expresses no rating and no price target. The authors hold no position in the securities discussed and receive no compensation from any issuer. All historical figures derive from the company's own published audited or reviewed consolidated financial statements; forecasts are the authors' own and are inherently uncertain. Probabilities describe model output, not promises. Markets can and do behave outside any model's bands. Readers should conduct their own research and consult their own advisers. © Testahil, 2026.</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