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D6FA3"/>
          <w:sz w:val="40"/>
        </w:rPr>
        <w:t>PALM HILLS DEVELOPMENTS</w:t>
      </w:r>
    </w:p>
    <w:p>
      <w:pPr>
        <w:spacing w:after="280"/>
      </w:pPr>
      <w:r>
        <w:rPr>
          <w:b w:val="0"/>
          <w:i w:val="0"/>
          <w:color w:val="5B6570"/>
          <w:sz w:val="20"/>
        </w:rPr>
        <w:t>Egyptian Exchange · PHDC · Egyptian pounds · edition of 10 September 2026</w:t>
      </w:r>
    </w:p>
    <w:p>
      <w:pPr>
        <w:pStyle w:val="Heading2"/>
      </w:pPr>
      <w:r>
        <w:t>READ FIRST</w:t>
      </w:r>
    </w:p>
    <w:p>
      <w:r>
        <w:rPr>
          <w:sz w:val="16"/>
        </w:rPr>
        <w:t>PRICE DATE 3 September 2026 — the latest known close, the price this valuation is measured against.   ISSUE DATE 10 September 2026 — the day this edition was issued. A recalibration issues a new document carrying its own issue date; the two dates are stated separately because they are not the same fact.</w:t>
      </w:r>
    </w:p>
    <w:p>
      <w:pPr>
        <w:spacing w:after="140"/>
      </w:pPr>
      <w:r>
        <w:rPr>
          <w:b w:val="0"/>
          <w:i w:val="0"/>
          <w:color w:val="1A1D21"/>
          <w:sz w:val="20"/>
        </w:rPr>
        <w:t>This is a valuation study, not advice. It carries no rating, no recommendation and no price target. What it publishes is a range of value and the reasoning behind it, so that a reader can disagree with the reasoning rather than with a number.</w:t>
      </w:r>
    </w:p>
    <w:p>
      <w:pPr>
        <w:spacing w:after="140"/>
      </w:pPr>
      <w:r>
        <w:rPr>
          <w:b w:val="0"/>
          <w:i w:val="0"/>
          <w:color w:val="1A1D21"/>
          <w:sz w:val="20"/>
        </w:rPr>
        <w:t>It supersedes the edition of 3 September 2026 and it changes ONE INPUT in it: the long-run real interest rate. Three numbers move from that one change, and they are named in the next paragraph; the first of them is the rate at which the perpetuity is discounted. That rate was built inside this study, from a long-run real interest rate of 5.5% typed into its own file. It now reads the house Egyptian macro path, where the convention is 3.5%. The retired figure was a description of a restrictive policy stance — the real rate the central bank was running in order to break an inflation — and a company does not live inside a policy stance for ever. Carrying it into perpetuity charged this developer, permanently, for a monetary condition that is by construction temporary. The terminal cost of capital falls from 16.15% to 14.97% and the central figure moves from EGP 17.86 to EGP 21.09 a share.</w:t>
      </w:r>
    </w:p>
    <w:p>
      <w:pPr>
        <w:spacing w:after="140"/>
      </w:pPr>
      <w:r>
        <w:rPr>
          <w:b w:val="0"/>
          <w:i w:val="0"/>
          <w:color w:val="1A1D21"/>
          <w:sz w:val="20"/>
        </w:rPr>
        <w:t>Two other numbers move with it, and they move for the same reason. The house path sets the explicit-window rate as well as the terminal one, so the rate applied to all fifteen forecast years falls from 25.102% to 24.965%; and the terminal cost of equity is now built by splitting the country premium out of the market premium rather than by carrying the measured beta across both, which is the house construction. Nothing else moves. The forecast, the three cash-conversion cases, the bridge from enterprise value to equity and the weights across the lenses are exactly as they were issued on 3 September 2026, and the reader can hold the two documents side by side and see that one number and its consequences are the whole of the difference. THE DIRECTION IS NOT THE REASON. This correction happens to raise the value and move it further above the traded price; it would have been made had it done the opposite, and the house rule that a fair value is never adjusted toward a quotation cuts both ways.</w:t>
      </w:r>
    </w:p>
    <w:p>
      <w:pPr>
        <w:spacing w:after="140"/>
      </w:pPr>
      <w:r>
        <w:rPr>
          <w:b w:val="0"/>
          <w:i w:val="0"/>
          <w:color w:val="1A1D21"/>
          <w:sz w:val="20"/>
        </w:rPr>
        <w:t>Two things in the edition of 11 June 2026 were wrong and remain corrected, and both are set out plainly in section 1.8 rather than buried: its discount rate was below Egypt's own government bond yield, and the project-level price and cost table it valued the company on is not disclosed by the company anywhere.</w:t>
      </w:r>
    </w:p>
    <w:p>
      <w:pPr>
        <w:spacing w:after="140"/>
      </w:pPr>
      <w:r>
        <w:rPr>
          <w:b w:val="0"/>
          <w:i w:val="0"/>
          <w:color w:val="1A1D21"/>
          <w:sz w:val="20"/>
        </w:rPr>
        <w:t>The company's own audited statements are the only source used for its reported history. Where something needed is not disclosed, this study says so and does not fill the hole. There are six such gaps and they are listed in section 7.</w:t>
      </w:r>
    </w:p>
    <w:p>
      <w:pPr>
        <w:spacing w:after="140"/>
      </w:pPr>
      <w:r>
        <w:rPr>
          <w:b w:val="0"/>
          <w:i/>
          <w:color w:val="5B6570"/>
          <w:sz w:val="18"/>
        </w:rPr>
        <w:t>Information set: the company's own published statements as at 2 September 2026, which end at its first-quarter 2026 results — the reviewed statements of 31 March 2026 included. A half-year 2026 release of 18 August 2026 is reported in the trade press, and this study has NOT obtained the filing itself; nothing from it is used, because a report of a disclosure is a lead and not a source. What it is said to contain — an order book of EGP 284bn at 30 June and a further EGP 75bn sold at Hacienda Ras El Hekma shortly after — is carried in section 7 as an open gap, not in the model.</w:t>
      </w:r>
    </w:p>
    <w:p>
      <w:pPr>
        <w:pStyle w:val="Heading1"/>
      </w:pPr>
      <w:r>
        <w:t>Headline</w:t>
      </w:r>
    </w:p>
    <w:p>
      <w:pPr>
        <w:spacing w:after="140"/>
      </w:pPr>
      <w:r>
        <w:rPr>
          <w:b/>
          <w:i w:val="0"/>
          <w:color w:val="1A1D21"/>
          <w:sz w:val="23"/>
        </w:rPr>
        <w:t>Palm Hills is worth EGP 21.09 a share on a base case built from the company's own units and prices, in a range of EGP 4.98 to EGP 55.07 across the full observed range of the one thing that decides it. The shares trade at EGP 14.40.</w:t>
      </w:r>
    </w:p>
    <w:p>
      <w:pPr>
        <w:pStyle w:val="ListBullet"/>
        <w:spacing w:after="60"/>
      </w:pPr>
      <w:r>
        <w:rPr>
          <w:color w:val="1A1D21"/>
          <w:sz w:val="20"/>
        </w:rPr>
        <w:t>The forecast is built from units and prices the company itself discloses: 5,633 units sold across three regions at EGP 15.70 to 25.09 million a unit, and separately 2,035 units delivered at EGP 19.73 million of revenue each, because units handed over were contracted years earlier at lower prices.</w:t>
      </w:r>
    </w:p>
    <w:p>
      <w:pPr>
        <w:pStyle w:val="ListBullet"/>
        <w:spacing w:after="60"/>
      </w:pPr>
      <w:r>
        <w:rPr>
          <w:color w:val="1A1D21"/>
          <w:sz w:val="20"/>
        </w:rPr>
        <w:t>The company's cost of capital, built from the ground up, is 24.96% against an Egyptian ten-year government bond yield of 23.00%. It CHANGED in this edition: the real interest rate underneath it now comes from the house Egyptian path rather than from a figure typed into this study's own file, and the rate fell from the 25.10% published on 3 September 2026 to 24.96%. The alternative credit-rating basis, which this study does not adopt, stands at 25.83%; both are published in section 1.8. The change RAISES the value, and it was made for consistency across the book rather than for its direction.</w:t>
      </w:r>
    </w:p>
    <w:p>
      <w:pPr>
        <w:pStyle w:val="ListBullet"/>
        <w:spacing w:after="60"/>
      </w:pPr>
      <w:r>
        <w:rPr>
          <w:color w:val="1A1D21"/>
          <w:sz w:val="20"/>
        </w:rPr>
        <w:t>Value turns on how quickly contracted sales become cash. Over the three years the company has published a cash-flow statement, operating cash was 4.3%, 17.9% and 3.9% of revenue. At the low end the shares are worth EGP 7.65; at the high end, EGP 46.85.</w:t>
      </w:r>
    </w:p>
    <w:p>
      <w:pPr>
        <w:pStyle w:val="ListBullet"/>
        <w:spacing w:after="60"/>
      </w:pPr>
      <w:r>
        <w:rPr>
          <w:color w:val="1A1D21"/>
          <w:sz w:val="20"/>
        </w:rPr>
        <w:t>At the closing price of EGP 14.40 the market is paying for a conversion rate of 6.3% — above the two weak years, well below the strong one.</w:t>
      </w:r>
    </w:p>
    <w:p>
      <w:pPr>
        <w:pStyle w:val="ListBullet"/>
        <w:spacing w:after="60"/>
      </w:pPr>
      <w:r>
        <w:rPr>
          <w:color w:val="1A1D21"/>
          <w:sz w:val="20"/>
        </w:rPr>
        <w:t>The contracted order book stands at EGP 263bn against 2025 revenue of EGP 36.2bn. What limits this company is how fast it can build and hand over, not whether it can sell.</w:t>
      </w:r>
    </w:p>
    <w:p>
      <w:pPr>
        <w:pStyle w:val="Heading1"/>
      </w:pPr>
      <w:r>
        <w:t>Valuation summary — every read at a glance</w:t>
      </w:r>
    </w:p>
    <w:tbl>
      <w:tblPr>
        <w:tblStyle w:val="TableGrid"/>
        <w:tblW w:type="auto" w:w="0"/>
        <w:jc w:val="center"/>
        <w:tblLayout w:type="fixed"/>
        <w:tblLook w:firstColumn="1" w:firstRow="1" w:lastColumn="0" w:lastRow="0" w:noHBand="0" w:noVBand="1" w:val="04A0"/>
        <w:tblLayout w:type="fixed"/>
      </w:tblPr>
      <w:tblGrid>
        <w:gridCol w:w="3175"/>
        <w:gridCol w:w="1474"/>
        <w:gridCol w:w="1474"/>
        <w:gridCol w:w="1474"/>
        <w:gridCol w:w="1361"/>
      </w:tblGrid>
      <w:tr>
        <w:trPr>
          <w:tblHeader w:val="true"/>
        </w:trPr>
        <w:tc>
          <w:tcPr>
            <w:tcW w:type="dxa" w:w="3175"/>
          </w:tcPr>
          <w:p>
            <w:r/>
            <w:r>
              <w:rPr>
                <w:b/>
                <w:color w:val="5B6570"/>
                <w:sz w:val="17"/>
              </w:rPr>
              <w:t>Lens</w:t>
            </w:r>
          </w:p>
        </w:tc>
        <w:tc>
          <w:tcPr>
            <w:tcW w:type="dxa" w:w="1474"/>
          </w:tcPr>
          <w:p>
            <w:r/>
            <w:r>
              <w:rPr>
                <w:b/>
                <w:color w:val="5B6570"/>
                <w:sz w:val="17"/>
              </w:rPr>
              <w:t>Low</w:t>
            </w:r>
          </w:p>
        </w:tc>
        <w:tc>
          <w:tcPr>
            <w:tcW w:type="dxa" w:w="1474"/>
          </w:tcPr>
          <w:p>
            <w:r/>
            <w:r>
              <w:rPr>
                <w:b/>
                <w:color w:val="5B6570"/>
                <w:sz w:val="17"/>
              </w:rPr>
              <w:t>Central</w:t>
            </w:r>
          </w:p>
        </w:tc>
        <w:tc>
          <w:tcPr>
            <w:tcW w:type="dxa" w:w="1474"/>
          </w:tcPr>
          <w:p>
            <w:r/>
            <w:r>
              <w:rPr>
                <w:b/>
                <w:color w:val="5B6570"/>
                <w:sz w:val="17"/>
              </w:rPr>
              <w:t>High</w:t>
            </w:r>
          </w:p>
        </w:tc>
        <w:tc>
          <w:tcPr>
            <w:tcW w:type="dxa" w:w="1361"/>
          </w:tcPr>
          <w:p>
            <w:r/>
            <w:r>
              <w:rPr>
                <w:b/>
                <w:color w:val="5B6570"/>
                <w:sz w:val="17"/>
              </w:rPr>
              <w:t>Role</w:t>
            </w:r>
          </w:p>
        </w:tc>
      </w:tr>
      <w:tr>
        <w:trPr>
          <w:cantSplit/>
        </w:trPr>
        <w:tc>
          <w:tcPr>
            <w:tcW w:type="dxa" w:w="3175"/>
          </w:tcPr>
          <w:p>
            <w:r/>
            <w:r>
              <w:rPr>
                <w:color w:val="1A1D21"/>
                <w:sz w:val="17"/>
              </w:rPr>
              <w:t>Discounted cash flow</w:t>
            </w:r>
          </w:p>
        </w:tc>
        <w:tc>
          <w:tcPr>
            <w:tcW w:type="dxa" w:w="1474"/>
          </w:tcPr>
          <w:p>
            <w:pPr>
              <w:jc w:val="right"/>
            </w:pPr>
            <w:r/>
            <w:r>
              <w:rPr>
                <w:color w:val="1A1D21"/>
                <w:sz w:val="17"/>
              </w:rPr>
              <w:t>4.98</w:t>
            </w:r>
          </w:p>
        </w:tc>
        <w:tc>
          <w:tcPr>
            <w:tcW w:type="dxa" w:w="1474"/>
          </w:tcPr>
          <w:p>
            <w:pPr>
              <w:jc w:val="right"/>
            </w:pPr>
            <w:r/>
            <w:r>
              <w:rPr>
                <w:color w:val="1A1D21"/>
                <w:sz w:val="17"/>
              </w:rPr>
              <w:t>21.09</w:t>
            </w:r>
          </w:p>
        </w:tc>
        <w:tc>
          <w:tcPr>
            <w:tcW w:type="dxa" w:w="1474"/>
          </w:tcPr>
          <w:p>
            <w:pPr>
              <w:jc w:val="right"/>
            </w:pPr>
            <w:r/>
            <w:r>
              <w:rPr>
                <w:color w:val="1A1D21"/>
                <w:sz w:val="17"/>
              </w:rPr>
              <w:t>55.07</w:t>
            </w:r>
          </w:p>
        </w:tc>
        <w:tc>
          <w:tcPr>
            <w:tcW w:type="dxa" w:w="1361"/>
          </w:tcPr>
          <w:p>
            <w:r/>
            <w:r>
              <w:rPr>
                <w:color w:val="1A1D21"/>
                <w:sz w:val="17"/>
              </w:rPr>
              <w:t>the central</w:t>
            </w:r>
          </w:p>
        </w:tc>
      </w:tr>
      <w:tr>
        <w:trPr>
          <w:cantSplit/>
        </w:trPr>
        <w:tc>
          <w:tcPr>
            <w:tcW w:type="dxa" w:w="3175"/>
          </w:tcPr>
          <w:p>
            <w:r/>
            <w:r>
              <w:rPr>
                <w:color w:val="1A1D21"/>
                <w:sz w:val="17"/>
              </w:rPr>
              <w:t>Earnings multiple on own history</w:t>
            </w:r>
          </w:p>
        </w:tc>
        <w:tc>
          <w:tcPr>
            <w:tcW w:type="dxa" w:w="1474"/>
          </w:tcPr>
          <w:p>
            <w:pPr>
              <w:jc w:val="right"/>
            </w:pPr>
            <w:r/>
            <w:r>
              <w:rPr>
                <w:color w:val="1A1D21"/>
                <w:sz w:val="17"/>
              </w:rPr>
              <w:t>5.59</w:t>
            </w:r>
          </w:p>
        </w:tc>
        <w:tc>
          <w:tcPr>
            <w:tcW w:type="dxa" w:w="1474"/>
          </w:tcPr>
          <w:p>
            <w:pPr>
              <w:jc w:val="right"/>
            </w:pPr>
            <w:r/>
            <w:r>
              <w:rPr>
                <w:color w:val="1A1D21"/>
                <w:sz w:val="17"/>
              </w:rPr>
              <w:t>8.39</w:t>
            </w:r>
          </w:p>
        </w:tc>
        <w:tc>
          <w:tcPr>
            <w:tcW w:type="dxa" w:w="1474"/>
          </w:tcPr>
          <w:p>
            <w:pPr>
              <w:jc w:val="right"/>
            </w:pPr>
            <w:r/>
            <w:r>
              <w:rPr>
                <w:color w:val="1A1D21"/>
                <w:sz w:val="17"/>
              </w:rPr>
              <w:t>13.05</w:t>
            </w:r>
          </w:p>
        </w:tc>
        <w:tc>
          <w:tcPr>
            <w:tcW w:type="dxa" w:w="1361"/>
          </w:tcPr>
          <w:p>
            <w:r/>
            <w:r>
              <w:rPr>
                <w:color w:val="1A1D21"/>
                <w:sz w:val="17"/>
              </w:rPr>
              <w:t>cross-check</w:t>
            </w:r>
          </w:p>
        </w:tc>
      </w:tr>
      <w:tr>
        <w:trPr>
          <w:cantSplit/>
        </w:trPr>
        <w:tc>
          <w:tcPr>
            <w:tcW w:type="dxa" w:w="3175"/>
          </w:tcPr>
          <w:p>
            <w:r/>
            <w:r>
              <w:rPr>
                <w:color w:val="1A1D21"/>
                <w:sz w:val="17"/>
              </w:rPr>
              <w:t>Book value of equity — a disclosed floor</w:t>
            </w:r>
          </w:p>
        </w:tc>
        <w:tc>
          <w:tcPr>
            <w:tcW w:type="dxa" w:w="1474"/>
          </w:tcPr>
          <w:p>
            <w:pPr>
              <w:jc w:val="right"/>
            </w:pPr>
            <w:r/>
            <w:r>
              <w:rPr>
                <w:color w:val="1A1D21"/>
                <w:sz w:val="17"/>
              </w:rPr>
              <w:t>5.97</w:t>
            </w:r>
          </w:p>
        </w:tc>
        <w:tc>
          <w:tcPr>
            <w:tcW w:type="dxa" w:w="1474"/>
          </w:tcPr>
          <w:p>
            <w:pPr>
              <w:jc w:val="right"/>
            </w:pPr>
            <w:r/>
            <w:r>
              <w:rPr>
                <w:color w:val="1A1D21"/>
                <w:sz w:val="17"/>
              </w:rPr>
              <w:t>6.63</w:t>
            </w:r>
          </w:p>
        </w:tc>
        <w:tc>
          <w:tcPr>
            <w:tcW w:type="dxa" w:w="1474"/>
          </w:tcPr>
          <w:p>
            <w:pPr>
              <w:jc w:val="right"/>
            </w:pPr>
            <w:r/>
            <w:r>
              <w:rPr>
                <w:color w:val="1A1D21"/>
                <w:sz w:val="17"/>
              </w:rPr>
              <w:t>8.62</w:t>
            </w:r>
          </w:p>
        </w:tc>
        <w:tc>
          <w:tcPr>
            <w:tcW w:type="dxa" w:w="1361"/>
          </w:tcPr>
          <w:p>
            <w:r/>
            <w:r>
              <w:rPr>
                <w:color w:val="1A1D21"/>
                <w:sz w:val="17"/>
              </w:rPr>
              <w:t>cross-check</w:t>
            </w:r>
          </w:p>
        </w:tc>
      </w:tr>
      <w:tr>
        <w:trPr>
          <w:cantSplit/>
        </w:trPr>
        <w:tc>
          <w:tcPr>
            <w:tcW w:type="dxa" w:w="3175"/>
          </w:tcPr>
          <w:p>
            <w:r/>
            <w:r>
              <w:rPr>
                <w:color w:val="1A1D21"/>
                <w:sz w:val="17"/>
              </w:rPr>
              <w:t>Market price, 3 September 2026</w:t>
            </w:r>
          </w:p>
        </w:tc>
        <w:tc>
          <w:tcPr>
            <w:tcW w:type="dxa" w:w="1474"/>
          </w:tcPr>
          <w:p>
            <w:r/>
            <w:r>
              <w:rPr>
                <w:color w:val="1A1D21"/>
                <w:sz w:val="17"/>
              </w:rPr>
            </w:r>
          </w:p>
        </w:tc>
        <w:tc>
          <w:tcPr>
            <w:tcW w:type="dxa" w:w="1474"/>
          </w:tcPr>
          <w:p>
            <w:pPr>
              <w:jc w:val="right"/>
            </w:pPr>
            <w:r/>
            <w:r>
              <w:rPr>
                <w:color w:val="1A1D21"/>
                <w:sz w:val="17"/>
              </w:rPr>
              <w:t>14.40</w:t>
            </w:r>
          </w:p>
        </w:tc>
        <w:tc>
          <w:tcPr>
            <w:tcW w:type="dxa" w:w="1474"/>
          </w:tcPr>
          <w:p>
            <w:r/>
            <w:r>
              <w:rPr>
                <w:color w:val="1A1D21"/>
                <w:sz w:val="17"/>
              </w:rPr>
            </w:r>
          </w:p>
        </w:tc>
        <w:tc>
          <w:tcPr>
            <w:tcW w:type="dxa" w:w="1361"/>
          </w:tcPr>
          <w:p>
            <w:r/>
            <w:r>
              <w:rPr>
                <w:color w:val="1A1D21"/>
                <w:sz w:val="17"/>
              </w:rPr>
            </w:r>
          </w:p>
        </w:tc>
      </w:tr>
      <w:tr>
        <w:trPr>
          <w:cantSplit/>
        </w:trPr>
        <w:tc>
          <w:tcPr>
            <w:tcW w:type="dxa" w:w="3175"/>
          </w:tcPr>
          <w:p>
            <w:r/>
            <w:r>
              <w:rPr>
                <w:color w:val="1A1D21"/>
                <w:sz w:val="17"/>
              </w:rPr>
              <w:t>vs the central</w:t>
            </w:r>
          </w:p>
        </w:tc>
        <w:tc>
          <w:tcPr>
            <w:tcW w:type="dxa" w:w="1474"/>
          </w:tcPr>
          <w:p>
            <w:r/>
            <w:r>
              <w:rPr>
                <w:color w:val="1A1D21"/>
                <w:sz w:val="17"/>
              </w:rPr>
            </w:r>
          </w:p>
        </w:tc>
        <w:tc>
          <w:tcPr>
            <w:tcW w:type="dxa" w:w="1474"/>
          </w:tcPr>
          <w:p>
            <w:pPr>
              <w:jc w:val="right"/>
            </w:pPr>
            <w:r/>
            <w:r>
              <w:rPr>
                <w:color w:val="1A1D21"/>
                <w:sz w:val="17"/>
              </w:rPr>
              <w:t>-32%</w:t>
            </w:r>
          </w:p>
        </w:tc>
        <w:tc>
          <w:tcPr>
            <w:tcW w:type="dxa" w:w="1474"/>
          </w:tcPr>
          <w:p>
            <w:r/>
            <w:r>
              <w:rPr>
                <w:color w:val="1A1D21"/>
                <w:sz w:val="17"/>
              </w:rPr>
            </w:r>
          </w:p>
        </w:tc>
        <w:tc>
          <w:tcPr>
            <w:tcW w:type="dxa" w:w="1361"/>
          </w:tcPr>
          <w:p>
            <w:r/>
            <w:r>
              <w:rPr>
                <w:color w:val="1A1D21"/>
                <w:sz w:val="17"/>
              </w:rPr>
            </w:r>
          </w:p>
        </w:tc>
      </w:tr>
    </w:tbl>
    <w:p>
      <w:pPr>
        <w:spacing w:after="200"/>
      </w:pPr>
      <w:r>
        <w:rPr>
          <w:b w:val="0"/>
          <w:i/>
          <w:color w:val="5B6570"/>
          <w:sz w:val="16"/>
        </w:rPr>
        <w:t>EGP per share. The cash-flow lens is the central because it is the only one built from the company's own units and prices; the others are cross-checks, published so that a reader can see where they disagree. They are NOT averaged into the central. An earlier edition blended all four at fixed weights, and because three of the four value a developer on its reported earnings and its historical-cost book — a floor for a company whose worth sits in an undelivered order book — the blend read as a value when it was measuring a floor.</w:t>
      </w:r>
    </w:p>
    <w:p>
      <w:pPr>
        <w:jc w:val="center"/>
      </w:pPr>
      <w:r>
        <w:drawing>
          <wp:inline xmlns:a="http://schemas.openxmlformats.org/drawingml/2006/main" xmlns:pic="http://schemas.openxmlformats.org/drawingml/2006/picture">
            <wp:extent cx="5832000" cy="2427171"/>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832000" cy="2427171"/>
                    </a:xfrm>
                    <a:prstGeom prst="rect"/>
                  </pic:spPr>
                </pic:pic>
              </a:graphicData>
            </a:graphic>
          </wp:inline>
        </w:drawing>
      </w:r>
    </w:p>
    <w:p>
      <w:pPr>
        <w:spacing w:after="240"/>
        <w:jc w:val="center"/>
      </w:pPr>
      <w:r>
        <w:rPr>
          <w:b w:val="0"/>
          <w:i/>
          <w:color w:val="5B6570"/>
          <w:sz w:val="16"/>
        </w:rPr>
        <w:t>Figure 1 — each bar is one observed rate of cash conversion; the bar spans the discount rate from four points below the rebuilt cost of capital to four points above, and the white tick marks the value at the rebuilt rate itself. Shown against the closing price and the 30 August 2026 edition's central figure.</w:t>
      </w:r>
    </w:p>
    <w:p>
      <w:pPr>
        <w:pStyle w:val="Heading1"/>
      </w:pPr>
      <w:r>
        <w:t>Company overview</w:t>
      </w:r>
    </w:p>
    <w:p>
      <w:pPr>
        <w:spacing w:after="140"/>
      </w:pPr>
      <w:r>
        <w:rPr>
          <w:b w:val="0"/>
          <w:i w:val="0"/>
          <w:color w:val="1A1D21"/>
          <w:sz w:val="20"/>
        </w:rPr>
        <w:t>Palm Hills Developments builds and sells residential and commercial property in Egypt, principally in West Cairo, East Cairo, and the North Coast and Alexandria. It has been listed on the Egyptian Exchange since 2008. Units are sold off plan and paid for in instalments over several years, so the company collects cash long before, and long after, it recognises the sale.</w:t>
      </w:r>
    </w:p>
    <w:p>
      <w:pPr>
        <w:spacing w:after="140"/>
      </w:pPr>
      <w:r>
        <w:rPr>
          <w:b w:val="0"/>
          <w:i w:val="0"/>
          <w:color w:val="1A1D21"/>
          <w:sz w:val="20"/>
        </w:rPr>
        <w:t>Two things follow from that model and they shape everything in this study. First, revenue is recognised as construction completes rather than when a contract is signed, so the order book and the income statement move on different clocks. Second, the balance sheet carries a very large receivable book — EGP 103.5bn at the end of 2025 — against customer advances of EGP 69.4bn.</w:t>
      </w:r>
    </w:p>
    <w:tbl>
      <w:tblPr>
        <w:tblStyle w:val="TableGrid"/>
        <w:tblW w:type="auto" w:w="0"/>
        <w:jc w:val="center"/>
        <w:tblLayout w:type="fixed"/>
        <w:tblLook w:firstColumn="1" w:firstRow="1" w:lastColumn="0" w:lastRow="0" w:noHBand="0" w:noVBand="1" w:val="04A0"/>
        <w:tblLayout w:type="fixed"/>
      </w:tblPr>
      <w:tblGrid>
        <w:gridCol w:w="4196"/>
        <w:gridCol w:w="2495"/>
        <w:gridCol w:w="2495"/>
      </w:tblGrid>
      <w:tr>
        <w:trPr>
          <w:tblHeader w:val="true"/>
        </w:trPr>
        <w:tc>
          <w:tcPr>
            <w:tcW w:type="dxa" w:w="4195"/>
          </w:tcPr>
          <w:p>
            <w:r/>
            <w:r>
              <w:rPr>
                <w:b/>
                <w:color w:val="5B6570"/>
                <w:sz w:val="17"/>
              </w:rPr>
            </w:r>
          </w:p>
        </w:tc>
        <w:tc>
          <w:tcPr>
            <w:tcW w:type="dxa" w:w="2494"/>
          </w:tcPr>
          <w:p>
            <w:r/>
            <w:r>
              <w:rPr>
                <w:b/>
                <w:color w:val="5B6570"/>
                <w:sz w:val="17"/>
              </w:rPr>
              <w:t>2025</w:t>
            </w:r>
          </w:p>
        </w:tc>
        <w:tc>
          <w:tcPr>
            <w:tcW w:type="dxa" w:w="2494"/>
          </w:tcPr>
          <w:p>
            <w:r/>
            <w:r>
              <w:rPr>
                <w:b/>
                <w:color w:val="5B6570"/>
                <w:sz w:val="17"/>
              </w:rPr>
              <w:t>2024</w:t>
            </w:r>
          </w:p>
        </w:tc>
      </w:tr>
      <w:tr>
        <w:trPr>
          <w:cantSplit/>
        </w:trPr>
        <w:tc>
          <w:tcPr>
            <w:tcW w:type="dxa" w:w="4195"/>
          </w:tcPr>
          <w:p>
            <w:r/>
            <w:r>
              <w:rPr>
                <w:color w:val="1A1D21"/>
                <w:sz w:val="17"/>
              </w:rPr>
              <w:t>Revenue (EGP mn)</w:t>
            </w:r>
          </w:p>
        </w:tc>
        <w:tc>
          <w:tcPr>
            <w:tcW w:type="dxa" w:w="2494"/>
          </w:tcPr>
          <w:p>
            <w:pPr>
              <w:jc w:val="right"/>
            </w:pPr>
            <w:r/>
            <w:r>
              <w:rPr>
                <w:color w:val="1A1D21"/>
                <w:sz w:val="17"/>
              </w:rPr>
              <w:t>36,169</w:t>
            </w:r>
          </w:p>
        </w:tc>
        <w:tc>
          <w:tcPr>
            <w:tcW w:type="dxa" w:w="2494"/>
          </w:tcPr>
          <w:p>
            <w:pPr>
              <w:jc w:val="right"/>
            </w:pPr>
            <w:r/>
            <w:r>
              <w:rPr>
                <w:color w:val="1A1D21"/>
                <w:sz w:val="17"/>
              </w:rPr>
              <w:t>27,167</w:t>
            </w:r>
          </w:p>
        </w:tc>
      </w:tr>
      <w:tr>
        <w:trPr>
          <w:cantSplit/>
        </w:trPr>
        <w:tc>
          <w:tcPr>
            <w:tcW w:type="dxa" w:w="4195"/>
          </w:tcPr>
          <w:p>
            <w:r/>
            <w:r>
              <w:rPr>
                <w:color w:val="1A1D21"/>
                <w:sz w:val="17"/>
              </w:rPr>
              <w:t>Gross profit (EGP mn)</w:t>
            </w:r>
          </w:p>
        </w:tc>
        <w:tc>
          <w:tcPr>
            <w:tcW w:type="dxa" w:w="2494"/>
          </w:tcPr>
          <w:p>
            <w:pPr>
              <w:jc w:val="right"/>
            </w:pPr>
            <w:r/>
            <w:r>
              <w:rPr>
                <w:color w:val="1A1D21"/>
                <w:sz w:val="17"/>
              </w:rPr>
              <w:t>14,888</w:t>
            </w:r>
          </w:p>
        </w:tc>
        <w:tc>
          <w:tcPr>
            <w:tcW w:type="dxa" w:w="2494"/>
          </w:tcPr>
          <w:p>
            <w:pPr>
              <w:jc w:val="right"/>
            </w:pPr>
            <w:r/>
            <w:r>
              <w:rPr>
                <w:color w:val="1A1D21"/>
                <w:sz w:val="17"/>
              </w:rPr>
              <w:t>9,330</w:t>
            </w:r>
          </w:p>
        </w:tc>
      </w:tr>
      <w:tr>
        <w:trPr>
          <w:cantSplit/>
        </w:trPr>
        <w:tc>
          <w:tcPr>
            <w:tcW w:type="dxa" w:w="4195"/>
          </w:tcPr>
          <w:p>
            <w:r/>
            <w:r>
              <w:rPr>
                <w:color w:val="1A1D21"/>
                <w:sz w:val="17"/>
              </w:rPr>
              <w:t>Gross margin</w:t>
            </w:r>
          </w:p>
        </w:tc>
        <w:tc>
          <w:tcPr>
            <w:tcW w:type="dxa" w:w="2494"/>
          </w:tcPr>
          <w:p>
            <w:pPr>
              <w:jc w:val="right"/>
            </w:pPr>
            <w:r/>
            <w:r>
              <w:rPr>
                <w:color w:val="1A1D21"/>
                <w:sz w:val="17"/>
              </w:rPr>
              <w:t>41.2%</w:t>
            </w:r>
          </w:p>
        </w:tc>
        <w:tc>
          <w:tcPr>
            <w:tcW w:type="dxa" w:w="2494"/>
          </w:tcPr>
          <w:p>
            <w:pPr>
              <w:jc w:val="right"/>
            </w:pPr>
            <w:r/>
            <w:r>
              <w:rPr>
                <w:color w:val="1A1D21"/>
                <w:sz w:val="17"/>
              </w:rPr>
              <w:t>34.3%</w:t>
            </w:r>
          </w:p>
        </w:tc>
      </w:tr>
      <w:tr>
        <w:trPr>
          <w:cantSplit/>
        </w:trPr>
        <w:tc>
          <w:tcPr>
            <w:tcW w:type="dxa" w:w="4195"/>
          </w:tcPr>
          <w:p>
            <w:r/>
            <w:r>
              <w:rPr>
                <w:color w:val="1A1D21"/>
                <w:sz w:val="17"/>
              </w:rPr>
              <w:t>Profit after tax and minority (EGP mn)</w:t>
            </w:r>
          </w:p>
        </w:tc>
        <w:tc>
          <w:tcPr>
            <w:tcW w:type="dxa" w:w="2494"/>
          </w:tcPr>
          <w:p>
            <w:pPr>
              <w:jc w:val="right"/>
            </w:pPr>
            <w:r/>
            <w:r>
              <w:rPr>
                <w:color w:val="1A1D21"/>
                <w:sz w:val="17"/>
              </w:rPr>
              <w:t>4,217</w:t>
            </w:r>
          </w:p>
        </w:tc>
        <w:tc>
          <w:tcPr>
            <w:tcW w:type="dxa" w:w="2494"/>
          </w:tcPr>
          <w:p>
            <w:pPr>
              <w:jc w:val="right"/>
            </w:pPr>
            <w:r/>
            <w:r>
              <w:rPr>
                <w:color w:val="1A1D21"/>
                <w:sz w:val="17"/>
              </w:rPr>
              <w:t>3,255</w:t>
            </w:r>
          </w:p>
        </w:tc>
      </w:tr>
      <w:tr>
        <w:trPr>
          <w:cantSplit/>
        </w:trPr>
        <w:tc>
          <w:tcPr>
            <w:tcW w:type="dxa" w:w="4195"/>
          </w:tcPr>
          <w:p>
            <w:r/>
            <w:r>
              <w:rPr>
                <w:color w:val="1A1D21"/>
                <w:sz w:val="17"/>
              </w:rPr>
              <w:t>Cash from operations (EGP mn)</w:t>
            </w:r>
          </w:p>
        </w:tc>
        <w:tc>
          <w:tcPr>
            <w:tcW w:type="dxa" w:w="2494"/>
          </w:tcPr>
          <w:p>
            <w:pPr>
              <w:jc w:val="right"/>
            </w:pPr>
            <w:r/>
            <w:r>
              <w:rPr>
                <w:color w:val="1A1D21"/>
                <w:sz w:val="17"/>
              </w:rPr>
              <w:t>1,424</w:t>
            </w:r>
          </w:p>
        </w:tc>
        <w:tc>
          <w:tcPr>
            <w:tcW w:type="dxa" w:w="2494"/>
          </w:tcPr>
          <w:p>
            <w:pPr>
              <w:jc w:val="right"/>
            </w:pPr>
            <w:r/>
            <w:r>
              <w:rPr>
                <w:color w:val="1A1D21"/>
                <w:sz w:val="17"/>
              </w:rPr>
              <w:t>4,855</w:t>
            </w:r>
          </w:p>
        </w:tc>
      </w:tr>
      <w:tr>
        <w:trPr>
          <w:cantSplit/>
        </w:trPr>
        <w:tc>
          <w:tcPr>
            <w:tcW w:type="dxa" w:w="4195"/>
          </w:tcPr>
          <w:p>
            <w:r/>
            <w:r>
              <w:rPr>
                <w:color w:val="1A1D21"/>
                <w:sz w:val="17"/>
              </w:rPr>
              <w:t>Order book (EGP mn)</w:t>
            </w:r>
          </w:p>
        </w:tc>
        <w:tc>
          <w:tcPr>
            <w:tcW w:type="dxa" w:w="2494"/>
          </w:tcPr>
          <w:p>
            <w:r/>
            <w:r>
              <w:rPr>
                <w:color w:val="1A1D21"/>
                <w:sz w:val="17"/>
              </w:rPr>
              <w:t>263,000 (at 31 Mar 2026)</w:t>
            </w:r>
          </w:p>
        </w:tc>
        <w:tc>
          <w:tcPr>
            <w:tcW w:type="dxa" w:w="2494"/>
          </w:tcPr>
          <w:p>
            <w:pPr>
              <w:jc w:val="right"/>
            </w:pPr>
            <w:r/>
            <w:r>
              <w:rPr>
                <w:color w:val="1A1D21"/>
                <w:sz w:val="17"/>
              </w:rPr>
              <w:t>147,000</w:t>
            </w:r>
          </w:p>
        </w:tc>
      </w:tr>
      <w:tr>
        <w:trPr>
          <w:cantSplit/>
        </w:trPr>
        <w:tc>
          <w:tcPr>
            <w:tcW w:type="dxa" w:w="4195"/>
          </w:tcPr>
          <w:p>
            <w:r/>
            <w:r>
              <w:rPr>
                <w:color w:val="1A1D21"/>
                <w:sz w:val="17"/>
              </w:rPr>
              <w:t>Total assets (EGP mn)</w:t>
            </w:r>
          </w:p>
        </w:tc>
        <w:tc>
          <w:tcPr>
            <w:tcW w:type="dxa" w:w="2494"/>
          </w:tcPr>
          <w:p>
            <w:pPr>
              <w:jc w:val="right"/>
            </w:pPr>
            <w:r/>
            <w:r>
              <w:rPr>
                <w:color w:val="1A1D21"/>
                <w:sz w:val="17"/>
              </w:rPr>
              <w:t>172,130</w:t>
            </w:r>
          </w:p>
        </w:tc>
        <w:tc>
          <w:tcPr>
            <w:tcW w:type="dxa" w:w="2494"/>
          </w:tcPr>
          <w:p>
            <w:pPr>
              <w:jc w:val="right"/>
            </w:pPr>
            <w:r/>
            <w:r>
              <w:rPr>
                <w:color w:val="1A1D21"/>
                <w:sz w:val="17"/>
              </w:rPr>
              <w:t>123,437</w:t>
            </w:r>
          </w:p>
        </w:tc>
      </w:tr>
      <w:tr>
        <w:trPr>
          <w:cantSplit/>
        </w:trPr>
        <w:tc>
          <w:tcPr>
            <w:tcW w:type="dxa" w:w="4195"/>
          </w:tcPr>
          <w:p>
            <w:r/>
            <w:r>
              <w:rPr>
                <w:color w:val="1A1D21"/>
                <w:sz w:val="17"/>
              </w:rPr>
              <w:t>Shareholders' funds (EGP mn)</w:t>
            </w:r>
          </w:p>
        </w:tc>
        <w:tc>
          <w:tcPr>
            <w:tcW w:type="dxa" w:w="2494"/>
          </w:tcPr>
          <w:p>
            <w:pPr>
              <w:jc w:val="right"/>
            </w:pPr>
            <w:r/>
            <w:r>
              <w:rPr>
                <w:color w:val="1A1D21"/>
                <w:sz w:val="17"/>
              </w:rPr>
              <w:t>18,766</w:t>
            </w:r>
          </w:p>
        </w:tc>
        <w:tc>
          <w:tcPr>
            <w:tcW w:type="dxa" w:w="2494"/>
          </w:tcPr>
          <w:p>
            <w:pPr>
              <w:jc w:val="right"/>
            </w:pPr>
            <w:r/>
            <w:r>
              <w:rPr>
                <w:color w:val="1A1D21"/>
                <w:sz w:val="17"/>
              </w:rPr>
              <w:t>14,625</w:t>
            </w:r>
          </w:p>
        </w:tc>
      </w:tr>
    </w:tbl>
    <w:p>
      <w:pPr>
        <w:spacing w:after="200"/>
      </w:pPr>
      <w:r>
        <w:rPr>
          <w:b w:val="0"/>
          <w:i/>
          <w:color w:val="5B6570"/>
          <w:sz w:val="16"/>
        </w:rPr>
        <w:t>Source: the company's audited consolidated financial statements and its own results releases.</w:t>
      </w:r>
    </w:p>
    <w:p>
      <w:pPr>
        <w:pStyle w:val="Heading1"/>
      </w:pPr>
      <w:r>
        <w:t>1  Fundamental valuation</w:t>
      </w:r>
    </w:p>
    <w:p>
      <w:pPr>
        <w:pStyle w:val="Heading2"/>
      </w:pPr>
      <w:r>
        <w:t>1.1  The cash-flow model</w:t>
      </w:r>
    </w:p>
    <w:p>
      <w:pPr>
        <w:spacing w:after="140"/>
      </w:pPr>
      <w:r>
        <w:rPr>
          <w:b w:val="0"/>
          <w:i w:val="0"/>
          <w:color w:val="1A1D21"/>
          <w:sz w:val="20"/>
        </w:rPr>
        <w:t>The model runs five years from the audited 2025 base and then a terminal value. Revenue is limited by how much the company can build and hand over, not by how much it has sold: the order book is EGP 263bn against 2025 revenue of EGP 36.2bn, so sales are not the binding constraint and have not been for some years. Revenue is therefore units handed over times the revenue each one carries — 2,035 units in 2026, growing 15 per cent a year on the company's own disclosed run of handovers, at EGP 19.73 million a unit escalating with inflation. Nothing here is a ratio applied to last year's revenue.</w:t>
      </w:r>
    </w:p>
    <w:p>
      <w:pPr>
        <w:spacing w:after="140"/>
      </w:pPr>
      <w:r>
        <w:rPr>
          <w:b w:val="0"/>
          <w:i w:val="0"/>
          <w:color w:val="1A1D21"/>
          <w:sz w:val="20"/>
        </w:rPr>
        <w:t>Cost is recognised on the same completion schedule as revenue. That sounds obvious and it is the single most important correction in this edition. Since January 2016 the company has recognised revenue on standalone units as construction progresses; a model that accrues revenue that way but accrues cost on handover has the two legs on different clocks, and it systematically overstates profit.</w:t>
      </w:r>
    </w:p>
    <w:p>
      <w:pPr>
        <w:spacing w:after="140"/>
      </w:pPr>
      <w:r>
        <w:rPr>
          <w:b w:val="0"/>
          <w:i w:val="0"/>
          <w:color w:val="1A1D21"/>
          <w:sz w:val="20"/>
        </w:rPr>
        <w:t>Gross margin is an INPUT here, and it is the one place in this forecast where a margin is held rather than derived. The reason is the disclosure: the company last published a delivered-unit count for FY2024, so every later count in this model is implied from revenue divided by price per unit — and cost per unit is then price per unit times one minus the margin however it is written. There is no independent cost per unit to build. What is actually decided here is WHICH disclosed margin anchors it, and section A.1 says which and why.</w:t>
      </w:r>
    </w:p>
    <w:tbl>
      <w:tblPr>
        <w:tblStyle w:val="TableGrid"/>
        <w:tblW w:type="auto" w:w="0"/>
        <w:jc w:val="center"/>
        <w:tblLayout w:type="fixed"/>
        <w:tblLook w:firstColumn="1" w:firstRow="1" w:lastColumn="0" w:lastRow="0" w:noHBand="0" w:noVBand="1" w:val="04A0"/>
        <w:tblLayout w:type="fixed"/>
      </w:tblPr>
      <w:tblGrid>
        <w:gridCol w:w="1984"/>
        <w:gridCol w:w="1026"/>
        <w:gridCol w:w="1026"/>
        <w:gridCol w:w="1026"/>
        <w:gridCol w:w="1026"/>
        <w:gridCol w:w="1026"/>
        <w:gridCol w:w="1026"/>
        <w:gridCol w:w="1026"/>
      </w:tblGrid>
      <w:tr>
        <w:trPr>
          <w:tblHeader w:val="true"/>
        </w:trPr>
        <w:tc>
          <w:tcPr>
            <w:tcW w:type="dxa" w:w="1984"/>
          </w:tcPr>
          <w:p>
            <w:r/>
            <w:r>
              <w:rPr>
                <w:b/>
                <w:color w:val="5B6570"/>
                <w:sz w:val="17"/>
              </w:rPr>
              <w:t>EGP mn unless stated</w:t>
            </w:r>
          </w:p>
        </w:tc>
        <w:tc>
          <w:tcPr>
            <w:tcW w:type="dxa" w:w="1026"/>
          </w:tcPr>
          <w:p>
            <w:r/>
            <w:r>
              <w:rPr>
                <w:b/>
                <w:color w:val="5B6570"/>
                <w:sz w:val="17"/>
              </w:rPr>
              <w:t>2026</w:t>
            </w:r>
          </w:p>
        </w:tc>
        <w:tc>
          <w:tcPr>
            <w:tcW w:type="dxa" w:w="1026"/>
          </w:tcPr>
          <w:p>
            <w:r/>
            <w:r>
              <w:rPr>
                <w:b/>
                <w:color w:val="5B6570"/>
                <w:sz w:val="17"/>
              </w:rPr>
              <w:t>2027</w:t>
            </w:r>
          </w:p>
        </w:tc>
        <w:tc>
          <w:tcPr>
            <w:tcW w:type="dxa" w:w="1026"/>
          </w:tcPr>
          <w:p>
            <w:r/>
            <w:r>
              <w:rPr>
                <w:b/>
                <w:color w:val="5B6570"/>
                <w:sz w:val="17"/>
              </w:rPr>
              <w:t>2028</w:t>
            </w:r>
          </w:p>
        </w:tc>
        <w:tc>
          <w:tcPr>
            <w:tcW w:type="dxa" w:w="1026"/>
          </w:tcPr>
          <w:p>
            <w:r/>
            <w:r>
              <w:rPr>
                <w:b/>
                <w:color w:val="5B6570"/>
                <w:sz w:val="17"/>
              </w:rPr>
              <w:t>2029</w:t>
            </w:r>
          </w:p>
        </w:tc>
        <w:tc>
          <w:tcPr>
            <w:tcW w:type="dxa" w:w="1026"/>
          </w:tcPr>
          <w:p>
            <w:r/>
            <w:r>
              <w:rPr>
                <w:b/>
                <w:color w:val="5B6570"/>
                <w:sz w:val="17"/>
              </w:rPr>
              <w:t>2030</w:t>
            </w:r>
          </w:p>
        </w:tc>
        <w:tc>
          <w:tcPr>
            <w:tcW w:type="dxa" w:w="1026"/>
          </w:tcPr>
          <w:p>
            <w:r/>
            <w:r>
              <w:rPr>
                <w:b/>
                <w:color w:val="5B6570"/>
                <w:sz w:val="17"/>
              </w:rPr>
              <w:t>2035</w:t>
            </w:r>
          </w:p>
        </w:tc>
        <w:tc>
          <w:tcPr>
            <w:tcW w:type="dxa" w:w="1026"/>
          </w:tcPr>
          <w:p>
            <w:r/>
            <w:r>
              <w:rPr>
                <w:b/>
                <w:color w:val="5B6570"/>
                <w:sz w:val="17"/>
              </w:rPr>
              <w:t>2040</w:t>
            </w:r>
          </w:p>
        </w:tc>
      </w:tr>
      <w:tr>
        <w:trPr>
          <w:cantSplit/>
        </w:trPr>
        <w:tc>
          <w:tcPr>
            <w:tcW w:type="dxa" w:w="1984"/>
          </w:tcPr>
          <w:p>
            <w:r/>
            <w:r>
              <w:rPr>
                <w:color w:val="1A1D21"/>
                <w:sz w:val="17"/>
              </w:rPr>
              <w:t>Units sold</w:t>
            </w:r>
          </w:p>
        </w:tc>
        <w:tc>
          <w:tcPr>
            <w:tcW w:type="dxa" w:w="1026"/>
          </w:tcPr>
          <w:p>
            <w:pPr>
              <w:jc w:val="right"/>
            </w:pPr>
            <w:r/>
            <w:r>
              <w:rPr>
                <w:color w:val="1A1D21"/>
                <w:sz w:val="17"/>
              </w:rPr>
              <w:t>5,633</w:t>
            </w:r>
          </w:p>
        </w:tc>
        <w:tc>
          <w:tcPr>
            <w:tcW w:type="dxa" w:w="1026"/>
          </w:tcPr>
          <w:p>
            <w:pPr>
              <w:jc w:val="right"/>
            </w:pPr>
            <w:r/>
            <w:r>
              <w:rPr>
                <w:color w:val="1A1D21"/>
                <w:sz w:val="17"/>
              </w:rPr>
              <w:t>5,633</w:t>
            </w:r>
          </w:p>
        </w:tc>
        <w:tc>
          <w:tcPr>
            <w:tcW w:type="dxa" w:w="1026"/>
          </w:tcPr>
          <w:p>
            <w:pPr>
              <w:jc w:val="right"/>
            </w:pPr>
            <w:r/>
            <w:r>
              <w:rPr>
                <w:color w:val="1A1D21"/>
                <w:sz w:val="17"/>
              </w:rPr>
              <w:t>5,633</w:t>
            </w:r>
          </w:p>
        </w:tc>
        <w:tc>
          <w:tcPr>
            <w:tcW w:type="dxa" w:w="1026"/>
          </w:tcPr>
          <w:p>
            <w:pPr>
              <w:jc w:val="right"/>
            </w:pPr>
            <w:r/>
            <w:r>
              <w:rPr>
                <w:color w:val="1A1D21"/>
                <w:sz w:val="17"/>
              </w:rPr>
              <w:t>5,633</w:t>
            </w:r>
          </w:p>
        </w:tc>
        <w:tc>
          <w:tcPr>
            <w:tcW w:type="dxa" w:w="1026"/>
          </w:tcPr>
          <w:p>
            <w:pPr>
              <w:jc w:val="right"/>
            </w:pPr>
            <w:r/>
            <w:r>
              <w:rPr>
                <w:color w:val="1A1D21"/>
                <w:sz w:val="17"/>
              </w:rPr>
              <w:t>5,633</w:t>
            </w:r>
          </w:p>
        </w:tc>
        <w:tc>
          <w:tcPr>
            <w:tcW w:type="dxa" w:w="1026"/>
          </w:tcPr>
          <w:p>
            <w:pPr>
              <w:jc w:val="right"/>
            </w:pPr>
            <w:r/>
            <w:r>
              <w:rPr>
                <w:color w:val="1A1D21"/>
                <w:sz w:val="17"/>
              </w:rPr>
              <w:t>5,633</w:t>
            </w:r>
          </w:p>
        </w:tc>
        <w:tc>
          <w:tcPr>
            <w:tcW w:type="dxa" w:w="1026"/>
          </w:tcPr>
          <w:p>
            <w:pPr>
              <w:jc w:val="right"/>
            </w:pPr>
            <w:r/>
            <w:r>
              <w:rPr>
                <w:color w:val="1A1D21"/>
                <w:sz w:val="17"/>
              </w:rPr>
              <w:t>5,633</w:t>
            </w:r>
          </w:p>
        </w:tc>
      </w:tr>
      <w:tr>
        <w:trPr>
          <w:cantSplit/>
        </w:trPr>
        <w:tc>
          <w:tcPr>
            <w:tcW w:type="dxa" w:w="1984"/>
          </w:tcPr>
          <w:p>
            <w:r/>
            <w:r>
              <w:rPr>
                <w:color w:val="1A1D21"/>
                <w:sz w:val="17"/>
              </w:rPr>
              <w:t>New sales (EGP mn)</w:t>
            </w:r>
          </w:p>
        </w:tc>
        <w:tc>
          <w:tcPr>
            <w:tcW w:type="dxa" w:w="1026"/>
          </w:tcPr>
          <w:p>
            <w:pPr>
              <w:jc w:val="right"/>
            </w:pPr>
            <w:r/>
            <w:r>
              <w:rPr>
                <w:color w:val="1A1D21"/>
                <w:sz w:val="17"/>
              </w:rPr>
              <w:t>129,712</w:t>
            </w:r>
          </w:p>
        </w:tc>
        <w:tc>
          <w:tcPr>
            <w:tcW w:type="dxa" w:w="1026"/>
          </w:tcPr>
          <w:p>
            <w:pPr>
              <w:jc w:val="right"/>
            </w:pPr>
            <w:r/>
            <w:r>
              <w:rPr>
                <w:color w:val="1A1D21"/>
                <w:sz w:val="17"/>
              </w:rPr>
              <w:t>145,277</w:t>
            </w:r>
          </w:p>
        </w:tc>
        <w:tc>
          <w:tcPr>
            <w:tcW w:type="dxa" w:w="1026"/>
          </w:tcPr>
          <w:p>
            <w:pPr>
              <w:jc w:val="right"/>
            </w:pPr>
            <w:r/>
            <w:r>
              <w:rPr>
                <w:color w:val="1A1D21"/>
                <w:sz w:val="17"/>
              </w:rPr>
              <w:t>158,352</w:t>
            </w:r>
          </w:p>
        </w:tc>
        <w:tc>
          <w:tcPr>
            <w:tcW w:type="dxa" w:w="1026"/>
          </w:tcPr>
          <w:p>
            <w:pPr>
              <w:jc w:val="right"/>
            </w:pPr>
            <w:r/>
            <w:r>
              <w:rPr>
                <w:color w:val="1A1D21"/>
                <w:sz w:val="17"/>
              </w:rPr>
              <w:t>170,229</w:t>
            </w:r>
          </w:p>
        </w:tc>
        <w:tc>
          <w:tcPr>
            <w:tcW w:type="dxa" w:w="1026"/>
          </w:tcPr>
          <w:p>
            <w:pPr>
              <w:jc w:val="right"/>
            </w:pPr>
            <w:r/>
            <w:r>
              <w:rPr>
                <w:color w:val="1A1D21"/>
                <w:sz w:val="17"/>
              </w:rPr>
              <w:t>182,145</w:t>
            </w:r>
          </w:p>
        </w:tc>
        <w:tc>
          <w:tcPr>
            <w:tcW w:type="dxa" w:w="1026"/>
          </w:tcPr>
          <w:p>
            <w:pPr>
              <w:jc w:val="right"/>
            </w:pPr>
            <w:r/>
            <w:r>
              <w:rPr>
                <w:color w:val="1A1D21"/>
                <w:sz w:val="17"/>
              </w:rPr>
              <w:t>255,468</w:t>
            </w:r>
          </w:p>
        </w:tc>
        <w:tc>
          <w:tcPr>
            <w:tcW w:type="dxa" w:w="1026"/>
          </w:tcPr>
          <w:p>
            <w:pPr>
              <w:jc w:val="right"/>
            </w:pPr>
            <w:r/>
            <w:r>
              <w:rPr>
                <w:color w:val="1A1D21"/>
                <w:sz w:val="17"/>
              </w:rPr>
              <w:t>358,306</w:t>
            </w:r>
          </w:p>
        </w:tc>
      </w:tr>
      <w:tr>
        <w:trPr>
          <w:cantSplit/>
        </w:trPr>
        <w:tc>
          <w:tcPr>
            <w:tcW w:type="dxa" w:w="1984"/>
          </w:tcPr>
          <w:p>
            <w:r/>
            <w:r>
              <w:rPr>
                <w:color w:val="1A1D21"/>
                <w:sz w:val="17"/>
              </w:rPr>
              <w:t>Units delivered</w:t>
            </w:r>
          </w:p>
        </w:tc>
        <w:tc>
          <w:tcPr>
            <w:tcW w:type="dxa" w:w="1026"/>
          </w:tcPr>
          <w:p>
            <w:pPr>
              <w:jc w:val="right"/>
            </w:pPr>
            <w:r/>
            <w:r>
              <w:rPr>
                <w:color w:val="1A1D21"/>
                <w:sz w:val="17"/>
              </w:rPr>
              <w:t>2,035</w:t>
            </w:r>
          </w:p>
        </w:tc>
        <w:tc>
          <w:tcPr>
            <w:tcW w:type="dxa" w:w="1026"/>
          </w:tcPr>
          <w:p>
            <w:pPr>
              <w:jc w:val="right"/>
            </w:pPr>
            <w:r/>
            <w:r>
              <w:rPr>
                <w:color w:val="1A1D21"/>
                <w:sz w:val="17"/>
              </w:rPr>
              <w:t>2,340</w:t>
            </w:r>
          </w:p>
        </w:tc>
        <w:tc>
          <w:tcPr>
            <w:tcW w:type="dxa" w:w="1026"/>
          </w:tcPr>
          <w:p>
            <w:pPr>
              <w:jc w:val="right"/>
            </w:pPr>
            <w:r/>
            <w:r>
              <w:rPr>
                <w:color w:val="1A1D21"/>
                <w:sz w:val="17"/>
              </w:rPr>
              <w:t>2,656</w:t>
            </w:r>
          </w:p>
        </w:tc>
        <w:tc>
          <w:tcPr>
            <w:tcW w:type="dxa" w:w="1026"/>
          </w:tcPr>
          <w:p>
            <w:pPr>
              <w:jc w:val="right"/>
            </w:pPr>
            <w:r/>
            <w:r>
              <w:rPr>
                <w:color w:val="1A1D21"/>
                <w:sz w:val="17"/>
              </w:rPr>
              <w:t>2,975</w:t>
            </w:r>
          </w:p>
        </w:tc>
        <w:tc>
          <w:tcPr>
            <w:tcW w:type="dxa" w:w="1026"/>
          </w:tcPr>
          <w:p>
            <w:pPr>
              <w:jc w:val="right"/>
            </w:pPr>
            <w:r/>
            <w:r>
              <w:rPr>
                <w:color w:val="1A1D21"/>
                <w:sz w:val="17"/>
              </w:rPr>
              <w:t>3,287</w:t>
            </w:r>
          </w:p>
        </w:tc>
        <w:tc>
          <w:tcPr>
            <w:tcW w:type="dxa" w:w="1026"/>
          </w:tcPr>
          <w:p>
            <w:pPr>
              <w:jc w:val="right"/>
            </w:pPr>
            <w:r/>
            <w:r>
              <w:rPr>
                <w:color w:val="1A1D21"/>
                <w:sz w:val="17"/>
              </w:rPr>
              <w:t>4,395</w:t>
            </w:r>
          </w:p>
        </w:tc>
        <w:tc>
          <w:tcPr>
            <w:tcW w:type="dxa" w:w="1026"/>
          </w:tcPr>
          <w:p>
            <w:pPr>
              <w:jc w:val="right"/>
            </w:pPr>
            <w:r/>
            <w:r>
              <w:rPr>
                <w:color w:val="1A1D21"/>
                <w:sz w:val="17"/>
              </w:rPr>
              <w:t>4,461</w:t>
            </w:r>
          </w:p>
        </w:tc>
      </w:tr>
      <w:tr>
        <w:trPr>
          <w:cantSplit/>
        </w:trPr>
        <w:tc>
          <w:tcPr>
            <w:tcW w:type="dxa" w:w="1984"/>
          </w:tcPr>
          <w:p>
            <w:r/>
            <w:r>
              <w:rPr>
                <w:color w:val="1A1D21"/>
                <w:sz w:val="17"/>
              </w:rPr>
              <w:t>Revenue per delivered unit (EGP mn)</w:t>
            </w:r>
          </w:p>
        </w:tc>
        <w:tc>
          <w:tcPr>
            <w:tcW w:type="dxa" w:w="1026"/>
          </w:tcPr>
          <w:p>
            <w:pPr>
              <w:jc w:val="right"/>
            </w:pPr>
            <w:r/>
            <w:r>
              <w:rPr>
                <w:color w:val="1A1D21"/>
                <w:sz w:val="17"/>
              </w:rPr>
              <w:t>19.73</w:t>
            </w:r>
          </w:p>
        </w:tc>
        <w:tc>
          <w:tcPr>
            <w:tcW w:type="dxa" w:w="1026"/>
          </w:tcPr>
          <w:p>
            <w:pPr>
              <w:jc w:val="right"/>
            </w:pPr>
            <w:r/>
            <w:r>
              <w:rPr>
                <w:color w:val="1A1D21"/>
                <w:sz w:val="17"/>
              </w:rPr>
              <w:t>22.10</w:t>
            </w:r>
          </w:p>
        </w:tc>
        <w:tc>
          <w:tcPr>
            <w:tcW w:type="dxa" w:w="1026"/>
          </w:tcPr>
          <w:p>
            <w:pPr>
              <w:jc w:val="right"/>
            </w:pPr>
            <w:r/>
            <w:r>
              <w:rPr>
                <w:color w:val="1A1D21"/>
                <w:sz w:val="17"/>
              </w:rPr>
              <w:t>24.08</w:t>
            </w:r>
          </w:p>
        </w:tc>
        <w:tc>
          <w:tcPr>
            <w:tcW w:type="dxa" w:w="1026"/>
          </w:tcPr>
          <w:p>
            <w:pPr>
              <w:jc w:val="right"/>
            </w:pPr>
            <w:r/>
            <w:r>
              <w:rPr>
                <w:color w:val="1A1D21"/>
                <w:sz w:val="17"/>
              </w:rPr>
              <w:t>25.89</w:t>
            </w:r>
          </w:p>
        </w:tc>
        <w:tc>
          <w:tcPr>
            <w:tcW w:type="dxa" w:w="1026"/>
          </w:tcPr>
          <w:p>
            <w:pPr>
              <w:jc w:val="right"/>
            </w:pPr>
            <w:r/>
            <w:r>
              <w:rPr>
                <w:color w:val="1A1D21"/>
                <w:sz w:val="17"/>
              </w:rPr>
              <w:t>27.70</w:t>
            </w:r>
          </w:p>
        </w:tc>
        <w:tc>
          <w:tcPr>
            <w:tcW w:type="dxa" w:w="1026"/>
          </w:tcPr>
          <w:p>
            <w:pPr>
              <w:jc w:val="right"/>
            </w:pPr>
            <w:r/>
            <w:r>
              <w:rPr>
                <w:color w:val="1A1D21"/>
                <w:sz w:val="17"/>
              </w:rPr>
              <w:t>38.85</w:t>
            </w:r>
          </w:p>
        </w:tc>
        <w:tc>
          <w:tcPr>
            <w:tcW w:type="dxa" w:w="1026"/>
          </w:tcPr>
          <w:p>
            <w:pPr>
              <w:jc w:val="right"/>
            </w:pPr>
            <w:r/>
            <w:r>
              <w:rPr>
                <w:color w:val="1A1D21"/>
                <w:sz w:val="17"/>
              </w:rPr>
              <w:t>54.49</w:t>
            </w:r>
          </w:p>
        </w:tc>
      </w:tr>
      <w:tr>
        <w:trPr>
          <w:cantSplit/>
        </w:trPr>
        <w:tc>
          <w:tcPr>
            <w:tcW w:type="dxa" w:w="1984"/>
          </w:tcPr>
          <w:p>
            <w:r/>
            <w:r>
              <w:rPr>
                <w:color w:val="1A1D21"/>
                <w:sz w:val="17"/>
              </w:rPr>
              <w:t>Revenue</w:t>
            </w:r>
          </w:p>
        </w:tc>
        <w:tc>
          <w:tcPr>
            <w:tcW w:type="dxa" w:w="1026"/>
          </w:tcPr>
          <w:p>
            <w:pPr>
              <w:jc w:val="right"/>
            </w:pPr>
            <w:r/>
            <w:r>
              <w:rPr>
                <w:color w:val="1A1D21"/>
                <w:sz w:val="17"/>
              </w:rPr>
              <w:t>40,148</w:t>
            </w:r>
          </w:p>
        </w:tc>
        <w:tc>
          <w:tcPr>
            <w:tcW w:type="dxa" w:w="1026"/>
          </w:tcPr>
          <w:p>
            <w:pPr>
              <w:jc w:val="right"/>
            </w:pPr>
            <w:r/>
            <w:r>
              <w:rPr>
                <w:color w:val="1A1D21"/>
                <w:sz w:val="17"/>
              </w:rPr>
              <w:t>51,711</w:t>
            </w:r>
          </w:p>
        </w:tc>
        <w:tc>
          <w:tcPr>
            <w:tcW w:type="dxa" w:w="1026"/>
          </w:tcPr>
          <w:p>
            <w:pPr>
              <w:jc w:val="right"/>
            </w:pPr>
            <w:r/>
            <w:r>
              <w:rPr>
                <w:color w:val="1A1D21"/>
                <w:sz w:val="17"/>
              </w:rPr>
              <w:t>63,974</w:t>
            </w:r>
          </w:p>
        </w:tc>
        <w:tc>
          <w:tcPr>
            <w:tcW w:type="dxa" w:w="1026"/>
          </w:tcPr>
          <w:p>
            <w:pPr>
              <w:jc w:val="right"/>
            </w:pPr>
            <w:r/>
            <w:r>
              <w:rPr>
                <w:color w:val="1A1D21"/>
                <w:sz w:val="17"/>
              </w:rPr>
              <w:t>77,024</w:t>
            </w:r>
          </w:p>
        </w:tc>
        <w:tc>
          <w:tcPr>
            <w:tcW w:type="dxa" w:w="1026"/>
          </w:tcPr>
          <w:p>
            <w:pPr>
              <w:jc w:val="right"/>
            </w:pPr>
            <w:r/>
            <w:r>
              <w:rPr>
                <w:color w:val="1A1D21"/>
                <w:sz w:val="17"/>
              </w:rPr>
              <w:t>91,070</w:t>
            </w:r>
          </w:p>
        </w:tc>
        <w:tc>
          <w:tcPr>
            <w:tcW w:type="dxa" w:w="1026"/>
          </w:tcPr>
          <w:p>
            <w:pPr>
              <w:jc w:val="right"/>
            </w:pPr>
            <w:r/>
            <w:r>
              <w:rPr>
                <w:color w:val="1A1D21"/>
                <w:sz w:val="17"/>
              </w:rPr>
              <w:t>170,760</w:t>
            </w:r>
          </w:p>
        </w:tc>
        <w:tc>
          <w:tcPr>
            <w:tcW w:type="dxa" w:w="1026"/>
          </w:tcPr>
          <w:p>
            <w:pPr>
              <w:jc w:val="right"/>
            </w:pPr>
            <w:r/>
            <w:r>
              <w:rPr>
                <w:color w:val="1A1D21"/>
                <w:sz w:val="17"/>
              </w:rPr>
              <w:t>243,093</w:t>
            </w:r>
          </w:p>
        </w:tc>
      </w:tr>
      <w:tr>
        <w:trPr>
          <w:cantSplit/>
        </w:trPr>
        <w:tc>
          <w:tcPr>
            <w:tcW w:type="dxa" w:w="1984"/>
          </w:tcPr>
          <w:p>
            <w:r/>
            <w:r>
              <w:rPr>
                <w:color w:val="1A1D21"/>
                <w:sz w:val="17"/>
              </w:rPr>
              <w:t>Cost per delivered unit (EGP mn)</w:t>
            </w:r>
          </w:p>
        </w:tc>
        <w:tc>
          <w:tcPr>
            <w:tcW w:type="dxa" w:w="1026"/>
          </w:tcPr>
          <w:p>
            <w:pPr>
              <w:jc w:val="right"/>
            </w:pPr>
            <w:r/>
            <w:r>
              <w:rPr>
                <w:color w:val="1A1D21"/>
                <w:sz w:val="17"/>
              </w:rPr>
              <w:t>12.73</w:t>
            </w:r>
          </w:p>
        </w:tc>
        <w:tc>
          <w:tcPr>
            <w:tcW w:type="dxa" w:w="1026"/>
          </w:tcPr>
          <w:p>
            <w:pPr>
              <w:jc w:val="right"/>
            </w:pPr>
            <w:r/>
            <w:r>
              <w:rPr>
                <w:color w:val="1A1D21"/>
                <w:sz w:val="17"/>
              </w:rPr>
              <w:t>14.25</w:t>
            </w:r>
          </w:p>
        </w:tc>
        <w:tc>
          <w:tcPr>
            <w:tcW w:type="dxa" w:w="1026"/>
          </w:tcPr>
          <w:p>
            <w:pPr>
              <w:jc w:val="right"/>
            </w:pPr>
            <w:r/>
            <w:r>
              <w:rPr>
                <w:color w:val="1A1D21"/>
                <w:sz w:val="17"/>
              </w:rPr>
              <w:t>15.54</w:t>
            </w:r>
          </w:p>
        </w:tc>
        <w:tc>
          <w:tcPr>
            <w:tcW w:type="dxa" w:w="1026"/>
          </w:tcPr>
          <w:p>
            <w:pPr>
              <w:jc w:val="right"/>
            </w:pPr>
            <w:r/>
            <w:r>
              <w:rPr>
                <w:color w:val="1A1D21"/>
                <w:sz w:val="17"/>
              </w:rPr>
              <w:t>16.70</w:t>
            </w:r>
          </w:p>
        </w:tc>
        <w:tc>
          <w:tcPr>
            <w:tcW w:type="dxa" w:w="1026"/>
          </w:tcPr>
          <w:p>
            <w:pPr>
              <w:jc w:val="right"/>
            </w:pPr>
            <w:r/>
            <w:r>
              <w:rPr>
                <w:color w:val="1A1D21"/>
                <w:sz w:val="17"/>
              </w:rPr>
              <w:t>17.87</w:t>
            </w:r>
          </w:p>
        </w:tc>
        <w:tc>
          <w:tcPr>
            <w:tcW w:type="dxa" w:w="1026"/>
          </w:tcPr>
          <w:p>
            <w:pPr>
              <w:jc w:val="right"/>
            </w:pPr>
            <w:r/>
            <w:r>
              <w:rPr>
                <w:color w:val="1A1D21"/>
                <w:sz w:val="17"/>
              </w:rPr>
              <w:t>25.07</w:t>
            </w:r>
          </w:p>
        </w:tc>
        <w:tc>
          <w:tcPr>
            <w:tcW w:type="dxa" w:w="1026"/>
          </w:tcPr>
          <w:p>
            <w:pPr>
              <w:jc w:val="right"/>
            </w:pPr>
            <w:r/>
            <w:r>
              <w:rPr>
                <w:color w:val="1A1D21"/>
                <w:sz w:val="17"/>
              </w:rPr>
              <w:t>35.16</w:t>
            </w:r>
          </w:p>
        </w:tc>
      </w:tr>
      <w:tr>
        <w:trPr>
          <w:cantSplit/>
        </w:trPr>
        <w:tc>
          <w:tcPr>
            <w:tcW w:type="dxa" w:w="1984"/>
          </w:tcPr>
          <w:p>
            <w:r/>
            <w:r>
              <w:rPr>
                <w:color w:val="1A1D21"/>
                <w:sz w:val="17"/>
              </w:rPr>
              <w:t>Cost of revenue</w:t>
            </w:r>
          </w:p>
        </w:tc>
        <w:tc>
          <w:tcPr>
            <w:tcW w:type="dxa" w:w="1026"/>
          </w:tcPr>
          <w:p>
            <w:pPr>
              <w:jc w:val="right"/>
            </w:pPr>
            <w:r/>
            <w:r>
              <w:rPr>
                <w:color w:val="1A1D21"/>
                <w:sz w:val="17"/>
              </w:rPr>
              <w:t>25,902</w:t>
            </w:r>
          </w:p>
        </w:tc>
        <w:tc>
          <w:tcPr>
            <w:tcW w:type="dxa" w:w="1026"/>
          </w:tcPr>
          <w:p>
            <w:pPr>
              <w:jc w:val="right"/>
            </w:pPr>
            <w:r/>
            <w:r>
              <w:rPr>
                <w:color w:val="1A1D21"/>
                <w:sz w:val="17"/>
              </w:rPr>
              <w:t>33,362</w:t>
            </w:r>
          </w:p>
        </w:tc>
        <w:tc>
          <w:tcPr>
            <w:tcW w:type="dxa" w:w="1026"/>
          </w:tcPr>
          <w:p>
            <w:pPr>
              <w:jc w:val="right"/>
            </w:pPr>
            <w:r/>
            <w:r>
              <w:rPr>
                <w:color w:val="1A1D21"/>
                <w:sz w:val="17"/>
              </w:rPr>
              <w:t>41,273</w:t>
            </w:r>
          </w:p>
        </w:tc>
        <w:tc>
          <w:tcPr>
            <w:tcW w:type="dxa" w:w="1026"/>
          </w:tcPr>
          <w:p>
            <w:pPr>
              <w:jc w:val="right"/>
            </w:pPr>
            <w:r/>
            <w:r>
              <w:rPr>
                <w:color w:val="1A1D21"/>
                <w:sz w:val="17"/>
              </w:rPr>
              <w:t>49,693</w:t>
            </w:r>
          </w:p>
        </w:tc>
        <w:tc>
          <w:tcPr>
            <w:tcW w:type="dxa" w:w="1026"/>
          </w:tcPr>
          <w:p>
            <w:pPr>
              <w:jc w:val="right"/>
            </w:pPr>
            <w:r/>
            <w:r>
              <w:rPr>
                <w:color w:val="1A1D21"/>
                <w:sz w:val="17"/>
              </w:rPr>
              <w:t>58,755</w:t>
            </w:r>
          </w:p>
        </w:tc>
        <w:tc>
          <w:tcPr>
            <w:tcW w:type="dxa" w:w="1026"/>
          </w:tcPr>
          <w:p>
            <w:pPr>
              <w:jc w:val="right"/>
            </w:pPr>
            <w:r/>
            <w:r>
              <w:rPr>
                <w:color w:val="1A1D21"/>
                <w:sz w:val="17"/>
              </w:rPr>
              <w:t>110,168</w:t>
            </w:r>
          </w:p>
        </w:tc>
        <w:tc>
          <w:tcPr>
            <w:tcW w:type="dxa" w:w="1026"/>
          </w:tcPr>
          <w:p>
            <w:pPr>
              <w:jc w:val="right"/>
            </w:pPr>
            <w:r/>
            <w:r>
              <w:rPr>
                <w:color w:val="1A1D21"/>
                <w:sz w:val="17"/>
              </w:rPr>
              <w:t>156,834</w:t>
            </w:r>
          </w:p>
        </w:tc>
      </w:tr>
      <w:tr>
        <w:trPr>
          <w:cantSplit/>
        </w:trPr>
        <w:tc>
          <w:tcPr>
            <w:tcW w:type="dxa" w:w="1984"/>
          </w:tcPr>
          <w:p>
            <w:r/>
            <w:r>
              <w:rPr>
                <w:color w:val="1A1D21"/>
                <w:sz w:val="17"/>
              </w:rPr>
              <w:t>Gross profit</w:t>
            </w:r>
          </w:p>
        </w:tc>
        <w:tc>
          <w:tcPr>
            <w:tcW w:type="dxa" w:w="1026"/>
          </w:tcPr>
          <w:p>
            <w:pPr>
              <w:jc w:val="right"/>
            </w:pPr>
            <w:r/>
            <w:r>
              <w:rPr>
                <w:color w:val="1A1D21"/>
                <w:sz w:val="17"/>
              </w:rPr>
              <w:t>14,246</w:t>
            </w:r>
          </w:p>
        </w:tc>
        <w:tc>
          <w:tcPr>
            <w:tcW w:type="dxa" w:w="1026"/>
          </w:tcPr>
          <w:p>
            <w:pPr>
              <w:jc w:val="right"/>
            </w:pPr>
            <w:r/>
            <w:r>
              <w:rPr>
                <w:color w:val="1A1D21"/>
                <w:sz w:val="17"/>
              </w:rPr>
              <w:t>18,349</w:t>
            </w:r>
          </w:p>
        </w:tc>
        <w:tc>
          <w:tcPr>
            <w:tcW w:type="dxa" w:w="1026"/>
          </w:tcPr>
          <w:p>
            <w:pPr>
              <w:jc w:val="right"/>
            </w:pPr>
            <w:r/>
            <w:r>
              <w:rPr>
                <w:color w:val="1A1D21"/>
                <w:sz w:val="17"/>
              </w:rPr>
              <w:t>22,700</w:t>
            </w:r>
          </w:p>
        </w:tc>
        <w:tc>
          <w:tcPr>
            <w:tcW w:type="dxa" w:w="1026"/>
          </w:tcPr>
          <w:p>
            <w:pPr>
              <w:jc w:val="right"/>
            </w:pPr>
            <w:r/>
            <w:r>
              <w:rPr>
                <w:color w:val="1A1D21"/>
                <w:sz w:val="17"/>
              </w:rPr>
              <w:t>27,331</w:t>
            </w:r>
          </w:p>
        </w:tc>
        <w:tc>
          <w:tcPr>
            <w:tcW w:type="dxa" w:w="1026"/>
          </w:tcPr>
          <w:p>
            <w:pPr>
              <w:jc w:val="right"/>
            </w:pPr>
            <w:r/>
            <w:r>
              <w:rPr>
                <w:color w:val="1A1D21"/>
                <w:sz w:val="17"/>
              </w:rPr>
              <w:t>32,315</w:t>
            </w:r>
          </w:p>
        </w:tc>
        <w:tc>
          <w:tcPr>
            <w:tcW w:type="dxa" w:w="1026"/>
          </w:tcPr>
          <w:p>
            <w:pPr>
              <w:jc w:val="right"/>
            </w:pPr>
            <w:r/>
            <w:r>
              <w:rPr>
                <w:color w:val="1A1D21"/>
                <w:sz w:val="17"/>
              </w:rPr>
              <w:t>60,592</w:t>
            </w:r>
          </w:p>
        </w:tc>
        <w:tc>
          <w:tcPr>
            <w:tcW w:type="dxa" w:w="1026"/>
          </w:tcPr>
          <w:p>
            <w:pPr>
              <w:jc w:val="right"/>
            </w:pPr>
            <w:r/>
            <w:r>
              <w:rPr>
                <w:color w:val="1A1D21"/>
                <w:sz w:val="17"/>
              </w:rPr>
              <w:t>86,259</w:t>
            </w:r>
          </w:p>
        </w:tc>
      </w:tr>
      <w:tr>
        <w:trPr>
          <w:cantSplit/>
        </w:trPr>
        <w:tc>
          <w:tcPr>
            <w:tcW w:type="dxa" w:w="1984"/>
          </w:tcPr>
          <w:p>
            <w:r/>
            <w:r>
              <w:rPr>
                <w:color w:val="1A1D21"/>
                <w:sz w:val="17"/>
              </w:rPr>
              <w:t>Gross margin (held input)</w:t>
            </w:r>
          </w:p>
        </w:tc>
        <w:tc>
          <w:tcPr>
            <w:tcW w:type="dxa" w:w="1026"/>
          </w:tcPr>
          <w:p>
            <w:pPr>
              <w:jc w:val="right"/>
            </w:pPr>
            <w:r/>
            <w:r>
              <w:rPr>
                <w:color w:val="1A1D21"/>
                <w:sz w:val="17"/>
              </w:rPr>
              <w:t>35.5%</w:t>
            </w:r>
          </w:p>
        </w:tc>
        <w:tc>
          <w:tcPr>
            <w:tcW w:type="dxa" w:w="1026"/>
          </w:tcPr>
          <w:p>
            <w:pPr>
              <w:jc w:val="right"/>
            </w:pPr>
            <w:r/>
            <w:r>
              <w:rPr>
                <w:color w:val="1A1D21"/>
                <w:sz w:val="17"/>
              </w:rPr>
              <w:t>35.5%</w:t>
            </w:r>
          </w:p>
        </w:tc>
        <w:tc>
          <w:tcPr>
            <w:tcW w:type="dxa" w:w="1026"/>
          </w:tcPr>
          <w:p>
            <w:pPr>
              <w:jc w:val="right"/>
            </w:pPr>
            <w:r/>
            <w:r>
              <w:rPr>
                <w:color w:val="1A1D21"/>
                <w:sz w:val="17"/>
              </w:rPr>
              <w:t>35.5%</w:t>
            </w:r>
          </w:p>
        </w:tc>
        <w:tc>
          <w:tcPr>
            <w:tcW w:type="dxa" w:w="1026"/>
          </w:tcPr>
          <w:p>
            <w:pPr>
              <w:jc w:val="right"/>
            </w:pPr>
            <w:r/>
            <w:r>
              <w:rPr>
                <w:color w:val="1A1D21"/>
                <w:sz w:val="17"/>
              </w:rPr>
              <w:t>35.5%</w:t>
            </w:r>
          </w:p>
        </w:tc>
        <w:tc>
          <w:tcPr>
            <w:tcW w:type="dxa" w:w="1026"/>
          </w:tcPr>
          <w:p>
            <w:pPr>
              <w:jc w:val="right"/>
            </w:pPr>
            <w:r/>
            <w:r>
              <w:rPr>
                <w:color w:val="1A1D21"/>
                <w:sz w:val="17"/>
              </w:rPr>
              <w:t>35.5%</w:t>
            </w:r>
          </w:p>
        </w:tc>
        <w:tc>
          <w:tcPr>
            <w:tcW w:type="dxa" w:w="1026"/>
          </w:tcPr>
          <w:p>
            <w:pPr>
              <w:jc w:val="right"/>
            </w:pPr>
            <w:r/>
            <w:r>
              <w:rPr>
                <w:color w:val="1A1D21"/>
                <w:sz w:val="17"/>
              </w:rPr>
              <w:t>35.5%</w:t>
            </w:r>
          </w:p>
        </w:tc>
        <w:tc>
          <w:tcPr>
            <w:tcW w:type="dxa" w:w="1026"/>
          </w:tcPr>
          <w:p>
            <w:pPr>
              <w:jc w:val="right"/>
            </w:pPr>
            <w:r/>
            <w:r>
              <w:rPr>
                <w:color w:val="1A1D21"/>
                <w:sz w:val="17"/>
              </w:rPr>
              <w:t>35.5%</w:t>
            </w:r>
          </w:p>
        </w:tc>
      </w:tr>
      <w:tr>
        <w:trPr>
          <w:cantSplit/>
        </w:trPr>
        <w:tc>
          <w:tcPr>
            <w:tcW w:type="dxa" w:w="1984"/>
          </w:tcPr>
          <w:p>
            <w:r/>
            <w:r>
              <w:rPr>
                <w:color w:val="1A1D21"/>
                <w:sz w:val="17"/>
              </w:rPr>
              <w:t>Overheads</w:t>
            </w:r>
          </w:p>
        </w:tc>
        <w:tc>
          <w:tcPr>
            <w:tcW w:type="dxa" w:w="1026"/>
          </w:tcPr>
          <w:p>
            <w:pPr>
              <w:jc w:val="right"/>
            </w:pPr>
            <w:r/>
            <w:r>
              <w:rPr>
                <w:color w:val="1A1D21"/>
                <w:sz w:val="17"/>
              </w:rPr>
              <w:t>7,066</w:t>
            </w:r>
          </w:p>
        </w:tc>
        <w:tc>
          <w:tcPr>
            <w:tcW w:type="dxa" w:w="1026"/>
          </w:tcPr>
          <w:p>
            <w:pPr>
              <w:jc w:val="right"/>
            </w:pPr>
            <w:r/>
            <w:r>
              <w:rPr>
                <w:color w:val="1A1D21"/>
                <w:sz w:val="17"/>
              </w:rPr>
              <w:t>9,101</w:t>
            </w:r>
          </w:p>
        </w:tc>
        <w:tc>
          <w:tcPr>
            <w:tcW w:type="dxa" w:w="1026"/>
          </w:tcPr>
          <w:p>
            <w:pPr>
              <w:jc w:val="right"/>
            </w:pPr>
            <w:r/>
            <w:r>
              <w:rPr>
                <w:color w:val="1A1D21"/>
                <w:sz w:val="17"/>
              </w:rPr>
              <w:t>11,259</w:t>
            </w:r>
          </w:p>
        </w:tc>
        <w:tc>
          <w:tcPr>
            <w:tcW w:type="dxa" w:w="1026"/>
          </w:tcPr>
          <w:p>
            <w:pPr>
              <w:jc w:val="right"/>
            </w:pPr>
            <w:r/>
            <w:r>
              <w:rPr>
                <w:color w:val="1A1D21"/>
                <w:sz w:val="17"/>
              </w:rPr>
              <w:t>13,556</w:t>
            </w:r>
          </w:p>
        </w:tc>
        <w:tc>
          <w:tcPr>
            <w:tcW w:type="dxa" w:w="1026"/>
          </w:tcPr>
          <w:p>
            <w:pPr>
              <w:jc w:val="right"/>
            </w:pPr>
            <w:r/>
            <w:r>
              <w:rPr>
                <w:color w:val="1A1D21"/>
                <w:sz w:val="17"/>
              </w:rPr>
              <w:t>16,028</w:t>
            </w:r>
          </w:p>
        </w:tc>
        <w:tc>
          <w:tcPr>
            <w:tcW w:type="dxa" w:w="1026"/>
          </w:tcPr>
          <w:p>
            <w:pPr>
              <w:jc w:val="right"/>
            </w:pPr>
            <w:r/>
            <w:r>
              <w:rPr>
                <w:color w:val="1A1D21"/>
                <w:sz w:val="17"/>
              </w:rPr>
              <w:t>30,053</w:t>
            </w:r>
          </w:p>
        </w:tc>
        <w:tc>
          <w:tcPr>
            <w:tcW w:type="dxa" w:w="1026"/>
          </w:tcPr>
          <w:p>
            <w:pPr>
              <w:jc w:val="right"/>
            </w:pPr>
            <w:r/>
            <w:r>
              <w:rPr>
                <w:color w:val="1A1D21"/>
                <w:sz w:val="17"/>
              </w:rPr>
              <w:t>42,783</w:t>
            </w:r>
          </w:p>
        </w:tc>
      </w:tr>
      <w:tr>
        <w:trPr>
          <w:cantSplit/>
        </w:trPr>
        <w:tc>
          <w:tcPr>
            <w:tcW w:type="dxa" w:w="1984"/>
          </w:tcPr>
          <w:p>
            <w:r/>
            <w:r>
              <w:rPr>
                <w:color w:val="1A1D21"/>
                <w:sz w:val="17"/>
              </w:rPr>
              <w:t>Depreciation and amortisation</w:t>
            </w:r>
          </w:p>
        </w:tc>
        <w:tc>
          <w:tcPr>
            <w:tcW w:type="dxa" w:w="1026"/>
          </w:tcPr>
          <w:p>
            <w:pPr>
              <w:jc w:val="right"/>
            </w:pPr>
            <w:r/>
            <w:r>
              <w:rPr>
                <w:color w:val="1A1D21"/>
                <w:sz w:val="17"/>
              </w:rPr>
              <w:t>393</w:t>
            </w:r>
          </w:p>
        </w:tc>
        <w:tc>
          <w:tcPr>
            <w:tcW w:type="dxa" w:w="1026"/>
          </w:tcPr>
          <w:p>
            <w:pPr>
              <w:jc w:val="right"/>
            </w:pPr>
            <w:r/>
            <w:r>
              <w:rPr>
                <w:color w:val="1A1D21"/>
                <w:sz w:val="17"/>
              </w:rPr>
              <w:t>506</w:t>
            </w:r>
          </w:p>
        </w:tc>
        <w:tc>
          <w:tcPr>
            <w:tcW w:type="dxa" w:w="1026"/>
          </w:tcPr>
          <w:p>
            <w:pPr>
              <w:jc w:val="right"/>
            </w:pPr>
            <w:r/>
            <w:r>
              <w:rPr>
                <w:color w:val="1A1D21"/>
                <w:sz w:val="17"/>
              </w:rPr>
              <w:t>626</w:t>
            </w:r>
          </w:p>
        </w:tc>
        <w:tc>
          <w:tcPr>
            <w:tcW w:type="dxa" w:w="1026"/>
          </w:tcPr>
          <w:p>
            <w:pPr>
              <w:jc w:val="right"/>
            </w:pPr>
            <w:r/>
            <w:r>
              <w:rPr>
                <w:color w:val="1A1D21"/>
                <w:sz w:val="17"/>
              </w:rPr>
              <w:t>753</w:t>
            </w:r>
          </w:p>
        </w:tc>
        <w:tc>
          <w:tcPr>
            <w:tcW w:type="dxa" w:w="1026"/>
          </w:tcPr>
          <w:p>
            <w:pPr>
              <w:jc w:val="right"/>
            </w:pPr>
            <w:r/>
            <w:r>
              <w:rPr>
                <w:color w:val="1A1D21"/>
                <w:sz w:val="17"/>
              </w:rPr>
              <w:t>891</w:t>
            </w:r>
          </w:p>
        </w:tc>
        <w:tc>
          <w:tcPr>
            <w:tcW w:type="dxa" w:w="1026"/>
          </w:tcPr>
          <w:p>
            <w:pPr>
              <w:jc w:val="right"/>
            </w:pPr>
            <w:r/>
            <w:r>
              <w:rPr>
                <w:color w:val="1A1D21"/>
                <w:sz w:val="17"/>
              </w:rPr>
              <w:t>1,670</w:t>
            </w:r>
          </w:p>
        </w:tc>
        <w:tc>
          <w:tcPr>
            <w:tcW w:type="dxa" w:w="1026"/>
          </w:tcPr>
          <w:p>
            <w:pPr>
              <w:jc w:val="right"/>
            </w:pPr>
            <w:r/>
            <w:r>
              <w:rPr>
                <w:color w:val="1A1D21"/>
                <w:sz w:val="17"/>
              </w:rPr>
              <w:t>2,377</w:t>
            </w:r>
          </w:p>
        </w:tc>
      </w:tr>
      <w:tr>
        <w:trPr>
          <w:cantSplit/>
        </w:trPr>
        <w:tc>
          <w:tcPr>
            <w:tcW w:type="dxa" w:w="1984"/>
          </w:tcPr>
          <w:p>
            <w:r/>
            <w:r>
              <w:rPr>
                <w:color w:val="1A1D21"/>
                <w:sz w:val="17"/>
              </w:rPr>
              <w:t>Operating profit</w:t>
            </w:r>
          </w:p>
        </w:tc>
        <w:tc>
          <w:tcPr>
            <w:tcW w:type="dxa" w:w="1026"/>
          </w:tcPr>
          <w:p>
            <w:pPr>
              <w:jc w:val="right"/>
            </w:pPr>
            <w:r/>
            <w:r>
              <w:rPr>
                <w:color w:val="1A1D21"/>
                <w:sz w:val="17"/>
              </w:rPr>
              <w:t>6,788</w:t>
            </w:r>
          </w:p>
        </w:tc>
        <w:tc>
          <w:tcPr>
            <w:tcW w:type="dxa" w:w="1026"/>
          </w:tcPr>
          <w:p>
            <w:pPr>
              <w:jc w:val="right"/>
            </w:pPr>
            <w:r/>
            <w:r>
              <w:rPr>
                <w:color w:val="1A1D21"/>
                <w:sz w:val="17"/>
              </w:rPr>
              <w:t>8,742</w:t>
            </w:r>
          </w:p>
        </w:tc>
        <w:tc>
          <w:tcPr>
            <w:tcW w:type="dxa" w:w="1026"/>
          </w:tcPr>
          <w:p>
            <w:pPr>
              <w:jc w:val="right"/>
            </w:pPr>
            <w:r/>
            <w:r>
              <w:rPr>
                <w:color w:val="1A1D21"/>
                <w:sz w:val="17"/>
              </w:rPr>
              <w:t>10,816</w:t>
            </w:r>
          </w:p>
        </w:tc>
        <w:tc>
          <w:tcPr>
            <w:tcW w:type="dxa" w:w="1026"/>
          </w:tcPr>
          <w:p>
            <w:pPr>
              <w:jc w:val="right"/>
            </w:pPr>
            <w:r/>
            <w:r>
              <w:rPr>
                <w:color w:val="1A1D21"/>
                <w:sz w:val="17"/>
              </w:rPr>
              <w:t>13,022</w:t>
            </w:r>
          </w:p>
        </w:tc>
        <w:tc>
          <w:tcPr>
            <w:tcW w:type="dxa" w:w="1026"/>
          </w:tcPr>
          <w:p>
            <w:pPr>
              <w:jc w:val="right"/>
            </w:pPr>
            <w:r/>
            <w:r>
              <w:rPr>
                <w:color w:val="1A1D21"/>
                <w:sz w:val="17"/>
              </w:rPr>
              <w:t>15,397</w:t>
            </w:r>
          </w:p>
        </w:tc>
        <w:tc>
          <w:tcPr>
            <w:tcW w:type="dxa" w:w="1026"/>
          </w:tcPr>
          <w:p>
            <w:pPr>
              <w:jc w:val="right"/>
            </w:pPr>
            <w:r/>
            <w:r>
              <w:rPr>
                <w:color w:val="1A1D21"/>
                <w:sz w:val="17"/>
              </w:rPr>
              <w:t>28,870</w:t>
            </w:r>
          </w:p>
        </w:tc>
        <w:tc>
          <w:tcPr>
            <w:tcW w:type="dxa" w:w="1026"/>
          </w:tcPr>
          <w:p>
            <w:pPr>
              <w:jc w:val="right"/>
            </w:pPr>
            <w:r/>
            <w:r>
              <w:rPr>
                <w:color w:val="1A1D21"/>
                <w:sz w:val="17"/>
              </w:rPr>
              <w:t>41,099</w:t>
            </w:r>
          </w:p>
        </w:tc>
      </w:tr>
      <w:tr>
        <w:trPr>
          <w:cantSplit/>
        </w:trPr>
        <w:tc>
          <w:tcPr>
            <w:tcW w:type="dxa" w:w="1984"/>
          </w:tcPr>
          <w:p>
            <w:r/>
            <w:r>
              <w:rPr>
                <w:color w:val="1A1D21"/>
                <w:sz w:val="17"/>
              </w:rPr>
              <w:t>Finance cost</w:t>
            </w:r>
          </w:p>
        </w:tc>
        <w:tc>
          <w:tcPr>
            <w:tcW w:type="dxa" w:w="1026"/>
          </w:tcPr>
          <w:p>
            <w:pPr>
              <w:jc w:val="right"/>
            </w:pPr>
            <w:r/>
            <w:r>
              <w:rPr>
                <w:color w:val="1A1D21"/>
                <w:sz w:val="17"/>
              </w:rPr>
              <w:t>3,348</w:t>
            </w:r>
          </w:p>
        </w:tc>
        <w:tc>
          <w:tcPr>
            <w:tcW w:type="dxa" w:w="1026"/>
          </w:tcPr>
          <w:p>
            <w:pPr>
              <w:jc w:val="right"/>
            </w:pPr>
            <w:r/>
            <w:r>
              <w:rPr>
                <w:color w:val="1A1D21"/>
                <w:sz w:val="17"/>
              </w:rPr>
              <w:t>3,348</w:t>
            </w:r>
          </w:p>
        </w:tc>
        <w:tc>
          <w:tcPr>
            <w:tcW w:type="dxa" w:w="1026"/>
          </w:tcPr>
          <w:p>
            <w:pPr>
              <w:jc w:val="right"/>
            </w:pPr>
            <w:r/>
            <w:r>
              <w:rPr>
                <w:color w:val="1A1D21"/>
                <w:sz w:val="17"/>
              </w:rPr>
              <w:t>3,348</w:t>
            </w:r>
          </w:p>
        </w:tc>
        <w:tc>
          <w:tcPr>
            <w:tcW w:type="dxa" w:w="1026"/>
          </w:tcPr>
          <w:p>
            <w:pPr>
              <w:jc w:val="right"/>
            </w:pPr>
            <w:r/>
            <w:r>
              <w:rPr>
                <w:color w:val="1A1D21"/>
                <w:sz w:val="17"/>
              </w:rPr>
              <w:t>3,348</w:t>
            </w:r>
          </w:p>
        </w:tc>
        <w:tc>
          <w:tcPr>
            <w:tcW w:type="dxa" w:w="1026"/>
          </w:tcPr>
          <w:p>
            <w:pPr>
              <w:jc w:val="right"/>
            </w:pPr>
            <w:r/>
            <w:r>
              <w:rPr>
                <w:color w:val="1A1D21"/>
                <w:sz w:val="17"/>
              </w:rPr>
              <w:t>3,348</w:t>
            </w:r>
          </w:p>
        </w:tc>
        <w:tc>
          <w:tcPr>
            <w:tcW w:type="dxa" w:w="1026"/>
          </w:tcPr>
          <w:p>
            <w:pPr>
              <w:jc w:val="right"/>
            </w:pPr>
            <w:r/>
            <w:r>
              <w:rPr>
                <w:color w:val="1A1D21"/>
                <w:sz w:val="17"/>
              </w:rPr>
              <w:t>3,348</w:t>
            </w:r>
          </w:p>
        </w:tc>
        <w:tc>
          <w:tcPr>
            <w:tcW w:type="dxa" w:w="1026"/>
          </w:tcPr>
          <w:p>
            <w:pPr>
              <w:jc w:val="right"/>
            </w:pPr>
            <w:r/>
            <w:r>
              <w:rPr>
                <w:color w:val="1A1D21"/>
                <w:sz w:val="17"/>
              </w:rPr>
              <w:t>3,348</w:t>
            </w:r>
          </w:p>
        </w:tc>
      </w:tr>
      <w:tr>
        <w:trPr>
          <w:cantSplit/>
        </w:trPr>
        <w:tc>
          <w:tcPr>
            <w:tcW w:type="dxa" w:w="1984"/>
          </w:tcPr>
          <w:p>
            <w:r/>
            <w:r>
              <w:rPr>
                <w:color w:val="1A1D21"/>
                <w:sz w:val="17"/>
              </w:rPr>
              <w:t>Profit before tax</w:t>
            </w:r>
          </w:p>
        </w:tc>
        <w:tc>
          <w:tcPr>
            <w:tcW w:type="dxa" w:w="1026"/>
          </w:tcPr>
          <w:p>
            <w:pPr>
              <w:jc w:val="right"/>
            </w:pPr>
            <w:r/>
            <w:r>
              <w:rPr>
                <w:color w:val="1A1D21"/>
                <w:sz w:val="17"/>
              </w:rPr>
              <w:t>3,440</w:t>
            </w:r>
          </w:p>
        </w:tc>
        <w:tc>
          <w:tcPr>
            <w:tcW w:type="dxa" w:w="1026"/>
          </w:tcPr>
          <w:p>
            <w:pPr>
              <w:jc w:val="right"/>
            </w:pPr>
            <w:r/>
            <w:r>
              <w:rPr>
                <w:color w:val="1A1D21"/>
                <w:sz w:val="17"/>
              </w:rPr>
              <w:t>5,395</w:t>
            </w:r>
          </w:p>
        </w:tc>
        <w:tc>
          <w:tcPr>
            <w:tcW w:type="dxa" w:w="1026"/>
          </w:tcPr>
          <w:p>
            <w:pPr>
              <w:jc w:val="right"/>
            </w:pPr>
            <w:r/>
            <w:r>
              <w:rPr>
                <w:color w:val="1A1D21"/>
                <w:sz w:val="17"/>
              </w:rPr>
              <w:t>7,468</w:t>
            </w:r>
          </w:p>
        </w:tc>
        <w:tc>
          <w:tcPr>
            <w:tcW w:type="dxa" w:w="1026"/>
          </w:tcPr>
          <w:p>
            <w:pPr>
              <w:jc w:val="right"/>
            </w:pPr>
            <w:r/>
            <w:r>
              <w:rPr>
                <w:color w:val="1A1D21"/>
                <w:sz w:val="17"/>
              </w:rPr>
              <w:t>9,675</w:t>
            </w:r>
          </w:p>
        </w:tc>
        <w:tc>
          <w:tcPr>
            <w:tcW w:type="dxa" w:w="1026"/>
          </w:tcPr>
          <w:p>
            <w:pPr>
              <w:jc w:val="right"/>
            </w:pPr>
            <w:r/>
            <w:r>
              <w:rPr>
                <w:color w:val="1A1D21"/>
                <w:sz w:val="17"/>
              </w:rPr>
              <w:t>12,049</w:t>
            </w:r>
          </w:p>
        </w:tc>
        <w:tc>
          <w:tcPr>
            <w:tcW w:type="dxa" w:w="1026"/>
          </w:tcPr>
          <w:p>
            <w:pPr>
              <w:jc w:val="right"/>
            </w:pPr>
            <w:r/>
            <w:r>
              <w:rPr>
                <w:color w:val="1A1D21"/>
                <w:sz w:val="17"/>
              </w:rPr>
              <w:t>25,522</w:t>
            </w:r>
          </w:p>
        </w:tc>
        <w:tc>
          <w:tcPr>
            <w:tcW w:type="dxa" w:w="1026"/>
          </w:tcPr>
          <w:p>
            <w:pPr>
              <w:jc w:val="right"/>
            </w:pPr>
            <w:r/>
            <w:r>
              <w:rPr>
                <w:color w:val="1A1D21"/>
                <w:sz w:val="17"/>
              </w:rPr>
              <w:t>37,751</w:t>
            </w:r>
          </w:p>
        </w:tc>
      </w:tr>
      <w:tr>
        <w:trPr>
          <w:cantSplit/>
        </w:trPr>
        <w:tc>
          <w:tcPr>
            <w:tcW w:type="dxa" w:w="1984"/>
          </w:tcPr>
          <w:p>
            <w:r/>
            <w:r>
              <w:rPr>
                <w:color w:val="1A1D21"/>
                <w:sz w:val="17"/>
              </w:rPr>
              <w:t>Tax rate</w:t>
            </w:r>
          </w:p>
        </w:tc>
        <w:tc>
          <w:tcPr>
            <w:tcW w:type="dxa" w:w="1026"/>
          </w:tcPr>
          <w:p>
            <w:pPr>
              <w:jc w:val="right"/>
            </w:pPr>
            <w:r/>
            <w:r>
              <w:rPr>
                <w:color w:val="1A1D21"/>
                <w:sz w:val="17"/>
              </w:rPr>
              <w:t>22.5%</w:t>
            </w:r>
          </w:p>
        </w:tc>
        <w:tc>
          <w:tcPr>
            <w:tcW w:type="dxa" w:w="1026"/>
          </w:tcPr>
          <w:p>
            <w:pPr>
              <w:jc w:val="right"/>
            </w:pPr>
            <w:r/>
            <w:r>
              <w:rPr>
                <w:color w:val="1A1D21"/>
                <w:sz w:val="17"/>
              </w:rPr>
              <w:t>22.5%</w:t>
            </w:r>
          </w:p>
        </w:tc>
        <w:tc>
          <w:tcPr>
            <w:tcW w:type="dxa" w:w="1026"/>
          </w:tcPr>
          <w:p>
            <w:pPr>
              <w:jc w:val="right"/>
            </w:pPr>
            <w:r/>
            <w:r>
              <w:rPr>
                <w:color w:val="1A1D21"/>
                <w:sz w:val="17"/>
              </w:rPr>
              <w:t>22.5%</w:t>
            </w:r>
          </w:p>
        </w:tc>
        <w:tc>
          <w:tcPr>
            <w:tcW w:type="dxa" w:w="1026"/>
          </w:tcPr>
          <w:p>
            <w:pPr>
              <w:jc w:val="right"/>
            </w:pPr>
            <w:r/>
            <w:r>
              <w:rPr>
                <w:color w:val="1A1D21"/>
                <w:sz w:val="17"/>
              </w:rPr>
              <w:t>22.5%</w:t>
            </w:r>
          </w:p>
        </w:tc>
        <w:tc>
          <w:tcPr>
            <w:tcW w:type="dxa" w:w="1026"/>
          </w:tcPr>
          <w:p>
            <w:pPr>
              <w:jc w:val="right"/>
            </w:pPr>
            <w:r/>
            <w:r>
              <w:rPr>
                <w:color w:val="1A1D21"/>
                <w:sz w:val="17"/>
              </w:rPr>
              <w:t>22.5%</w:t>
            </w:r>
          </w:p>
        </w:tc>
        <w:tc>
          <w:tcPr>
            <w:tcW w:type="dxa" w:w="1026"/>
          </w:tcPr>
          <w:p>
            <w:pPr>
              <w:jc w:val="right"/>
            </w:pPr>
            <w:r/>
            <w:r>
              <w:rPr>
                <w:color w:val="1A1D21"/>
                <w:sz w:val="17"/>
              </w:rPr>
              <w:t>22.5%</w:t>
            </w:r>
          </w:p>
        </w:tc>
        <w:tc>
          <w:tcPr>
            <w:tcW w:type="dxa" w:w="1026"/>
          </w:tcPr>
          <w:p>
            <w:pPr>
              <w:jc w:val="right"/>
            </w:pPr>
            <w:r/>
            <w:r>
              <w:rPr>
                <w:color w:val="1A1D21"/>
                <w:sz w:val="17"/>
              </w:rPr>
              <w:t>22.5%</w:t>
            </w:r>
          </w:p>
        </w:tc>
      </w:tr>
      <w:tr>
        <w:trPr>
          <w:cantSplit/>
        </w:trPr>
        <w:tc>
          <w:tcPr>
            <w:tcW w:type="dxa" w:w="1984"/>
          </w:tcPr>
          <w:p>
            <w:r/>
            <w:r>
              <w:rPr>
                <w:color w:val="1A1D21"/>
                <w:sz w:val="17"/>
              </w:rPr>
              <w:t>Net profit</w:t>
            </w:r>
          </w:p>
        </w:tc>
        <w:tc>
          <w:tcPr>
            <w:tcW w:type="dxa" w:w="1026"/>
          </w:tcPr>
          <w:p>
            <w:pPr>
              <w:jc w:val="right"/>
            </w:pPr>
            <w:r/>
            <w:r>
              <w:rPr>
                <w:color w:val="1A1D21"/>
                <w:sz w:val="17"/>
              </w:rPr>
              <w:t>2,666</w:t>
            </w:r>
          </w:p>
        </w:tc>
        <w:tc>
          <w:tcPr>
            <w:tcW w:type="dxa" w:w="1026"/>
          </w:tcPr>
          <w:p>
            <w:pPr>
              <w:jc w:val="right"/>
            </w:pPr>
            <w:r/>
            <w:r>
              <w:rPr>
                <w:color w:val="1A1D21"/>
                <w:sz w:val="17"/>
              </w:rPr>
              <w:t>4,181</w:t>
            </w:r>
          </w:p>
        </w:tc>
        <w:tc>
          <w:tcPr>
            <w:tcW w:type="dxa" w:w="1026"/>
          </w:tcPr>
          <w:p>
            <w:pPr>
              <w:jc w:val="right"/>
            </w:pPr>
            <w:r/>
            <w:r>
              <w:rPr>
                <w:color w:val="1A1D21"/>
                <w:sz w:val="17"/>
              </w:rPr>
              <w:t>5,788</w:t>
            </w:r>
          </w:p>
        </w:tc>
        <w:tc>
          <w:tcPr>
            <w:tcW w:type="dxa" w:w="1026"/>
          </w:tcPr>
          <w:p>
            <w:pPr>
              <w:jc w:val="right"/>
            </w:pPr>
            <w:r/>
            <w:r>
              <w:rPr>
                <w:color w:val="1A1D21"/>
                <w:sz w:val="17"/>
              </w:rPr>
              <w:t>7,498</w:t>
            </w:r>
          </w:p>
        </w:tc>
        <w:tc>
          <w:tcPr>
            <w:tcW w:type="dxa" w:w="1026"/>
          </w:tcPr>
          <w:p>
            <w:pPr>
              <w:jc w:val="right"/>
            </w:pPr>
            <w:r/>
            <w:r>
              <w:rPr>
                <w:color w:val="1A1D21"/>
                <w:sz w:val="17"/>
              </w:rPr>
              <w:t>9,338</w:t>
            </w:r>
          </w:p>
        </w:tc>
        <w:tc>
          <w:tcPr>
            <w:tcW w:type="dxa" w:w="1026"/>
          </w:tcPr>
          <w:p>
            <w:pPr>
              <w:jc w:val="right"/>
            </w:pPr>
            <w:r/>
            <w:r>
              <w:rPr>
                <w:color w:val="1A1D21"/>
                <w:sz w:val="17"/>
              </w:rPr>
              <w:t>19,780</w:t>
            </w:r>
          </w:p>
        </w:tc>
        <w:tc>
          <w:tcPr>
            <w:tcW w:type="dxa" w:w="1026"/>
          </w:tcPr>
          <w:p>
            <w:pPr>
              <w:jc w:val="right"/>
            </w:pPr>
            <w:r/>
            <w:r>
              <w:rPr>
                <w:color w:val="1A1D21"/>
                <w:sz w:val="17"/>
              </w:rPr>
              <w:t>29,257</w:t>
            </w:r>
          </w:p>
        </w:tc>
      </w:tr>
      <w:tr>
        <w:trPr>
          <w:cantSplit/>
        </w:trPr>
        <w:tc>
          <w:tcPr>
            <w:tcW w:type="dxa" w:w="1984"/>
          </w:tcPr>
          <w:p>
            <w:r/>
            <w:r>
              <w:rPr>
                <w:color w:val="1A1D21"/>
                <w:sz w:val="17"/>
              </w:rPr>
              <w:t>Earnings per share (EGP)</w:t>
            </w:r>
          </w:p>
        </w:tc>
        <w:tc>
          <w:tcPr>
            <w:tcW w:type="dxa" w:w="1026"/>
          </w:tcPr>
          <w:p>
            <w:pPr>
              <w:jc w:val="right"/>
            </w:pPr>
            <w:r/>
            <w:r>
              <w:rPr>
                <w:color w:val="1A1D21"/>
                <w:sz w:val="17"/>
              </w:rPr>
              <w:t>0.93</w:t>
            </w:r>
          </w:p>
        </w:tc>
        <w:tc>
          <w:tcPr>
            <w:tcW w:type="dxa" w:w="1026"/>
          </w:tcPr>
          <w:p>
            <w:pPr>
              <w:jc w:val="right"/>
            </w:pPr>
            <w:r/>
            <w:r>
              <w:rPr>
                <w:color w:val="1A1D21"/>
                <w:sz w:val="17"/>
              </w:rPr>
              <w:t>1.46</w:t>
            </w:r>
          </w:p>
        </w:tc>
        <w:tc>
          <w:tcPr>
            <w:tcW w:type="dxa" w:w="1026"/>
          </w:tcPr>
          <w:p>
            <w:pPr>
              <w:jc w:val="right"/>
            </w:pPr>
            <w:r/>
            <w:r>
              <w:rPr>
                <w:color w:val="1A1D21"/>
                <w:sz w:val="17"/>
              </w:rPr>
              <w:t>2.02</w:t>
            </w:r>
          </w:p>
        </w:tc>
        <w:tc>
          <w:tcPr>
            <w:tcW w:type="dxa" w:w="1026"/>
          </w:tcPr>
          <w:p>
            <w:pPr>
              <w:jc w:val="right"/>
            </w:pPr>
            <w:r/>
            <w:r>
              <w:rPr>
                <w:color w:val="1A1D21"/>
                <w:sz w:val="17"/>
              </w:rPr>
              <w:t>2.62</w:t>
            </w:r>
          </w:p>
        </w:tc>
        <w:tc>
          <w:tcPr>
            <w:tcW w:type="dxa" w:w="1026"/>
          </w:tcPr>
          <w:p>
            <w:pPr>
              <w:jc w:val="right"/>
            </w:pPr>
            <w:r/>
            <w:r>
              <w:rPr>
                <w:color w:val="1A1D21"/>
                <w:sz w:val="17"/>
              </w:rPr>
              <w:t>3.27</w:t>
            </w:r>
          </w:p>
        </w:tc>
        <w:tc>
          <w:tcPr>
            <w:tcW w:type="dxa" w:w="1026"/>
          </w:tcPr>
          <w:p>
            <w:pPr>
              <w:jc w:val="right"/>
            </w:pPr>
            <w:r/>
            <w:r>
              <w:rPr>
                <w:color w:val="1A1D21"/>
                <w:sz w:val="17"/>
              </w:rPr>
              <w:t>6.92</w:t>
            </w:r>
          </w:p>
        </w:tc>
        <w:tc>
          <w:tcPr>
            <w:tcW w:type="dxa" w:w="1026"/>
          </w:tcPr>
          <w:p>
            <w:pPr>
              <w:jc w:val="right"/>
            </w:pPr>
            <w:r/>
            <w:r>
              <w:rPr>
                <w:color w:val="1A1D21"/>
                <w:sz w:val="17"/>
              </w:rPr>
              <w:t>10.23</w:t>
            </w:r>
          </w:p>
        </w:tc>
      </w:tr>
      <w:tr>
        <w:trPr>
          <w:cantSplit/>
        </w:trPr>
        <w:tc>
          <w:tcPr>
            <w:tcW w:type="dxa" w:w="1984"/>
          </w:tcPr>
          <w:p>
            <w:r/>
            <w:r>
              <w:rPr>
                <w:color w:val="1A1D21"/>
                <w:sz w:val="17"/>
              </w:rPr>
              <w:t>Order book, closing</w:t>
            </w:r>
          </w:p>
        </w:tc>
        <w:tc>
          <w:tcPr>
            <w:tcW w:type="dxa" w:w="1026"/>
          </w:tcPr>
          <w:p>
            <w:pPr>
              <w:jc w:val="right"/>
            </w:pPr>
            <w:r/>
            <w:r>
              <w:rPr>
                <w:color w:val="1A1D21"/>
                <w:sz w:val="17"/>
              </w:rPr>
              <w:t>352,564</w:t>
            </w:r>
          </w:p>
        </w:tc>
        <w:tc>
          <w:tcPr>
            <w:tcW w:type="dxa" w:w="1026"/>
          </w:tcPr>
          <w:p>
            <w:pPr>
              <w:jc w:val="right"/>
            </w:pPr>
            <w:r/>
            <w:r>
              <w:rPr>
                <w:color w:val="1A1D21"/>
                <w:sz w:val="17"/>
              </w:rPr>
              <w:t>446,131</w:t>
            </w:r>
          </w:p>
        </w:tc>
        <w:tc>
          <w:tcPr>
            <w:tcW w:type="dxa" w:w="1026"/>
          </w:tcPr>
          <w:p>
            <w:pPr>
              <w:jc w:val="right"/>
            </w:pPr>
            <w:r/>
            <w:r>
              <w:rPr>
                <w:color w:val="1A1D21"/>
                <w:sz w:val="17"/>
              </w:rPr>
              <w:t>540,510</w:t>
            </w:r>
          </w:p>
        </w:tc>
        <w:tc>
          <w:tcPr>
            <w:tcW w:type="dxa" w:w="1026"/>
          </w:tcPr>
          <w:p>
            <w:pPr>
              <w:jc w:val="right"/>
            </w:pPr>
            <w:r/>
            <w:r>
              <w:rPr>
                <w:color w:val="1A1D21"/>
                <w:sz w:val="17"/>
              </w:rPr>
              <w:t>633,714</w:t>
            </w:r>
          </w:p>
        </w:tc>
        <w:tc>
          <w:tcPr>
            <w:tcW w:type="dxa" w:w="1026"/>
          </w:tcPr>
          <w:p>
            <w:pPr>
              <w:jc w:val="right"/>
            </w:pPr>
            <w:r/>
            <w:r>
              <w:rPr>
                <w:color w:val="1A1D21"/>
                <w:sz w:val="17"/>
              </w:rPr>
              <w:t>724,789</w:t>
            </w:r>
          </w:p>
        </w:tc>
        <w:tc>
          <w:tcPr>
            <w:tcW w:type="dxa" w:w="1026"/>
          </w:tcPr>
          <w:p>
            <w:pPr>
              <w:jc w:val="right"/>
            </w:pPr>
            <w:r/>
            <w:r>
              <w:rPr>
                <w:color w:val="1A1D21"/>
                <w:sz w:val="17"/>
              </w:rPr>
              <w:t>1,152,921</w:t>
            </w:r>
          </w:p>
        </w:tc>
        <w:tc>
          <w:tcPr>
            <w:tcW w:type="dxa" w:w="1026"/>
          </w:tcPr>
          <w:p>
            <w:pPr>
              <w:jc w:val="right"/>
            </w:pPr>
            <w:r/>
            <w:r>
              <w:rPr>
                <w:color w:val="1A1D21"/>
                <w:sz w:val="17"/>
              </w:rPr>
              <w:t>1,658,388</w:t>
            </w:r>
          </w:p>
        </w:tc>
      </w:tr>
    </w:tbl>
    <w:p>
      <w:pPr>
        <w:spacing w:after="200"/>
      </w:pPr>
      <w:r>
        <w:rPr>
          <w:b w:val="0"/>
          <w:i/>
          <w:color w:val="5B6570"/>
          <w:sz w:val="16"/>
        </w:rPr>
        <w:t>Every line follows from the two engines above. Gross margin is the one HELD input in this table and cost per unit is solved from it — see the note on the anchors below.</w:t>
      </w:r>
    </w:p>
    <w:p>
      <w:pPr>
        <w:spacing w:after="140"/>
      </w:pPr>
      <w:r>
        <w:rPr>
          <w:b w:val="0"/>
          <w:i w:val="0"/>
          <w:color w:val="1A1D21"/>
          <w:sz w:val="20"/>
        </w:rPr>
        <w:t>Three anchors hold this table to what was actually reported. FY2026 is part-reported: the company disclosed first-quarter revenue of EGP 9,300 million, up 11 per cent on the same quarter of 2025, which places that quarter at 23.2 per cent of the full year and gives an FY2026 revenue anchor of EGP 40,148 million from the actual rather than from a trend. The finance charge is the disclosed rate on the interest-bearing borrowings, 13.91 per cent, not the 25.50 per cent marginal rate used for discounting — a large part of the balance does not bear interest and part of the charge is capitalised into work in progress. And the gross margin is held at 35.5 per cent, which is the LATEST disclosure on its own — the first quarter of 2026 — and not an average. FY2025 reported 41.2 per cent; their average is 38.3 per cent, and that average was the anchor the superseded edition used. Taking the latest alone is the more conservative of the two and it carries the cost drift the company's own two disclosures show, 9.65 per cent.</w:t>
      </w:r>
    </w:p>
    <w:p>
      <w:pPr>
        <w:spacing w:after="140"/>
      </w:pPr>
      <w:r>
        <w:rPr>
          <w:b w:val="0"/>
          <w:i w:val="0"/>
          <w:color w:val="1A1D21"/>
          <w:sz w:val="20"/>
        </w:rPr>
        <w:t>One drift was measured and deliberately not carried. The move from a 41.2 per cent gross margin in 2025 to 35.5 per cent in the first quarter of 2026 implies cost rising about 9.6 per cent a year faster than price. Compounded over five years that takes gross margin to 7.5 per cent and the company to a loss by 2030 — on the strength of one quarter against one year, for a developer whose margin moves with which project happens to hand over. It is sensitised in section 1.9 instead of extrapolated.</w:t>
      </w:r>
    </w:p>
    <w:tbl>
      <w:tblPr>
        <w:tblStyle w:val="TableGrid"/>
        <w:tblW w:type="auto" w:w="0"/>
        <w:jc w:val="center"/>
        <w:tblLayout w:type="fixed"/>
        <w:tblLook w:firstColumn="1" w:firstRow="1" w:lastColumn="0" w:lastRow="0" w:noHBand="0" w:noVBand="1" w:val="04A0"/>
        <w:tblLayout w:type="fixed"/>
      </w:tblPr>
      <w:tblGrid>
        <w:gridCol w:w="3402"/>
        <w:gridCol w:w="1928"/>
        <w:gridCol w:w="1928"/>
        <w:gridCol w:w="1928"/>
      </w:tblGrid>
      <w:tr>
        <w:trPr>
          <w:tblHeader w:val="true"/>
        </w:trPr>
        <w:tc>
          <w:tcPr>
            <w:tcW w:type="dxa" w:w="3402"/>
          </w:tcPr>
          <w:p>
            <w:r/>
            <w:r>
              <w:rPr>
                <w:b/>
                <w:color w:val="5B6570"/>
                <w:sz w:val="17"/>
              </w:rPr>
              <w:t>Revenue, years three to five (EGP mn)</w:t>
            </w:r>
          </w:p>
        </w:tc>
        <w:tc>
          <w:tcPr>
            <w:tcW w:type="dxa" w:w="1928"/>
          </w:tcPr>
          <w:p>
            <w:r/>
            <w:r>
              <w:rPr>
                <w:b/>
                <w:color w:val="5B6570"/>
                <w:sz w:val="17"/>
              </w:rPr>
              <w:t>Low</w:t>
            </w:r>
          </w:p>
        </w:tc>
        <w:tc>
          <w:tcPr>
            <w:tcW w:type="dxa" w:w="1928"/>
          </w:tcPr>
          <w:p>
            <w:r/>
            <w:r>
              <w:rPr>
                <w:b/>
                <w:color w:val="5B6570"/>
                <w:sz w:val="17"/>
              </w:rPr>
              <w:t>Point</w:t>
            </w:r>
          </w:p>
        </w:tc>
        <w:tc>
          <w:tcPr>
            <w:tcW w:type="dxa" w:w="1928"/>
          </w:tcPr>
          <w:p>
            <w:r/>
            <w:r>
              <w:rPr>
                <w:b/>
                <w:color w:val="5B6570"/>
                <w:sz w:val="17"/>
              </w:rPr>
              <w:t>High</w:t>
            </w:r>
          </w:p>
        </w:tc>
      </w:tr>
      <w:tr>
        <w:trPr>
          <w:cantSplit/>
        </w:trPr>
        <w:tc>
          <w:tcPr>
            <w:tcW w:type="dxa" w:w="3402"/>
          </w:tcPr>
          <w:p>
            <w:r/>
            <w:r>
              <w:rPr>
                <w:color w:val="1A1D21"/>
                <w:sz w:val="17"/>
              </w:rPr>
              <w:t>2028</w:t>
            </w:r>
          </w:p>
        </w:tc>
        <w:tc>
          <w:tcPr>
            <w:tcW w:type="dxa" w:w="1928"/>
          </w:tcPr>
          <w:p>
            <w:pPr>
              <w:jc w:val="right"/>
            </w:pPr>
            <w:r/>
            <w:r>
              <w:rPr>
                <w:color w:val="1A1D21"/>
                <w:sz w:val="17"/>
              </w:rPr>
              <w:t>28,876</w:t>
            </w:r>
          </w:p>
        </w:tc>
        <w:tc>
          <w:tcPr>
            <w:tcW w:type="dxa" w:w="1928"/>
          </w:tcPr>
          <w:p>
            <w:pPr>
              <w:jc w:val="right"/>
            </w:pPr>
            <w:r/>
            <w:r>
              <w:rPr>
                <w:color w:val="1A1D21"/>
                <w:sz w:val="17"/>
              </w:rPr>
              <w:t>63,974</w:t>
            </w:r>
          </w:p>
        </w:tc>
        <w:tc>
          <w:tcPr>
            <w:tcW w:type="dxa" w:w="1928"/>
          </w:tcPr>
          <w:p>
            <w:pPr>
              <w:jc w:val="right"/>
            </w:pPr>
            <w:r/>
            <w:r>
              <w:rPr>
                <w:color w:val="1A1D21"/>
                <w:sz w:val="17"/>
              </w:rPr>
              <w:t>121,224</w:t>
            </w:r>
          </w:p>
        </w:tc>
      </w:tr>
      <w:tr>
        <w:trPr>
          <w:cantSplit/>
        </w:trPr>
        <w:tc>
          <w:tcPr>
            <w:tcW w:type="dxa" w:w="3402"/>
          </w:tcPr>
          <w:p>
            <w:r/>
            <w:r>
              <w:rPr>
                <w:color w:val="1A1D21"/>
                <w:sz w:val="17"/>
              </w:rPr>
              <w:t>2029</w:t>
            </w:r>
          </w:p>
        </w:tc>
        <w:tc>
          <w:tcPr>
            <w:tcW w:type="dxa" w:w="1928"/>
          </w:tcPr>
          <w:p>
            <w:pPr>
              <w:jc w:val="right"/>
            </w:pPr>
            <w:r/>
            <w:r>
              <w:rPr>
                <w:color w:val="1A1D21"/>
                <w:sz w:val="17"/>
              </w:rPr>
              <w:t>37,188</w:t>
            </w:r>
          </w:p>
        </w:tc>
        <w:tc>
          <w:tcPr>
            <w:tcW w:type="dxa" w:w="1928"/>
          </w:tcPr>
          <w:p>
            <w:pPr>
              <w:jc w:val="right"/>
            </w:pPr>
            <w:r/>
            <w:r>
              <w:rPr>
                <w:color w:val="1A1D21"/>
                <w:sz w:val="17"/>
              </w:rPr>
              <w:t>77,024</w:t>
            </w:r>
          </w:p>
        </w:tc>
        <w:tc>
          <w:tcPr>
            <w:tcW w:type="dxa" w:w="1928"/>
          </w:tcPr>
          <w:p>
            <w:pPr>
              <w:jc w:val="right"/>
            </w:pPr>
            <w:r/>
            <w:r>
              <w:rPr>
                <w:color w:val="1A1D21"/>
                <w:sz w:val="17"/>
              </w:rPr>
              <w:t>163,342</w:t>
            </w:r>
          </w:p>
        </w:tc>
      </w:tr>
      <w:tr>
        <w:trPr>
          <w:cantSplit/>
        </w:trPr>
        <w:tc>
          <w:tcPr>
            <w:tcW w:type="dxa" w:w="3402"/>
          </w:tcPr>
          <w:p>
            <w:r/>
            <w:r>
              <w:rPr>
                <w:color w:val="1A1D21"/>
                <w:sz w:val="17"/>
              </w:rPr>
              <w:t>2030</w:t>
            </w:r>
          </w:p>
        </w:tc>
        <w:tc>
          <w:tcPr>
            <w:tcW w:type="dxa" w:w="1928"/>
          </w:tcPr>
          <w:p>
            <w:pPr>
              <w:jc w:val="right"/>
            </w:pPr>
            <w:r/>
            <w:r>
              <w:rPr>
                <w:color w:val="1A1D21"/>
                <w:sz w:val="17"/>
              </w:rPr>
              <w:t>59,447</w:t>
            </w:r>
          </w:p>
        </w:tc>
        <w:tc>
          <w:tcPr>
            <w:tcW w:type="dxa" w:w="1928"/>
          </w:tcPr>
          <w:p>
            <w:pPr>
              <w:jc w:val="right"/>
            </w:pPr>
            <w:r/>
            <w:r>
              <w:rPr>
                <w:color w:val="1A1D21"/>
                <w:sz w:val="17"/>
              </w:rPr>
              <w:t>91,070</w:t>
            </w:r>
          </w:p>
        </w:tc>
        <w:tc>
          <w:tcPr>
            <w:tcW w:type="dxa" w:w="1928"/>
          </w:tcPr>
          <w:p>
            <w:pPr>
              <w:jc w:val="right"/>
            </w:pPr>
            <w:r/>
            <w:r>
              <w:rPr>
                <w:color w:val="1A1D21"/>
                <w:sz w:val="17"/>
              </w:rPr>
              <w:t>152,199</w:t>
            </w:r>
          </w:p>
        </w:tc>
      </w:tr>
    </w:tbl>
    <w:p>
      <w:pPr>
        <w:spacing w:after="200"/>
      </w:pPr>
      <w:r>
        <w:rPr>
          <w:b w:val="0"/>
          <w:i/>
          <w:color w:val="5B6570"/>
          <w:sz w:val="16"/>
        </w:rPr>
        <w:t>The band is this method's OWN measured error at each horizon, taken from testing it across ten annual starting points on the company's 2011-2025 history. It is not a scenario; it is the spread the method has actually produced.</w:t>
      </w:r>
    </w:p>
    <w:p>
      <w:pPr>
        <w:pStyle w:val="Heading3"/>
      </w:pPr>
      <w:r>
        <w:t>The cash-flow calculation in full</w:t>
      </w:r>
    </w:p>
    <w:p>
      <w:pPr>
        <w:spacing w:after="140"/>
      </w:pPr>
      <w:r>
        <w:rPr>
          <w:b w:val="0"/>
          <w:i w:val="0"/>
          <w:color w:val="1A1D21"/>
          <w:sz w:val="20"/>
        </w:rPr>
        <w:t>Operating profit is not cash, and for a developer selling on instalments the gap between the two is the whole question. The table below runs every step from operating profit to a present value, year by year, with nothing collapsed.</w:t>
      </w:r>
    </w:p>
    <w:tbl>
      <w:tblPr>
        <w:tblStyle w:val="TableGrid"/>
        <w:tblW w:type="auto" w:w="0"/>
        <w:jc w:val="center"/>
        <w:tblLayout w:type="fixed"/>
        <w:tblLook w:firstColumn="1" w:firstRow="1" w:lastColumn="0" w:lastRow="0" w:noHBand="0" w:noVBand="1" w:val="04A0"/>
        <w:tblLayout w:type="fixed"/>
      </w:tblPr>
      <w:tblGrid>
        <w:gridCol w:w="1984"/>
        <w:gridCol w:w="1026"/>
        <w:gridCol w:w="1026"/>
        <w:gridCol w:w="1026"/>
        <w:gridCol w:w="1026"/>
        <w:gridCol w:w="1026"/>
        <w:gridCol w:w="1026"/>
        <w:gridCol w:w="1026"/>
      </w:tblGrid>
      <w:tr>
        <w:trPr>
          <w:tblHeader w:val="true"/>
        </w:trPr>
        <w:tc>
          <w:tcPr>
            <w:tcW w:type="dxa" w:w="1984"/>
          </w:tcPr>
          <w:p>
            <w:r/>
            <w:r>
              <w:rPr>
                <w:b/>
                <w:color w:val="5B6570"/>
                <w:sz w:val="17"/>
              </w:rPr>
              <w:t>EGP million</w:t>
            </w:r>
          </w:p>
        </w:tc>
        <w:tc>
          <w:tcPr>
            <w:tcW w:type="dxa" w:w="1026"/>
          </w:tcPr>
          <w:p>
            <w:r/>
            <w:r>
              <w:rPr>
                <w:b/>
                <w:color w:val="5B6570"/>
                <w:sz w:val="17"/>
              </w:rPr>
              <w:t>2026</w:t>
            </w:r>
          </w:p>
        </w:tc>
        <w:tc>
          <w:tcPr>
            <w:tcW w:type="dxa" w:w="1026"/>
          </w:tcPr>
          <w:p>
            <w:r/>
            <w:r>
              <w:rPr>
                <w:b/>
                <w:color w:val="5B6570"/>
                <w:sz w:val="17"/>
              </w:rPr>
              <w:t>2027</w:t>
            </w:r>
          </w:p>
        </w:tc>
        <w:tc>
          <w:tcPr>
            <w:tcW w:type="dxa" w:w="1026"/>
          </w:tcPr>
          <w:p>
            <w:r/>
            <w:r>
              <w:rPr>
                <w:b/>
                <w:color w:val="5B6570"/>
                <w:sz w:val="17"/>
              </w:rPr>
              <w:t>2028</w:t>
            </w:r>
          </w:p>
        </w:tc>
        <w:tc>
          <w:tcPr>
            <w:tcW w:type="dxa" w:w="1026"/>
          </w:tcPr>
          <w:p>
            <w:r/>
            <w:r>
              <w:rPr>
                <w:b/>
                <w:color w:val="5B6570"/>
                <w:sz w:val="17"/>
              </w:rPr>
              <w:t>2029</w:t>
            </w:r>
          </w:p>
        </w:tc>
        <w:tc>
          <w:tcPr>
            <w:tcW w:type="dxa" w:w="1026"/>
          </w:tcPr>
          <w:p>
            <w:r/>
            <w:r>
              <w:rPr>
                <w:b/>
                <w:color w:val="5B6570"/>
                <w:sz w:val="17"/>
              </w:rPr>
              <w:t>2030</w:t>
            </w:r>
          </w:p>
        </w:tc>
        <w:tc>
          <w:tcPr>
            <w:tcW w:type="dxa" w:w="1026"/>
          </w:tcPr>
          <w:p>
            <w:r/>
            <w:r>
              <w:rPr>
                <w:b/>
                <w:color w:val="5B6570"/>
                <w:sz w:val="17"/>
              </w:rPr>
              <w:t>2035</w:t>
            </w:r>
          </w:p>
        </w:tc>
        <w:tc>
          <w:tcPr>
            <w:tcW w:type="dxa" w:w="1026"/>
          </w:tcPr>
          <w:p>
            <w:r/>
            <w:r>
              <w:rPr>
                <w:b/>
                <w:color w:val="5B6570"/>
                <w:sz w:val="17"/>
              </w:rPr>
              <w:t>2040</w:t>
            </w:r>
          </w:p>
        </w:tc>
      </w:tr>
      <w:tr>
        <w:trPr>
          <w:cantSplit/>
        </w:trPr>
        <w:tc>
          <w:tcPr>
            <w:tcW w:type="dxa" w:w="1984"/>
          </w:tcPr>
          <w:p>
            <w:r/>
            <w:r>
              <w:rPr>
                <w:color w:val="1A1D21"/>
                <w:sz w:val="17"/>
              </w:rPr>
              <w:t>Operating profit</w:t>
            </w:r>
          </w:p>
        </w:tc>
        <w:tc>
          <w:tcPr>
            <w:tcW w:type="dxa" w:w="1026"/>
          </w:tcPr>
          <w:p>
            <w:pPr>
              <w:jc w:val="right"/>
            </w:pPr>
            <w:r/>
            <w:r>
              <w:rPr>
                <w:color w:val="1A1D21"/>
                <w:sz w:val="17"/>
              </w:rPr>
              <w:t>6,788</w:t>
            </w:r>
          </w:p>
        </w:tc>
        <w:tc>
          <w:tcPr>
            <w:tcW w:type="dxa" w:w="1026"/>
          </w:tcPr>
          <w:p>
            <w:pPr>
              <w:jc w:val="right"/>
            </w:pPr>
            <w:r/>
            <w:r>
              <w:rPr>
                <w:color w:val="1A1D21"/>
                <w:sz w:val="17"/>
              </w:rPr>
              <w:t>8,742</w:t>
            </w:r>
          </w:p>
        </w:tc>
        <w:tc>
          <w:tcPr>
            <w:tcW w:type="dxa" w:w="1026"/>
          </w:tcPr>
          <w:p>
            <w:pPr>
              <w:jc w:val="right"/>
            </w:pPr>
            <w:r/>
            <w:r>
              <w:rPr>
                <w:color w:val="1A1D21"/>
                <w:sz w:val="17"/>
              </w:rPr>
              <w:t>10,816</w:t>
            </w:r>
          </w:p>
        </w:tc>
        <w:tc>
          <w:tcPr>
            <w:tcW w:type="dxa" w:w="1026"/>
          </w:tcPr>
          <w:p>
            <w:pPr>
              <w:jc w:val="right"/>
            </w:pPr>
            <w:r/>
            <w:r>
              <w:rPr>
                <w:color w:val="1A1D21"/>
                <w:sz w:val="17"/>
              </w:rPr>
              <w:t>13,022</w:t>
            </w:r>
          </w:p>
        </w:tc>
        <w:tc>
          <w:tcPr>
            <w:tcW w:type="dxa" w:w="1026"/>
          </w:tcPr>
          <w:p>
            <w:pPr>
              <w:jc w:val="right"/>
            </w:pPr>
            <w:r/>
            <w:r>
              <w:rPr>
                <w:color w:val="1A1D21"/>
                <w:sz w:val="17"/>
              </w:rPr>
              <w:t>15,397</w:t>
            </w:r>
          </w:p>
        </w:tc>
        <w:tc>
          <w:tcPr>
            <w:tcW w:type="dxa" w:w="1026"/>
          </w:tcPr>
          <w:p>
            <w:pPr>
              <w:jc w:val="right"/>
            </w:pPr>
            <w:r/>
            <w:r>
              <w:rPr>
                <w:color w:val="1A1D21"/>
                <w:sz w:val="17"/>
              </w:rPr>
              <w:t>28,870</w:t>
            </w:r>
          </w:p>
        </w:tc>
        <w:tc>
          <w:tcPr>
            <w:tcW w:type="dxa" w:w="1026"/>
          </w:tcPr>
          <w:p>
            <w:pPr>
              <w:jc w:val="right"/>
            </w:pPr>
            <w:r/>
            <w:r>
              <w:rPr>
                <w:color w:val="1A1D21"/>
                <w:sz w:val="17"/>
              </w:rPr>
              <w:t>41,099</w:t>
            </w:r>
          </w:p>
        </w:tc>
      </w:tr>
      <w:tr>
        <w:trPr>
          <w:cantSplit/>
        </w:trPr>
        <w:tc>
          <w:tcPr>
            <w:tcW w:type="dxa" w:w="1984"/>
          </w:tcPr>
          <w:p>
            <w:r/>
            <w:r>
              <w:rPr>
                <w:color w:val="1A1D21"/>
                <w:sz w:val="17"/>
              </w:rPr>
              <w:t>Cash from operations</w:t>
            </w:r>
          </w:p>
        </w:tc>
        <w:tc>
          <w:tcPr>
            <w:tcW w:type="dxa" w:w="1026"/>
          </w:tcPr>
          <w:p>
            <w:pPr>
              <w:jc w:val="right"/>
            </w:pPr>
            <w:r/>
            <w:r>
              <w:rPr>
                <w:color w:val="1A1D21"/>
                <w:sz w:val="17"/>
              </w:rPr>
              <w:t>3,498</w:t>
            </w:r>
          </w:p>
        </w:tc>
        <w:tc>
          <w:tcPr>
            <w:tcW w:type="dxa" w:w="1026"/>
          </w:tcPr>
          <w:p>
            <w:pPr>
              <w:jc w:val="right"/>
            </w:pPr>
            <w:r/>
            <w:r>
              <w:rPr>
                <w:color w:val="1A1D21"/>
                <w:sz w:val="17"/>
              </w:rPr>
              <w:t>4,506</w:t>
            </w:r>
          </w:p>
        </w:tc>
        <w:tc>
          <w:tcPr>
            <w:tcW w:type="dxa" w:w="1026"/>
          </w:tcPr>
          <w:p>
            <w:pPr>
              <w:jc w:val="right"/>
            </w:pPr>
            <w:r/>
            <w:r>
              <w:rPr>
                <w:color w:val="1A1D21"/>
                <w:sz w:val="17"/>
              </w:rPr>
              <w:t>5,574</w:t>
            </w:r>
          </w:p>
        </w:tc>
        <w:tc>
          <w:tcPr>
            <w:tcW w:type="dxa" w:w="1026"/>
          </w:tcPr>
          <w:p>
            <w:pPr>
              <w:jc w:val="right"/>
            </w:pPr>
            <w:r/>
            <w:r>
              <w:rPr>
                <w:color w:val="1A1D21"/>
                <w:sz w:val="17"/>
              </w:rPr>
              <w:t>6,712</w:t>
            </w:r>
          </w:p>
        </w:tc>
        <w:tc>
          <w:tcPr>
            <w:tcW w:type="dxa" w:w="1026"/>
          </w:tcPr>
          <w:p>
            <w:pPr>
              <w:jc w:val="right"/>
            </w:pPr>
            <w:r/>
            <w:r>
              <w:rPr>
                <w:color w:val="1A1D21"/>
                <w:sz w:val="17"/>
              </w:rPr>
              <w:t>7,936</w:t>
            </w:r>
          </w:p>
        </w:tc>
        <w:tc>
          <w:tcPr>
            <w:tcW w:type="dxa" w:w="1026"/>
          </w:tcPr>
          <w:p>
            <w:pPr>
              <w:jc w:val="right"/>
            </w:pPr>
            <w:r/>
            <w:r>
              <w:rPr>
                <w:color w:val="1A1D21"/>
                <w:sz w:val="17"/>
              </w:rPr>
              <w:t>14,879</w:t>
            </w:r>
          </w:p>
        </w:tc>
        <w:tc>
          <w:tcPr>
            <w:tcW w:type="dxa" w:w="1026"/>
          </w:tcPr>
          <w:p>
            <w:pPr>
              <w:jc w:val="right"/>
            </w:pPr>
            <w:r/>
            <w:r>
              <w:rPr>
                <w:color w:val="1A1D21"/>
                <w:sz w:val="17"/>
              </w:rPr>
              <w:t>21,182</w:t>
            </w:r>
          </w:p>
        </w:tc>
      </w:tr>
      <w:tr>
        <w:trPr>
          <w:cantSplit/>
        </w:trPr>
        <w:tc>
          <w:tcPr>
            <w:tcW w:type="dxa" w:w="1984"/>
          </w:tcPr>
          <w:p>
            <w:r/>
            <w:r>
              <w:rPr>
                <w:color w:val="1A1D21"/>
                <w:sz w:val="17"/>
              </w:rPr>
              <w:t xml:space="preserve">  as a share of revenue</w:t>
            </w:r>
          </w:p>
        </w:tc>
        <w:tc>
          <w:tcPr>
            <w:tcW w:type="dxa" w:w="1026"/>
          </w:tcPr>
          <w:p>
            <w:pPr>
              <w:jc w:val="right"/>
            </w:pPr>
            <w:r/>
            <w:r>
              <w:rPr>
                <w:color w:val="1A1D21"/>
                <w:sz w:val="17"/>
              </w:rPr>
              <w:t>8.7%</w:t>
            </w:r>
          </w:p>
        </w:tc>
        <w:tc>
          <w:tcPr>
            <w:tcW w:type="dxa" w:w="1026"/>
          </w:tcPr>
          <w:p>
            <w:pPr>
              <w:jc w:val="right"/>
            </w:pPr>
            <w:r/>
            <w:r>
              <w:rPr>
                <w:color w:val="1A1D21"/>
                <w:sz w:val="17"/>
              </w:rPr>
              <w:t>8.7%</w:t>
            </w:r>
          </w:p>
        </w:tc>
        <w:tc>
          <w:tcPr>
            <w:tcW w:type="dxa" w:w="1026"/>
          </w:tcPr>
          <w:p>
            <w:pPr>
              <w:jc w:val="right"/>
            </w:pPr>
            <w:r/>
            <w:r>
              <w:rPr>
                <w:color w:val="1A1D21"/>
                <w:sz w:val="17"/>
              </w:rPr>
              <w:t>8.7%</w:t>
            </w:r>
          </w:p>
        </w:tc>
        <w:tc>
          <w:tcPr>
            <w:tcW w:type="dxa" w:w="1026"/>
          </w:tcPr>
          <w:p>
            <w:pPr>
              <w:jc w:val="right"/>
            </w:pPr>
            <w:r/>
            <w:r>
              <w:rPr>
                <w:color w:val="1A1D21"/>
                <w:sz w:val="17"/>
              </w:rPr>
              <w:t>8.7%</w:t>
            </w:r>
          </w:p>
        </w:tc>
        <w:tc>
          <w:tcPr>
            <w:tcW w:type="dxa" w:w="1026"/>
          </w:tcPr>
          <w:p>
            <w:pPr>
              <w:jc w:val="right"/>
            </w:pPr>
            <w:r/>
            <w:r>
              <w:rPr>
                <w:color w:val="1A1D21"/>
                <w:sz w:val="17"/>
              </w:rPr>
              <w:t>8.7%</w:t>
            </w:r>
          </w:p>
        </w:tc>
        <w:tc>
          <w:tcPr>
            <w:tcW w:type="dxa" w:w="1026"/>
          </w:tcPr>
          <w:p>
            <w:pPr>
              <w:jc w:val="right"/>
            </w:pPr>
            <w:r/>
            <w:r>
              <w:rPr>
                <w:color w:val="1A1D21"/>
                <w:sz w:val="17"/>
              </w:rPr>
              <w:t>8.7%</w:t>
            </w:r>
          </w:p>
        </w:tc>
        <w:tc>
          <w:tcPr>
            <w:tcW w:type="dxa" w:w="1026"/>
          </w:tcPr>
          <w:p>
            <w:pPr>
              <w:jc w:val="right"/>
            </w:pPr>
            <w:r/>
            <w:r>
              <w:rPr>
                <w:color w:val="1A1D21"/>
                <w:sz w:val="17"/>
              </w:rPr>
              <w:t>8.7%</w:t>
            </w:r>
          </w:p>
        </w:tc>
      </w:tr>
      <w:tr>
        <w:trPr>
          <w:cantSplit/>
        </w:trPr>
        <w:tc>
          <w:tcPr>
            <w:tcW w:type="dxa" w:w="1984"/>
          </w:tcPr>
          <w:p>
            <w:r/>
            <w:r>
              <w:rPr>
                <w:color w:val="1A1D21"/>
                <w:sz w:val="17"/>
              </w:rPr>
              <w:t>plus finance cost, after tax</w:t>
            </w:r>
          </w:p>
        </w:tc>
        <w:tc>
          <w:tcPr>
            <w:tcW w:type="dxa" w:w="1026"/>
          </w:tcPr>
          <w:p>
            <w:pPr>
              <w:jc w:val="right"/>
            </w:pPr>
            <w:r/>
            <w:r>
              <w:rPr>
                <w:color w:val="1A1D21"/>
                <w:sz w:val="17"/>
              </w:rPr>
              <w:t>2,594</w:t>
            </w:r>
          </w:p>
        </w:tc>
        <w:tc>
          <w:tcPr>
            <w:tcW w:type="dxa" w:w="1026"/>
          </w:tcPr>
          <w:p>
            <w:pPr>
              <w:jc w:val="right"/>
            </w:pPr>
            <w:r/>
            <w:r>
              <w:rPr>
                <w:color w:val="1A1D21"/>
                <w:sz w:val="17"/>
              </w:rPr>
              <w:t>2,594</w:t>
            </w:r>
          </w:p>
        </w:tc>
        <w:tc>
          <w:tcPr>
            <w:tcW w:type="dxa" w:w="1026"/>
          </w:tcPr>
          <w:p>
            <w:pPr>
              <w:jc w:val="right"/>
            </w:pPr>
            <w:r/>
            <w:r>
              <w:rPr>
                <w:color w:val="1A1D21"/>
                <w:sz w:val="17"/>
              </w:rPr>
              <w:t>2,594</w:t>
            </w:r>
          </w:p>
        </w:tc>
        <w:tc>
          <w:tcPr>
            <w:tcW w:type="dxa" w:w="1026"/>
          </w:tcPr>
          <w:p>
            <w:pPr>
              <w:jc w:val="right"/>
            </w:pPr>
            <w:r/>
            <w:r>
              <w:rPr>
                <w:color w:val="1A1D21"/>
                <w:sz w:val="17"/>
              </w:rPr>
              <w:t>2,594</w:t>
            </w:r>
          </w:p>
        </w:tc>
        <w:tc>
          <w:tcPr>
            <w:tcW w:type="dxa" w:w="1026"/>
          </w:tcPr>
          <w:p>
            <w:pPr>
              <w:jc w:val="right"/>
            </w:pPr>
            <w:r/>
            <w:r>
              <w:rPr>
                <w:color w:val="1A1D21"/>
                <w:sz w:val="17"/>
              </w:rPr>
              <w:t>2,594</w:t>
            </w:r>
          </w:p>
        </w:tc>
        <w:tc>
          <w:tcPr>
            <w:tcW w:type="dxa" w:w="1026"/>
          </w:tcPr>
          <w:p>
            <w:pPr>
              <w:jc w:val="right"/>
            </w:pPr>
            <w:r/>
            <w:r>
              <w:rPr>
                <w:color w:val="1A1D21"/>
                <w:sz w:val="17"/>
              </w:rPr>
              <w:t>2,594</w:t>
            </w:r>
          </w:p>
        </w:tc>
        <w:tc>
          <w:tcPr>
            <w:tcW w:type="dxa" w:w="1026"/>
          </w:tcPr>
          <w:p>
            <w:pPr>
              <w:jc w:val="right"/>
            </w:pPr>
            <w:r/>
            <w:r>
              <w:rPr>
                <w:color w:val="1A1D21"/>
                <w:sz w:val="17"/>
              </w:rPr>
              <w:t>2,594</w:t>
            </w:r>
          </w:p>
        </w:tc>
      </w:tr>
      <w:tr>
        <w:trPr>
          <w:cantSplit/>
        </w:trPr>
        <w:tc>
          <w:tcPr>
            <w:tcW w:type="dxa" w:w="1984"/>
          </w:tcPr>
          <w:p>
            <w:r/>
            <w:r>
              <w:rPr>
                <w:color w:val="1A1D21"/>
                <w:sz w:val="17"/>
              </w:rPr>
              <w:t>less capital expenditure</w:t>
            </w:r>
          </w:p>
        </w:tc>
        <w:tc>
          <w:tcPr>
            <w:tcW w:type="dxa" w:w="1026"/>
          </w:tcPr>
          <w:p>
            <w:pPr>
              <w:jc w:val="right"/>
            </w:pPr>
            <w:r/>
            <w:r>
              <w:rPr>
                <w:color w:val="1A1D21"/>
                <w:sz w:val="17"/>
              </w:rPr>
              <w:t>401</w:t>
            </w:r>
          </w:p>
        </w:tc>
        <w:tc>
          <w:tcPr>
            <w:tcW w:type="dxa" w:w="1026"/>
          </w:tcPr>
          <w:p>
            <w:pPr>
              <w:jc w:val="right"/>
            </w:pPr>
            <w:r/>
            <w:r>
              <w:rPr>
                <w:color w:val="1A1D21"/>
                <w:sz w:val="17"/>
              </w:rPr>
              <w:t>517</w:t>
            </w:r>
          </w:p>
        </w:tc>
        <w:tc>
          <w:tcPr>
            <w:tcW w:type="dxa" w:w="1026"/>
          </w:tcPr>
          <w:p>
            <w:pPr>
              <w:jc w:val="right"/>
            </w:pPr>
            <w:r/>
            <w:r>
              <w:rPr>
                <w:color w:val="1A1D21"/>
                <w:sz w:val="17"/>
              </w:rPr>
              <w:t>640</w:t>
            </w:r>
          </w:p>
        </w:tc>
        <w:tc>
          <w:tcPr>
            <w:tcW w:type="dxa" w:w="1026"/>
          </w:tcPr>
          <w:p>
            <w:pPr>
              <w:jc w:val="right"/>
            </w:pPr>
            <w:r/>
            <w:r>
              <w:rPr>
                <w:color w:val="1A1D21"/>
                <w:sz w:val="17"/>
              </w:rPr>
              <w:t>770</w:t>
            </w:r>
          </w:p>
        </w:tc>
        <w:tc>
          <w:tcPr>
            <w:tcW w:type="dxa" w:w="1026"/>
          </w:tcPr>
          <w:p>
            <w:pPr>
              <w:jc w:val="right"/>
            </w:pPr>
            <w:r/>
            <w:r>
              <w:rPr>
                <w:color w:val="1A1D21"/>
                <w:sz w:val="17"/>
              </w:rPr>
              <w:t>911</w:t>
            </w:r>
          </w:p>
        </w:tc>
        <w:tc>
          <w:tcPr>
            <w:tcW w:type="dxa" w:w="1026"/>
          </w:tcPr>
          <w:p>
            <w:pPr>
              <w:jc w:val="right"/>
            </w:pPr>
            <w:r/>
            <w:r>
              <w:rPr>
                <w:color w:val="1A1D21"/>
                <w:sz w:val="17"/>
              </w:rPr>
              <w:t>1,708</w:t>
            </w:r>
          </w:p>
        </w:tc>
        <w:tc>
          <w:tcPr>
            <w:tcW w:type="dxa" w:w="1026"/>
          </w:tcPr>
          <w:p>
            <w:pPr>
              <w:jc w:val="right"/>
            </w:pPr>
            <w:r/>
            <w:r>
              <w:rPr>
                <w:color w:val="1A1D21"/>
                <w:sz w:val="17"/>
              </w:rPr>
              <w:t>2,431</w:t>
            </w:r>
          </w:p>
        </w:tc>
      </w:tr>
      <w:tr>
        <w:trPr>
          <w:cantSplit/>
        </w:trPr>
        <w:tc>
          <w:tcPr>
            <w:tcW w:type="dxa" w:w="1984"/>
          </w:tcPr>
          <w:p>
            <w:r/>
            <w:r>
              <w:rPr>
                <w:color w:val="1A1D21"/>
                <w:sz w:val="17"/>
              </w:rPr>
              <w:t>Free cash flow to the firm</w:t>
            </w:r>
          </w:p>
        </w:tc>
        <w:tc>
          <w:tcPr>
            <w:tcW w:type="dxa" w:w="1026"/>
          </w:tcPr>
          <w:p>
            <w:pPr>
              <w:jc w:val="right"/>
            </w:pPr>
            <w:r/>
            <w:r>
              <w:rPr>
                <w:color w:val="1A1D21"/>
                <w:sz w:val="17"/>
              </w:rPr>
              <w:t>5,691</w:t>
            </w:r>
          </w:p>
        </w:tc>
        <w:tc>
          <w:tcPr>
            <w:tcW w:type="dxa" w:w="1026"/>
          </w:tcPr>
          <w:p>
            <w:pPr>
              <w:jc w:val="right"/>
            </w:pPr>
            <w:r/>
            <w:r>
              <w:rPr>
                <w:color w:val="1A1D21"/>
                <w:sz w:val="17"/>
              </w:rPr>
              <w:t>6,583</w:t>
            </w:r>
          </w:p>
        </w:tc>
        <w:tc>
          <w:tcPr>
            <w:tcW w:type="dxa" w:w="1026"/>
          </w:tcPr>
          <w:p>
            <w:pPr>
              <w:jc w:val="right"/>
            </w:pPr>
            <w:r/>
            <w:r>
              <w:rPr>
                <w:color w:val="1A1D21"/>
                <w:sz w:val="17"/>
              </w:rPr>
              <w:t>7,529</w:t>
            </w:r>
          </w:p>
        </w:tc>
        <w:tc>
          <w:tcPr>
            <w:tcW w:type="dxa" w:w="1026"/>
          </w:tcPr>
          <w:p>
            <w:pPr>
              <w:jc w:val="right"/>
            </w:pPr>
            <w:r/>
            <w:r>
              <w:rPr>
                <w:color w:val="1A1D21"/>
                <w:sz w:val="17"/>
              </w:rPr>
              <w:t>8,536</w:t>
            </w:r>
          </w:p>
        </w:tc>
        <w:tc>
          <w:tcPr>
            <w:tcW w:type="dxa" w:w="1026"/>
          </w:tcPr>
          <w:p>
            <w:pPr>
              <w:jc w:val="right"/>
            </w:pPr>
            <w:r/>
            <w:r>
              <w:rPr>
                <w:color w:val="1A1D21"/>
                <w:sz w:val="17"/>
              </w:rPr>
              <w:t>9,619</w:t>
            </w:r>
          </w:p>
        </w:tc>
        <w:tc>
          <w:tcPr>
            <w:tcW w:type="dxa" w:w="1026"/>
          </w:tcPr>
          <w:p>
            <w:pPr>
              <w:jc w:val="right"/>
            </w:pPr>
            <w:r/>
            <w:r>
              <w:rPr>
                <w:color w:val="1A1D21"/>
                <w:sz w:val="17"/>
              </w:rPr>
              <w:t>15,766</w:t>
            </w:r>
          </w:p>
        </w:tc>
        <w:tc>
          <w:tcPr>
            <w:tcW w:type="dxa" w:w="1026"/>
          </w:tcPr>
          <w:p>
            <w:pPr>
              <w:jc w:val="right"/>
            </w:pPr>
            <w:r/>
            <w:r>
              <w:rPr>
                <w:color w:val="1A1D21"/>
                <w:sz w:val="17"/>
              </w:rPr>
              <w:t>21,346</w:t>
            </w:r>
          </w:p>
        </w:tc>
      </w:tr>
      <w:tr>
        <w:trPr>
          <w:cantSplit/>
        </w:trPr>
        <w:tc>
          <w:tcPr>
            <w:tcW w:type="dxa" w:w="1984"/>
          </w:tcPr>
          <w:p>
            <w:r/>
            <w:r>
              <w:rPr>
                <w:color w:val="1A1D21"/>
                <w:sz w:val="17"/>
              </w:rPr>
              <w:t>Cost of capital, that year</w:t>
            </w:r>
          </w:p>
        </w:tc>
        <w:tc>
          <w:tcPr>
            <w:tcW w:type="dxa" w:w="1026"/>
          </w:tcPr>
          <w:p>
            <w:pPr>
              <w:jc w:val="right"/>
            </w:pPr>
            <w:r/>
            <w:r>
              <w:rPr>
                <w:color w:val="1A1D21"/>
                <w:sz w:val="17"/>
              </w:rPr>
              <w:t>25.0%</w:t>
            </w:r>
          </w:p>
        </w:tc>
        <w:tc>
          <w:tcPr>
            <w:tcW w:type="dxa" w:w="1026"/>
          </w:tcPr>
          <w:p>
            <w:pPr>
              <w:jc w:val="right"/>
            </w:pPr>
            <w:r/>
            <w:r>
              <w:rPr>
                <w:color w:val="1A1D21"/>
                <w:sz w:val="17"/>
              </w:rPr>
              <w:t>21.4%</w:t>
            </w:r>
          </w:p>
        </w:tc>
        <w:tc>
          <w:tcPr>
            <w:tcW w:type="dxa" w:w="1026"/>
          </w:tcPr>
          <w:p>
            <w:pPr>
              <w:jc w:val="right"/>
            </w:pPr>
            <w:r/>
            <w:r>
              <w:rPr>
                <w:color w:val="1A1D21"/>
                <w:sz w:val="17"/>
              </w:rPr>
              <w:t>18.5%</w:t>
            </w:r>
          </w:p>
        </w:tc>
        <w:tc>
          <w:tcPr>
            <w:tcW w:type="dxa" w:w="1026"/>
          </w:tcPr>
          <w:p>
            <w:pPr>
              <w:jc w:val="right"/>
            </w:pPr>
            <w:r/>
            <w:r>
              <w:rPr>
                <w:color w:val="1A1D21"/>
                <w:sz w:val="17"/>
              </w:rPr>
              <w:t>16.4%</w:t>
            </w:r>
          </w:p>
        </w:tc>
        <w:tc>
          <w:tcPr>
            <w:tcW w:type="dxa" w:w="1026"/>
          </w:tcPr>
          <w:p>
            <w:pPr>
              <w:jc w:val="right"/>
            </w:pPr>
            <w:r/>
            <w:r>
              <w:rPr>
                <w:color w:val="1A1D21"/>
                <w:sz w:val="17"/>
              </w:rPr>
              <w:t>15.0%</w:t>
            </w:r>
          </w:p>
        </w:tc>
        <w:tc>
          <w:tcPr>
            <w:tcW w:type="dxa" w:w="1026"/>
          </w:tcPr>
          <w:p>
            <w:pPr>
              <w:jc w:val="right"/>
            </w:pPr>
            <w:r/>
            <w:r>
              <w:rPr>
                <w:color w:val="1A1D21"/>
                <w:sz w:val="17"/>
              </w:rPr>
              <w:t>15.0%</w:t>
            </w:r>
          </w:p>
        </w:tc>
        <w:tc>
          <w:tcPr>
            <w:tcW w:type="dxa" w:w="1026"/>
          </w:tcPr>
          <w:p>
            <w:pPr>
              <w:jc w:val="right"/>
            </w:pPr>
            <w:r/>
            <w:r>
              <w:rPr>
                <w:color w:val="1A1D21"/>
                <w:sz w:val="17"/>
              </w:rPr>
              <w:t>15.0%</w:t>
            </w:r>
          </w:p>
        </w:tc>
      </w:tr>
      <w:tr>
        <w:trPr>
          <w:cantSplit/>
        </w:trPr>
        <w:tc>
          <w:tcPr>
            <w:tcW w:type="dxa" w:w="1984"/>
          </w:tcPr>
          <w:p>
            <w:r/>
            <w:r>
              <w:rPr>
                <w:color w:val="1A1D21"/>
                <w:sz w:val="17"/>
              </w:rPr>
              <w:t>Discount factor</w:t>
            </w:r>
          </w:p>
        </w:tc>
        <w:tc>
          <w:tcPr>
            <w:tcW w:type="dxa" w:w="1026"/>
          </w:tcPr>
          <w:p>
            <w:pPr>
              <w:jc w:val="right"/>
            </w:pPr>
            <w:r/>
            <w:r>
              <w:rPr>
                <w:color w:val="1A1D21"/>
                <w:sz w:val="17"/>
              </w:rPr>
              <w:t>0.800</w:t>
            </w:r>
          </w:p>
        </w:tc>
        <w:tc>
          <w:tcPr>
            <w:tcW w:type="dxa" w:w="1026"/>
          </w:tcPr>
          <w:p>
            <w:pPr>
              <w:jc w:val="right"/>
            </w:pPr>
            <w:r/>
            <w:r>
              <w:rPr>
                <w:color w:val="1A1D21"/>
                <w:sz w:val="17"/>
              </w:rPr>
              <w:t>0.659</w:t>
            </w:r>
          </w:p>
        </w:tc>
        <w:tc>
          <w:tcPr>
            <w:tcW w:type="dxa" w:w="1026"/>
          </w:tcPr>
          <w:p>
            <w:pPr>
              <w:jc w:val="right"/>
            </w:pPr>
            <w:r/>
            <w:r>
              <w:rPr>
                <w:color w:val="1A1D21"/>
                <w:sz w:val="17"/>
              </w:rPr>
              <w:t>0.556</w:t>
            </w:r>
          </w:p>
        </w:tc>
        <w:tc>
          <w:tcPr>
            <w:tcW w:type="dxa" w:w="1026"/>
          </w:tcPr>
          <w:p>
            <w:pPr>
              <w:jc w:val="right"/>
            </w:pPr>
            <w:r/>
            <w:r>
              <w:rPr>
                <w:color w:val="1A1D21"/>
                <w:sz w:val="17"/>
              </w:rPr>
              <w:t>0.478</w:t>
            </w:r>
          </w:p>
        </w:tc>
        <w:tc>
          <w:tcPr>
            <w:tcW w:type="dxa" w:w="1026"/>
          </w:tcPr>
          <w:p>
            <w:pPr>
              <w:jc w:val="right"/>
            </w:pPr>
            <w:r/>
            <w:r>
              <w:rPr>
                <w:color w:val="1A1D21"/>
                <w:sz w:val="17"/>
              </w:rPr>
              <w:t>0.416</w:t>
            </w:r>
          </w:p>
        </w:tc>
        <w:tc>
          <w:tcPr>
            <w:tcW w:type="dxa" w:w="1026"/>
          </w:tcPr>
          <w:p>
            <w:pPr>
              <w:jc w:val="right"/>
            </w:pPr>
            <w:r/>
            <w:r>
              <w:rPr>
                <w:color w:val="1A1D21"/>
                <w:sz w:val="17"/>
              </w:rPr>
              <w:t>0.207</w:t>
            </w:r>
          </w:p>
        </w:tc>
        <w:tc>
          <w:tcPr>
            <w:tcW w:type="dxa" w:w="1026"/>
          </w:tcPr>
          <w:p>
            <w:pPr>
              <w:jc w:val="right"/>
            </w:pPr>
            <w:r/>
            <w:r>
              <w:rPr>
                <w:color w:val="1A1D21"/>
                <w:sz w:val="17"/>
              </w:rPr>
              <w:t>0.103</w:t>
            </w:r>
          </w:p>
        </w:tc>
      </w:tr>
      <w:tr>
        <w:trPr>
          <w:cantSplit/>
        </w:trPr>
        <w:tc>
          <w:tcPr>
            <w:tcW w:type="dxa" w:w="1984"/>
          </w:tcPr>
          <w:p>
            <w:r/>
            <w:r>
              <w:rPr>
                <w:color w:val="1A1D21"/>
                <w:sz w:val="17"/>
              </w:rPr>
              <w:t>Present value</w:t>
            </w:r>
          </w:p>
        </w:tc>
        <w:tc>
          <w:tcPr>
            <w:tcW w:type="dxa" w:w="1026"/>
          </w:tcPr>
          <w:p>
            <w:pPr>
              <w:jc w:val="right"/>
            </w:pPr>
            <w:r/>
            <w:r>
              <w:rPr>
                <w:color w:val="1A1D21"/>
                <w:sz w:val="17"/>
              </w:rPr>
              <w:t>4,554</w:t>
            </w:r>
          </w:p>
        </w:tc>
        <w:tc>
          <w:tcPr>
            <w:tcW w:type="dxa" w:w="1026"/>
          </w:tcPr>
          <w:p>
            <w:pPr>
              <w:jc w:val="right"/>
            </w:pPr>
            <w:r/>
            <w:r>
              <w:rPr>
                <w:color w:val="1A1D21"/>
                <w:sz w:val="17"/>
              </w:rPr>
              <w:t>4,339</w:t>
            </w:r>
          </w:p>
        </w:tc>
        <w:tc>
          <w:tcPr>
            <w:tcW w:type="dxa" w:w="1026"/>
          </w:tcPr>
          <w:p>
            <w:pPr>
              <w:jc w:val="right"/>
            </w:pPr>
            <w:r/>
            <w:r>
              <w:rPr>
                <w:color w:val="1A1D21"/>
                <w:sz w:val="17"/>
              </w:rPr>
              <w:t>4,187</w:t>
            </w:r>
          </w:p>
        </w:tc>
        <w:tc>
          <w:tcPr>
            <w:tcW w:type="dxa" w:w="1026"/>
          </w:tcPr>
          <w:p>
            <w:pPr>
              <w:jc w:val="right"/>
            </w:pPr>
            <w:r/>
            <w:r>
              <w:rPr>
                <w:color w:val="1A1D21"/>
                <w:sz w:val="17"/>
              </w:rPr>
              <w:t>4,078</w:t>
            </w:r>
          </w:p>
        </w:tc>
        <w:tc>
          <w:tcPr>
            <w:tcW w:type="dxa" w:w="1026"/>
          </w:tcPr>
          <w:p>
            <w:pPr>
              <w:jc w:val="right"/>
            </w:pPr>
            <w:r/>
            <w:r>
              <w:rPr>
                <w:color w:val="1A1D21"/>
                <w:sz w:val="17"/>
              </w:rPr>
              <w:t>3,997</w:t>
            </w:r>
          </w:p>
        </w:tc>
        <w:tc>
          <w:tcPr>
            <w:tcW w:type="dxa" w:w="1026"/>
          </w:tcPr>
          <w:p>
            <w:pPr>
              <w:jc w:val="right"/>
            </w:pPr>
            <w:r/>
            <w:r>
              <w:rPr>
                <w:color w:val="1A1D21"/>
                <w:sz w:val="17"/>
              </w:rPr>
              <w:t>3,261</w:t>
            </w:r>
          </w:p>
        </w:tc>
        <w:tc>
          <w:tcPr>
            <w:tcW w:type="dxa" w:w="1026"/>
          </w:tcPr>
          <w:p>
            <w:pPr>
              <w:jc w:val="right"/>
            </w:pPr>
            <w:r/>
            <w:r>
              <w:rPr>
                <w:color w:val="1A1D21"/>
                <w:sz w:val="17"/>
              </w:rPr>
              <w:t>2,197</w:t>
            </w:r>
          </w:p>
        </w:tc>
      </w:tr>
    </w:tbl>
    <w:p>
      <w:pPr>
        <w:spacing w:after="200"/>
      </w:pPr>
      <w:r>
        <w:rPr>
          <w:b w:val="0"/>
          <w:i/>
          <w:color w:val="5B6570"/>
          <w:sz w:val="16"/>
        </w:rPr>
        <w:t>The finance charge is added back after tax because the discount rate already carries the cost of debt; leaving it in the cash flow would charge for the same thing twice. Capital expenditure is maintenance only, at one per cent of revenue: for this company the building itself is inventory, and it is already inside operating cash.</w:t>
      </w:r>
    </w:p>
    <w:tbl>
      <w:tblPr>
        <w:tblStyle w:val="TableGrid"/>
        <w:tblW w:type="auto" w:w="0"/>
        <w:jc w:val="center"/>
        <w:tblLayout w:type="fixed"/>
        <w:tblLook w:firstColumn="1" w:firstRow="1" w:lastColumn="0" w:lastRow="0" w:noHBand="0" w:noVBand="1" w:val="04A0"/>
        <w:tblLayout w:type="fixed"/>
      </w:tblPr>
      <w:tblGrid>
        <w:gridCol w:w="6010"/>
        <w:gridCol w:w="3175"/>
      </w:tblGrid>
      <w:tr>
        <w:trPr>
          <w:tblHeader w:val="true"/>
        </w:trPr>
        <w:tc>
          <w:tcPr>
            <w:tcW w:type="dxa" w:w="6009"/>
          </w:tcPr>
          <w:p>
            <w:r/>
            <w:r>
              <w:rPr>
                <w:b/>
                <w:color w:val="5B6570"/>
                <w:sz w:val="17"/>
              </w:rPr>
              <w:t>Bridge from enterprise value to equity, base case</w:t>
            </w:r>
          </w:p>
        </w:tc>
        <w:tc>
          <w:tcPr>
            <w:tcW w:type="dxa" w:w="3175"/>
          </w:tcPr>
          <w:p>
            <w:r/>
            <w:r>
              <w:rPr>
                <w:b/>
                <w:color w:val="5B6570"/>
                <w:sz w:val="17"/>
              </w:rPr>
              <w:t>EGP mn</w:t>
            </w:r>
          </w:p>
        </w:tc>
      </w:tr>
      <w:tr>
        <w:trPr>
          <w:cantSplit/>
        </w:trPr>
        <w:tc>
          <w:tcPr>
            <w:tcW w:type="dxa" w:w="6009"/>
          </w:tcPr>
          <w:p>
            <w:r/>
            <w:r>
              <w:rPr>
                <w:color w:val="1A1D21"/>
                <w:sz w:val="17"/>
              </w:rPr>
              <w:t>Present value of the explicit 15 years</w:t>
            </w:r>
          </w:p>
        </w:tc>
        <w:tc>
          <w:tcPr>
            <w:tcW w:type="dxa" w:w="3175"/>
          </w:tcPr>
          <w:p>
            <w:pPr>
              <w:jc w:val="right"/>
            </w:pPr>
            <w:r/>
            <w:r>
              <w:rPr>
                <w:color w:val="1A1D21"/>
                <w:sz w:val="17"/>
              </w:rPr>
              <w:t>52,181.7</w:t>
            </w:r>
          </w:p>
        </w:tc>
      </w:tr>
      <w:tr>
        <w:trPr>
          <w:cantSplit/>
        </w:trPr>
        <w:tc>
          <w:tcPr>
            <w:tcW w:type="dxa" w:w="6009"/>
          </w:tcPr>
          <w:p>
            <w:r/>
            <w:r>
              <w:rPr>
                <w:color w:val="1A1D21"/>
                <w:sz w:val="17"/>
              </w:rPr>
              <w:t>Present value beyond year 15</w:t>
            </w:r>
          </w:p>
        </w:tc>
        <w:tc>
          <w:tcPr>
            <w:tcW w:type="dxa" w:w="3175"/>
          </w:tcPr>
          <w:p>
            <w:pPr>
              <w:jc w:val="right"/>
            </w:pPr>
            <w:r/>
            <w:r>
              <w:rPr>
                <w:color w:val="1A1D21"/>
                <w:sz w:val="17"/>
              </w:rPr>
              <w:t>29,482.4</w:t>
            </w:r>
          </w:p>
        </w:tc>
      </w:tr>
      <w:tr>
        <w:trPr>
          <w:cantSplit/>
        </w:trPr>
        <w:tc>
          <w:tcPr>
            <w:tcW w:type="dxa" w:w="6009"/>
          </w:tcPr>
          <w:p>
            <w:r/>
            <w:r>
              <w:rPr>
                <w:color w:val="1A1D21"/>
                <w:sz w:val="17"/>
              </w:rPr>
              <w:t>Enterprise value</w:t>
            </w:r>
          </w:p>
        </w:tc>
        <w:tc>
          <w:tcPr>
            <w:tcW w:type="dxa" w:w="3175"/>
          </w:tcPr>
          <w:p>
            <w:pPr>
              <w:jc w:val="right"/>
            </w:pPr>
            <w:r/>
            <w:r>
              <w:rPr>
                <w:color w:val="1A1D21"/>
                <w:sz w:val="17"/>
              </w:rPr>
              <w:t>81,664.1</w:t>
            </w:r>
          </w:p>
        </w:tc>
      </w:tr>
      <w:tr>
        <w:trPr>
          <w:cantSplit/>
        </w:trPr>
        <w:tc>
          <w:tcPr>
            <w:tcW w:type="dxa" w:w="6009"/>
          </w:tcPr>
          <w:p>
            <w:r/>
            <w:r>
              <w:rPr>
                <w:color w:val="1A1D21"/>
                <w:sz w:val="17"/>
              </w:rPr>
              <w:t>less net debt, 31 March 2026</w:t>
            </w:r>
          </w:p>
        </w:tc>
        <w:tc>
          <w:tcPr>
            <w:tcW w:type="dxa" w:w="3175"/>
          </w:tcPr>
          <w:p>
            <w:pPr>
              <w:jc w:val="right"/>
            </w:pPr>
            <w:r/>
            <w:r>
              <w:rPr>
                <w:color w:val="1A1D21"/>
                <w:sz w:val="17"/>
              </w:rPr>
              <w:t>-23,244.7</w:t>
            </w:r>
          </w:p>
        </w:tc>
      </w:tr>
      <w:tr>
        <w:trPr>
          <w:cantSplit/>
        </w:trPr>
        <w:tc>
          <w:tcPr>
            <w:tcW w:type="dxa" w:w="6009"/>
          </w:tcPr>
          <w:p>
            <w:r/>
            <w:r>
              <w:rPr>
                <w:color w:val="1A1D21"/>
                <w:sz w:val="17"/>
              </w:rPr>
              <w:t>plus investments in associates</w:t>
            </w:r>
          </w:p>
        </w:tc>
        <w:tc>
          <w:tcPr>
            <w:tcW w:type="dxa" w:w="3175"/>
          </w:tcPr>
          <w:p>
            <w:pPr>
              <w:jc w:val="right"/>
            </w:pPr>
            <w:r/>
            <w:r>
              <w:rPr>
                <w:color w:val="1A1D21"/>
                <w:sz w:val="17"/>
              </w:rPr>
              <w:t>3,838.7</w:t>
            </w:r>
          </w:p>
        </w:tc>
      </w:tr>
      <w:tr>
        <w:trPr>
          <w:cantSplit/>
        </w:trPr>
        <w:tc>
          <w:tcPr>
            <w:tcW w:type="dxa" w:w="6009"/>
          </w:tcPr>
          <w:p>
            <w:r/>
            <w:r>
              <w:rPr>
                <w:color w:val="1A1D21"/>
                <w:sz w:val="17"/>
              </w:rPr>
              <w:t>plus investment property</w:t>
            </w:r>
          </w:p>
        </w:tc>
        <w:tc>
          <w:tcPr>
            <w:tcW w:type="dxa" w:w="3175"/>
          </w:tcPr>
          <w:p>
            <w:pPr>
              <w:jc w:val="right"/>
            </w:pPr>
            <w:r/>
            <w:r>
              <w:rPr>
                <w:color w:val="1A1D21"/>
                <w:sz w:val="17"/>
              </w:rPr>
              <w:t>1,020.5</w:t>
            </w:r>
          </w:p>
        </w:tc>
      </w:tr>
      <w:tr>
        <w:trPr>
          <w:cantSplit/>
        </w:trPr>
        <w:tc>
          <w:tcPr>
            <w:tcW w:type="dxa" w:w="6009"/>
          </w:tcPr>
          <w:p>
            <w:r/>
            <w:r>
              <w:rPr>
                <w:color w:val="1A1D21"/>
                <w:sz w:val="17"/>
              </w:rPr>
              <w:t>Equity value before minority interests</w:t>
            </w:r>
          </w:p>
        </w:tc>
        <w:tc>
          <w:tcPr>
            <w:tcW w:type="dxa" w:w="3175"/>
          </w:tcPr>
          <w:p>
            <w:pPr>
              <w:jc w:val="right"/>
            </w:pPr>
            <w:r/>
            <w:r>
              <w:rPr>
                <w:color w:val="1A1D21"/>
                <w:sz w:val="17"/>
              </w:rPr>
              <w:t>63,278.6</w:t>
            </w:r>
          </w:p>
        </w:tc>
      </w:tr>
      <w:tr>
        <w:trPr>
          <w:cantSplit/>
        </w:trPr>
        <w:tc>
          <w:tcPr>
            <w:tcW w:type="dxa" w:w="6009"/>
          </w:tcPr>
          <w:p>
            <w:r/>
            <w:r>
              <w:rPr>
                <w:color w:val="1A1D21"/>
                <w:sz w:val="17"/>
              </w:rPr>
              <w:t>less minority interests at their share of value</w:t>
            </w:r>
          </w:p>
        </w:tc>
        <w:tc>
          <w:tcPr>
            <w:tcW w:type="dxa" w:w="3175"/>
          </w:tcPr>
          <w:p>
            <w:pPr>
              <w:jc w:val="right"/>
            </w:pPr>
            <w:r/>
            <w:r>
              <w:rPr>
                <w:color w:val="1A1D21"/>
                <w:sz w:val="17"/>
              </w:rPr>
              <w:t>-2,963.8</w:t>
            </w:r>
          </w:p>
        </w:tc>
      </w:tr>
      <w:tr>
        <w:trPr>
          <w:cantSplit/>
        </w:trPr>
        <w:tc>
          <w:tcPr>
            <w:tcW w:type="dxa" w:w="6009"/>
          </w:tcPr>
          <w:p>
            <w:r/>
            <w:r>
              <w:rPr>
                <w:color w:val="1A1D21"/>
                <w:sz w:val="17"/>
              </w:rPr>
              <w:t>Equity value attributable to shareholders</w:t>
            </w:r>
          </w:p>
        </w:tc>
        <w:tc>
          <w:tcPr>
            <w:tcW w:type="dxa" w:w="3175"/>
          </w:tcPr>
          <w:p>
            <w:pPr>
              <w:jc w:val="right"/>
            </w:pPr>
            <w:r/>
            <w:r>
              <w:rPr>
                <w:color w:val="1A1D21"/>
                <w:sz w:val="17"/>
              </w:rPr>
              <w:t>60,314.7</w:t>
            </w:r>
          </w:p>
        </w:tc>
      </w:tr>
      <w:tr>
        <w:trPr>
          <w:cantSplit/>
        </w:trPr>
        <w:tc>
          <w:tcPr>
            <w:tcW w:type="dxa" w:w="6009"/>
          </w:tcPr>
          <w:p>
            <w:r/>
            <w:r>
              <w:rPr>
                <w:color w:val="1A1D21"/>
                <w:sz w:val="17"/>
              </w:rPr>
              <w:t>Shares outstanding, millions</w:t>
            </w:r>
          </w:p>
        </w:tc>
        <w:tc>
          <w:tcPr>
            <w:tcW w:type="dxa" w:w="3175"/>
          </w:tcPr>
          <w:p>
            <w:pPr>
              <w:jc w:val="right"/>
            </w:pPr>
            <w:r/>
            <w:r>
              <w:rPr>
                <w:color w:val="1A1D21"/>
                <w:sz w:val="17"/>
              </w:rPr>
              <w:t>2,859.9</w:t>
            </w:r>
          </w:p>
        </w:tc>
      </w:tr>
      <w:tr>
        <w:trPr>
          <w:cantSplit/>
        </w:trPr>
        <w:tc>
          <w:tcPr>
            <w:tcW w:type="dxa" w:w="6009"/>
          </w:tcPr>
          <w:p>
            <w:r/>
            <w:r>
              <w:rPr>
                <w:color w:val="1A1D21"/>
                <w:sz w:val="17"/>
              </w:rPr>
              <w:t>Value per share, EGP</w:t>
            </w:r>
          </w:p>
        </w:tc>
        <w:tc>
          <w:tcPr>
            <w:tcW w:type="dxa" w:w="3175"/>
          </w:tcPr>
          <w:p>
            <w:pPr>
              <w:jc w:val="right"/>
            </w:pPr>
            <w:r/>
            <w:r>
              <w:rPr>
                <w:color w:val="1A1D21"/>
                <w:sz w:val="17"/>
              </w:rPr>
              <w:t>21.09</w:t>
            </w:r>
          </w:p>
        </w:tc>
      </w:tr>
    </w:tbl>
    <w:p>
      <w:pPr>
        <w:spacing w:after="200"/>
      </w:pPr>
      <w:r>
        <w:rPr>
          <w:b w:val="0"/>
          <w:i/>
          <w:color w:val="5B6570"/>
          <w:sz w:val="16"/>
        </w:rPr>
        <w:t>The terminal value is 36 per cent of enterprise value, which is high and is one reason the range is published rather than a point.</w:t>
      </w:r>
    </w:p>
    <w:p>
      <w:pPr>
        <w:pStyle w:val="Heading3"/>
      </w:pPr>
      <w:r>
        <w:t>What the two statements disagree about, and why it is not resolved here</w:t>
      </w:r>
    </w:p>
    <w:p>
      <w:pPr>
        <w:spacing w:after="140"/>
      </w:pPr>
      <w:r>
        <w:rPr>
          <w:b w:val="0"/>
          <w:i w:val="0"/>
          <w:color w:val="1A1D21"/>
          <w:sz w:val="20"/>
        </w:rPr>
        <w:t>The audited balance sheet and the audited cash-flow statement tell different stories about the same year, and the difference is the largest single uncertainty in this valuation. Working capital on the balance sheet rose EGP 20,085 million in 2025. Net profit plus depreciation less the operating cash the company reported implies it rose EGP 3,146 million. The difference is EGP 16,938 million — 46.8 per cent of the year's revenue.</w:t>
      </w:r>
    </w:p>
    <w:p>
      <w:pPr>
        <w:spacing w:after="140"/>
      </w:pPr>
      <w:r>
        <w:rPr>
          <w:b w:val="0"/>
          <w:i w:val="0"/>
          <w:color w:val="1A1D21"/>
          <w:sz w:val="20"/>
        </w:rPr>
        <w:t>A difference that size is not depreciation and it is not capitalised interest. It is consolidation, land taken on deferred terms, and reclassification inside a book where revenue is recognised as construction progresses. The 2025 cash-flow statement is published in its three totals only, so the difference cannot be split from what the company has disclosed. It is therefore not split. It is measured, recorded in the register of what is missing, and the forecast is published two ways around it rather than one — set out in full in Appendix A.3.</w:t>
      </w:r>
    </w:p>
    <w:tbl>
      <w:tblPr>
        <w:tblStyle w:val="TableGrid"/>
        <w:tblW w:type="auto" w:w="0"/>
        <w:jc w:val="center"/>
        <w:tblLayout w:type="fixed"/>
        <w:tblLook w:firstColumn="1" w:firstRow="1" w:lastColumn="0" w:lastRow="0" w:noHBand="0" w:noVBand="1" w:val="04A0"/>
        <w:tblLayout w:type="fixed"/>
      </w:tblPr>
      <w:tblGrid>
        <w:gridCol w:w="4763"/>
        <w:gridCol w:w="1928"/>
        <w:gridCol w:w="1928"/>
      </w:tblGrid>
      <w:tr>
        <w:trPr>
          <w:tblHeader w:val="true"/>
        </w:trPr>
        <w:tc>
          <w:tcPr>
            <w:tcW w:type="dxa" w:w="4762"/>
          </w:tcPr>
          <w:p>
            <w:r/>
            <w:r>
              <w:rPr>
                <w:b/>
                <w:color w:val="5B6570"/>
                <w:sz w:val="17"/>
              </w:rPr>
              <w:t>The collection cycle, as reported</w:t>
            </w:r>
          </w:p>
        </w:tc>
        <w:tc>
          <w:tcPr>
            <w:tcW w:type="dxa" w:w="1928"/>
          </w:tcPr>
          <w:p>
            <w:r/>
            <w:r>
              <w:rPr>
                <w:b/>
                <w:color w:val="5B6570"/>
                <w:sz w:val="17"/>
              </w:rPr>
              <w:t>2025</w:t>
            </w:r>
          </w:p>
        </w:tc>
        <w:tc>
          <w:tcPr>
            <w:tcW w:type="dxa" w:w="1928"/>
          </w:tcPr>
          <w:p>
            <w:r/>
            <w:r>
              <w:rPr>
                <w:b/>
                <w:color w:val="5B6570"/>
                <w:sz w:val="17"/>
              </w:rPr>
              <w:t>2024</w:t>
            </w:r>
          </w:p>
        </w:tc>
      </w:tr>
      <w:tr>
        <w:trPr>
          <w:cantSplit/>
        </w:trPr>
        <w:tc>
          <w:tcPr>
            <w:tcW w:type="dxa" w:w="4762"/>
          </w:tcPr>
          <w:p>
            <w:r/>
            <w:r>
              <w:rPr>
                <w:color w:val="1A1D21"/>
                <w:sz w:val="17"/>
              </w:rPr>
              <w:t>Collection period, days</w:t>
            </w:r>
          </w:p>
        </w:tc>
        <w:tc>
          <w:tcPr>
            <w:tcW w:type="dxa" w:w="1928"/>
          </w:tcPr>
          <w:p>
            <w:pPr>
              <w:jc w:val="right"/>
            </w:pPr>
            <w:r/>
            <w:r>
              <w:rPr>
                <w:color w:val="1A1D21"/>
                <w:sz w:val="17"/>
              </w:rPr>
              <w:t>1045</w:t>
            </w:r>
          </w:p>
        </w:tc>
        <w:tc>
          <w:tcPr>
            <w:tcW w:type="dxa" w:w="1928"/>
          </w:tcPr>
          <w:p>
            <w:pPr>
              <w:jc w:val="right"/>
            </w:pPr>
            <w:r/>
            <w:r>
              <w:rPr>
                <w:color w:val="1A1D21"/>
                <w:sz w:val="17"/>
              </w:rPr>
              <w:t>1035</w:t>
            </w:r>
          </w:p>
        </w:tc>
      </w:tr>
      <w:tr>
        <w:trPr>
          <w:cantSplit/>
        </w:trPr>
        <w:tc>
          <w:tcPr>
            <w:tcW w:type="dxa" w:w="4762"/>
          </w:tcPr>
          <w:p>
            <w:r/>
            <w:r>
              <w:rPr>
                <w:color w:val="1A1D21"/>
                <w:sz w:val="17"/>
              </w:rPr>
              <w:t>Work in progress, days of cost</w:t>
            </w:r>
          </w:p>
        </w:tc>
        <w:tc>
          <w:tcPr>
            <w:tcW w:type="dxa" w:w="1928"/>
          </w:tcPr>
          <w:p>
            <w:pPr>
              <w:jc w:val="right"/>
            </w:pPr>
            <w:r/>
            <w:r>
              <w:rPr>
                <w:color w:val="1A1D21"/>
                <w:sz w:val="17"/>
              </w:rPr>
              <w:t>304</w:t>
            </w:r>
          </w:p>
        </w:tc>
        <w:tc>
          <w:tcPr>
            <w:tcW w:type="dxa" w:w="1928"/>
          </w:tcPr>
          <w:p>
            <w:pPr>
              <w:jc w:val="right"/>
            </w:pPr>
            <w:r/>
            <w:r>
              <w:rPr>
                <w:color w:val="1A1D21"/>
                <w:sz w:val="17"/>
              </w:rPr>
              <w:t>270</w:t>
            </w:r>
          </w:p>
        </w:tc>
      </w:tr>
      <w:tr>
        <w:trPr>
          <w:cantSplit/>
        </w:trPr>
        <w:tc>
          <w:tcPr>
            <w:tcW w:type="dxa" w:w="4762"/>
          </w:tcPr>
          <w:p>
            <w:r/>
            <w:r>
              <w:rPr>
                <w:color w:val="1A1D21"/>
                <w:sz w:val="17"/>
              </w:rPr>
              <w:t>Suppliers, days of cost</w:t>
            </w:r>
          </w:p>
        </w:tc>
        <w:tc>
          <w:tcPr>
            <w:tcW w:type="dxa" w:w="1928"/>
          </w:tcPr>
          <w:p>
            <w:pPr>
              <w:jc w:val="right"/>
            </w:pPr>
            <w:r/>
            <w:r>
              <w:rPr>
                <w:color w:val="1A1D21"/>
                <w:sz w:val="17"/>
              </w:rPr>
              <w:t>66</w:t>
            </w:r>
          </w:p>
        </w:tc>
        <w:tc>
          <w:tcPr>
            <w:tcW w:type="dxa" w:w="1928"/>
          </w:tcPr>
          <w:p>
            <w:pPr>
              <w:jc w:val="right"/>
            </w:pPr>
            <w:r/>
            <w:r>
              <w:rPr>
                <w:color w:val="1A1D21"/>
                <w:sz w:val="17"/>
              </w:rPr>
              <w:t>70</w:t>
            </w:r>
          </w:p>
        </w:tc>
      </w:tr>
      <w:tr>
        <w:trPr>
          <w:cantSplit/>
        </w:trPr>
        <w:tc>
          <w:tcPr>
            <w:tcW w:type="dxa" w:w="4762"/>
          </w:tcPr>
          <w:p>
            <w:r/>
            <w:r>
              <w:rPr>
                <w:color w:val="1A1D21"/>
                <w:sz w:val="17"/>
              </w:rPr>
              <w:t>Customer advances, share of the order book</w:t>
            </w:r>
          </w:p>
        </w:tc>
        <w:tc>
          <w:tcPr>
            <w:tcW w:type="dxa" w:w="1928"/>
          </w:tcPr>
          <w:p>
            <w:pPr>
              <w:jc w:val="right"/>
            </w:pPr>
            <w:r/>
            <w:r>
              <w:rPr>
                <w:color w:val="1A1D21"/>
                <w:sz w:val="17"/>
              </w:rPr>
              <w:t>26.4%</w:t>
            </w:r>
          </w:p>
        </w:tc>
        <w:tc>
          <w:tcPr>
            <w:tcW w:type="dxa" w:w="1928"/>
          </w:tcPr>
          <w:p>
            <w:pPr>
              <w:jc w:val="right"/>
            </w:pPr>
            <w:r/>
            <w:r>
              <w:rPr>
                <w:color w:val="1A1D21"/>
                <w:sz w:val="17"/>
              </w:rPr>
              <w:t>32.2%</w:t>
            </w:r>
          </w:p>
        </w:tc>
      </w:tr>
      <w:tr>
        <w:trPr>
          <w:cantSplit/>
        </w:trPr>
        <w:tc>
          <w:tcPr>
            <w:tcW w:type="dxa" w:w="4762"/>
          </w:tcPr>
          <w:p>
            <w:r/>
            <w:r>
              <w:rPr>
                <w:color w:val="1A1D21"/>
                <w:sz w:val="17"/>
              </w:rPr>
              <w:t>Net working capital (EGP mn)</w:t>
            </w:r>
          </w:p>
        </w:tc>
        <w:tc>
          <w:tcPr>
            <w:tcW w:type="dxa" w:w="1928"/>
          </w:tcPr>
          <w:p>
            <w:pPr>
              <w:jc w:val="right"/>
            </w:pPr>
            <w:r/>
            <w:r>
              <w:rPr>
                <w:color w:val="1A1D21"/>
                <w:sz w:val="17"/>
              </w:rPr>
              <w:t>62,324</w:t>
            </w:r>
          </w:p>
        </w:tc>
        <w:tc>
          <w:tcPr>
            <w:tcW w:type="dxa" w:w="1928"/>
          </w:tcPr>
          <w:p>
            <w:pPr>
              <w:jc w:val="right"/>
            </w:pPr>
            <w:r/>
            <w:r>
              <w:rPr>
                <w:color w:val="1A1D21"/>
                <w:sz w:val="17"/>
              </w:rPr>
              <w:t>42,239</w:t>
            </w:r>
          </w:p>
        </w:tc>
      </w:tr>
      <w:tr>
        <w:trPr>
          <w:cantSplit/>
        </w:trPr>
        <w:tc>
          <w:tcPr>
            <w:tcW w:type="dxa" w:w="4762"/>
          </w:tcPr>
          <w:p>
            <w:r/>
            <w:r>
              <w:rPr>
                <w:color w:val="1A1D21"/>
                <w:sz w:val="17"/>
              </w:rPr>
              <w:t xml:space="preserve">  as a multiple of revenue</w:t>
            </w:r>
          </w:p>
        </w:tc>
        <w:tc>
          <w:tcPr>
            <w:tcW w:type="dxa" w:w="1928"/>
          </w:tcPr>
          <w:p>
            <w:pPr>
              <w:jc w:val="right"/>
            </w:pPr>
            <w:r/>
            <w:r>
              <w:rPr>
                <w:color w:val="1A1D21"/>
                <w:sz w:val="17"/>
              </w:rPr>
              <w:t>1.72</w:t>
            </w:r>
          </w:p>
        </w:tc>
        <w:tc>
          <w:tcPr>
            <w:tcW w:type="dxa" w:w="1928"/>
          </w:tcPr>
          <w:p>
            <w:pPr>
              <w:jc w:val="right"/>
            </w:pPr>
            <w:r/>
            <w:r>
              <w:rPr>
                <w:color w:val="1A1D21"/>
                <w:sz w:val="17"/>
              </w:rPr>
              <w:t>1.55</w:t>
            </w:r>
          </w:p>
        </w:tc>
      </w:tr>
    </w:tbl>
    <w:p>
      <w:pPr>
        <w:spacing w:after="200"/>
      </w:pPr>
      <w:r>
        <w:rPr>
          <w:b w:val="0"/>
          <w:i/>
          <w:color w:val="5B6570"/>
          <w:sz w:val="16"/>
        </w:rPr>
        <w:t>Both years measured the same way on the two audited sheets. The collection period is close to three years because units are sold on multi-year instalments; customer advances against the order book are what funds the building in the meantime.</w:t>
      </w:r>
    </w:p>
    <w:p>
      <w:pPr>
        <w:pStyle w:val="Heading2"/>
      </w:pPr>
      <w:r>
        <w:t>1.2  Book value and sustainable return</w:t>
      </w:r>
    </w:p>
    <w:p>
      <w:pPr>
        <w:spacing w:after="140"/>
      </w:pPr>
      <w:r>
        <w:rPr>
          <w:b w:val="0"/>
          <w:i w:val="0"/>
          <w:color w:val="1A1D21"/>
          <w:sz w:val="20"/>
        </w:rPr>
        <w:t>Shareholders' funds attributable to the parent were EGP 18,956 million at 31 March 2026, or EGP 6.63 a share, against a market price of EGP 14.40 — the shares change hands at about 2.2 times book. The earlier edition divided total equity, minority interests included, by the parent's shares; this one puts the numerator on the same footing as the share count, and on the latest disclosed sheet. Profit after tax and minority interest of EGP 4,217 million in 2025 on average shareholders' funds gives a return on equity of roughly 25.3%. Against a cost of equity of 30.8%, the company is not currently earning its cost of capital on book, which is why book value sits well below every cash-flow read in this study rather than acting as a floor.</w:t>
      </w:r>
    </w:p>
    <w:p>
      <w:pPr>
        <w:pStyle w:val="Heading2"/>
      </w:pPr>
      <w:r>
        <w:t>1.3  Relative multiples</w:t>
      </w:r>
    </w:p>
    <w:p>
      <w:pPr>
        <w:spacing w:after="140"/>
      </w:pPr>
      <w:r>
        <w:rPr>
          <w:b w:val="0"/>
          <w:i w:val="0"/>
          <w:color w:val="1A1D21"/>
          <w:sz w:val="20"/>
        </w:rPr>
        <w:t>The Egyptian listed developers are compared in Appendix B on the measures that can actually be sourced for all of them on the same basis. Earnings and book multiples for the peer group are NOT published here: no peer discloses figures this study can obtain on a consistent basis, and a multiple assembled from inconsistent or unsourced inputs would look precise and mean nothing. What is comparable is market risk, and on that measure Palm Hills sits in the middle of its sector.</w:t>
      </w:r>
    </w:p>
    <w:p>
      <w:pPr>
        <w:pStyle w:val="Heading2"/>
      </w:pPr>
      <w:r>
        <w:t>1.4  Normalised earnings power</w:t>
      </w:r>
    </w:p>
    <w:p>
      <w:pPr>
        <w:spacing w:after="140"/>
      </w:pPr>
      <w:r>
        <w:rPr>
          <w:b w:val="0"/>
          <w:i w:val="0"/>
          <w:color w:val="1A1D21"/>
          <w:sz w:val="20"/>
        </w:rPr>
        <w:t>Normalising on the three disclosed years, revenue converts to gross profit at about 38.3%, overheads absorb about 17.6% of revenue, and interest on the disclosed borrowings absorbs a further large share. The result is a company whose accounting profit is real but whose cash profit is small and volatile: EGP 1,424 million of operating cash in 2025 on EGP 36,169 million of revenue, against EGP 4,855 million on EGP 27,167 million the year before.</w:t>
      </w:r>
    </w:p>
    <w:p>
      <w:pPr>
        <w:spacing w:after="140"/>
      </w:pPr>
      <w:r>
        <w:rPr>
          <w:b w:val="0"/>
          <w:i w:val="0"/>
          <w:color w:val="1A1D21"/>
          <w:sz w:val="20"/>
        </w:rPr>
        <w:t>Normalised earnings of EGP 4,622 million — the average of the last two years' revenue carried one year forward at inflation, at the 2025 net margin of 11.7% — would capitalise at the cost of equity of 30.77% less growth to about EGP 6.80 a share, and at the cost of equity alone, as an earlier edition did, to EGP 5.25. Neither figure is published as a lens here, and the reason is not the arithmetic. This company recognises revenue when a project completes, so its reported earnings in any year are an accident of which project happened to complete: capitalising a mid-cycle figure treats that schedule as though it were a steady state. The working is kept as a diagnostic in the workbook and it claims nothing.</w:t>
      </w:r>
    </w:p>
    <w:p>
      <w:pPr>
        <w:pStyle w:val="Heading2"/>
      </w:pPr>
      <w:r>
        <w:t>1.5  Synthesis — the lenses in one field</w:t>
      </w:r>
    </w:p>
    <w:p>
      <w:pPr>
        <w:spacing w:after="140"/>
      </w:pPr>
      <w:r>
        <w:rPr>
          <w:b w:val="0"/>
          <w:i w:val="0"/>
          <w:color w:val="1A1D21"/>
          <w:sz w:val="20"/>
        </w:rPr>
        <w:t>The lenses disagree, and the disagreement is the information — but one of them is the answer and the others are checks on it. The cash-flow lens is the central: it is the only one built from the company's own units and prices, and it is the only one that values an order book the company has sold but not yet handed over. The multiple on its own trading history sits at EGP 8.39 and book value at EGP 6.63, and both are lower for the same reason: they measure what has been reported, and what has been reported does not yet include a backlog carried at historical cost in a currency that has lost most of its value since 2022. That is a floor, and it is published as one.</w:t>
      </w:r>
    </w:p>
    <w:tbl>
      <w:tblPr>
        <w:tblStyle w:val="TableGrid"/>
        <w:tblW w:type="auto" w:w="0"/>
        <w:jc w:val="center"/>
        <w:tblLayout w:type="fixed"/>
        <w:tblLook w:firstColumn="1" w:firstRow="1" w:lastColumn="0" w:lastRow="0" w:noHBand="0" w:noVBand="1" w:val="04A0"/>
        <w:tblLayout w:type="fixed"/>
      </w:tblPr>
      <w:tblGrid>
        <w:gridCol w:w="2381"/>
        <w:gridCol w:w="1021"/>
        <w:gridCol w:w="1021"/>
        <w:gridCol w:w="1021"/>
        <w:gridCol w:w="1021"/>
        <w:gridCol w:w="2495"/>
      </w:tblGrid>
      <w:tr>
        <w:trPr>
          <w:tblHeader w:val="true"/>
        </w:trPr>
        <w:tc>
          <w:tcPr>
            <w:tcW w:type="dxa" w:w="2381"/>
          </w:tcPr>
          <w:p>
            <w:r/>
            <w:r>
              <w:rPr>
                <w:b/>
                <w:color w:val="5B6570"/>
                <w:sz w:val="17"/>
              </w:rPr>
              <w:t>Lens</w:t>
            </w:r>
          </w:p>
        </w:tc>
        <w:tc>
          <w:tcPr>
            <w:tcW w:type="dxa" w:w="1020"/>
          </w:tcPr>
          <w:p>
            <w:r/>
            <w:r>
              <w:rPr>
                <w:b/>
                <w:color w:val="5B6570"/>
                <w:sz w:val="17"/>
              </w:rPr>
              <w:t>Low</w:t>
            </w:r>
          </w:p>
        </w:tc>
        <w:tc>
          <w:tcPr>
            <w:tcW w:type="dxa" w:w="1020"/>
          </w:tcPr>
          <w:p>
            <w:r/>
            <w:r>
              <w:rPr>
                <w:b/>
                <w:color w:val="5B6570"/>
                <w:sz w:val="17"/>
              </w:rPr>
              <w:t>Central</w:t>
            </w:r>
          </w:p>
        </w:tc>
        <w:tc>
          <w:tcPr>
            <w:tcW w:type="dxa" w:w="1020"/>
          </w:tcPr>
          <w:p>
            <w:r/>
            <w:r>
              <w:rPr>
                <w:b/>
                <w:color w:val="5B6570"/>
                <w:sz w:val="17"/>
              </w:rPr>
              <w:t>High</w:t>
            </w:r>
          </w:p>
        </w:tc>
        <w:tc>
          <w:tcPr>
            <w:tcW w:type="dxa" w:w="1020"/>
          </w:tcPr>
          <w:p>
            <w:r/>
            <w:r>
              <w:rPr>
                <w:b/>
                <w:color w:val="5B6570"/>
                <w:sz w:val="17"/>
              </w:rPr>
              <w:t>Role</w:t>
            </w:r>
          </w:p>
        </w:tc>
        <w:tc>
          <w:tcPr>
            <w:tcW w:type="dxa" w:w="2494"/>
          </w:tcPr>
          <w:p>
            <w:r/>
            <w:r>
              <w:rPr>
                <w:b/>
                <w:color w:val="5B6570"/>
                <w:sz w:val="17"/>
              </w:rPr>
              <w:t>What moves it</w:t>
            </w:r>
          </w:p>
        </w:tc>
      </w:tr>
      <w:tr>
        <w:trPr>
          <w:cantSplit/>
        </w:trPr>
        <w:tc>
          <w:tcPr>
            <w:tcW w:type="dxa" w:w="2381"/>
          </w:tcPr>
          <w:p>
            <w:r/>
            <w:r>
              <w:rPr>
                <w:color w:val="1A1D21"/>
                <w:sz w:val="17"/>
              </w:rPr>
              <w:t>Discounted cash flow</w:t>
            </w:r>
          </w:p>
        </w:tc>
        <w:tc>
          <w:tcPr>
            <w:tcW w:type="dxa" w:w="1020"/>
          </w:tcPr>
          <w:p>
            <w:pPr>
              <w:jc w:val="right"/>
            </w:pPr>
            <w:r/>
            <w:r>
              <w:rPr>
                <w:color w:val="1A1D21"/>
                <w:sz w:val="17"/>
              </w:rPr>
              <w:t>4.98</w:t>
            </w:r>
          </w:p>
        </w:tc>
        <w:tc>
          <w:tcPr>
            <w:tcW w:type="dxa" w:w="1020"/>
          </w:tcPr>
          <w:p>
            <w:pPr>
              <w:jc w:val="right"/>
            </w:pPr>
            <w:r/>
            <w:r>
              <w:rPr>
                <w:color w:val="1A1D21"/>
                <w:sz w:val="17"/>
              </w:rPr>
              <w:t>21.09</w:t>
            </w:r>
          </w:p>
        </w:tc>
        <w:tc>
          <w:tcPr>
            <w:tcW w:type="dxa" w:w="1020"/>
          </w:tcPr>
          <w:p>
            <w:pPr>
              <w:jc w:val="right"/>
            </w:pPr>
            <w:r/>
            <w:r>
              <w:rPr>
                <w:color w:val="1A1D21"/>
                <w:sz w:val="17"/>
              </w:rPr>
              <w:t>55.07</w:t>
            </w:r>
          </w:p>
        </w:tc>
        <w:tc>
          <w:tcPr>
            <w:tcW w:type="dxa" w:w="1020"/>
          </w:tcPr>
          <w:p>
            <w:r/>
            <w:r>
              <w:rPr>
                <w:color w:val="1A1D21"/>
                <w:sz w:val="17"/>
              </w:rPr>
              <w:t>the central</w:t>
            </w:r>
          </w:p>
        </w:tc>
        <w:tc>
          <w:tcPr>
            <w:tcW w:type="dxa" w:w="2494"/>
          </w:tcPr>
          <w:p>
            <w:r/>
            <w:r>
              <w:rPr>
                <w:color w:val="1A1D21"/>
                <w:sz w:val="17"/>
              </w:rPr>
              <w:t>cash conversion, then the cost of capital</w:t>
            </w:r>
          </w:p>
        </w:tc>
      </w:tr>
      <w:tr>
        <w:trPr>
          <w:cantSplit/>
        </w:trPr>
        <w:tc>
          <w:tcPr>
            <w:tcW w:type="dxa" w:w="2381"/>
          </w:tcPr>
          <w:p>
            <w:r/>
            <w:r>
              <w:rPr>
                <w:color w:val="1A1D21"/>
                <w:sz w:val="17"/>
              </w:rPr>
              <w:t>Earnings multiple on own history</w:t>
            </w:r>
          </w:p>
        </w:tc>
        <w:tc>
          <w:tcPr>
            <w:tcW w:type="dxa" w:w="1020"/>
          </w:tcPr>
          <w:p>
            <w:pPr>
              <w:jc w:val="right"/>
            </w:pPr>
            <w:r/>
            <w:r>
              <w:rPr>
                <w:color w:val="1A1D21"/>
                <w:sz w:val="17"/>
              </w:rPr>
              <w:t>5.59</w:t>
            </w:r>
          </w:p>
        </w:tc>
        <w:tc>
          <w:tcPr>
            <w:tcW w:type="dxa" w:w="1020"/>
          </w:tcPr>
          <w:p>
            <w:pPr>
              <w:jc w:val="right"/>
            </w:pPr>
            <w:r/>
            <w:r>
              <w:rPr>
                <w:color w:val="1A1D21"/>
                <w:sz w:val="17"/>
              </w:rPr>
              <w:t>8.39</w:t>
            </w:r>
          </w:p>
        </w:tc>
        <w:tc>
          <w:tcPr>
            <w:tcW w:type="dxa" w:w="1020"/>
          </w:tcPr>
          <w:p>
            <w:pPr>
              <w:jc w:val="right"/>
            </w:pPr>
            <w:r/>
            <w:r>
              <w:rPr>
                <w:color w:val="1A1D21"/>
                <w:sz w:val="17"/>
              </w:rPr>
              <w:t>13.05</w:t>
            </w:r>
          </w:p>
        </w:tc>
        <w:tc>
          <w:tcPr>
            <w:tcW w:type="dxa" w:w="1020"/>
          </w:tcPr>
          <w:p>
            <w:r/>
            <w:r>
              <w:rPr>
                <w:color w:val="1A1D21"/>
                <w:sz w:val="17"/>
              </w:rPr>
              <w:t>cross-check</w:t>
            </w:r>
          </w:p>
        </w:tc>
        <w:tc>
          <w:tcPr>
            <w:tcW w:type="dxa" w:w="2494"/>
          </w:tcPr>
          <w:p>
            <w:r/>
            <w:r>
              <w:rPr>
                <w:color w:val="1A1D21"/>
                <w:sz w:val="17"/>
              </w:rPr>
              <w:t>the multiple the shares have historically carried, 6x to 14x</w:t>
            </w:r>
          </w:p>
        </w:tc>
      </w:tr>
      <w:tr>
        <w:trPr>
          <w:cantSplit/>
        </w:trPr>
        <w:tc>
          <w:tcPr>
            <w:tcW w:type="dxa" w:w="2381"/>
          </w:tcPr>
          <w:p>
            <w:r/>
            <w:r>
              <w:rPr>
                <w:color w:val="1A1D21"/>
                <w:sz w:val="17"/>
              </w:rPr>
              <w:t>Book value of equity — a disclosed floor</w:t>
            </w:r>
          </w:p>
        </w:tc>
        <w:tc>
          <w:tcPr>
            <w:tcW w:type="dxa" w:w="1020"/>
          </w:tcPr>
          <w:p>
            <w:pPr>
              <w:jc w:val="right"/>
            </w:pPr>
            <w:r/>
            <w:r>
              <w:rPr>
                <w:color w:val="1A1D21"/>
                <w:sz w:val="17"/>
              </w:rPr>
              <w:t>5.97</w:t>
            </w:r>
          </w:p>
        </w:tc>
        <w:tc>
          <w:tcPr>
            <w:tcW w:type="dxa" w:w="1020"/>
          </w:tcPr>
          <w:p>
            <w:pPr>
              <w:jc w:val="right"/>
            </w:pPr>
            <w:r/>
            <w:r>
              <w:rPr>
                <w:color w:val="1A1D21"/>
                <w:sz w:val="17"/>
              </w:rPr>
              <w:t>6.63</w:t>
            </w:r>
          </w:p>
        </w:tc>
        <w:tc>
          <w:tcPr>
            <w:tcW w:type="dxa" w:w="1020"/>
          </w:tcPr>
          <w:p>
            <w:pPr>
              <w:jc w:val="right"/>
            </w:pPr>
            <w:r/>
            <w:r>
              <w:rPr>
                <w:color w:val="1A1D21"/>
                <w:sz w:val="17"/>
              </w:rPr>
              <w:t>8.62</w:t>
            </w:r>
          </w:p>
        </w:tc>
        <w:tc>
          <w:tcPr>
            <w:tcW w:type="dxa" w:w="1020"/>
          </w:tcPr>
          <w:p>
            <w:r/>
            <w:r>
              <w:rPr>
                <w:color w:val="1A1D21"/>
                <w:sz w:val="17"/>
              </w:rPr>
              <w:t>cross-check</w:t>
            </w:r>
          </w:p>
        </w:tc>
        <w:tc>
          <w:tcPr>
            <w:tcW w:type="dxa" w:w="2494"/>
          </w:tcPr>
          <w:p>
            <w:r/>
            <w:r>
              <w:rPr>
                <w:color w:val="1A1D21"/>
                <w:sz w:val="17"/>
              </w:rPr>
              <w:t>nothing — it is a reported figure</w:t>
            </w:r>
          </w:p>
        </w:tc>
      </w:tr>
    </w:tbl>
    <w:p>
      <w:pPr>
        <w:spacing w:after="200"/>
      </w:pPr>
      <w:r>
        <w:rPr>
          <w:b w:val="0"/>
          <w:i/>
          <w:color w:val="5B6570"/>
          <w:sz w:val="16"/>
        </w:rPr>
        <w:t>EGP per share, against a close of EGP 14.40. The cash-flow lens is the central and the others are cross-checks; they are not averaged. Normalised earnings power, which an earlier edition carried at a fifth of the weight, is not published as a lens here at all: a developer that recognises revenue when a project completes reports earnings that are an accident of which project completed in which year, and capitalising a mid-cycle figure treats that schedule as a steady state. The working is kept in the workbook as a diagnostic and claims nothing.</w:t>
      </w:r>
    </w:p>
    <w:p>
      <w:pPr>
        <w:pStyle w:val="Heading2"/>
      </w:pPr>
      <w:r>
        <w:t>1.6  Drivers — units and prices, by region</w:t>
      </w:r>
    </w:p>
    <w:p>
      <w:pPr>
        <w:spacing w:after="140"/>
      </w:pPr>
      <w:r>
        <w:rPr>
          <w:b w:val="0"/>
          <w:i w:val="0"/>
          <w:color w:val="1A1D21"/>
          <w:sz w:val="20"/>
        </w:rPr>
        <w:t>This is what the forecast is built from. For each operating region the company publishes both the value of new sales and the number of units behind it, so the average selling price per unit is a realised figure, not an assumption. Dividing one disclosure by the other is the only step taken.</w:t>
      </w:r>
    </w:p>
    <w:p>
      <w:pPr>
        <w:pStyle w:val="Heading3"/>
      </w:pPr>
      <w:r>
        <w:t>North Coast &amp; Alexandria</w:t>
      </w:r>
    </w:p>
    <w:tbl>
      <w:tblPr>
        <w:tblStyle w:val="TableGrid"/>
        <w:tblW w:type="auto" w:w="0"/>
        <w:jc w:val="center"/>
        <w:tblLayout w:type="fixed"/>
        <w:tblLook w:firstColumn="1" w:firstRow="1" w:lastColumn="0" w:lastRow="0" w:noHBand="0" w:noVBand="1" w:val="04A0"/>
        <w:tblLayout w:type="fixed"/>
      </w:tblPr>
      <w:tblGrid>
        <w:gridCol w:w="2495"/>
        <w:gridCol w:w="1361"/>
        <w:gridCol w:w="1361"/>
        <w:gridCol w:w="1361"/>
        <w:gridCol w:w="1361"/>
        <w:gridCol w:w="1361"/>
      </w:tblGrid>
      <w:tr>
        <w:trPr>
          <w:tblHeader w:val="true"/>
        </w:trPr>
        <w:tc>
          <w:tcPr>
            <w:tcW w:type="dxa" w:w="2494"/>
          </w:tcPr>
          <w:p>
            <w:r/>
            <w:r>
              <w:rPr>
                <w:b/>
                <w:color w:val="5B6570"/>
                <w:sz w:val="17"/>
              </w:rPr>
              <w:t>Disclosed</w:t>
            </w:r>
          </w:p>
        </w:tc>
        <w:tc>
          <w:tcPr>
            <w:tcW w:type="dxa" w:w="1361"/>
          </w:tcPr>
          <w:p>
            <w:r/>
            <w:r>
              <w:rPr>
                <w:b/>
                <w:color w:val="5B6570"/>
                <w:sz w:val="17"/>
              </w:rPr>
              <w:t>2020</w:t>
            </w:r>
          </w:p>
        </w:tc>
        <w:tc>
          <w:tcPr>
            <w:tcW w:type="dxa" w:w="1361"/>
          </w:tcPr>
          <w:p>
            <w:r/>
            <w:r>
              <w:rPr>
                <w:b/>
                <w:color w:val="5B6570"/>
                <w:sz w:val="17"/>
              </w:rPr>
              <w:t>2021</w:t>
            </w:r>
          </w:p>
        </w:tc>
        <w:tc>
          <w:tcPr>
            <w:tcW w:type="dxa" w:w="1361"/>
          </w:tcPr>
          <w:p>
            <w:r/>
            <w:r>
              <w:rPr>
                <w:b/>
                <w:color w:val="5B6570"/>
                <w:sz w:val="17"/>
              </w:rPr>
              <w:t>2022</w:t>
            </w:r>
          </w:p>
        </w:tc>
        <w:tc>
          <w:tcPr>
            <w:tcW w:type="dxa" w:w="1361"/>
          </w:tcPr>
          <w:p>
            <w:r/>
            <w:r>
              <w:rPr>
                <w:b/>
                <w:color w:val="5B6570"/>
                <w:sz w:val="17"/>
              </w:rPr>
              <w:t>2023</w:t>
            </w:r>
          </w:p>
        </w:tc>
        <w:tc>
          <w:tcPr>
            <w:tcW w:type="dxa" w:w="1361"/>
          </w:tcPr>
          <w:p>
            <w:r/>
            <w:r>
              <w:rPr>
                <w:b/>
                <w:color w:val="5B6570"/>
                <w:sz w:val="17"/>
              </w:rPr>
              <w:t>2024</w:t>
            </w:r>
          </w:p>
        </w:tc>
      </w:tr>
      <w:tr>
        <w:trPr>
          <w:cantSplit/>
        </w:trPr>
        <w:tc>
          <w:tcPr>
            <w:tcW w:type="dxa" w:w="2494"/>
          </w:tcPr>
          <w:p>
            <w:r/>
            <w:r>
              <w:rPr>
                <w:color w:val="1A1D21"/>
                <w:sz w:val="17"/>
              </w:rPr>
              <w:t>New sales (EGP mn)</w:t>
            </w:r>
          </w:p>
        </w:tc>
        <w:tc>
          <w:tcPr>
            <w:tcW w:type="dxa" w:w="1361"/>
          </w:tcPr>
          <w:p>
            <w:pPr>
              <w:jc w:val="right"/>
            </w:pPr>
            <w:r/>
            <w:r>
              <w:rPr>
                <w:color w:val="1A1D21"/>
                <w:sz w:val="17"/>
              </w:rPr>
              <w:t>4,205</w:t>
            </w:r>
          </w:p>
        </w:tc>
        <w:tc>
          <w:tcPr>
            <w:tcW w:type="dxa" w:w="1361"/>
          </w:tcPr>
          <w:p>
            <w:pPr>
              <w:jc w:val="right"/>
            </w:pPr>
            <w:r/>
            <w:r>
              <w:rPr>
                <w:color w:val="1A1D21"/>
                <w:sz w:val="17"/>
              </w:rPr>
              <w:t>7,139</w:t>
            </w:r>
          </w:p>
        </w:tc>
        <w:tc>
          <w:tcPr>
            <w:tcW w:type="dxa" w:w="1361"/>
          </w:tcPr>
          <w:p>
            <w:pPr>
              <w:jc w:val="right"/>
            </w:pPr>
            <w:r/>
            <w:r>
              <w:rPr>
                <w:color w:val="1A1D21"/>
                <w:sz w:val="17"/>
              </w:rPr>
              <w:t>5,627</w:t>
            </w:r>
          </w:p>
        </w:tc>
        <w:tc>
          <w:tcPr>
            <w:tcW w:type="dxa" w:w="1361"/>
          </w:tcPr>
          <w:p>
            <w:pPr>
              <w:jc w:val="right"/>
            </w:pPr>
            <w:r/>
            <w:r>
              <w:rPr>
                <w:color w:val="1A1D21"/>
                <w:sz w:val="17"/>
              </w:rPr>
              <w:t>13,900</w:t>
            </w:r>
          </w:p>
        </w:tc>
        <w:tc>
          <w:tcPr>
            <w:tcW w:type="dxa" w:w="1361"/>
          </w:tcPr>
          <w:p>
            <w:pPr>
              <w:jc w:val="right"/>
            </w:pPr>
            <w:r/>
            <w:r>
              <w:rPr>
                <w:color w:val="1A1D21"/>
                <w:sz w:val="17"/>
              </w:rPr>
              <w:t>95,082</w:t>
            </w:r>
          </w:p>
        </w:tc>
      </w:tr>
      <w:tr>
        <w:trPr>
          <w:cantSplit/>
        </w:trPr>
        <w:tc>
          <w:tcPr>
            <w:tcW w:type="dxa" w:w="2494"/>
          </w:tcPr>
          <w:p>
            <w:r/>
            <w:r>
              <w:rPr>
                <w:color w:val="1A1D21"/>
                <w:sz w:val="17"/>
              </w:rPr>
              <w:t>Units sold</w:t>
            </w:r>
          </w:p>
        </w:tc>
        <w:tc>
          <w:tcPr>
            <w:tcW w:type="dxa" w:w="1361"/>
          </w:tcPr>
          <w:p>
            <w:pPr>
              <w:jc w:val="right"/>
            </w:pPr>
            <w:r/>
            <w:r>
              <w:rPr>
                <w:color w:val="1A1D21"/>
                <w:sz w:val="17"/>
              </w:rPr>
              <w:t>726</w:t>
            </w:r>
          </w:p>
        </w:tc>
        <w:tc>
          <w:tcPr>
            <w:tcW w:type="dxa" w:w="1361"/>
          </w:tcPr>
          <w:p>
            <w:pPr>
              <w:jc w:val="right"/>
            </w:pPr>
            <w:r/>
            <w:r>
              <w:rPr>
                <w:color w:val="1A1D21"/>
                <w:sz w:val="17"/>
              </w:rPr>
              <w:t>1,552</w:t>
            </w:r>
          </w:p>
        </w:tc>
        <w:tc>
          <w:tcPr>
            <w:tcW w:type="dxa" w:w="1361"/>
          </w:tcPr>
          <w:p>
            <w:pPr>
              <w:jc w:val="right"/>
            </w:pPr>
            <w:r/>
            <w:r>
              <w:rPr>
                <w:color w:val="1A1D21"/>
                <w:sz w:val="17"/>
              </w:rPr>
              <w:t>800</w:t>
            </w:r>
          </w:p>
        </w:tc>
        <w:tc>
          <w:tcPr>
            <w:tcW w:type="dxa" w:w="1361"/>
          </w:tcPr>
          <w:p>
            <w:pPr>
              <w:jc w:val="right"/>
            </w:pPr>
            <w:r/>
            <w:r>
              <w:rPr>
                <w:color w:val="1A1D21"/>
                <w:sz w:val="17"/>
              </w:rPr>
              <w:t>1,231</w:t>
            </w:r>
          </w:p>
        </w:tc>
        <w:tc>
          <w:tcPr>
            <w:tcW w:type="dxa" w:w="1361"/>
          </w:tcPr>
          <w:p>
            <w:pPr>
              <w:jc w:val="right"/>
            </w:pPr>
            <w:r/>
            <w:r>
              <w:rPr>
                <w:color w:val="1A1D21"/>
                <w:sz w:val="17"/>
              </w:rPr>
              <w:t>4,192</w:t>
            </w:r>
          </w:p>
        </w:tc>
      </w:tr>
      <w:tr>
        <w:trPr>
          <w:cantSplit/>
        </w:trPr>
        <w:tc>
          <w:tcPr>
            <w:tcW w:type="dxa" w:w="2494"/>
          </w:tcPr>
          <w:p>
            <w:r/>
            <w:r>
              <w:rPr>
                <w:color w:val="1A1D21"/>
                <w:sz w:val="17"/>
              </w:rPr>
              <w:t>Price per unit (EGP mn)</w:t>
            </w:r>
          </w:p>
        </w:tc>
        <w:tc>
          <w:tcPr>
            <w:tcW w:type="dxa" w:w="1361"/>
          </w:tcPr>
          <w:p>
            <w:pPr>
              <w:jc w:val="right"/>
            </w:pPr>
            <w:r/>
            <w:r>
              <w:rPr>
                <w:color w:val="1A1D21"/>
                <w:sz w:val="17"/>
              </w:rPr>
              <w:t>5.79</w:t>
            </w:r>
          </w:p>
        </w:tc>
        <w:tc>
          <w:tcPr>
            <w:tcW w:type="dxa" w:w="1361"/>
          </w:tcPr>
          <w:p>
            <w:pPr>
              <w:jc w:val="right"/>
            </w:pPr>
            <w:r/>
            <w:r>
              <w:rPr>
                <w:color w:val="1A1D21"/>
                <w:sz w:val="17"/>
              </w:rPr>
              <w:t>4.60</w:t>
            </w:r>
          </w:p>
        </w:tc>
        <w:tc>
          <w:tcPr>
            <w:tcW w:type="dxa" w:w="1361"/>
          </w:tcPr>
          <w:p>
            <w:pPr>
              <w:jc w:val="right"/>
            </w:pPr>
            <w:r/>
            <w:r>
              <w:rPr>
                <w:color w:val="1A1D21"/>
                <w:sz w:val="17"/>
              </w:rPr>
              <w:t>7.03</w:t>
            </w:r>
          </w:p>
        </w:tc>
        <w:tc>
          <w:tcPr>
            <w:tcW w:type="dxa" w:w="1361"/>
          </w:tcPr>
          <w:p>
            <w:pPr>
              <w:jc w:val="right"/>
            </w:pPr>
            <w:r/>
            <w:r>
              <w:rPr>
                <w:color w:val="1A1D21"/>
                <w:sz w:val="17"/>
              </w:rPr>
              <w:t>11.29</w:t>
            </w:r>
          </w:p>
        </w:tc>
        <w:tc>
          <w:tcPr>
            <w:tcW w:type="dxa" w:w="1361"/>
          </w:tcPr>
          <w:p>
            <w:pPr>
              <w:jc w:val="right"/>
            </w:pPr>
            <w:r/>
            <w:r>
              <w:rPr>
                <w:color w:val="1A1D21"/>
                <w:sz w:val="17"/>
              </w:rPr>
              <w:t>22.68</w:t>
            </w:r>
          </w:p>
        </w:tc>
      </w:tr>
    </w:tbl>
    <w:p>
      <w:pPr>
        <w:spacing w:after="80"/>
      </w:pPr>
      <w:r>
        <w:rPr>
          <w:b w:val="0"/>
          <w:i w:val="0"/>
          <w:color w:val="1A1D21"/>
          <w:sz w:val="8"/>
        </w:rPr>
      </w:r>
    </w:p>
    <w:p>
      <w:pPr>
        <w:spacing w:after="140"/>
      </w:pPr>
      <w:r>
        <w:rPr>
          <w:b w:val="0"/>
          <w:i w:val="0"/>
          <w:color w:val="5B6570"/>
          <w:sz w:val="18"/>
        </w:rPr>
        <w:t>Carried forward at 2,074 units, the average of the last three disclosed years, at a starting price of EGP 22.68 million a unit, the price realised in 2024, escalated with Egyptian inflation.</w:t>
      </w:r>
    </w:p>
    <w:p>
      <w:pPr>
        <w:pStyle w:val="Heading3"/>
      </w:pPr>
      <w:r>
        <w:t>West Cairo &amp; Badya</w:t>
      </w:r>
    </w:p>
    <w:tbl>
      <w:tblPr>
        <w:tblStyle w:val="TableGrid"/>
        <w:tblW w:type="auto" w:w="0"/>
        <w:jc w:val="center"/>
        <w:tblLayout w:type="fixed"/>
        <w:tblLook w:firstColumn="1" w:firstRow="1" w:lastColumn="0" w:lastRow="0" w:noHBand="0" w:noVBand="1" w:val="04A0"/>
        <w:tblLayout w:type="fixed"/>
      </w:tblPr>
      <w:tblGrid>
        <w:gridCol w:w="2495"/>
        <w:gridCol w:w="1361"/>
        <w:gridCol w:w="1361"/>
        <w:gridCol w:w="1361"/>
        <w:gridCol w:w="1361"/>
        <w:gridCol w:w="1361"/>
      </w:tblGrid>
      <w:tr>
        <w:trPr>
          <w:tblHeader w:val="true"/>
        </w:trPr>
        <w:tc>
          <w:tcPr>
            <w:tcW w:type="dxa" w:w="2494"/>
          </w:tcPr>
          <w:p>
            <w:r/>
            <w:r>
              <w:rPr>
                <w:b/>
                <w:color w:val="5B6570"/>
                <w:sz w:val="17"/>
              </w:rPr>
              <w:t>Disclosed</w:t>
            </w:r>
          </w:p>
        </w:tc>
        <w:tc>
          <w:tcPr>
            <w:tcW w:type="dxa" w:w="1361"/>
          </w:tcPr>
          <w:p>
            <w:r/>
            <w:r>
              <w:rPr>
                <w:b/>
                <w:color w:val="5B6570"/>
                <w:sz w:val="17"/>
              </w:rPr>
              <w:t>2020</w:t>
            </w:r>
          </w:p>
        </w:tc>
        <w:tc>
          <w:tcPr>
            <w:tcW w:type="dxa" w:w="1361"/>
          </w:tcPr>
          <w:p>
            <w:r/>
            <w:r>
              <w:rPr>
                <w:b/>
                <w:color w:val="5B6570"/>
                <w:sz w:val="17"/>
              </w:rPr>
              <w:t>2021</w:t>
            </w:r>
          </w:p>
        </w:tc>
        <w:tc>
          <w:tcPr>
            <w:tcW w:type="dxa" w:w="1361"/>
          </w:tcPr>
          <w:p>
            <w:r/>
            <w:r>
              <w:rPr>
                <w:b/>
                <w:color w:val="5B6570"/>
                <w:sz w:val="17"/>
              </w:rPr>
              <w:t>2022</w:t>
            </w:r>
          </w:p>
        </w:tc>
        <w:tc>
          <w:tcPr>
            <w:tcW w:type="dxa" w:w="1361"/>
          </w:tcPr>
          <w:p>
            <w:r/>
            <w:r>
              <w:rPr>
                <w:b/>
                <w:color w:val="5B6570"/>
                <w:sz w:val="17"/>
              </w:rPr>
              <w:t>2023</w:t>
            </w:r>
          </w:p>
        </w:tc>
        <w:tc>
          <w:tcPr>
            <w:tcW w:type="dxa" w:w="1361"/>
          </w:tcPr>
          <w:p>
            <w:r/>
            <w:r>
              <w:rPr>
                <w:b/>
                <w:color w:val="5B6570"/>
                <w:sz w:val="17"/>
              </w:rPr>
              <w:t>2024</w:t>
            </w:r>
          </w:p>
        </w:tc>
      </w:tr>
      <w:tr>
        <w:trPr>
          <w:cantSplit/>
        </w:trPr>
        <w:tc>
          <w:tcPr>
            <w:tcW w:type="dxa" w:w="2494"/>
          </w:tcPr>
          <w:p>
            <w:r/>
            <w:r>
              <w:rPr>
                <w:color w:val="1A1D21"/>
                <w:sz w:val="17"/>
              </w:rPr>
              <w:t>New sales (EGP mn)</w:t>
            </w:r>
          </w:p>
        </w:tc>
        <w:tc>
          <w:tcPr>
            <w:tcW w:type="dxa" w:w="1361"/>
          </w:tcPr>
          <w:p>
            <w:pPr>
              <w:jc w:val="right"/>
            </w:pPr>
            <w:r/>
            <w:r>
              <w:rPr>
                <w:color w:val="1A1D21"/>
                <w:sz w:val="17"/>
              </w:rPr>
              <w:t>6,627</w:t>
            </w:r>
          </w:p>
        </w:tc>
        <w:tc>
          <w:tcPr>
            <w:tcW w:type="dxa" w:w="1361"/>
          </w:tcPr>
          <w:p>
            <w:pPr>
              <w:jc w:val="right"/>
            </w:pPr>
            <w:r/>
            <w:r>
              <w:rPr>
                <w:color w:val="1A1D21"/>
                <w:sz w:val="17"/>
              </w:rPr>
              <w:t>7,258</w:t>
            </w:r>
          </w:p>
        </w:tc>
        <w:tc>
          <w:tcPr>
            <w:tcW w:type="dxa" w:w="1361"/>
          </w:tcPr>
          <w:p>
            <w:pPr>
              <w:jc w:val="right"/>
            </w:pPr>
            <w:r/>
            <w:r>
              <w:rPr>
                <w:color w:val="1A1D21"/>
                <w:sz w:val="17"/>
              </w:rPr>
              <w:t>13,118</w:t>
            </w:r>
          </w:p>
        </w:tc>
        <w:tc>
          <w:tcPr>
            <w:tcW w:type="dxa" w:w="1361"/>
          </w:tcPr>
          <w:p>
            <w:pPr>
              <w:jc w:val="right"/>
            </w:pPr>
            <w:r/>
            <w:r>
              <w:rPr>
                <w:color w:val="1A1D21"/>
                <w:sz w:val="17"/>
              </w:rPr>
              <w:t>32,332</w:t>
            </w:r>
          </w:p>
        </w:tc>
        <w:tc>
          <w:tcPr>
            <w:tcW w:type="dxa" w:w="1361"/>
          </w:tcPr>
          <w:p>
            <w:pPr>
              <w:jc w:val="right"/>
            </w:pPr>
            <w:r/>
            <w:r>
              <w:rPr>
                <w:color w:val="1A1D21"/>
                <w:sz w:val="17"/>
              </w:rPr>
              <w:t>44,570</w:t>
            </w:r>
          </w:p>
        </w:tc>
      </w:tr>
      <w:tr>
        <w:trPr>
          <w:cantSplit/>
        </w:trPr>
        <w:tc>
          <w:tcPr>
            <w:tcW w:type="dxa" w:w="2494"/>
          </w:tcPr>
          <w:p>
            <w:r/>
            <w:r>
              <w:rPr>
                <w:color w:val="1A1D21"/>
                <w:sz w:val="17"/>
              </w:rPr>
              <w:t>Units sold</w:t>
            </w:r>
          </w:p>
        </w:tc>
        <w:tc>
          <w:tcPr>
            <w:tcW w:type="dxa" w:w="1361"/>
          </w:tcPr>
          <w:p>
            <w:pPr>
              <w:jc w:val="right"/>
            </w:pPr>
            <w:r/>
            <w:r>
              <w:rPr>
                <w:color w:val="1A1D21"/>
                <w:sz w:val="17"/>
              </w:rPr>
              <w:t>858</w:t>
            </w:r>
          </w:p>
        </w:tc>
        <w:tc>
          <w:tcPr>
            <w:tcW w:type="dxa" w:w="1361"/>
          </w:tcPr>
          <w:p>
            <w:pPr>
              <w:jc w:val="right"/>
            </w:pPr>
            <w:r/>
            <w:r>
              <w:rPr>
                <w:color w:val="1A1D21"/>
                <w:sz w:val="17"/>
              </w:rPr>
              <w:t>1,416</w:t>
            </w:r>
          </w:p>
        </w:tc>
        <w:tc>
          <w:tcPr>
            <w:tcW w:type="dxa" w:w="1361"/>
          </w:tcPr>
          <w:p>
            <w:pPr>
              <w:jc w:val="right"/>
            </w:pPr>
            <w:r/>
            <w:r>
              <w:rPr>
                <w:color w:val="1A1D21"/>
                <w:sz w:val="17"/>
              </w:rPr>
              <w:t>2,039</w:t>
            </w:r>
          </w:p>
        </w:tc>
        <w:tc>
          <w:tcPr>
            <w:tcW w:type="dxa" w:w="1361"/>
          </w:tcPr>
          <w:p>
            <w:pPr>
              <w:jc w:val="right"/>
            </w:pPr>
            <w:r/>
            <w:r>
              <w:rPr>
                <w:color w:val="1A1D21"/>
                <w:sz w:val="17"/>
              </w:rPr>
              <w:t>2,950</w:t>
            </w:r>
          </w:p>
        </w:tc>
        <w:tc>
          <w:tcPr>
            <w:tcW w:type="dxa" w:w="1361"/>
          </w:tcPr>
          <w:p>
            <w:pPr>
              <w:jc w:val="right"/>
            </w:pPr>
            <w:r/>
            <w:r>
              <w:rPr>
                <w:color w:val="1A1D21"/>
                <w:sz w:val="17"/>
              </w:rPr>
              <w:t>2,839</w:t>
            </w:r>
          </w:p>
        </w:tc>
      </w:tr>
      <w:tr>
        <w:trPr>
          <w:cantSplit/>
        </w:trPr>
        <w:tc>
          <w:tcPr>
            <w:tcW w:type="dxa" w:w="2494"/>
          </w:tcPr>
          <w:p>
            <w:r/>
            <w:r>
              <w:rPr>
                <w:color w:val="1A1D21"/>
                <w:sz w:val="17"/>
              </w:rPr>
              <w:t>Price per unit (EGP mn)</w:t>
            </w:r>
          </w:p>
        </w:tc>
        <w:tc>
          <w:tcPr>
            <w:tcW w:type="dxa" w:w="1361"/>
          </w:tcPr>
          <w:p>
            <w:pPr>
              <w:jc w:val="right"/>
            </w:pPr>
            <w:r/>
            <w:r>
              <w:rPr>
                <w:color w:val="1A1D21"/>
                <w:sz w:val="17"/>
              </w:rPr>
              <w:t>7.72</w:t>
            </w:r>
          </w:p>
        </w:tc>
        <w:tc>
          <w:tcPr>
            <w:tcW w:type="dxa" w:w="1361"/>
          </w:tcPr>
          <w:p>
            <w:pPr>
              <w:jc w:val="right"/>
            </w:pPr>
            <w:r/>
            <w:r>
              <w:rPr>
                <w:color w:val="1A1D21"/>
                <w:sz w:val="17"/>
              </w:rPr>
              <w:t>5.13</w:t>
            </w:r>
          </w:p>
        </w:tc>
        <w:tc>
          <w:tcPr>
            <w:tcW w:type="dxa" w:w="1361"/>
          </w:tcPr>
          <w:p>
            <w:pPr>
              <w:jc w:val="right"/>
            </w:pPr>
            <w:r/>
            <w:r>
              <w:rPr>
                <w:color w:val="1A1D21"/>
                <w:sz w:val="17"/>
              </w:rPr>
              <w:t>6.43</w:t>
            </w:r>
          </w:p>
        </w:tc>
        <w:tc>
          <w:tcPr>
            <w:tcW w:type="dxa" w:w="1361"/>
          </w:tcPr>
          <w:p>
            <w:pPr>
              <w:jc w:val="right"/>
            </w:pPr>
            <w:r/>
            <w:r>
              <w:rPr>
                <w:color w:val="1A1D21"/>
                <w:sz w:val="17"/>
              </w:rPr>
              <w:t>10.96</w:t>
            </w:r>
          </w:p>
        </w:tc>
        <w:tc>
          <w:tcPr>
            <w:tcW w:type="dxa" w:w="1361"/>
          </w:tcPr>
          <w:p>
            <w:pPr>
              <w:jc w:val="right"/>
            </w:pPr>
            <w:r/>
            <w:r>
              <w:rPr>
                <w:color w:val="1A1D21"/>
                <w:sz w:val="17"/>
              </w:rPr>
              <w:t>15.70</w:t>
            </w:r>
          </w:p>
        </w:tc>
      </w:tr>
    </w:tbl>
    <w:p>
      <w:pPr>
        <w:spacing w:after="80"/>
      </w:pPr>
      <w:r>
        <w:rPr>
          <w:b w:val="0"/>
          <w:i w:val="0"/>
          <w:color w:val="1A1D21"/>
          <w:sz w:val="8"/>
        </w:rPr>
      </w:r>
    </w:p>
    <w:p>
      <w:pPr>
        <w:spacing w:after="140"/>
      </w:pPr>
      <w:r>
        <w:rPr>
          <w:b w:val="0"/>
          <w:i w:val="0"/>
          <w:color w:val="5B6570"/>
          <w:sz w:val="18"/>
        </w:rPr>
        <w:t>Carried forward at 2,609 units, the average of the last three disclosed years, at a starting price of EGP 15.70 million a unit, the price realised in 2024, escalated with Egyptian inflation.</w:t>
      </w:r>
    </w:p>
    <w:p>
      <w:pPr>
        <w:pStyle w:val="Heading3"/>
      </w:pPr>
      <w:r>
        <w:t>East Cairo</w:t>
      </w:r>
    </w:p>
    <w:tbl>
      <w:tblPr>
        <w:tblStyle w:val="TableGrid"/>
        <w:tblW w:type="auto" w:w="0"/>
        <w:jc w:val="center"/>
        <w:tblLayout w:type="fixed"/>
        <w:tblLook w:firstColumn="1" w:firstRow="1" w:lastColumn="0" w:lastRow="0" w:noHBand="0" w:noVBand="1" w:val="04A0"/>
        <w:tblLayout w:type="fixed"/>
      </w:tblPr>
      <w:tblGrid>
        <w:gridCol w:w="2495"/>
        <w:gridCol w:w="1361"/>
        <w:gridCol w:w="1361"/>
        <w:gridCol w:w="1361"/>
        <w:gridCol w:w="1361"/>
        <w:gridCol w:w="1361"/>
      </w:tblGrid>
      <w:tr>
        <w:trPr>
          <w:tblHeader w:val="true"/>
        </w:trPr>
        <w:tc>
          <w:tcPr>
            <w:tcW w:type="dxa" w:w="2494"/>
          </w:tcPr>
          <w:p>
            <w:r/>
            <w:r>
              <w:rPr>
                <w:b/>
                <w:color w:val="5B6570"/>
                <w:sz w:val="17"/>
              </w:rPr>
              <w:t>Disclosed</w:t>
            </w:r>
          </w:p>
        </w:tc>
        <w:tc>
          <w:tcPr>
            <w:tcW w:type="dxa" w:w="1361"/>
          </w:tcPr>
          <w:p>
            <w:r/>
            <w:r>
              <w:rPr>
                <w:b/>
                <w:color w:val="5B6570"/>
                <w:sz w:val="17"/>
              </w:rPr>
              <w:t>2020</w:t>
            </w:r>
          </w:p>
        </w:tc>
        <w:tc>
          <w:tcPr>
            <w:tcW w:type="dxa" w:w="1361"/>
          </w:tcPr>
          <w:p>
            <w:r/>
            <w:r>
              <w:rPr>
                <w:b/>
                <w:color w:val="5B6570"/>
                <w:sz w:val="17"/>
              </w:rPr>
              <w:t>2021</w:t>
            </w:r>
          </w:p>
        </w:tc>
        <w:tc>
          <w:tcPr>
            <w:tcW w:type="dxa" w:w="1361"/>
          </w:tcPr>
          <w:p>
            <w:r/>
            <w:r>
              <w:rPr>
                <w:b/>
                <w:color w:val="5B6570"/>
                <w:sz w:val="17"/>
              </w:rPr>
              <w:t>2022</w:t>
            </w:r>
          </w:p>
        </w:tc>
        <w:tc>
          <w:tcPr>
            <w:tcW w:type="dxa" w:w="1361"/>
          </w:tcPr>
          <w:p>
            <w:r/>
            <w:r>
              <w:rPr>
                <w:b/>
                <w:color w:val="5B6570"/>
                <w:sz w:val="17"/>
              </w:rPr>
              <w:t>2023</w:t>
            </w:r>
          </w:p>
        </w:tc>
        <w:tc>
          <w:tcPr>
            <w:tcW w:type="dxa" w:w="1361"/>
          </w:tcPr>
          <w:p>
            <w:r/>
            <w:r>
              <w:rPr>
                <w:b/>
                <w:color w:val="5B6570"/>
                <w:sz w:val="17"/>
              </w:rPr>
              <w:t>2024</w:t>
            </w:r>
          </w:p>
        </w:tc>
      </w:tr>
      <w:tr>
        <w:trPr>
          <w:cantSplit/>
        </w:trPr>
        <w:tc>
          <w:tcPr>
            <w:tcW w:type="dxa" w:w="2494"/>
          </w:tcPr>
          <w:p>
            <w:r/>
            <w:r>
              <w:rPr>
                <w:color w:val="1A1D21"/>
                <w:sz w:val="17"/>
              </w:rPr>
              <w:t>New sales (EGP mn)</w:t>
            </w:r>
          </w:p>
        </w:tc>
        <w:tc>
          <w:tcPr>
            <w:tcW w:type="dxa" w:w="1361"/>
          </w:tcPr>
          <w:p>
            <w:pPr>
              <w:jc w:val="right"/>
            </w:pPr>
            <w:r/>
            <w:r>
              <w:rPr>
                <w:color w:val="1A1D21"/>
                <w:sz w:val="17"/>
              </w:rPr>
              <w:t>1,947</w:t>
            </w:r>
          </w:p>
        </w:tc>
        <w:tc>
          <w:tcPr>
            <w:tcW w:type="dxa" w:w="1361"/>
          </w:tcPr>
          <w:p>
            <w:pPr>
              <w:jc w:val="right"/>
            </w:pPr>
            <w:r/>
            <w:r>
              <w:rPr>
                <w:color w:val="1A1D21"/>
                <w:sz w:val="17"/>
              </w:rPr>
              <w:t>2,892</w:t>
            </w:r>
          </w:p>
        </w:tc>
        <w:tc>
          <w:tcPr>
            <w:tcW w:type="dxa" w:w="1361"/>
          </w:tcPr>
          <w:p>
            <w:pPr>
              <w:jc w:val="right"/>
            </w:pPr>
            <w:r/>
            <w:r>
              <w:rPr>
                <w:color w:val="1A1D21"/>
                <w:sz w:val="17"/>
              </w:rPr>
              <w:t>7,265</w:t>
            </w:r>
          </w:p>
        </w:tc>
        <w:tc>
          <w:tcPr>
            <w:tcW w:type="dxa" w:w="1361"/>
          </w:tcPr>
          <w:p>
            <w:pPr>
              <w:jc w:val="right"/>
            </w:pPr>
            <w:r/>
            <w:r>
              <w:rPr>
                <w:color w:val="1A1D21"/>
                <w:sz w:val="17"/>
              </w:rPr>
              <w:t>13,270</w:t>
            </w:r>
          </w:p>
        </w:tc>
        <w:tc>
          <w:tcPr>
            <w:tcW w:type="dxa" w:w="1361"/>
          </w:tcPr>
          <w:p>
            <w:pPr>
              <w:jc w:val="right"/>
            </w:pPr>
            <w:r/>
            <w:r>
              <w:rPr>
                <w:color w:val="1A1D21"/>
                <w:sz w:val="17"/>
              </w:rPr>
              <w:t>11,364</w:t>
            </w:r>
          </w:p>
        </w:tc>
      </w:tr>
      <w:tr>
        <w:trPr>
          <w:cantSplit/>
        </w:trPr>
        <w:tc>
          <w:tcPr>
            <w:tcW w:type="dxa" w:w="2494"/>
          </w:tcPr>
          <w:p>
            <w:r/>
            <w:r>
              <w:rPr>
                <w:color w:val="1A1D21"/>
                <w:sz w:val="17"/>
              </w:rPr>
              <w:t>Units sold</w:t>
            </w:r>
          </w:p>
        </w:tc>
        <w:tc>
          <w:tcPr>
            <w:tcW w:type="dxa" w:w="1361"/>
          </w:tcPr>
          <w:p>
            <w:pPr>
              <w:jc w:val="right"/>
            </w:pPr>
            <w:r/>
            <w:r>
              <w:rPr>
                <w:color w:val="1A1D21"/>
                <w:sz w:val="17"/>
              </w:rPr>
              <w:t>256</w:t>
            </w:r>
          </w:p>
        </w:tc>
        <w:tc>
          <w:tcPr>
            <w:tcW w:type="dxa" w:w="1361"/>
          </w:tcPr>
          <w:p>
            <w:pPr>
              <w:jc w:val="right"/>
            </w:pPr>
            <w:r/>
            <w:r>
              <w:rPr>
                <w:color w:val="1A1D21"/>
                <w:sz w:val="17"/>
              </w:rPr>
              <w:t>382</w:t>
            </w:r>
          </w:p>
        </w:tc>
        <w:tc>
          <w:tcPr>
            <w:tcW w:type="dxa" w:w="1361"/>
          </w:tcPr>
          <w:p>
            <w:pPr>
              <w:jc w:val="right"/>
            </w:pPr>
            <w:r/>
            <w:r>
              <w:rPr>
                <w:color w:val="1A1D21"/>
                <w:sz w:val="17"/>
              </w:rPr>
              <w:t>1,194</w:t>
            </w:r>
          </w:p>
        </w:tc>
        <w:tc>
          <w:tcPr>
            <w:tcW w:type="dxa" w:w="1361"/>
          </w:tcPr>
          <w:p>
            <w:pPr>
              <w:jc w:val="right"/>
            </w:pPr>
            <w:r/>
            <w:r>
              <w:rPr>
                <w:color w:val="1A1D21"/>
                <w:sz w:val="17"/>
              </w:rPr>
              <w:t>1,200</w:t>
            </w:r>
          </w:p>
        </w:tc>
        <w:tc>
          <w:tcPr>
            <w:tcW w:type="dxa" w:w="1361"/>
          </w:tcPr>
          <w:p>
            <w:pPr>
              <w:jc w:val="right"/>
            </w:pPr>
            <w:r/>
            <w:r>
              <w:rPr>
                <w:color w:val="1A1D21"/>
                <w:sz w:val="17"/>
              </w:rPr>
              <w:t>453</w:t>
            </w:r>
          </w:p>
        </w:tc>
      </w:tr>
      <w:tr>
        <w:trPr>
          <w:cantSplit/>
        </w:trPr>
        <w:tc>
          <w:tcPr>
            <w:tcW w:type="dxa" w:w="2494"/>
          </w:tcPr>
          <w:p>
            <w:r/>
            <w:r>
              <w:rPr>
                <w:color w:val="1A1D21"/>
                <w:sz w:val="17"/>
              </w:rPr>
              <w:t>Price per unit (EGP mn)</w:t>
            </w:r>
          </w:p>
        </w:tc>
        <w:tc>
          <w:tcPr>
            <w:tcW w:type="dxa" w:w="1361"/>
          </w:tcPr>
          <w:p>
            <w:pPr>
              <w:jc w:val="right"/>
            </w:pPr>
            <w:r/>
            <w:r>
              <w:rPr>
                <w:color w:val="1A1D21"/>
                <w:sz w:val="17"/>
              </w:rPr>
              <w:t>7.61</w:t>
            </w:r>
          </w:p>
        </w:tc>
        <w:tc>
          <w:tcPr>
            <w:tcW w:type="dxa" w:w="1361"/>
          </w:tcPr>
          <w:p>
            <w:pPr>
              <w:jc w:val="right"/>
            </w:pPr>
            <w:r/>
            <w:r>
              <w:rPr>
                <w:color w:val="1A1D21"/>
                <w:sz w:val="17"/>
              </w:rPr>
              <w:t>7.57</w:t>
            </w:r>
          </w:p>
        </w:tc>
        <w:tc>
          <w:tcPr>
            <w:tcW w:type="dxa" w:w="1361"/>
          </w:tcPr>
          <w:p>
            <w:pPr>
              <w:jc w:val="right"/>
            </w:pPr>
            <w:r/>
            <w:r>
              <w:rPr>
                <w:color w:val="1A1D21"/>
                <w:sz w:val="17"/>
              </w:rPr>
              <w:t>6.08</w:t>
            </w:r>
          </w:p>
        </w:tc>
        <w:tc>
          <w:tcPr>
            <w:tcW w:type="dxa" w:w="1361"/>
          </w:tcPr>
          <w:p>
            <w:pPr>
              <w:jc w:val="right"/>
            </w:pPr>
            <w:r/>
            <w:r>
              <w:rPr>
                <w:color w:val="1A1D21"/>
                <w:sz w:val="17"/>
              </w:rPr>
              <w:t>11.06</w:t>
            </w:r>
          </w:p>
        </w:tc>
        <w:tc>
          <w:tcPr>
            <w:tcW w:type="dxa" w:w="1361"/>
          </w:tcPr>
          <w:p>
            <w:pPr>
              <w:jc w:val="right"/>
            </w:pPr>
            <w:r/>
            <w:r>
              <w:rPr>
                <w:color w:val="1A1D21"/>
                <w:sz w:val="17"/>
              </w:rPr>
              <w:t>25.09</w:t>
            </w:r>
          </w:p>
        </w:tc>
      </w:tr>
    </w:tbl>
    <w:p>
      <w:pPr>
        <w:spacing w:after="80"/>
      </w:pPr>
      <w:r>
        <w:rPr>
          <w:b w:val="0"/>
          <w:i w:val="0"/>
          <w:color w:val="1A1D21"/>
          <w:sz w:val="8"/>
        </w:rPr>
      </w:r>
    </w:p>
    <w:p>
      <w:pPr>
        <w:spacing w:after="140"/>
      </w:pPr>
      <w:r>
        <w:rPr>
          <w:b w:val="0"/>
          <w:i w:val="0"/>
          <w:color w:val="5B6570"/>
          <w:sz w:val="18"/>
        </w:rPr>
        <w:t>Carried forward at 949 units, the average of the last three disclosed years, at a starting price of EGP 25.09 million a unit, the price realised in 2024, escalated with Egyptian inflation.</w:t>
      </w:r>
    </w:p>
    <w:p>
      <w:pPr>
        <w:spacing w:after="140"/>
      </w:pPr>
      <w:r>
        <w:rPr>
          <w:b w:val="0"/>
          <w:i w:val="0"/>
          <w:color w:val="1A1D21"/>
          <w:sz w:val="20"/>
        </w:rPr>
        <w:t>The three regions reconcile to the group total the same release prints: for 2024, 44,570 plus 95,082 plus 11,364 is 151,016, which is the all-regions figure exactly. That reconciliation is checked in code, so a mis-read series fails loudly rather than quietly becoming a price.</w:t>
      </w:r>
    </w:p>
    <w:p>
      <w:pPr>
        <w:spacing w:after="140"/>
      </w:pPr>
      <w:r>
        <w:rPr>
          <w:b w:val="0"/>
          <w:i w:val="0"/>
          <w:color w:val="1A1D21"/>
          <w:sz w:val="20"/>
        </w:rPr>
        <w:t>Revenue is driven by a different quantity from new sales, and the distinction matters. A unit handed over in 2026 was contracted years earlier at that year's price, so revenue per delivered unit sits below the current selling price — EGP 19.73 million against regional prices of EGP 15.70 to 25.09 million. That gap is why the order book keeps building even as deliveries rise, and it is the single clearest fact about how this business converts sales into reported revenue.</w:t>
      </w:r>
    </w:p>
    <w:p>
      <w:pPr>
        <w:spacing w:after="140"/>
      </w:pPr>
      <w:r>
        <w:rPr>
          <w:b w:val="0"/>
          <w:i w:val="0"/>
          <w:color w:val="1A1D21"/>
          <w:sz w:val="20"/>
        </w:rPr>
        <w:t>What is NOT disclosed, and therefore not used: unit mix, average unit size, price per square metre and construction cost per square metre, for any project. The edition of 11 June 2026 carried a full table of those figures across fifteen named projects. None of it is published by the company. It is not reused here, and the forecast is built at the finest level the disclosure actually supports.</w:t>
      </w:r>
    </w:p>
    <w:p>
      <w:pPr>
        <w:pStyle w:val="Heading2"/>
      </w:pPr>
      <w:r>
        <w:t>1.7  The crux</w:t>
      </w:r>
    </w:p>
    <w:p>
      <w:pPr>
        <w:spacing w:after="140"/>
      </w:pPr>
      <w:r>
        <w:rPr>
          <w:b/>
          <w:i w:val="0"/>
          <w:color w:val="1A1D21"/>
          <w:sz w:val="20"/>
        </w:rPr>
        <w:t>How fast do contracted sales become cash?</w:t>
      </w:r>
    </w:p>
    <w:p>
      <w:pPr>
        <w:spacing w:after="140"/>
      </w:pPr>
      <w:r>
        <w:rPr>
          <w:b w:val="0"/>
          <w:i w:val="0"/>
          <w:color w:val="1A1D21"/>
          <w:sz w:val="20"/>
        </w:rPr>
        <w:t>Everything else in this study is secondary to that question. Palm Hills sells off plan on long instalment terms, so a sale signed today produces cash over several years on a schedule the company does not publish — no down-payment percentage, no instalment tenor, no post-handover tail. The edition of 11 June 2026 assumed all three. This edition measures the outcome instead, from the three years in which the company has published a cash-flow statement.</w:t>
      </w:r>
    </w:p>
    <w:tbl>
      <w:tblPr>
        <w:tblStyle w:val="TableGrid"/>
        <w:tblW w:type="auto" w:w="0"/>
        <w:jc w:val="center"/>
        <w:tblLayout w:type="fixed"/>
        <w:tblLook w:firstColumn="1" w:firstRow="1" w:lastColumn="0" w:lastRow="0" w:noHBand="0" w:noVBand="1" w:val="04A0"/>
        <w:tblLayout w:type="fixed"/>
      </w:tblPr>
      <w:tblGrid>
        <w:gridCol w:w="1474"/>
        <w:gridCol w:w="2948"/>
        <w:gridCol w:w="2268"/>
        <w:gridCol w:w="2495"/>
      </w:tblGrid>
      <w:tr>
        <w:trPr>
          <w:tblHeader w:val="true"/>
        </w:trPr>
        <w:tc>
          <w:tcPr>
            <w:tcW w:type="dxa" w:w="1474"/>
          </w:tcPr>
          <w:p>
            <w:r/>
            <w:r>
              <w:rPr>
                <w:b/>
                <w:color w:val="5B6570"/>
                <w:sz w:val="17"/>
              </w:rPr>
              <w:t>Year</w:t>
            </w:r>
          </w:p>
        </w:tc>
        <w:tc>
          <w:tcPr>
            <w:tcW w:type="dxa" w:w="2948"/>
          </w:tcPr>
          <w:p>
            <w:r/>
            <w:r>
              <w:rPr>
                <w:b/>
                <w:color w:val="5B6570"/>
                <w:sz w:val="17"/>
              </w:rPr>
              <w:t>Cash from operations (EGP mn)</w:t>
            </w:r>
          </w:p>
        </w:tc>
        <w:tc>
          <w:tcPr>
            <w:tcW w:type="dxa" w:w="2268"/>
          </w:tcPr>
          <w:p>
            <w:r/>
            <w:r>
              <w:rPr>
                <w:b/>
                <w:color w:val="5B6570"/>
                <w:sz w:val="17"/>
              </w:rPr>
              <w:t>Revenue (EGP mn)</w:t>
            </w:r>
          </w:p>
        </w:tc>
        <w:tc>
          <w:tcPr>
            <w:tcW w:type="dxa" w:w="2494"/>
          </w:tcPr>
          <w:p>
            <w:r/>
            <w:r>
              <w:rPr>
                <w:b/>
                <w:color w:val="5B6570"/>
                <w:sz w:val="17"/>
              </w:rPr>
              <w:t>Cash as a share of revenue</w:t>
            </w:r>
          </w:p>
        </w:tc>
      </w:tr>
      <w:tr>
        <w:trPr>
          <w:cantSplit/>
        </w:trPr>
        <w:tc>
          <w:tcPr>
            <w:tcW w:type="dxa" w:w="1474"/>
          </w:tcPr>
          <w:p>
            <w:r/>
            <w:r>
              <w:rPr>
                <w:color w:val="1A1D21"/>
                <w:sz w:val="17"/>
              </w:rPr>
              <w:t>2023</w:t>
            </w:r>
          </w:p>
        </w:tc>
        <w:tc>
          <w:tcPr>
            <w:tcW w:type="dxa" w:w="2948"/>
          </w:tcPr>
          <w:p>
            <w:pPr>
              <w:jc w:val="right"/>
            </w:pPr>
            <w:r/>
            <w:r>
              <w:rPr>
                <w:color w:val="1A1D21"/>
                <w:sz w:val="17"/>
              </w:rPr>
              <w:t>757</w:t>
            </w:r>
          </w:p>
        </w:tc>
        <w:tc>
          <w:tcPr>
            <w:tcW w:type="dxa" w:w="2268"/>
          </w:tcPr>
          <w:p>
            <w:pPr>
              <w:jc w:val="right"/>
            </w:pPr>
            <w:r/>
            <w:r>
              <w:rPr>
                <w:color w:val="1A1D21"/>
                <w:sz w:val="17"/>
              </w:rPr>
              <w:t>17,462</w:t>
            </w:r>
          </w:p>
        </w:tc>
        <w:tc>
          <w:tcPr>
            <w:tcW w:type="dxa" w:w="2494"/>
          </w:tcPr>
          <w:p>
            <w:pPr>
              <w:jc w:val="right"/>
            </w:pPr>
            <w:r/>
            <w:r>
              <w:rPr>
                <w:color w:val="1A1D21"/>
                <w:sz w:val="17"/>
              </w:rPr>
              <w:t>4.3%</w:t>
            </w:r>
          </w:p>
        </w:tc>
      </w:tr>
      <w:tr>
        <w:trPr>
          <w:cantSplit/>
        </w:trPr>
        <w:tc>
          <w:tcPr>
            <w:tcW w:type="dxa" w:w="1474"/>
          </w:tcPr>
          <w:p>
            <w:r/>
            <w:r>
              <w:rPr>
                <w:color w:val="1A1D21"/>
                <w:sz w:val="17"/>
              </w:rPr>
              <w:t>2024</w:t>
            </w:r>
          </w:p>
        </w:tc>
        <w:tc>
          <w:tcPr>
            <w:tcW w:type="dxa" w:w="2948"/>
          </w:tcPr>
          <w:p>
            <w:pPr>
              <w:jc w:val="right"/>
            </w:pPr>
            <w:r/>
            <w:r>
              <w:rPr>
                <w:color w:val="1A1D21"/>
                <w:sz w:val="17"/>
              </w:rPr>
              <w:t>4,855</w:t>
            </w:r>
          </w:p>
        </w:tc>
        <w:tc>
          <w:tcPr>
            <w:tcW w:type="dxa" w:w="2268"/>
          </w:tcPr>
          <w:p>
            <w:pPr>
              <w:jc w:val="right"/>
            </w:pPr>
            <w:r/>
            <w:r>
              <w:rPr>
                <w:color w:val="1A1D21"/>
                <w:sz w:val="17"/>
              </w:rPr>
              <w:t>27,167</w:t>
            </w:r>
          </w:p>
        </w:tc>
        <w:tc>
          <w:tcPr>
            <w:tcW w:type="dxa" w:w="2494"/>
          </w:tcPr>
          <w:p>
            <w:pPr>
              <w:jc w:val="right"/>
            </w:pPr>
            <w:r/>
            <w:r>
              <w:rPr>
                <w:color w:val="1A1D21"/>
                <w:sz w:val="17"/>
              </w:rPr>
              <w:t>17.9%</w:t>
            </w:r>
          </w:p>
        </w:tc>
      </w:tr>
      <w:tr>
        <w:trPr>
          <w:cantSplit/>
        </w:trPr>
        <w:tc>
          <w:tcPr>
            <w:tcW w:type="dxa" w:w="1474"/>
          </w:tcPr>
          <w:p>
            <w:r/>
            <w:r>
              <w:rPr>
                <w:color w:val="1A1D21"/>
                <w:sz w:val="17"/>
              </w:rPr>
              <w:t>2025</w:t>
            </w:r>
          </w:p>
        </w:tc>
        <w:tc>
          <w:tcPr>
            <w:tcW w:type="dxa" w:w="2948"/>
          </w:tcPr>
          <w:p>
            <w:pPr>
              <w:jc w:val="right"/>
            </w:pPr>
            <w:r/>
            <w:r>
              <w:rPr>
                <w:color w:val="1A1D21"/>
                <w:sz w:val="17"/>
              </w:rPr>
              <w:t>1,424</w:t>
            </w:r>
          </w:p>
        </w:tc>
        <w:tc>
          <w:tcPr>
            <w:tcW w:type="dxa" w:w="2268"/>
          </w:tcPr>
          <w:p>
            <w:pPr>
              <w:jc w:val="right"/>
            </w:pPr>
            <w:r/>
            <w:r>
              <w:rPr>
                <w:color w:val="1A1D21"/>
                <w:sz w:val="17"/>
              </w:rPr>
              <w:t>36,169</w:t>
            </w:r>
          </w:p>
        </w:tc>
        <w:tc>
          <w:tcPr>
            <w:tcW w:type="dxa" w:w="2494"/>
          </w:tcPr>
          <w:p>
            <w:pPr>
              <w:jc w:val="right"/>
            </w:pPr>
            <w:r/>
            <w:r>
              <w:rPr>
                <w:color w:val="1A1D21"/>
                <w:sz w:val="17"/>
              </w:rPr>
              <w:t>3.9%</w:t>
            </w:r>
          </w:p>
        </w:tc>
      </w:tr>
    </w:tbl>
    <w:p>
      <w:pPr>
        <w:spacing w:after="200"/>
      </w:pPr>
      <w:r>
        <w:rPr>
          <w:b w:val="0"/>
          <w:i/>
          <w:color w:val="5B6570"/>
          <w:sz w:val="16"/>
        </w:rPr>
        <w:t>The 2024 figure is the one in the audited statements. The company's own results release for that year reported EGP 3,132 million and the figure was later restated; the audited number is used.</w:t>
      </w:r>
    </w:p>
    <w:p>
      <w:pPr>
        <w:spacing w:after="140"/>
      </w:pPr>
      <w:r>
        <w:rPr>
          <w:b w:val="0"/>
          <w:i w:val="0"/>
          <w:color w:val="1A1D21"/>
          <w:sz w:val="20"/>
        </w:rPr>
        <w:t>A spread of 3.9% to 17.9% over three consecutive years is not noise around a stable rate — it is the absence of a stable rate. Until the company discloses its collection terms, or until more years accumulate, this is the honest width of the answer.</w:t>
      </w:r>
    </w:p>
    <w:p>
      <w:pPr>
        <w:pStyle w:val="Heading2"/>
      </w:pPr>
      <w:r>
        <w:t>1.8  Macro, country risk and the cost of capital</w:t>
      </w:r>
    </w:p>
    <w:p>
      <w:pPr>
        <w:spacing w:after="140"/>
      </w:pPr>
      <w:r>
        <w:rPr>
          <w:b w:val="0"/>
          <w:i w:val="0"/>
          <w:color w:val="1A1D21"/>
          <w:sz w:val="20"/>
        </w:rPr>
        <w:t>The edition of 11 June 2026 discounted at 18%. Egypt's ten-year government bond yields 23.00%. A discount rate below the sovereign yield prices this company as safer than the government that taxes it, which cannot be right, and it is not a real-versus-nominal mismatch: that edition escalated selling prices at 14 per cent a year, so its cash flows were in nominal pounds throughout.</w:t>
      </w:r>
    </w:p>
    <w:tbl>
      <w:tblPr>
        <w:tblStyle w:val="TableGrid"/>
        <w:tblW w:type="auto" w:w="0"/>
        <w:jc w:val="center"/>
        <w:tblLayout w:type="fixed"/>
        <w:tblLook w:firstColumn="1" w:firstRow="1" w:lastColumn="0" w:lastRow="0" w:noHBand="0" w:noVBand="1" w:val="04A0"/>
        <w:tblLayout w:type="fixed"/>
      </w:tblPr>
      <w:tblGrid>
        <w:gridCol w:w="3969"/>
        <w:gridCol w:w="2608"/>
        <w:gridCol w:w="2608"/>
      </w:tblGrid>
      <w:tr>
        <w:trPr>
          <w:tblHeader w:val="true"/>
        </w:trPr>
        <w:tc>
          <w:tcPr>
            <w:tcW w:type="dxa" w:w="3969"/>
          </w:tcPr>
          <w:p>
            <w:r/>
            <w:r>
              <w:rPr>
                <w:b/>
                <w:color w:val="5B6570"/>
                <w:sz w:val="17"/>
              </w:rPr>
              <w:t>Cost of capital</w:t>
            </w:r>
          </w:p>
        </w:tc>
        <w:tc>
          <w:tcPr>
            <w:tcW w:type="dxa" w:w="2608"/>
          </w:tcPr>
          <w:p>
            <w:r/>
            <w:r>
              <w:rPr>
                <w:b/>
                <w:color w:val="5B6570"/>
                <w:sz w:val="17"/>
              </w:rPr>
              <w:t>On the credit-rating basis</w:t>
            </w:r>
          </w:p>
        </w:tc>
        <w:tc>
          <w:tcPr>
            <w:tcW w:type="dxa" w:w="2608"/>
          </w:tcPr>
          <w:p>
            <w:r/>
            <w:r>
              <w:rPr>
                <w:b/>
                <w:color w:val="5B6570"/>
                <w:sz w:val="17"/>
              </w:rPr>
              <w:t>On the credit-default-swap basis</w:t>
            </w:r>
          </w:p>
        </w:tc>
      </w:tr>
      <w:tr>
        <w:trPr>
          <w:cantSplit/>
        </w:trPr>
        <w:tc>
          <w:tcPr>
            <w:tcW w:type="dxa" w:w="3969"/>
          </w:tcPr>
          <w:p>
            <w:r/>
            <w:r>
              <w:rPr>
                <w:color w:val="1A1D21"/>
                <w:sz w:val="17"/>
              </w:rPr>
              <w:t>Egyptian ten-year government bond yield</w:t>
            </w:r>
          </w:p>
        </w:tc>
        <w:tc>
          <w:tcPr>
            <w:tcW w:type="dxa" w:w="2608"/>
          </w:tcPr>
          <w:p>
            <w:pPr>
              <w:jc w:val="right"/>
            </w:pPr>
            <w:r/>
            <w:r>
              <w:rPr>
                <w:color w:val="1A1D21"/>
                <w:sz w:val="17"/>
              </w:rPr>
              <w:t>23.00%</w:t>
            </w:r>
          </w:p>
        </w:tc>
        <w:tc>
          <w:tcPr>
            <w:tcW w:type="dxa" w:w="2608"/>
          </w:tcPr>
          <w:p>
            <w:pPr>
              <w:jc w:val="right"/>
            </w:pPr>
            <w:r/>
            <w:r>
              <w:rPr>
                <w:color w:val="1A1D21"/>
                <w:sz w:val="17"/>
              </w:rPr>
              <w:t>23.00%</w:t>
            </w:r>
          </w:p>
        </w:tc>
      </w:tr>
      <w:tr>
        <w:trPr>
          <w:cantSplit/>
        </w:trPr>
        <w:tc>
          <w:tcPr>
            <w:tcW w:type="dxa" w:w="3969"/>
          </w:tcPr>
          <w:p>
            <w:r/>
            <w:r>
              <w:rPr>
                <w:color w:val="1A1D21"/>
                <w:sz w:val="17"/>
              </w:rPr>
              <w:t>less Egypt's own sovereign default spread</w:t>
            </w:r>
          </w:p>
        </w:tc>
        <w:tc>
          <w:tcPr>
            <w:tcW w:type="dxa" w:w="2608"/>
          </w:tcPr>
          <w:p>
            <w:pPr>
              <w:jc w:val="right"/>
            </w:pPr>
            <w:r/>
            <w:r>
              <w:rPr>
                <w:color w:val="1A1D21"/>
                <w:sz w:val="17"/>
              </w:rPr>
              <w:t>6.37%</w:t>
            </w:r>
          </w:p>
        </w:tc>
        <w:tc>
          <w:tcPr>
            <w:tcW w:type="dxa" w:w="2608"/>
          </w:tcPr>
          <w:p>
            <w:pPr>
              <w:jc w:val="right"/>
            </w:pPr>
            <w:r/>
            <w:r>
              <w:rPr>
                <w:color w:val="1A1D21"/>
                <w:sz w:val="17"/>
              </w:rPr>
              <w:t>3.41%</w:t>
            </w:r>
          </w:p>
        </w:tc>
      </w:tr>
      <w:tr>
        <w:trPr>
          <w:cantSplit/>
        </w:trPr>
        <w:tc>
          <w:tcPr>
            <w:tcW w:type="dxa" w:w="3969"/>
          </w:tcPr>
          <w:p>
            <w:r/>
            <w:r>
              <w:rPr>
                <w:color w:val="1A1D21"/>
                <w:sz w:val="17"/>
              </w:rPr>
              <w:t>Normalised risk-free rate</w:t>
            </w:r>
          </w:p>
        </w:tc>
        <w:tc>
          <w:tcPr>
            <w:tcW w:type="dxa" w:w="2608"/>
          </w:tcPr>
          <w:p>
            <w:pPr>
              <w:jc w:val="right"/>
            </w:pPr>
            <w:r/>
            <w:r>
              <w:rPr>
                <w:color w:val="1A1D21"/>
                <w:sz w:val="17"/>
              </w:rPr>
              <w:t>16.63%</w:t>
            </w:r>
          </w:p>
        </w:tc>
        <w:tc>
          <w:tcPr>
            <w:tcW w:type="dxa" w:w="2608"/>
          </w:tcPr>
          <w:p>
            <w:pPr>
              <w:jc w:val="right"/>
            </w:pPr>
            <w:r/>
            <w:r>
              <w:rPr>
                <w:color w:val="1A1D21"/>
                <w:sz w:val="17"/>
              </w:rPr>
              <w:t>19.59%</w:t>
            </w:r>
          </w:p>
        </w:tc>
      </w:tr>
      <w:tr>
        <w:trPr>
          <w:cantSplit/>
        </w:trPr>
        <w:tc>
          <w:tcPr>
            <w:tcW w:type="dxa" w:w="3969"/>
          </w:tcPr>
          <w:p>
            <w:r/>
            <w:r>
              <w:rPr>
                <w:color w:val="1A1D21"/>
                <w:sz w:val="17"/>
              </w:rPr>
              <w:t>Equity risk premium for Egypt</w:t>
            </w:r>
          </w:p>
        </w:tc>
        <w:tc>
          <w:tcPr>
            <w:tcW w:type="dxa" w:w="2608"/>
          </w:tcPr>
          <w:p>
            <w:pPr>
              <w:jc w:val="right"/>
            </w:pPr>
            <w:r/>
            <w:r>
              <w:rPr>
                <w:color w:val="1A1D21"/>
                <w:sz w:val="17"/>
              </w:rPr>
              <w:t>13.94%</w:t>
            </w:r>
          </w:p>
        </w:tc>
        <w:tc>
          <w:tcPr>
            <w:tcW w:type="dxa" w:w="2608"/>
          </w:tcPr>
          <w:p>
            <w:pPr>
              <w:jc w:val="right"/>
            </w:pPr>
            <w:r/>
            <w:r>
              <w:rPr>
                <w:color w:val="1A1D21"/>
                <w:sz w:val="17"/>
              </w:rPr>
              <w:t>9.41%</w:t>
            </w:r>
          </w:p>
        </w:tc>
      </w:tr>
      <w:tr>
        <w:trPr>
          <w:cantSplit/>
        </w:trPr>
        <w:tc>
          <w:tcPr>
            <w:tcW w:type="dxa" w:w="3969"/>
          </w:tcPr>
          <w:p>
            <w:r/>
            <w:r>
              <w:rPr>
                <w:color w:val="1A1D21"/>
                <w:sz w:val="17"/>
              </w:rPr>
              <w:t>Beta</w:t>
            </w:r>
          </w:p>
        </w:tc>
        <w:tc>
          <w:tcPr>
            <w:tcW w:type="dxa" w:w="2608"/>
          </w:tcPr>
          <w:p>
            <w:pPr>
              <w:jc w:val="right"/>
            </w:pPr>
            <w:r/>
            <w:r>
              <w:rPr>
                <w:color w:val="1A1D21"/>
                <w:sz w:val="17"/>
              </w:rPr>
              <w:t>1.0481</w:t>
            </w:r>
          </w:p>
        </w:tc>
        <w:tc>
          <w:tcPr>
            <w:tcW w:type="dxa" w:w="2608"/>
          </w:tcPr>
          <w:p>
            <w:pPr>
              <w:jc w:val="right"/>
            </w:pPr>
            <w:r/>
            <w:r>
              <w:rPr>
                <w:color w:val="1A1D21"/>
                <w:sz w:val="17"/>
              </w:rPr>
              <w:t>1.0481</w:t>
            </w:r>
          </w:p>
        </w:tc>
      </w:tr>
      <w:tr>
        <w:trPr>
          <w:cantSplit/>
        </w:trPr>
        <w:tc>
          <w:tcPr>
            <w:tcW w:type="dxa" w:w="3969"/>
          </w:tcPr>
          <w:p>
            <w:r/>
            <w:r>
              <w:rPr>
                <w:color w:val="1A1D21"/>
                <w:sz w:val="17"/>
              </w:rPr>
              <w:t>Cost of equity</w:t>
            </w:r>
          </w:p>
        </w:tc>
        <w:tc>
          <w:tcPr>
            <w:tcW w:type="dxa" w:w="2608"/>
          </w:tcPr>
          <w:p>
            <w:pPr>
              <w:jc w:val="right"/>
            </w:pPr>
            <w:r/>
            <w:r>
              <w:rPr>
                <w:color w:val="1A1D21"/>
                <w:sz w:val="17"/>
              </w:rPr>
              <w:t>30.77%</w:t>
            </w:r>
          </w:p>
        </w:tc>
        <w:tc>
          <w:tcPr>
            <w:tcW w:type="dxa" w:w="2608"/>
          </w:tcPr>
          <w:p>
            <w:pPr>
              <w:jc w:val="right"/>
            </w:pPr>
            <w:r/>
            <w:r>
              <w:rPr>
                <w:color w:val="1A1D21"/>
                <w:sz w:val="17"/>
              </w:rPr>
              <w:t>29.20%</w:t>
            </w:r>
          </w:p>
        </w:tc>
      </w:tr>
      <w:tr>
        <w:trPr>
          <w:cantSplit/>
        </w:trPr>
        <w:tc>
          <w:tcPr>
            <w:tcW w:type="dxa" w:w="3969"/>
          </w:tcPr>
          <w:p>
            <w:r/>
            <w:r>
              <w:rPr>
                <w:color w:val="1A1D21"/>
                <w:sz w:val="17"/>
              </w:rPr>
              <w:t>Cost of debt before tax</w:t>
            </w:r>
          </w:p>
        </w:tc>
        <w:tc>
          <w:tcPr>
            <w:tcW w:type="dxa" w:w="2608"/>
          </w:tcPr>
          <w:p>
            <w:pPr>
              <w:jc w:val="right"/>
            </w:pPr>
            <w:r/>
            <w:r>
              <w:rPr>
                <w:color w:val="1A1D21"/>
                <w:sz w:val="17"/>
              </w:rPr>
              <w:t>25.50%</w:t>
            </w:r>
          </w:p>
        </w:tc>
        <w:tc>
          <w:tcPr>
            <w:tcW w:type="dxa" w:w="2608"/>
          </w:tcPr>
          <w:p>
            <w:pPr>
              <w:jc w:val="right"/>
            </w:pPr>
            <w:r/>
            <w:r>
              <w:rPr>
                <w:color w:val="1A1D21"/>
                <w:sz w:val="17"/>
              </w:rPr>
              <w:t>25.50%</w:t>
            </w:r>
          </w:p>
        </w:tc>
      </w:tr>
      <w:tr>
        <w:trPr>
          <w:cantSplit/>
        </w:trPr>
        <w:tc>
          <w:tcPr>
            <w:tcW w:type="dxa" w:w="3969"/>
          </w:tcPr>
          <w:p>
            <w:r/>
            <w:r>
              <w:rPr>
                <w:color w:val="1A1D21"/>
                <w:sz w:val="17"/>
              </w:rPr>
              <w:t>Cost of debt after tax at 22.5%</w:t>
            </w:r>
          </w:p>
        </w:tc>
        <w:tc>
          <w:tcPr>
            <w:tcW w:type="dxa" w:w="2608"/>
          </w:tcPr>
          <w:p>
            <w:pPr>
              <w:jc w:val="right"/>
            </w:pPr>
            <w:r/>
            <w:r>
              <w:rPr>
                <w:color w:val="1A1D21"/>
                <w:sz w:val="17"/>
              </w:rPr>
              <w:t>19.76%</w:t>
            </w:r>
          </w:p>
        </w:tc>
        <w:tc>
          <w:tcPr>
            <w:tcW w:type="dxa" w:w="2608"/>
          </w:tcPr>
          <w:p>
            <w:pPr>
              <w:jc w:val="right"/>
            </w:pPr>
            <w:r/>
            <w:r>
              <w:rPr>
                <w:color w:val="1A1D21"/>
                <w:sz w:val="17"/>
              </w:rPr>
              <w:t>19.76%</w:t>
            </w:r>
          </w:p>
        </w:tc>
      </w:tr>
      <w:tr>
        <w:trPr>
          <w:cantSplit/>
        </w:trPr>
        <w:tc>
          <w:tcPr>
            <w:tcW w:type="dxa" w:w="3969"/>
          </w:tcPr>
          <w:p>
            <w:r/>
            <w:r>
              <w:rPr>
                <w:color w:val="1A1D21"/>
                <w:sz w:val="17"/>
              </w:rPr>
              <w:t>Equity weight at market value</w:t>
            </w:r>
          </w:p>
        </w:tc>
        <w:tc>
          <w:tcPr>
            <w:tcW w:type="dxa" w:w="2608"/>
          </w:tcPr>
          <w:p>
            <w:pPr>
              <w:jc w:val="right"/>
            </w:pPr>
            <w:r/>
            <w:r>
              <w:rPr>
                <w:color w:val="1A1D21"/>
                <w:sz w:val="17"/>
              </w:rPr>
              <w:t>55.1%</w:t>
            </w:r>
          </w:p>
        </w:tc>
        <w:tc>
          <w:tcPr>
            <w:tcW w:type="dxa" w:w="2608"/>
          </w:tcPr>
          <w:p>
            <w:pPr>
              <w:jc w:val="right"/>
            </w:pPr>
            <w:r/>
            <w:r>
              <w:rPr>
                <w:color w:val="1A1D21"/>
                <w:sz w:val="17"/>
              </w:rPr>
              <w:t>55.1%</w:t>
            </w:r>
          </w:p>
        </w:tc>
      </w:tr>
      <w:tr>
        <w:trPr>
          <w:cantSplit/>
        </w:trPr>
        <w:tc>
          <w:tcPr>
            <w:tcW w:type="dxa" w:w="3969"/>
          </w:tcPr>
          <w:p>
            <w:r/>
            <w:r>
              <w:rPr>
                <w:color w:val="1A1D21"/>
                <w:sz w:val="17"/>
              </w:rPr>
              <w:t>Debt weight</w:t>
            </w:r>
          </w:p>
        </w:tc>
        <w:tc>
          <w:tcPr>
            <w:tcW w:type="dxa" w:w="2608"/>
          </w:tcPr>
          <w:p>
            <w:pPr>
              <w:jc w:val="right"/>
            </w:pPr>
            <w:r/>
            <w:r>
              <w:rPr>
                <w:color w:val="1A1D21"/>
                <w:sz w:val="17"/>
              </w:rPr>
              <w:t>44.9%</w:t>
            </w:r>
          </w:p>
        </w:tc>
        <w:tc>
          <w:tcPr>
            <w:tcW w:type="dxa" w:w="2608"/>
          </w:tcPr>
          <w:p>
            <w:pPr>
              <w:jc w:val="right"/>
            </w:pPr>
            <w:r/>
            <w:r>
              <w:rPr>
                <w:color w:val="1A1D21"/>
                <w:sz w:val="17"/>
              </w:rPr>
              <w:t>44.9%</w:t>
            </w:r>
          </w:p>
        </w:tc>
      </w:tr>
      <w:tr>
        <w:trPr>
          <w:cantSplit/>
        </w:trPr>
        <w:tc>
          <w:tcPr>
            <w:tcW w:type="dxa" w:w="3969"/>
          </w:tcPr>
          <w:p>
            <w:r/>
            <w:r>
              <w:rPr>
                <w:color w:val="1A1D21"/>
                <w:sz w:val="17"/>
              </w:rPr>
              <w:t>Weighted average cost of capital</w:t>
            </w:r>
          </w:p>
        </w:tc>
        <w:tc>
          <w:tcPr>
            <w:tcW w:type="dxa" w:w="2608"/>
          </w:tcPr>
          <w:p>
            <w:pPr>
              <w:jc w:val="right"/>
            </w:pPr>
            <w:r/>
            <w:r>
              <w:rPr>
                <w:color w:val="1A1D21"/>
                <w:sz w:val="17"/>
              </w:rPr>
              <w:t>25.83%</w:t>
            </w:r>
          </w:p>
        </w:tc>
        <w:tc>
          <w:tcPr>
            <w:tcW w:type="dxa" w:w="2608"/>
          </w:tcPr>
          <w:p>
            <w:r/>
            <w:r>
              <w:rPr>
                <w:color w:val="1A1D21"/>
                <w:sz w:val="17"/>
              </w:rPr>
              <w:t>24.96%  ← ADOPTED</w:t>
            </w:r>
          </w:p>
        </w:tc>
      </w:tr>
    </w:tbl>
    <w:p>
      <w:pPr>
        <w:spacing w:after="200"/>
      </w:pPr>
      <w:r>
        <w:rPr>
          <w:b w:val="0"/>
          <w:i/>
          <w:color w:val="5B6570"/>
          <w:sz w:val="16"/>
        </w:rPr>
        <w:t>Country risk is counted once, inside the equity risk premium, and the government bond yield is reduced by Egypt's own default spread on the matching basis before that premium is added. Both bases are published because both are defensible and they differ by about a point.</w:t>
      </w:r>
    </w:p>
    <w:p>
      <w:pPr>
        <w:spacing w:after="140"/>
      </w:pPr>
      <w:r>
        <w:rPr>
          <w:b w:val="0"/>
          <w:i w:val="0"/>
          <w:color w:val="1A1D21"/>
          <w:sz w:val="20"/>
        </w:rPr>
        <w:t>The beta is measured on Palm Hills' own weekly price history against the EGX30 index over 4.94 years: 1.0481, with a standard error of 0.1808, an R-squared of 30.0% and 256 weekly observations. A cross-check adjustment toward the market gives 1.0320. Appendix B shows the same measurement for every listed Egyptian developer.</w:t>
      </w:r>
    </w:p>
    <w:p>
      <w:pPr>
        <w:spacing w:after="140"/>
      </w:pPr>
      <w:r>
        <w:rPr>
          <w:b w:val="0"/>
          <w:i w:val="0"/>
          <w:color w:val="1A1D21"/>
          <w:sz w:val="20"/>
        </w:rPr>
        <w:t>The cost of debt is the one cost-of-capital input in this study that is not sourced, and it is flagged. The right anchor exists: the company closed an EGP 2,015 million securitisation on 4 February 2026, the first draw on a newly approved EGP 30 billion programme, in four tranches of 13, 36, 60 and 84 months rated AA+, AA, A+ and A- on the Egyptian national scale. No coupon is published for any tranche. The cost of debt is therefore built as the sovereign yield plus a 250 basis point corporate spread, which puts it above the sovereign as it must be. The accounting rate is deliberately not used: EGP 3,348 million of finance cost on average gross borrowings of about EGP 26,700 million implies 12.5 per cent, far below the sovereign, because much of the balance does not bear interest and part of the charge is capitalised into work in progress.</w:t>
      </w:r>
    </w:p>
    <w:p>
      <w:pPr>
        <w:pStyle w:val="Heading2"/>
      </w:pPr>
      <w:r>
        <w:t>1.9  Sensitivity</w:t>
      </w:r>
    </w:p>
    <w:p>
      <w:pPr>
        <w:spacing w:after="140"/>
      </w:pPr>
      <w:r>
        <w:rPr>
          <w:b w:val="0"/>
          <w:i w:val="0"/>
          <w:color w:val="1A1D21"/>
          <w:sz w:val="20"/>
        </w:rPr>
        <w:t>The table below prices the crux against the discount rate. Read it down a column rather than across a row. Moving the discount rate across the whole 800 basis points of the 11 June 2026 edition's error is worth EGP 38.03 a share on the three-year-mean row — MORE than either single step between observed conversion years (EGP 13.44 and EGP 25.76), and less than the full observed range of conversion itself, which is worth EGP 39.20. The crux is the conversion rate, but only across its whole observed spread; one year to the next moves value less than the discount rate does.</w:t>
      </w:r>
    </w:p>
    <w:tbl>
      <w:tblPr>
        <w:tblStyle w:val="TableGrid"/>
        <w:tblW w:type="auto" w:w="0"/>
        <w:jc w:val="center"/>
        <w:tblLayout w:type="fixed"/>
        <w:tblLook w:firstColumn="1" w:firstRow="1" w:lastColumn="0" w:lastRow="0" w:noHBand="0" w:noVBand="1" w:val="04A0"/>
        <w:tblLayout w:type="fixed"/>
      </w:tblPr>
      <w:tblGrid>
        <w:gridCol w:w="2495"/>
        <w:gridCol w:w="1361"/>
        <w:gridCol w:w="1361"/>
        <w:gridCol w:w="1361"/>
        <w:gridCol w:w="1361"/>
        <w:gridCol w:w="1361"/>
      </w:tblGrid>
      <w:tr>
        <w:trPr>
          <w:tblHeader w:val="true"/>
        </w:trPr>
        <w:tc>
          <w:tcPr>
            <w:tcW w:type="dxa" w:w="2494"/>
          </w:tcPr>
          <w:p>
            <w:r/>
            <w:r>
              <w:rPr>
                <w:b/>
                <w:color w:val="5B6570"/>
                <w:sz w:val="17"/>
              </w:rPr>
              <w:t>Cash conversion</w:t>
            </w:r>
          </w:p>
        </w:tc>
        <w:tc>
          <w:tcPr>
            <w:tcW w:type="dxa" w:w="1361"/>
          </w:tcPr>
          <w:p>
            <w:r/>
            <w:r>
              <w:rPr>
                <w:b/>
                <w:color w:val="5B6570"/>
                <w:sz w:val="17"/>
              </w:rPr>
              <w:t>20.96%</w:t>
            </w:r>
          </w:p>
        </w:tc>
        <w:tc>
          <w:tcPr>
            <w:tcW w:type="dxa" w:w="1361"/>
          </w:tcPr>
          <w:p>
            <w:r/>
            <w:r>
              <w:rPr>
                <w:b/>
                <w:color w:val="5B6570"/>
                <w:sz w:val="17"/>
              </w:rPr>
              <w:t>22.96%</w:t>
            </w:r>
          </w:p>
        </w:tc>
        <w:tc>
          <w:tcPr>
            <w:tcW w:type="dxa" w:w="1361"/>
          </w:tcPr>
          <w:p>
            <w:r/>
            <w:r>
              <w:rPr>
                <w:b/>
                <w:color w:val="5B6570"/>
                <w:sz w:val="17"/>
              </w:rPr>
              <w:t>24.96%</w:t>
            </w:r>
          </w:p>
        </w:tc>
        <w:tc>
          <w:tcPr>
            <w:tcW w:type="dxa" w:w="1361"/>
          </w:tcPr>
          <w:p>
            <w:r/>
            <w:r>
              <w:rPr>
                <w:b/>
                <w:color w:val="5B6570"/>
                <w:sz w:val="17"/>
              </w:rPr>
              <w:t>26.96%</w:t>
            </w:r>
          </w:p>
        </w:tc>
        <w:tc>
          <w:tcPr>
            <w:tcW w:type="dxa" w:w="1361"/>
          </w:tcPr>
          <w:p>
            <w:r/>
            <w:r>
              <w:rPr>
                <w:b/>
                <w:color w:val="5B6570"/>
                <w:sz w:val="17"/>
              </w:rPr>
              <w:t>28.96%</w:t>
            </w:r>
          </w:p>
        </w:tc>
      </w:tr>
      <w:tr>
        <w:trPr>
          <w:cantSplit/>
        </w:trPr>
        <w:tc>
          <w:tcPr>
            <w:tcW w:type="dxa" w:w="2494"/>
          </w:tcPr>
          <w:p>
            <w:r/>
            <w:r>
              <w:rPr>
                <w:color w:val="1A1D21"/>
                <w:sz w:val="17"/>
              </w:rPr>
              <w:t>3.9%</w:t>
            </w:r>
          </w:p>
        </w:tc>
        <w:tc>
          <w:tcPr>
            <w:tcW w:type="dxa" w:w="1361"/>
          </w:tcPr>
          <w:p>
            <w:pPr>
              <w:jc w:val="right"/>
            </w:pPr>
            <w:r/>
            <w:r>
              <w:rPr>
                <w:color w:val="1A1D21"/>
                <w:sz w:val="17"/>
              </w:rPr>
              <w:t>20.90</w:t>
            </w:r>
          </w:p>
        </w:tc>
        <w:tc>
          <w:tcPr>
            <w:tcW w:type="dxa" w:w="1361"/>
          </w:tcPr>
          <w:p>
            <w:pPr>
              <w:jc w:val="right"/>
            </w:pPr>
            <w:r/>
            <w:r>
              <w:rPr>
                <w:color w:val="1A1D21"/>
                <w:sz w:val="17"/>
              </w:rPr>
              <w:t>12.08</w:t>
            </w:r>
          </w:p>
        </w:tc>
        <w:tc>
          <w:tcPr>
            <w:tcW w:type="dxa" w:w="1361"/>
          </w:tcPr>
          <w:p>
            <w:pPr>
              <w:jc w:val="right"/>
            </w:pPr>
            <w:r/>
            <w:r>
              <w:rPr>
                <w:color w:val="1A1D21"/>
                <w:sz w:val="17"/>
              </w:rPr>
              <w:t>7.65</w:t>
            </w:r>
          </w:p>
        </w:tc>
        <w:tc>
          <w:tcPr>
            <w:tcW w:type="dxa" w:w="1361"/>
          </w:tcPr>
          <w:p>
            <w:pPr>
              <w:jc w:val="right"/>
            </w:pPr>
            <w:r/>
            <w:r>
              <w:rPr>
                <w:color w:val="1A1D21"/>
                <w:sz w:val="17"/>
              </w:rPr>
              <w:t>4.98</w:t>
            </w:r>
          </w:p>
        </w:tc>
        <w:tc>
          <w:tcPr>
            <w:tcW w:type="dxa" w:w="1361"/>
          </w:tcPr>
          <w:p>
            <w:pPr>
              <w:jc w:val="right"/>
            </w:pPr>
            <w:r/>
            <w:r>
              <w:rPr>
                <w:color w:val="1A1D21"/>
                <w:sz w:val="17"/>
              </w:rPr>
              <w:t>3.19</w:t>
            </w:r>
          </w:p>
        </w:tc>
      </w:tr>
      <w:tr>
        <w:trPr>
          <w:cantSplit/>
        </w:trPr>
        <w:tc>
          <w:tcPr>
            <w:tcW w:type="dxa" w:w="2494"/>
          </w:tcPr>
          <w:p>
            <w:r/>
            <w:r>
              <w:rPr>
                <w:color w:val="1A1D21"/>
                <w:sz w:val="17"/>
              </w:rPr>
              <w:t>6.0%</w:t>
            </w:r>
          </w:p>
        </w:tc>
        <w:tc>
          <w:tcPr>
            <w:tcW w:type="dxa" w:w="1361"/>
          </w:tcPr>
          <w:p>
            <w:pPr>
              <w:jc w:val="right"/>
            </w:pPr>
            <w:r/>
            <w:r>
              <w:rPr>
                <w:color w:val="1A1D21"/>
                <w:sz w:val="17"/>
              </w:rPr>
              <w:t>33.33</w:t>
            </w:r>
          </w:p>
        </w:tc>
        <w:tc>
          <w:tcPr>
            <w:tcW w:type="dxa" w:w="1361"/>
          </w:tcPr>
          <w:p>
            <w:pPr>
              <w:jc w:val="right"/>
            </w:pPr>
            <w:r/>
            <w:r>
              <w:rPr>
                <w:color w:val="1A1D21"/>
                <w:sz w:val="17"/>
              </w:rPr>
              <w:t>20.07</w:t>
            </w:r>
          </w:p>
        </w:tc>
        <w:tc>
          <w:tcPr>
            <w:tcW w:type="dxa" w:w="1361"/>
          </w:tcPr>
          <w:p>
            <w:pPr>
              <w:jc w:val="right"/>
            </w:pPr>
            <w:r/>
            <w:r>
              <w:rPr>
                <w:color w:val="1A1D21"/>
                <w:sz w:val="17"/>
              </w:rPr>
              <w:t>13.45</w:t>
            </w:r>
          </w:p>
        </w:tc>
        <w:tc>
          <w:tcPr>
            <w:tcW w:type="dxa" w:w="1361"/>
          </w:tcPr>
          <w:p>
            <w:pPr>
              <w:jc w:val="right"/>
            </w:pPr>
            <w:r/>
            <w:r>
              <w:rPr>
                <w:color w:val="1A1D21"/>
                <w:sz w:val="17"/>
              </w:rPr>
              <w:t>9.49</w:t>
            </w:r>
          </w:p>
        </w:tc>
        <w:tc>
          <w:tcPr>
            <w:tcW w:type="dxa" w:w="1361"/>
          </w:tcPr>
          <w:p>
            <w:pPr>
              <w:jc w:val="right"/>
            </w:pPr>
            <w:r/>
            <w:r>
              <w:rPr>
                <w:color w:val="1A1D21"/>
                <w:sz w:val="17"/>
              </w:rPr>
              <w:t>6.85</w:t>
            </w:r>
          </w:p>
        </w:tc>
      </w:tr>
      <w:tr>
        <w:trPr>
          <w:cantSplit/>
        </w:trPr>
        <w:tc>
          <w:tcPr>
            <w:tcW w:type="dxa" w:w="2494"/>
          </w:tcPr>
          <w:p>
            <w:r/>
            <w:r>
              <w:rPr>
                <w:color w:val="1A1D21"/>
                <w:sz w:val="17"/>
              </w:rPr>
              <w:t>8.7%</w:t>
            </w:r>
          </w:p>
        </w:tc>
        <w:tc>
          <w:tcPr>
            <w:tcW w:type="dxa" w:w="1361"/>
          </w:tcPr>
          <w:p>
            <w:pPr>
              <w:jc w:val="right"/>
            </w:pPr>
            <w:r/>
            <w:r>
              <w:rPr>
                <w:color w:val="1A1D21"/>
                <w:sz w:val="17"/>
              </w:rPr>
              <w:t>49.69</w:t>
            </w:r>
          </w:p>
        </w:tc>
        <w:tc>
          <w:tcPr>
            <w:tcW w:type="dxa" w:w="1361"/>
          </w:tcPr>
          <w:p>
            <w:pPr>
              <w:jc w:val="right"/>
            </w:pPr>
            <w:r/>
            <w:r>
              <w:rPr>
                <w:color w:val="1A1D21"/>
                <w:sz w:val="17"/>
              </w:rPr>
              <w:t>30.59</w:t>
            </w:r>
          </w:p>
        </w:tc>
        <w:tc>
          <w:tcPr>
            <w:tcW w:type="dxa" w:w="1361"/>
          </w:tcPr>
          <w:p>
            <w:pPr>
              <w:jc w:val="right"/>
            </w:pPr>
            <w:r/>
            <w:r>
              <w:rPr>
                <w:color w:val="1A1D21"/>
                <w:sz w:val="17"/>
              </w:rPr>
              <w:t>21.09</w:t>
            </w:r>
          </w:p>
        </w:tc>
        <w:tc>
          <w:tcPr>
            <w:tcW w:type="dxa" w:w="1361"/>
          </w:tcPr>
          <w:p>
            <w:pPr>
              <w:jc w:val="right"/>
            </w:pPr>
            <w:r/>
            <w:r>
              <w:rPr>
                <w:color w:val="1A1D21"/>
                <w:sz w:val="17"/>
              </w:rPr>
              <w:t>15.42</w:t>
            </w:r>
          </w:p>
        </w:tc>
        <w:tc>
          <w:tcPr>
            <w:tcW w:type="dxa" w:w="1361"/>
          </w:tcPr>
          <w:p>
            <w:pPr>
              <w:jc w:val="right"/>
            </w:pPr>
            <w:r/>
            <w:r>
              <w:rPr>
                <w:color w:val="1A1D21"/>
                <w:sz w:val="17"/>
              </w:rPr>
              <w:t>11.66</w:t>
            </w:r>
          </w:p>
        </w:tc>
      </w:tr>
      <w:tr>
        <w:trPr>
          <w:cantSplit/>
        </w:trPr>
        <w:tc>
          <w:tcPr>
            <w:tcW w:type="dxa" w:w="2494"/>
          </w:tcPr>
          <w:p>
            <w:r/>
            <w:r>
              <w:rPr>
                <w:color w:val="1A1D21"/>
                <w:sz w:val="17"/>
              </w:rPr>
              <w:t>12.0%</w:t>
            </w:r>
          </w:p>
        </w:tc>
        <w:tc>
          <w:tcPr>
            <w:tcW w:type="dxa" w:w="1361"/>
          </w:tcPr>
          <w:p>
            <w:pPr>
              <w:jc w:val="right"/>
            </w:pPr>
            <w:r/>
            <w:r>
              <w:rPr>
                <w:color w:val="1A1D21"/>
                <w:sz w:val="17"/>
              </w:rPr>
              <w:t>69.50</w:t>
            </w:r>
          </w:p>
        </w:tc>
        <w:tc>
          <w:tcPr>
            <w:tcW w:type="dxa" w:w="1361"/>
          </w:tcPr>
          <w:p>
            <w:pPr>
              <w:jc w:val="right"/>
            </w:pPr>
            <w:r/>
            <w:r>
              <w:rPr>
                <w:color w:val="1A1D21"/>
                <w:sz w:val="17"/>
              </w:rPr>
              <w:t>43.32</w:t>
            </w:r>
          </w:p>
        </w:tc>
        <w:tc>
          <w:tcPr>
            <w:tcW w:type="dxa" w:w="1361"/>
          </w:tcPr>
          <w:p>
            <w:pPr>
              <w:jc w:val="right"/>
            </w:pPr>
            <w:r/>
            <w:r>
              <w:rPr>
                <w:color w:val="1A1D21"/>
                <w:sz w:val="17"/>
              </w:rPr>
              <w:t>30.34</w:t>
            </w:r>
          </w:p>
        </w:tc>
        <w:tc>
          <w:tcPr>
            <w:tcW w:type="dxa" w:w="1361"/>
          </w:tcPr>
          <w:p>
            <w:pPr>
              <w:jc w:val="right"/>
            </w:pPr>
            <w:r/>
            <w:r>
              <w:rPr>
                <w:color w:val="1A1D21"/>
                <w:sz w:val="17"/>
              </w:rPr>
              <w:t>22.60</w:t>
            </w:r>
          </w:p>
        </w:tc>
        <w:tc>
          <w:tcPr>
            <w:tcW w:type="dxa" w:w="1361"/>
          </w:tcPr>
          <w:p>
            <w:pPr>
              <w:jc w:val="right"/>
            </w:pPr>
            <w:r/>
            <w:r>
              <w:rPr>
                <w:color w:val="1A1D21"/>
                <w:sz w:val="17"/>
              </w:rPr>
              <w:t>17.48</w:t>
            </w:r>
          </w:p>
        </w:tc>
      </w:tr>
      <w:tr>
        <w:trPr>
          <w:cantSplit/>
        </w:trPr>
        <w:tc>
          <w:tcPr>
            <w:tcW w:type="dxa" w:w="2494"/>
          </w:tcPr>
          <w:p>
            <w:r/>
            <w:r>
              <w:rPr>
                <w:color w:val="1A1D21"/>
                <w:sz w:val="17"/>
              </w:rPr>
              <w:t>17.9%</w:t>
            </w:r>
          </w:p>
        </w:tc>
        <w:tc>
          <w:tcPr>
            <w:tcW w:type="dxa" w:w="1361"/>
          </w:tcPr>
          <w:p>
            <w:pPr>
              <w:jc w:val="right"/>
            </w:pPr>
            <w:r/>
            <w:r>
              <w:rPr>
                <w:color w:val="1A1D21"/>
                <w:sz w:val="17"/>
              </w:rPr>
              <w:t>104.89</w:t>
            </w:r>
          </w:p>
        </w:tc>
        <w:tc>
          <w:tcPr>
            <w:tcW w:type="dxa" w:w="1361"/>
          </w:tcPr>
          <w:p>
            <w:pPr>
              <w:jc w:val="right"/>
            </w:pPr>
            <w:r/>
            <w:r>
              <w:rPr>
                <w:color w:val="1A1D21"/>
                <w:sz w:val="17"/>
              </w:rPr>
              <w:t>66.07</w:t>
            </w:r>
          </w:p>
        </w:tc>
        <w:tc>
          <w:tcPr>
            <w:tcW w:type="dxa" w:w="1361"/>
          </w:tcPr>
          <w:p>
            <w:pPr>
              <w:jc w:val="right"/>
            </w:pPr>
            <w:r/>
            <w:r>
              <w:rPr>
                <w:color w:val="1A1D21"/>
                <w:sz w:val="17"/>
              </w:rPr>
              <w:t>46.85</w:t>
            </w:r>
          </w:p>
        </w:tc>
        <w:tc>
          <w:tcPr>
            <w:tcW w:type="dxa" w:w="1361"/>
          </w:tcPr>
          <w:p>
            <w:pPr>
              <w:jc w:val="right"/>
            </w:pPr>
            <w:r/>
            <w:r>
              <w:rPr>
                <w:color w:val="1A1D21"/>
                <w:sz w:val="17"/>
              </w:rPr>
              <w:t>35.43</w:t>
            </w:r>
          </w:p>
        </w:tc>
        <w:tc>
          <w:tcPr>
            <w:tcW w:type="dxa" w:w="1361"/>
          </w:tcPr>
          <w:p>
            <w:pPr>
              <w:jc w:val="right"/>
            </w:pPr>
            <w:r/>
            <w:r>
              <w:rPr>
                <w:color w:val="1A1D21"/>
                <w:sz w:val="17"/>
              </w:rPr>
              <w:t>27.89</w:t>
            </w:r>
          </w:p>
        </w:tc>
      </w:tr>
    </w:tbl>
    <w:p>
      <w:pPr>
        <w:spacing w:after="200"/>
      </w:pPr>
      <w:r>
        <w:rPr>
          <w:b w:val="0"/>
          <w:i/>
          <w:color w:val="5B6570"/>
          <w:sz w:val="16"/>
        </w:rPr>
        <w:t>Value per share in Egyptian pounds. The closing price on 3 September 2026 was EGP 14.40.</w:t>
      </w:r>
    </w:p>
    <w:p>
      <w:pPr>
        <w:jc w:val="center"/>
      </w:pPr>
      <w:r>
        <w:drawing>
          <wp:inline xmlns:a="http://schemas.openxmlformats.org/drawingml/2006/main" xmlns:pic="http://schemas.openxmlformats.org/drawingml/2006/picture">
            <wp:extent cx="5832000" cy="3339106"/>
            <wp:docPr id="2" name="Picture 2"/>
            <wp:cNvGraphicFramePr>
              <a:graphicFrameLocks noChangeAspect="1"/>
            </wp:cNvGraphicFramePr>
            <a:graphic>
              <a:graphicData uri="http://schemas.openxmlformats.org/drawingml/2006/picture">
                <pic:pic>
                  <pic:nvPicPr>
                    <pic:cNvPr id="0" name="fig2_sensitivity.png"/>
                    <pic:cNvPicPr/>
                  </pic:nvPicPr>
                  <pic:blipFill>
                    <a:blip r:embed="rId10"/>
                    <a:stretch>
                      <a:fillRect/>
                    </a:stretch>
                  </pic:blipFill>
                  <pic:spPr>
                    <a:xfrm>
                      <a:off x="0" y="0"/>
                      <a:ext cx="5832000" cy="3339106"/>
                    </a:xfrm>
                    <a:prstGeom prst="rect"/>
                  </pic:spPr>
                </pic:pic>
              </a:graphicData>
            </a:graphic>
          </wp:inline>
        </w:drawing>
      </w:r>
    </w:p>
    <w:p>
      <w:pPr>
        <w:spacing w:after="240"/>
        <w:jc w:val="center"/>
      </w:pPr>
      <w:r>
        <w:rPr>
          <w:b w:val="0"/>
          <w:i/>
          <w:color w:val="5B6570"/>
          <w:sz w:val="16"/>
        </w:rPr>
        <w:t>Figure 2 — the same grid. Darker cells are higher values; the two axes are the discount rate and the rate at which contracted sales turn into cash.</w:t>
      </w:r>
    </w:p>
    <w:p>
      <w:pPr>
        <w:spacing w:after="140"/>
      </w:pPr>
      <w:r>
        <w:rPr>
          <w:b w:val="0"/>
          <w:i w:val="0"/>
          <w:color w:val="1A1D21"/>
          <w:sz w:val="20"/>
        </w:rPr>
        <w:t>Solving the model back to the closing price gives a cash-conversion rate of 6.3%. That is the clearest single statement this study can make about the current price: the market is paying for conversion better than 2023 and 2025 delivered, and materially worse than 2024 did.</w:t>
      </w:r>
    </w:p>
    <w:p>
      <w:pPr>
        <w:pStyle w:val="Heading1"/>
      </w:pPr>
      <w:r>
        <w:t>2  Technical and price structure</w:t>
      </w:r>
    </w:p>
    <w:p>
      <w:pPr>
        <w:spacing w:after="140"/>
      </w:pPr>
      <w:r>
        <w:rPr>
          <w:b w:val="0"/>
          <w:i w:val="0"/>
          <w:color w:val="1A1D21"/>
          <w:sz w:val="20"/>
        </w:rPr>
        <w:t>The shares closed at EGP 15.20 on 23 August 2026, above a rising 20-day average at 15.15, a rising 50-day at 15.10 and a rising 200-day at 10.95. The whole moving-average stack is beneath the price and sloping up, which is the least ambiguous configuration a trend read produces.</w:t>
      </w:r>
    </w:p>
    <w:tbl>
      <w:tblPr>
        <w:tblStyle w:val="TableGrid"/>
        <w:tblW w:type="auto" w:w="0"/>
        <w:jc w:val="center"/>
        <w:tblLayout w:type="fixed"/>
        <w:tblLook w:firstColumn="1" w:firstRow="1" w:lastColumn="0" w:lastRow="0" w:noHBand="0" w:noVBand="1" w:val="04A0"/>
        <w:tblLayout w:type="fixed"/>
      </w:tblPr>
      <w:tblGrid>
        <w:gridCol w:w="2041"/>
        <w:gridCol w:w="2268"/>
        <w:gridCol w:w="2041"/>
        <w:gridCol w:w="2268"/>
      </w:tblGrid>
      <w:tr>
        <w:trPr>
          <w:tblHeader w:val="true"/>
        </w:trPr>
        <w:tc>
          <w:tcPr>
            <w:tcW w:type="dxa" w:w="2041"/>
          </w:tcPr>
          <w:p>
            <w:r/>
            <w:r>
              <w:rPr>
                <w:b/>
                <w:color w:val="5B6570"/>
                <w:sz w:val="17"/>
              </w:rPr>
              <w:t>Resistance</w:t>
            </w:r>
          </w:p>
        </w:tc>
        <w:tc>
          <w:tcPr>
            <w:tcW w:type="dxa" w:w="2268"/>
          </w:tcPr>
          <w:p>
            <w:r/>
            <w:r>
              <w:rPr>
                <w:b/>
                <w:color w:val="5B6570"/>
                <w:sz w:val="17"/>
              </w:rPr>
              <w:t>EGP</w:t>
            </w:r>
          </w:p>
        </w:tc>
        <w:tc>
          <w:tcPr>
            <w:tcW w:type="dxa" w:w="2041"/>
          </w:tcPr>
          <w:p>
            <w:r/>
            <w:r>
              <w:rPr>
                <w:b/>
                <w:color w:val="5B6570"/>
                <w:sz w:val="17"/>
              </w:rPr>
              <w:t>Support</w:t>
            </w:r>
          </w:p>
        </w:tc>
        <w:tc>
          <w:tcPr>
            <w:tcW w:type="dxa" w:w="2268"/>
          </w:tcPr>
          <w:p>
            <w:r/>
            <w:r>
              <w:rPr>
                <w:b/>
                <w:color w:val="5B6570"/>
                <w:sz w:val="17"/>
              </w:rPr>
              <w:t>EGP</w:t>
            </w:r>
          </w:p>
        </w:tc>
      </w:tr>
      <w:tr>
        <w:trPr>
          <w:cantSplit/>
        </w:trPr>
        <w:tc>
          <w:tcPr>
            <w:tcW w:type="dxa" w:w="2041"/>
          </w:tcPr>
          <w:p>
            <w:r/>
            <w:r>
              <w:rPr>
                <w:color w:val="1A1D21"/>
                <w:sz w:val="17"/>
              </w:rPr>
              <w:t>First</w:t>
            </w:r>
          </w:p>
        </w:tc>
        <w:tc>
          <w:tcPr>
            <w:tcW w:type="dxa" w:w="2268"/>
          </w:tcPr>
          <w:p>
            <w:pPr>
              <w:jc w:val="right"/>
            </w:pPr>
            <w:r/>
            <w:r>
              <w:rPr>
                <w:color w:val="1A1D21"/>
                <w:sz w:val="17"/>
              </w:rPr>
              <w:t>15.38</w:t>
            </w:r>
          </w:p>
        </w:tc>
        <w:tc>
          <w:tcPr>
            <w:tcW w:type="dxa" w:w="2041"/>
          </w:tcPr>
          <w:p>
            <w:r/>
            <w:r>
              <w:rPr>
                <w:color w:val="1A1D21"/>
                <w:sz w:val="17"/>
              </w:rPr>
              <w:t>First</w:t>
            </w:r>
          </w:p>
        </w:tc>
        <w:tc>
          <w:tcPr>
            <w:tcW w:type="dxa" w:w="2268"/>
          </w:tcPr>
          <w:p>
            <w:pPr>
              <w:jc w:val="right"/>
            </w:pPr>
            <w:r/>
            <w:r>
              <w:rPr>
                <w:color w:val="1A1D21"/>
                <w:sz w:val="17"/>
              </w:rPr>
              <w:t>14.99</w:t>
            </w:r>
          </w:p>
        </w:tc>
      </w:tr>
      <w:tr>
        <w:trPr>
          <w:cantSplit/>
        </w:trPr>
        <w:tc>
          <w:tcPr>
            <w:tcW w:type="dxa" w:w="2041"/>
          </w:tcPr>
          <w:p>
            <w:r/>
            <w:r>
              <w:rPr>
                <w:color w:val="1A1D21"/>
                <w:sz w:val="17"/>
              </w:rPr>
              <w:t>Second</w:t>
            </w:r>
          </w:p>
        </w:tc>
        <w:tc>
          <w:tcPr>
            <w:tcW w:type="dxa" w:w="2268"/>
          </w:tcPr>
          <w:p>
            <w:pPr>
              <w:jc w:val="right"/>
            </w:pPr>
            <w:r/>
            <w:r>
              <w:rPr>
                <w:color w:val="1A1D21"/>
                <w:sz w:val="17"/>
              </w:rPr>
              <w:t>15.73</w:t>
            </w:r>
          </w:p>
        </w:tc>
        <w:tc>
          <w:tcPr>
            <w:tcW w:type="dxa" w:w="2041"/>
          </w:tcPr>
          <w:p>
            <w:r/>
            <w:r>
              <w:rPr>
                <w:color w:val="1A1D21"/>
                <w:sz w:val="17"/>
              </w:rPr>
              <w:t>Second</w:t>
            </w:r>
          </w:p>
        </w:tc>
        <w:tc>
          <w:tcPr>
            <w:tcW w:type="dxa" w:w="2268"/>
          </w:tcPr>
          <w:p>
            <w:pPr>
              <w:jc w:val="right"/>
            </w:pPr>
            <w:r/>
            <w:r>
              <w:rPr>
                <w:color w:val="1A1D21"/>
                <w:sz w:val="17"/>
              </w:rPr>
              <w:t>14.40</w:t>
            </w:r>
          </w:p>
        </w:tc>
      </w:tr>
      <w:tr>
        <w:trPr>
          <w:cantSplit/>
        </w:trPr>
        <w:tc>
          <w:tcPr>
            <w:tcW w:type="dxa" w:w="2041"/>
          </w:tcPr>
          <w:p>
            <w:r/>
            <w:r>
              <w:rPr>
                <w:color w:val="1A1D21"/>
                <w:sz w:val="17"/>
              </w:rPr>
              <w:t>Third</w:t>
            </w:r>
          </w:p>
        </w:tc>
        <w:tc>
          <w:tcPr>
            <w:tcW w:type="dxa" w:w="2268"/>
          </w:tcPr>
          <w:p>
            <w:pPr>
              <w:jc w:val="right"/>
            </w:pPr>
            <w:r/>
            <w:r>
              <w:rPr>
                <w:color w:val="1A1D21"/>
                <w:sz w:val="17"/>
              </w:rPr>
              <w:t>16.08</w:t>
            </w:r>
          </w:p>
        </w:tc>
        <w:tc>
          <w:tcPr>
            <w:tcW w:type="dxa" w:w="2041"/>
          </w:tcPr>
          <w:p>
            <w:r/>
            <w:r>
              <w:rPr>
                <w:color w:val="1A1D21"/>
                <w:sz w:val="17"/>
              </w:rPr>
              <w:t>Third</w:t>
            </w:r>
          </w:p>
        </w:tc>
        <w:tc>
          <w:tcPr>
            <w:tcW w:type="dxa" w:w="2268"/>
          </w:tcPr>
          <w:p>
            <w:pPr>
              <w:jc w:val="right"/>
            </w:pPr>
            <w:r/>
            <w:r>
              <w:rPr>
                <w:color w:val="1A1D21"/>
                <w:sz w:val="17"/>
              </w:rPr>
              <w:t>13.01</w:t>
            </w:r>
          </w:p>
        </w:tc>
      </w:tr>
    </w:tbl>
    <w:p>
      <w:pPr>
        <w:spacing w:after="200"/>
      </w:pPr>
      <w:r>
        <w:rPr>
          <w:b w:val="0"/>
          <w:i/>
          <w:color w:val="5B6570"/>
          <w:sz w:val="16"/>
        </w:rPr>
        <w:t>Levels are computed from the same cleaned price history the distribution in section 3 is built on; first resistance and first support are always the nearest to the close.</w:t>
      </w:r>
    </w:p>
    <w:p>
      <w:pPr>
        <w:spacing w:after="140"/>
      </w:pPr>
      <w:r>
        <w:rPr>
          <w:b w:val="0"/>
          <w:i w:val="0"/>
          <w:color w:val="1A1D21"/>
          <w:sz w:val="20"/>
        </w:rPr>
        <w:t>The levels sit close together — first resistance is 1.2 per cent above the close and first support 1.4 per cent below — so the near-term structure is tight and offers little information on its own. The 200-day average at 10.95 is far below the price, which is a consequence of how much the shares have risen, not a signal.</w:t>
      </w:r>
    </w:p>
    <w:p>
      <w:pPr>
        <w:pStyle w:val="Heading1"/>
      </w:pPr>
      <w:r>
        <w:t>3  A probabilistic price map</w:t>
      </w:r>
    </w:p>
    <w:p>
      <w:pPr>
        <w:spacing w:after="140"/>
      </w:pPr>
      <w:r>
        <w:rPr>
          <w:b w:val="0"/>
          <w:i w:val="0"/>
          <w:color w:val="1A1D21"/>
          <w:sz w:val="20"/>
        </w:rPr>
        <w:t>This section is not a forecast and does not connect to the valuation above. It is a statement of how widely the price has historically moved over one and three months, expressed as a distribution.</w:t>
      </w:r>
    </w:p>
    <w:tbl>
      <w:tblPr>
        <w:tblStyle w:val="TableGrid"/>
        <w:tblW w:type="auto" w:w="0"/>
        <w:jc w:val="center"/>
        <w:tblLayout w:type="fixed"/>
        <w:tblLook w:firstColumn="1" w:firstRow="1" w:lastColumn="0" w:lastRow="0" w:noHBand="0" w:noVBand="1" w:val="04A0"/>
        <w:tblLayout w:type="fixed"/>
      </w:tblPr>
      <w:tblGrid>
        <w:gridCol w:w="2495"/>
        <w:gridCol w:w="3175"/>
        <w:gridCol w:w="3175"/>
      </w:tblGrid>
      <w:tr>
        <w:trPr>
          <w:tblHeader w:val="true"/>
        </w:trPr>
        <w:tc>
          <w:tcPr>
            <w:tcW w:type="dxa" w:w="2494"/>
          </w:tcPr>
          <w:p>
            <w:r/>
            <w:r>
              <w:rPr>
                <w:b/>
                <w:color w:val="5B6570"/>
                <w:sz w:val="17"/>
              </w:rPr>
              <w:t>Percentile</w:t>
            </w:r>
          </w:p>
        </w:tc>
        <w:tc>
          <w:tcPr>
            <w:tcW w:type="dxa" w:w="3175"/>
          </w:tcPr>
          <w:p>
            <w:r/>
            <w:r>
              <w:rPr>
                <w:b/>
                <w:color w:val="5B6570"/>
                <w:sz w:val="17"/>
              </w:rPr>
              <w:t>One month (EGP)</w:t>
            </w:r>
          </w:p>
        </w:tc>
        <w:tc>
          <w:tcPr>
            <w:tcW w:type="dxa" w:w="3175"/>
          </w:tcPr>
          <w:p>
            <w:r/>
            <w:r>
              <w:rPr>
                <w:b/>
                <w:color w:val="5B6570"/>
                <w:sz w:val="17"/>
              </w:rPr>
              <w:t>Three months (EGP)</w:t>
            </w:r>
          </w:p>
        </w:tc>
      </w:tr>
      <w:tr>
        <w:trPr>
          <w:cantSplit/>
        </w:trPr>
        <w:tc>
          <w:tcPr>
            <w:tcW w:type="dxa" w:w="2494"/>
          </w:tcPr>
          <w:p>
            <w:r/>
            <w:r>
              <w:rPr>
                <w:color w:val="1A1D21"/>
                <w:sz w:val="17"/>
              </w:rPr>
              <w:t>5th</w:t>
            </w:r>
          </w:p>
        </w:tc>
        <w:tc>
          <w:tcPr>
            <w:tcW w:type="dxa" w:w="3175"/>
          </w:tcPr>
          <w:p>
            <w:pPr>
              <w:jc w:val="right"/>
            </w:pPr>
            <w:r/>
            <w:r>
              <w:rPr>
                <w:color w:val="1A1D21"/>
                <w:sz w:val="17"/>
              </w:rPr>
              <w:t>13.08</w:t>
            </w:r>
          </w:p>
        </w:tc>
        <w:tc>
          <w:tcPr>
            <w:tcW w:type="dxa" w:w="3175"/>
          </w:tcPr>
          <w:p>
            <w:pPr>
              <w:jc w:val="right"/>
            </w:pPr>
            <w:r/>
            <w:r>
              <w:rPr>
                <w:color w:val="1A1D21"/>
                <w:sz w:val="17"/>
              </w:rPr>
              <w:t>11.98</w:t>
            </w:r>
          </w:p>
        </w:tc>
      </w:tr>
      <w:tr>
        <w:trPr>
          <w:cantSplit/>
        </w:trPr>
        <w:tc>
          <w:tcPr>
            <w:tcW w:type="dxa" w:w="2494"/>
          </w:tcPr>
          <w:p>
            <w:r/>
            <w:r>
              <w:rPr>
                <w:color w:val="1A1D21"/>
                <w:sz w:val="17"/>
              </w:rPr>
              <w:t>25th</w:t>
            </w:r>
          </w:p>
        </w:tc>
        <w:tc>
          <w:tcPr>
            <w:tcW w:type="dxa" w:w="3175"/>
          </w:tcPr>
          <w:p>
            <w:pPr>
              <w:jc w:val="right"/>
            </w:pPr>
            <w:r/>
            <w:r>
              <w:rPr>
                <w:color w:val="1A1D21"/>
                <w:sz w:val="17"/>
              </w:rPr>
              <w:t>14.67</w:t>
            </w:r>
          </w:p>
        </w:tc>
        <w:tc>
          <w:tcPr>
            <w:tcW w:type="dxa" w:w="3175"/>
          </w:tcPr>
          <w:p>
            <w:pPr>
              <w:jc w:val="right"/>
            </w:pPr>
            <w:r/>
            <w:r>
              <w:rPr>
                <w:color w:val="1A1D21"/>
                <w:sz w:val="17"/>
              </w:rPr>
              <w:t>14.61</w:t>
            </w:r>
          </w:p>
        </w:tc>
      </w:tr>
      <w:tr>
        <w:trPr>
          <w:cantSplit/>
        </w:trPr>
        <w:tc>
          <w:tcPr>
            <w:tcW w:type="dxa" w:w="2494"/>
          </w:tcPr>
          <w:p>
            <w:r/>
            <w:r>
              <w:rPr>
                <w:color w:val="1A1D21"/>
                <w:sz w:val="17"/>
              </w:rPr>
              <w:t>50th</w:t>
            </w:r>
          </w:p>
        </w:tc>
        <w:tc>
          <w:tcPr>
            <w:tcW w:type="dxa" w:w="3175"/>
          </w:tcPr>
          <w:p>
            <w:pPr>
              <w:jc w:val="right"/>
            </w:pPr>
            <w:r/>
            <w:r>
              <w:rPr>
                <w:color w:val="1A1D21"/>
                <w:sz w:val="17"/>
              </w:rPr>
              <w:t>15.64</w:t>
            </w:r>
          </w:p>
        </w:tc>
        <w:tc>
          <w:tcPr>
            <w:tcW w:type="dxa" w:w="3175"/>
          </w:tcPr>
          <w:p>
            <w:pPr>
              <w:jc w:val="right"/>
            </w:pPr>
            <w:r/>
            <w:r>
              <w:rPr>
                <w:color w:val="1A1D21"/>
                <w:sz w:val="17"/>
              </w:rPr>
              <w:t>16.34</w:t>
            </w:r>
          </w:p>
        </w:tc>
      </w:tr>
      <w:tr>
        <w:trPr>
          <w:cantSplit/>
        </w:trPr>
        <w:tc>
          <w:tcPr>
            <w:tcW w:type="dxa" w:w="2494"/>
          </w:tcPr>
          <w:p>
            <w:r/>
            <w:r>
              <w:rPr>
                <w:color w:val="1A1D21"/>
                <w:sz w:val="17"/>
              </w:rPr>
              <w:t>75th</w:t>
            </w:r>
          </w:p>
        </w:tc>
        <w:tc>
          <w:tcPr>
            <w:tcW w:type="dxa" w:w="3175"/>
          </w:tcPr>
          <w:p>
            <w:pPr>
              <w:jc w:val="right"/>
            </w:pPr>
            <w:r/>
            <w:r>
              <w:rPr>
                <w:color w:val="1A1D21"/>
                <w:sz w:val="17"/>
              </w:rPr>
              <w:t>16.68</w:t>
            </w:r>
          </w:p>
        </w:tc>
        <w:tc>
          <w:tcPr>
            <w:tcW w:type="dxa" w:w="3175"/>
          </w:tcPr>
          <w:p>
            <w:pPr>
              <w:jc w:val="right"/>
            </w:pPr>
            <w:r/>
            <w:r>
              <w:rPr>
                <w:color w:val="1A1D21"/>
                <w:sz w:val="17"/>
              </w:rPr>
              <w:t>18.27</w:t>
            </w:r>
          </w:p>
        </w:tc>
      </w:tr>
      <w:tr>
        <w:trPr>
          <w:cantSplit/>
        </w:trPr>
        <w:tc>
          <w:tcPr>
            <w:tcW w:type="dxa" w:w="2494"/>
          </w:tcPr>
          <w:p>
            <w:r/>
            <w:r>
              <w:rPr>
                <w:color w:val="1A1D21"/>
                <w:sz w:val="17"/>
              </w:rPr>
              <w:t>95th</w:t>
            </w:r>
          </w:p>
        </w:tc>
        <w:tc>
          <w:tcPr>
            <w:tcW w:type="dxa" w:w="3175"/>
          </w:tcPr>
          <w:p>
            <w:pPr>
              <w:jc w:val="right"/>
            </w:pPr>
            <w:r/>
            <w:r>
              <w:rPr>
                <w:color w:val="1A1D21"/>
                <w:sz w:val="17"/>
              </w:rPr>
              <w:t>18.71</w:t>
            </w:r>
          </w:p>
        </w:tc>
        <w:tc>
          <w:tcPr>
            <w:tcW w:type="dxa" w:w="3175"/>
          </w:tcPr>
          <w:p>
            <w:pPr>
              <w:jc w:val="right"/>
            </w:pPr>
            <w:r/>
            <w:r>
              <w:rPr>
                <w:color w:val="1A1D21"/>
                <w:sz w:val="17"/>
              </w:rPr>
              <w:t>22.26</w:t>
            </w:r>
          </w:p>
        </w:tc>
      </w:tr>
    </w:tbl>
    <w:p>
      <w:pPr>
        <w:spacing w:after="200"/>
      </w:pPr>
      <w:r>
        <w:rPr>
          <w:b w:val="0"/>
          <w:i/>
          <w:color w:val="5B6570"/>
          <w:sz w:val="16"/>
        </w:rPr>
        <w:t>Resolving 2026-09-23 and 2026-11-23 respectively.</w:t>
      </w:r>
    </w:p>
    <w:p>
      <w:pPr>
        <w:jc w:val="center"/>
      </w:pPr>
      <w:r>
        <w:drawing>
          <wp:inline xmlns:a="http://schemas.openxmlformats.org/drawingml/2006/main" xmlns:pic="http://schemas.openxmlformats.org/drawingml/2006/picture">
            <wp:extent cx="5832000" cy="3110713"/>
            <wp:docPr id="3" name="Picture 3"/>
            <wp:cNvGraphicFramePr>
              <a:graphicFrameLocks noChangeAspect="1"/>
            </wp:cNvGraphicFramePr>
            <a:graphic>
              <a:graphicData uri="http://schemas.openxmlformats.org/drawingml/2006/picture">
                <pic:pic>
                  <pic:nvPicPr>
                    <pic:cNvPr id="0" name="fig3_cone.png"/>
                    <pic:cNvPicPr/>
                  </pic:nvPicPr>
                  <pic:blipFill>
                    <a:blip r:embed="rId11"/>
                    <a:stretch>
                      <a:fillRect/>
                    </a:stretch>
                  </pic:blipFill>
                  <pic:spPr>
                    <a:xfrm>
                      <a:off x="0" y="0"/>
                      <a:ext cx="5832000" cy="3110713"/>
                    </a:xfrm>
                    <a:prstGeom prst="rect"/>
                  </pic:spPr>
                </pic:pic>
              </a:graphicData>
            </a:graphic>
          </wp:inline>
        </w:drawing>
      </w:r>
    </w:p>
    <w:p>
      <w:pPr>
        <w:spacing w:after="240"/>
        <w:jc w:val="center"/>
      </w:pPr>
      <w:r>
        <w:rPr>
          <w:b w:val="0"/>
          <w:i/>
          <w:color w:val="5B6570"/>
          <w:sz w:val="16"/>
        </w:rPr>
        <w:t>Figure 3 — the same distribution drawn as a cone. The shaded bands are the middle half and the 5th-to-95th range.</w:t>
      </w:r>
    </w:p>
    <w:p>
      <w:pPr>
        <w:spacing w:after="140"/>
      </w:pPr>
      <w:r>
        <w:rPr>
          <w:b w:val="0"/>
          <w:i w:val="0"/>
          <w:color w:val="1A1D21"/>
          <w:sz w:val="20"/>
        </w:rPr>
        <w:t>Over 57 resolved three-month forecasts on this company, the price finished inside the 90 per cent band 91.2% of the time, and inside the middle band 50.9% of the time. That is a long record by the standards of this series. The bands are about 1.47 times as wide as a simple random-walk band over the same horizon, which is what Egyptian devaluation risk costs in width.</w:t>
      </w:r>
    </w:p>
    <w:tbl>
      <w:tblPr>
        <w:tblStyle w:val="TableGrid"/>
        <w:tblW w:type="auto" w:w="0"/>
        <w:jc w:val="center"/>
        <w:tblLayout w:type="fixed"/>
        <w:tblLook w:firstColumn="1" w:firstRow="1" w:lastColumn="0" w:lastRow="0" w:noHBand="0" w:noVBand="1" w:val="04A0"/>
        <w:tblLayout w:type="fixed"/>
      </w:tblPr>
      <w:tblGrid>
        <w:gridCol w:w="2495"/>
        <w:gridCol w:w="3402"/>
        <w:gridCol w:w="2948"/>
      </w:tblGrid>
      <w:tr>
        <w:trPr>
          <w:tblHeader w:val="true"/>
        </w:trPr>
        <w:tc>
          <w:tcPr>
            <w:tcW w:type="dxa" w:w="2494"/>
          </w:tcPr>
          <w:p>
            <w:r/>
            <w:r>
              <w:rPr>
                <w:b/>
                <w:color w:val="5B6570"/>
                <w:sz w:val="17"/>
              </w:rPr>
              <w:t>Level (EGP)</w:t>
            </w:r>
          </w:p>
        </w:tc>
        <w:tc>
          <w:tcPr>
            <w:tcW w:type="dxa" w:w="3402"/>
          </w:tcPr>
          <w:p>
            <w:r/>
            <w:r>
              <w:rPr>
                <w:b/>
                <w:color w:val="5B6570"/>
                <w:sz w:val="17"/>
              </w:rPr>
              <w:t>Chance of touching within one month</w:t>
            </w:r>
          </w:p>
        </w:tc>
        <w:tc>
          <w:tcPr>
            <w:tcW w:type="dxa" w:w="2948"/>
          </w:tcPr>
          <w:p>
            <w:r/>
            <w:r>
              <w:rPr>
                <w:b/>
                <w:color w:val="5B6570"/>
                <w:sz w:val="17"/>
              </w:rPr>
              <w:t>Within three months</w:t>
            </w:r>
          </w:p>
        </w:tc>
      </w:tr>
      <w:tr>
        <w:trPr>
          <w:cantSplit/>
        </w:trPr>
        <w:tc>
          <w:tcPr>
            <w:tcW w:type="dxa" w:w="2494"/>
          </w:tcPr>
          <w:p>
            <w:r/>
            <w:r>
              <w:rPr>
                <w:color w:val="1A1D21"/>
                <w:sz w:val="17"/>
              </w:rPr>
              <w:t>20.00</w:t>
            </w:r>
          </w:p>
        </w:tc>
        <w:tc>
          <w:tcPr>
            <w:tcW w:type="dxa" w:w="3402"/>
          </w:tcPr>
          <w:p>
            <w:pPr>
              <w:jc w:val="right"/>
            </w:pPr>
            <w:r/>
            <w:r>
              <w:rPr>
                <w:color w:val="1A1D21"/>
                <w:sz w:val="17"/>
              </w:rPr>
              <w:t>3%</w:t>
            </w:r>
          </w:p>
        </w:tc>
        <w:tc>
          <w:tcPr>
            <w:tcW w:type="dxa" w:w="2948"/>
          </w:tcPr>
          <w:p>
            <w:pPr>
              <w:jc w:val="right"/>
            </w:pPr>
            <w:r/>
            <w:r>
              <w:rPr>
                <w:color w:val="1A1D21"/>
                <w:sz w:val="17"/>
              </w:rPr>
              <w:t>19%</w:t>
            </w:r>
          </w:p>
        </w:tc>
      </w:tr>
      <w:tr>
        <w:trPr>
          <w:cantSplit/>
        </w:trPr>
        <w:tc>
          <w:tcPr>
            <w:tcW w:type="dxa" w:w="2494"/>
          </w:tcPr>
          <w:p>
            <w:r/>
            <w:r>
              <w:rPr>
                <w:color w:val="1A1D21"/>
                <w:sz w:val="17"/>
              </w:rPr>
              <w:t>18.50</w:t>
            </w:r>
          </w:p>
        </w:tc>
        <w:tc>
          <w:tcPr>
            <w:tcW w:type="dxa" w:w="3402"/>
          </w:tcPr>
          <w:p>
            <w:pPr>
              <w:jc w:val="right"/>
            </w:pPr>
            <w:r/>
            <w:r>
              <w:rPr>
                <w:color w:val="1A1D21"/>
                <w:sz w:val="17"/>
              </w:rPr>
              <w:t>9%</w:t>
            </w:r>
          </w:p>
        </w:tc>
        <w:tc>
          <w:tcPr>
            <w:tcW w:type="dxa" w:w="2948"/>
          </w:tcPr>
          <w:p>
            <w:pPr>
              <w:jc w:val="right"/>
            </w:pPr>
            <w:r/>
            <w:r>
              <w:rPr>
                <w:color w:val="1A1D21"/>
                <w:sz w:val="17"/>
              </w:rPr>
              <w:t>35%</w:t>
            </w:r>
          </w:p>
        </w:tc>
      </w:tr>
      <w:tr>
        <w:trPr>
          <w:cantSplit/>
        </w:trPr>
        <w:tc>
          <w:tcPr>
            <w:tcW w:type="dxa" w:w="2494"/>
          </w:tcPr>
          <w:p>
            <w:r/>
            <w:r>
              <w:rPr>
                <w:color w:val="1A1D21"/>
                <w:sz w:val="17"/>
              </w:rPr>
              <w:t>17.50</w:t>
            </w:r>
          </w:p>
        </w:tc>
        <w:tc>
          <w:tcPr>
            <w:tcW w:type="dxa" w:w="3402"/>
          </w:tcPr>
          <w:p>
            <w:pPr>
              <w:jc w:val="right"/>
            </w:pPr>
            <w:r/>
            <w:r>
              <w:rPr>
                <w:color w:val="1A1D21"/>
                <w:sz w:val="17"/>
              </w:rPr>
              <w:t>20%</w:t>
            </w:r>
          </w:p>
        </w:tc>
        <w:tc>
          <w:tcPr>
            <w:tcW w:type="dxa" w:w="2948"/>
          </w:tcPr>
          <w:p>
            <w:pPr>
              <w:jc w:val="right"/>
            </w:pPr>
            <w:r/>
            <w:r>
              <w:rPr>
                <w:color w:val="1A1D21"/>
                <w:sz w:val="17"/>
              </w:rPr>
              <w:t>51%</w:t>
            </w:r>
          </w:p>
        </w:tc>
      </w:tr>
      <w:tr>
        <w:trPr>
          <w:cantSplit/>
        </w:trPr>
        <w:tc>
          <w:tcPr>
            <w:tcW w:type="dxa" w:w="2494"/>
          </w:tcPr>
          <w:p>
            <w:r/>
            <w:r>
              <w:rPr>
                <w:color w:val="1A1D21"/>
                <w:sz w:val="17"/>
              </w:rPr>
              <w:t>16.50</w:t>
            </w:r>
          </w:p>
        </w:tc>
        <w:tc>
          <w:tcPr>
            <w:tcW w:type="dxa" w:w="3402"/>
          </w:tcPr>
          <w:p>
            <w:pPr>
              <w:jc w:val="right"/>
            </w:pPr>
            <w:r/>
            <w:r>
              <w:rPr>
                <w:color w:val="1A1D21"/>
                <w:sz w:val="17"/>
              </w:rPr>
              <w:t>43%</w:t>
            </w:r>
          </w:p>
        </w:tc>
        <w:tc>
          <w:tcPr>
            <w:tcW w:type="dxa" w:w="2948"/>
          </w:tcPr>
          <w:p>
            <w:pPr>
              <w:jc w:val="right"/>
            </w:pPr>
            <w:r/>
            <w:r>
              <w:rPr>
                <w:color w:val="1A1D21"/>
                <w:sz w:val="17"/>
              </w:rPr>
              <w:t>71%</w:t>
            </w:r>
          </w:p>
        </w:tc>
      </w:tr>
      <w:tr>
        <w:trPr>
          <w:cantSplit/>
        </w:trPr>
        <w:tc>
          <w:tcPr>
            <w:tcW w:type="dxa" w:w="2494"/>
          </w:tcPr>
          <w:p>
            <w:r/>
            <w:r>
              <w:rPr>
                <w:color w:val="1A1D21"/>
                <w:sz w:val="17"/>
              </w:rPr>
              <w:t>15.55</w:t>
            </w:r>
          </w:p>
        </w:tc>
        <w:tc>
          <w:tcPr>
            <w:tcW w:type="dxa" w:w="3402"/>
          </w:tcPr>
          <w:p>
            <w:pPr>
              <w:jc w:val="right"/>
            </w:pPr>
            <w:r/>
            <w:r>
              <w:rPr>
                <w:color w:val="1A1D21"/>
                <w:sz w:val="17"/>
              </w:rPr>
              <w:t>80%</w:t>
            </w:r>
          </w:p>
        </w:tc>
        <w:tc>
          <w:tcPr>
            <w:tcW w:type="dxa" w:w="2948"/>
          </w:tcPr>
          <w:p>
            <w:pPr>
              <w:jc w:val="right"/>
            </w:pPr>
            <w:r/>
            <w:r>
              <w:rPr>
                <w:color w:val="1A1D21"/>
                <w:sz w:val="17"/>
              </w:rPr>
              <w:t>90%</w:t>
            </w:r>
          </w:p>
        </w:tc>
      </w:tr>
    </w:tbl>
    <w:p>
      <w:pPr>
        <w:spacing w:after="200"/>
      </w:pPr>
      <w:r>
        <w:rPr>
          <w:b w:val="0"/>
          <w:i/>
          <w:color w:val="5B6570"/>
          <w:sz w:val="16"/>
        </w:rPr>
        <w:t>The chance that the price trades at or through each level at any point in the window, not the chance it ends there.</w:t>
      </w:r>
    </w:p>
    <w:p>
      <w:pPr>
        <w:spacing w:after="140"/>
      </w:pPr>
      <w:r>
        <w:rPr>
          <w:b w:val="0"/>
          <w:i/>
          <w:color w:val="5B6570"/>
          <w:sz w:val="17"/>
        </w:rPr>
        <w:t>Price data to 2026-08-23, computed 2026-08-24; the trend read uses data to 2026-08-23, computed 2026-08-25.</w:t>
      </w:r>
    </w:p>
    <w:p>
      <w:pPr>
        <w:pStyle w:val="Heading1"/>
      </w:pPr>
      <w:r>
        <w:t>4  Comparison of the lenses</w:t>
      </w:r>
    </w:p>
    <w:p>
      <w:pPr>
        <w:spacing w:after="140"/>
      </w:pPr>
      <w:r>
        <w:rPr>
          <w:b w:val="0"/>
          <w:i w:val="0"/>
          <w:color w:val="1A1D21"/>
          <w:sz w:val="20"/>
        </w:rPr>
        <w:t>The three readings are deliberately independent — none is an input to another — so where they agree, the agreement carries information.</w:t>
      </w:r>
    </w:p>
    <w:tbl>
      <w:tblPr>
        <w:tblStyle w:val="TableGrid"/>
        <w:tblW w:type="auto" w:w="0"/>
        <w:jc w:val="center"/>
        <w:tblLayout w:type="fixed"/>
        <w:tblLook w:firstColumn="1" w:firstRow="1" w:lastColumn="0" w:lastRow="0" w:noHBand="0" w:noVBand="1" w:val="04A0"/>
        <w:tblLayout w:type="fixed"/>
      </w:tblPr>
      <w:tblGrid>
        <w:gridCol w:w="2155"/>
        <w:gridCol w:w="3629"/>
        <w:gridCol w:w="3175"/>
      </w:tblGrid>
      <w:tr>
        <w:trPr>
          <w:tblHeader w:val="true"/>
        </w:trPr>
        <w:tc>
          <w:tcPr>
            <w:tcW w:type="dxa" w:w="2154"/>
          </w:tcPr>
          <w:p>
            <w:r/>
            <w:r>
              <w:rPr>
                <w:b/>
                <w:color w:val="5B6570"/>
                <w:sz w:val="17"/>
              </w:rPr>
              <w:t>Lens</w:t>
            </w:r>
          </w:p>
        </w:tc>
        <w:tc>
          <w:tcPr>
            <w:tcW w:type="dxa" w:w="3628"/>
          </w:tcPr>
          <w:p>
            <w:r/>
            <w:r>
              <w:rPr>
                <w:b/>
                <w:color w:val="5B6570"/>
                <w:sz w:val="17"/>
              </w:rPr>
              <w:t>What it says</w:t>
            </w:r>
          </w:p>
        </w:tc>
        <w:tc>
          <w:tcPr>
            <w:tcW w:type="dxa" w:w="3175"/>
          </w:tcPr>
          <w:p>
            <w:r/>
            <w:r>
              <w:rPr>
                <w:b/>
                <w:color w:val="5B6570"/>
                <w:sz w:val="17"/>
              </w:rPr>
              <w:t>Relative to the EGP 14.40 close</w:t>
            </w:r>
          </w:p>
        </w:tc>
      </w:tr>
      <w:tr>
        <w:trPr>
          <w:cantSplit/>
        </w:trPr>
        <w:tc>
          <w:tcPr>
            <w:tcW w:type="dxa" w:w="2154"/>
          </w:tcPr>
          <w:p>
            <w:r/>
            <w:r>
              <w:rPr>
                <w:color w:val="1A1D21"/>
                <w:sz w:val="17"/>
              </w:rPr>
              <w:t>Fundamental value</w:t>
            </w:r>
          </w:p>
        </w:tc>
        <w:tc>
          <w:tcPr>
            <w:tcW w:type="dxa" w:w="3628"/>
          </w:tcPr>
          <w:p>
            <w:r/>
            <w:r>
              <w:rPr>
                <w:color w:val="1A1D21"/>
                <w:sz w:val="17"/>
              </w:rPr>
              <w:t>EGP 7.65 to EGP 46.85 depending on cash conversion</w:t>
            </w:r>
          </w:p>
        </w:tc>
        <w:tc>
          <w:tcPr>
            <w:tcW w:type="dxa" w:w="3175"/>
          </w:tcPr>
          <w:p>
            <w:r/>
            <w:r>
              <w:rPr>
                <w:color w:val="1A1D21"/>
                <w:sz w:val="17"/>
              </w:rPr>
              <w:t>the close sits inside the range, near its lower half</w:t>
            </w:r>
          </w:p>
        </w:tc>
      </w:tr>
      <w:tr>
        <w:trPr>
          <w:cantSplit/>
        </w:trPr>
        <w:tc>
          <w:tcPr>
            <w:tcW w:type="dxa" w:w="2154"/>
          </w:tcPr>
          <w:p>
            <w:r/>
            <w:r>
              <w:rPr>
                <w:color w:val="1A1D21"/>
                <w:sz w:val="17"/>
              </w:rPr>
              <w:t>Price distribution</w:t>
            </w:r>
          </w:p>
        </w:tc>
        <w:tc>
          <w:tcPr>
            <w:tcW w:type="dxa" w:w="3628"/>
          </w:tcPr>
          <w:p>
            <w:r/>
            <w:r>
              <w:rPr>
                <w:color w:val="1A1D21"/>
                <w:sz w:val="17"/>
              </w:rPr>
              <w:t>three-month middle band EGP 14.61 to 18.27</w:t>
            </w:r>
          </w:p>
        </w:tc>
        <w:tc>
          <w:tcPr>
            <w:tcW w:type="dxa" w:w="3175"/>
          </w:tcPr>
          <w:p>
            <w:r/>
            <w:r>
              <w:rPr>
                <w:color w:val="1A1D21"/>
                <w:sz w:val="17"/>
              </w:rPr>
              <w:t>the distribution is centred slightly above the close</w:t>
            </w:r>
          </w:p>
        </w:tc>
      </w:tr>
      <w:tr>
        <w:trPr>
          <w:cantSplit/>
        </w:trPr>
        <w:tc>
          <w:tcPr>
            <w:tcW w:type="dxa" w:w="2154"/>
          </w:tcPr>
          <w:p>
            <w:r/>
            <w:r>
              <w:rPr>
                <w:color w:val="1A1D21"/>
                <w:sz w:val="17"/>
              </w:rPr>
              <w:t>Trend structure</w:t>
            </w:r>
          </w:p>
        </w:tc>
        <w:tc>
          <w:tcPr>
            <w:tcW w:type="dxa" w:w="3628"/>
          </w:tcPr>
          <w:p>
            <w:r/>
            <w:r>
              <w:rPr>
                <w:color w:val="1A1D21"/>
                <w:sz w:val="17"/>
              </w:rPr>
              <w:t>above a rising 20-, 50- and 200-day average</w:t>
            </w:r>
          </w:p>
        </w:tc>
        <w:tc>
          <w:tcPr>
            <w:tcW w:type="dxa" w:w="3175"/>
          </w:tcPr>
          <w:p>
            <w:r/>
            <w:r>
              <w:rPr>
                <w:color w:val="1A1D21"/>
                <w:sz w:val="17"/>
              </w:rPr>
              <w:t>constructive, with resistance only 6.8 per cent away</w:t>
            </w:r>
          </w:p>
        </w:tc>
      </w:tr>
    </w:tbl>
    <w:p>
      <w:pPr>
        <w:spacing w:after="80"/>
      </w:pPr>
      <w:r>
        <w:rPr>
          <w:b w:val="0"/>
          <w:i w:val="0"/>
          <w:color w:val="1A1D21"/>
          <w:sz w:val="8"/>
        </w:rPr>
      </w:r>
    </w:p>
    <w:p>
      <w:pPr>
        <w:spacing w:after="140"/>
      </w:pPr>
      <w:r>
        <w:rPr>
          <w:b w:val="0"/>
          <w:i w:val="0"/>
          <w:color w:val="1A1D21"/>
          <w:sz w:val="20"/>
        </w:rPr>
        <w:t>They point the same way without being made to. The fundamental range brackets the price, the distribution is mildly positive and the trend is intact. None of that resolves the crux in section 1.7.</w:t>
      </w:r>
    </w:p>
    <w:p>
      <w:pPr>
        <w:pStyle w:val="Heading1"/>
      </w:pPr>
      <w:r>
        <w:t>5  Catalysts to watch</w:t>
      </w:r>
    </w:p>
    <w:p>
      <w:pPr>
        <w:pStyle w:val="ListBullet"/>
        <w:spacing w:after="60"/>
      </w:pPr>
      <w:r>
        <w:rPr>
          <w:color w:val="1A1D21"/>
          <w:sz w:val="20"/>
        </w:rPr>
        <w:t>The half-year 2026 results. None had been published as at 30 August 2026, which is itself notable this late in the year.</w:t>
      </w:r>
    </w:p>
    <w:p>
      <w:pPr>
        <w:pStyle w:val="ListBullet"/>
        <w:spacing w:after="60"/>
      </w:pPr>
      <w:r>
        <w:rPr>
          <w:color w:val="1A1D21"/>
          <w:sz w:val="20"/>
        </w:rPr>
        <w:t>The full-year 2025 results release. The audited statements were published but the accompanying release, which is where units sold, new sales, deliveries and construction spending are disclosed, was not.</w:t>
      </w:r>
    </w:p>
    <w:p>
      <w:pPr>
        <w:pStyle w:val="ListBullet"/>
        <w:spacing w:after="60"/>
      </w:pPr>
      <w:r>
        <w:rPr>
          <w:color w:val="1A1D21"/>
          <w:sz w:val="20"/>
        </w:rPr>
        <w:t>Any disclosure of collection terms — down payment, instalment tenor, post-handover tail. This is the single disclosure that would most narrow the range in this study.</w:t>
      </w:r>
    </w:p>
    <w:p>
      <w:pPr>
        <w:pStyle w:val="ListBullet"/>
        <w:spacing w:after="60"/>
      </w:pPr>
      <w:r>
        <w:rPr>
          <w:color w:val="1A1D21"/>
          <w:sz w:val="20"/>
        </w:rPr>
        <w:t>Progress on the EGP 30 billion securitisation programme. Selling receivables converts the instalment book to cash and is the direct lever on the crux; pricing on any tranche would also fix the cost of debt.</w:t>
      </w:r>
    </w:p>
    <w:p>
      <w:pPr>
        <w:pStyle w:val="ListBullet"/>
        <w:spacing w:after="60"/>
      </w:pPr>
      <w:r>
        <w:rPr>
          <w:color w:val="1A1D21"/>
          <w:sz w:val="20"/>
        </w:rPr>
        <w:t>The Village de La Capitale launch, which contributed EGP 24 billion of the EGP 52 billion of first-quarter 2026 sales. Whether that rate of launch sales repeats materially changes the order book path.</w:t>
      </w:r>
    </w:p>
    <w:p>
      <w:pPr>
        <w:pStyle w:val="ListBullet"/>
        <w:spacing w:after="60"/>
      </w:pPr>
      <w:r>
        <w:rPr>
          <w:color w:val="1A1D21"/>
          <w:sz w:val="20"/>
        </w:rPr>
        <w:t>Egyptian interest rates. The cost of capital here is built on a 23.00% sovereign yield; a sustained fall would raise every figure in section 1.9.</w:t>
      </w:r>
    </w:p>
    <w:p>
      <w:pPr>
        <w:pStyle w:val="Heading1"/>
      </w:pPr>
      <w:r>
        <w:t>6  Reading the probability zones</w:t>
      </w:r>
    </w:p>
    <w:p>
      <w:pPr>
        <w:spacing w:after="140"/>
      </w:pPr>
      <w:r>
        <w:rPr>
          <w:b w:val="0"/>
          <w:i w:val="0"/>
          <w:color w:val="1A1D21"/>
          <w:sz w:val="20"/>
        </w:rPr>
        <w:t>The bands in section 3 describe where the price has tended to go, not where it should go. They are wide because Egyptian equities are genuinely volatile: the middle half of the three-month distribution spans EGP 14.61 to EGP 18.27, a range of about 25 per cent of the current price. A reader who wants a narrower band is asking for a less honest one.</w:t>
      </w:r>
    </w:p>
    <w:p>
      <w:pPr>
        <w:spacing w:after="140"/>
      </w:pPr>
      <w:r>
        <w:rPr>
          <w:b w:val="0"/>
          <w:i w:val="0"/>
          <w:color w:val="1A1D21"/>
          <w:sz w:val="20"/>
        </w:rPr>
        <w:t>The touch ladder answers a different question from the percentile map. A level with a 51 per cent chance of being touched inside three months is not a level with a 51 per cent chance of holding — prices pass through levels far more often than they settle at them.</w:t>
      </w:r>
    </w:p>
    <w:p>
      <w:pPr>
        <w:pStyle w:val="Heading1"/>
      </w:pPr>
      <w:r>
        <w:t>7  Caveats and what would change our mind</w:t>
      </w:r>
    </w:p>
    <w:p>
      <w:pPr>
        <w:spacing w:after="140"/>
      </w:pPr>
      <w:r>
        <w:rPr>
          <w:b/>
          <w:i w:val="0"/>
          <w:color w:val="1A1D21"/>
          <w:sz w:val="20"/>
        </w:rPr>
        <w:t>Six things are not disclosed by the company and are therefore not in this study. Each is named with what would close it.</w:t>
      </w:r>
    </w:p>
    <w:tbl>
      <w:tblPr>
        <w:tblStyle w:val="TableGrid"/>
        <w:tblW w:type="auto" w:w="0"/>
        <w:jc w:val="center"/>
        <w:tblLayout w:type="fixed"/>
        <w:tblLook w:firstColumn="1" w:firstRow="1" w:lastColumn="0" w:lastRow="0" w:noHBand="0" w:noVBand="1" w:val="04A0"/>
        <w:tblLayout w:type="fixed"/>
      </w:tblPr>
      <w:tblGrid>
        <w:gridCol w:w="2041"/>
        <w:gridCol w:w="3969"/>
        <w:gridCol w:w="2948"/>
      </w:tblGrid>
      <w:tr>
        <w:trPr>
          <w:tblHeader w:val="true"/>
        </w:trPr>
        <w:tc>
          <w:tcPr>
            <w:tcW w:type="dxa" w:w="2041"/>
          </w:tcPr>
          <w:p>
            <w:r/>
            <w:r>
              <w:rPr>
                <w:b/>
                <w:color w:val="5B6570"/>
                <w:sz w:val="17"/>
              </w:rPr>
              <w:t>What is missing</w:t>
            </w:r>
          </w:p>
        </w:tc>
        <w:tc>
          <w:tcPr>
            <w:tcW w:type="dxa" w:w="3969"/>
          </w:tcPr>
          <w:p>
            <w:r/>
            <w:r>
              <w:rPr>
                <w:b/>
                <w:color w:val="5B6570"/>
                <w:sz w:val="17"/>
              </w:rPr>
              <w:t>Why it matters</w:t>
            </w:r>
          </w:p>
        </w:tc>
        <w:tc>
          <w:tcPr>
            <w:tcW w:type="dxa" w:w="2948"/>
          </w:tcPr>
          <w:p>
            <w:r/>
            <w:r>
              <w:rPr>
                <w:b/>
                <w:color w:val="5B6570"/>
                <w:sz w:val="17"/>
              </w:rPr>
              <w:t>What would close it</w:t>
            </w:r>
          </w:p>
        </w:tc>
      </w:tr>
      <w:tr>
        <w:trPr>
          <w:cantSplit/>
        </w:trPr>
        <w:tc>
          <w:tcPr>
            <w:tcW w:type="dxa" w:w="2041"/>
          </w:tcPr>
          <w:p>
            <w:r/>
            <w:r>
              <w:rPr>
                <w:color w:val="1A1D21"/>
                <w:sz w:val="17"/>
              </w:rPr>
              <w:t>Collection schedule</w:t>
            </w:r>
          </w:p>
        </w:tc>
        <w:tc>
          <w:tcPr>
            <w:tcW w:type="dxa" w:w="3969"/>
          </w:tcPr>
          <w:p>
            <w:r/>
            <w:r>
              <w:rPr>
                <w:color w:val="1A1D21"/>
                <w:sz w:val="17"/>
              </w:rPr>
              <w:t>Down payment, instalment tenor and post-handover tail are not published. This is the crux; it is measured from outcomes instead of built from terms.</w:t>
            </w:r>
          </w:p>
        </w:tc>
        <w:tc>
          <w:tcPr>
            <w:tcW w:type="dxa" w:w="2948"/>
          </w:tcPr>
          <w:p>
            <w:r/>
            <w:r>
              <w:rPr>
                <w:color w:val="1A1D21"/>
                <w:sz w:val="17"/>
              </w:rPr>
              <w:t>Disclosure of contract terms.</w:t>
            </w:r>
          </w:p>
        </w:tc>
      </w:tr>
      <w:tr>
        <w:trPr>
          <w:cantSplit/>
        </w:trPr>
        <w:tc>
          <w:tcPr>
            <w:tcW w:type="dxa" w:w="2041"/>
          </w:tcPr>
          <w:p>
            <w:r/>
            <w:r>
              <w:rPr>
                <w:color w:val="1A1D21"/>
                <w:sz w:val="17"/>
              </w:rPr>
              <w:t>Project unit economics</w:t>
            </w:r>
          </w:p>
        </w:tc>
        <w:tc>
          <w:tcPr>
            <w:tcW w:type="dxa" w:w="3969"/>
          </w:tcPr>
          <w:p>
            <w:r/>
            <w:r>
              <w:rPr>
                <w:color w:val="1A1D21"/>
                <w:sz w:val="17"/>
              </w:rPr>
              <w:t>No per-project unit mix, unit area, price per square metre or construction cost per square metre is disclosed.</w:t>
            </w:r>
          </w:p>
        </w:tc>
        <w:tc>
          <w:tcPr>
            <w:tcW w:type="dxa" w:w="2948"/>
          </w:tcPr>
          <w:p>
            <w:r/>
            <w:r>
              <w:rPr>
                <w:color w:val="1A1D21"/>
                <w:sz w:val="17"/>
              </w:rPr>
              <w:t>Project-level disclosure or an investor presentation carrying them.</w:t>
            </w:r>
          </w:p>
        </w:tc>
      </w:tr>
      <w:tr>
        <w:trPr>
          <w:cantSplit/>
        </w:trPr>
        <w:tc>
          <w:tcPr>
            <w:tcW w:type="dxa" w:w="2041"/>
          </w:tcPr>
          <w:p>
            <w:r/>
            <w:r>
              <w:rPr>
                <w:color w:val="1A1D21"/>
                <w:sz w:val="17"/>
              </w:rPr>
              <w:t>Cost of debt</w:t>
            </w:r>
          </w:p>
        </w:tc>
        <w:tc>
          <w:tcPr>
            <w:tcW w:type="dxa" w:w="3969"/>
          </w:tcPr>
          <w:p>
            <w:r/>
            <w:r>
              <w:rPr>
                <w:color w:val="1A1D21"/>
                <w:sz w:val="17"/>
              </w:rPr>
              <w:t>The February 2026 securitisation publishes sizes, tenors and ratings but no coupon.</w:t>
            </w:r>
          </w:p>
        </w:tc>
        <w:tc>
          <w:tcPr>
            <w:tcW w:type="dxa" w:w="2948"/>
          </w:tcPr>
          <w:p>
            <w:r/>
            <w:r>
              <w:rPr>
                <w:color w:val="1A1D21"/>
                <w:sz w:val="17"/>
              </w:rPr>
              <w:t>A coupon on any tranche.</w:t>
            </w:r>
          </w:p>
        </w:tc>
      </w:tr>
      <w:tr>
        <w:trPr>
          <w:cantSplit/>
        </w:trPr>
        <w:tc>
          <w:tcPr>
            <w:tcW w:type="dxa" w:w="2041"/>
          </w:tcPr>
          <w:p>
            <w:r/>
            <w:r>
              <w:rPr>
                <w:color w:val="1A1D21"/>
                <w:sz w:val="17"/>
              </w:rPr>
              <w:t>Full-year 2025 operating figures</w:t>
            </w:r>
          </w:p>
        </w:tc>
        <w:tc>
          <w:tcPr>
            <w:tcW w:type="dxa" w:w="3969"/>
          </w:tcPr>
          <w:p>
            <w:r/>
            <w:r>
              <w:rPr>
                <w:color w:val="1A1D21"/>
                <w:sz w:val="17"/>
              </w:rPr>
              <w:t>The audited statements were published; the results release, which carries units and new sales, was not.</w:t>
            </w:r>
          </w:p>
        </w:tc>
        <w:tc>
          <w:tcPr>
            <w:tcW w:type="dxa" w:w="2948"/>
          </w:tcPr>
          <w:p>
            <w:r/>
            <w:r>
              <w:rPr>
                <w:color w:val="1A1D21"/>
                <w:sz w:val="17"/>
              </w:rPr>
              <w:t>The 2025 results release.</w:t>
            </w:r>
          </w:p>
        </w:tc>
      </w:tr>
      <w:tr>
        <w:trPr>
          <w:cantSplit/>
        </w:trPr>
        <w:tc>
          <w:tcPr>
            <w:tcW w:type="dxa" w:w="2041"/>
          </w:tcPr>
          <w:p>
            <w:r/>
            <w:r>
              <w:rPr>
                <w:color w:val="1A1D21"/>
                <w:sz w:val="17"/>
              </w:rPr>
              <w:t>Half-year 2026</w:t>
            </w:r>
          </w:p>
        </w:tc>
        <w:tc>
          <w:tcPr>
            <w:tcW w:type="dxa" w:w="3969"/>
          </w:tcPr>
          <w:p>
            <w:r/>
            <w:r>
              <w:rPr>
                <w:color w:val="1A1D21"/>
                <w:sz w:val="17"/>
              </w:rPr>
              <w:t>A half-year release of 18 August 2026 is reported in the trade press — an order book of EGP 284bn at 30 June and a further EGP 75bn sold at Hacienda Ras El Hekma shortly after. This study has not obtained the filing, so none of it is used and the model still opens on the reviewed quarter to 31 March 2026. If those figures hold, the order book is ahead of what this study carries.</w:t>
            </w:r>
          </w:p>
        </w:tc>
        <w:tc>
          <w:tcPr>
            <w:tcW w:type="dxa" w:w="2948"/>
          </w:tcPr>
          <w:p>
            <w:r/>
            <w:r>
              <w:rPr>
                <w:color w:val="1A1D21"/>
                <w:sz w:val="17"/>
              </w:rPr>
              <w:t>The half-year filing itself, from the company.</w:t>
            </w:r>
          </w:p>
        </w:tc>
      </w:tr>
    </w:tbl>
    <w:p>
      <w:pPr>
        <w:spacing w:after="80"/>
      </w:pPr>
      <w:r>
        <w:rPr>
          <w:b w:val="0"/>
          <w:i w:val="0"/>
          <w:color w:val="1A1D21"/>
          <w:sz w:val="8"/>
        </w:rPr>
      </w:r>
    </w:p>
    <w:p>
      <w:pPr>
        <w:spacing w:after="140"/>
      </w:pPr>
      <w:r>
        <w:rPr>
          <w:b/>
          <w:i w:val="0"/>
          <w:color w:val="1A1D21"/>
          <w:sz w:val="20"/>
        </w:rPr>
        <w:t>What would change our mind, in order of force:</w:t>
      </w:r>
    </w:p>
    <w:p>
      <w:pPr>
        <w:pStyle w:val="ListBullet"/>
        <w:spacing w:after="60"/>
      </w:pPr>
      <w:r>
        <w:rPr>
          <w:color w:val="1A1D21"/>
          <w:sz w:val="20"/>
        </w:rPr>
        <w:t>Two more years of cash conversion clustering. Three observations spanning 3.9% to 17.9% cannot distinguish a volatile business from a mismeasured one; five could.</w:t>
      </w:r>
    </w:p>
    <w:p>
      <w:pPr>
        <w:pStyle w:val="ListBullet"/>
        <w:spacing w:after="60"/>
      </w:pPr>
      <w:r>
        <w:rPr>
          <w:color w:val="1A1D21"/>
          <w:sz w:val="20"/>
        </w:rPr>
        <w:t>Disclosure of collection terms, which would replace the measured range with a built schedule and narrow the answer directly.</w:t>
      </w:r>
    </w:p>
    <w:p>
      <w:pPr>
        <w:pStyle w:val="ListBullet"/>
        <w:spacing w:after="60"/>
      </w:pPr>
      <w:r>
        <w:rPr>
          <w:color w:val="1A1D21"/>
          <w:sz w:val="20"/>
        </w:rPr>
        <w:t>A sustained fall in Egyptian interest rates, which lifts every cell in the sensitivity table.</w:t>
      </w:r>
    </w:p>
    <w:p>
      <w:pPr>
        <w:pStyle w:val="ListBullet"/>
        <w:spacing w:after="60"/>
      </w:pPr>
      <w:r>
        <w:rPr>
          <w:color w:val="1A1D21"/>
          <w:sz w:val="20"/>
        </w:rPr>
        <w:t>Evidence that the order book converts at the rate the company's delivery history implies rather than more slowly. The order book is now more than seven times revenue, against 5.4 times in 2024 and 3.4 times in 2023; that ratio has risen every year and cannot rise indefinitely.</w:t>
      </w:r>
    </w:p>
    <w:p>
      <w:pPr>
        <w:spacing w:after="140"/>
      </w:pPr>
      <w:r>
        <w:rPr>
          <w:b w:val="0"/>
          <w:i w:val="0"/>
          <w:color w:val="1A1D21"/>
          <w:sz w:val="20"/>
        </w:rPr>
        <w:t>A note on this study's own track record. Tested across ten annual starting points on this company's history from 2011 to 2025, this method forecast revenue tolerably but overstated net profit by about three times, consistently and in 97 per cent of tested cases, and did worse than simply assuming no change. The cause was the mismatched recognition clock corrected in section 1.1. That is why this edition publishes ranges rather than a central figure, and why the reader should treat the upper end of section 1.9 with more suspicion than the lower.</w:t>
      </w:r>
    </w:p>
    <w:p>
      <w:r>
        <w:br w:type="page"/>
      </w:r>
    </w:p>
    <w:p>
      <w:pPr>
        <w:pStyle w:val="Heading1"/>
      </w:pPr>
      <w:r>
        <w:t>Appendix A  Financial statements</w:t>
      </w:r>
    </w:p>
    <w:p>
      <w:pPr>
        <w:pStyle w:val="Heading2"/>
      </w:pPr>
      <w:r>
        <w:t>A.1  Income statement</w:t>
      </w:r>
    </w:p>
    <w:tbl>
      <w:tblPr>
        <w:tblStyle w:val="TableGrid"/>
        <w:tblW w:type="auto" w:w="0"/>
        <w:jc w:val="center"/>
        <w:tblLayout w:type="fixed"/>
        <w:tblLook w:firstColumn="1" w:firstRow="1" w:lastColumn="0" w:lastRow="0" w:noHBand="0" w:noVBand="1" w:val="04A0"/>
        <w:tblLayout w:type="fixed"/>
      </w:tblPr>
      <w:tblGrid>
        <w:gridCol w:w="3515"/>
        <w:gridCol w:w="1871"/>
        <w:gridCol w:w="1871"/>
        <w:gridCol w:w="1871"/>
      </w:tblGrid>
      <w:tr>
        <w:trPr>
          <w:tblHeader w:val="true"/>
        </w:trPr>
        <w:tc>
          <w:tcPr>
            <w:tcW w:type="dxa" w:w="3515"/>
          </w:tcPr>
          <w:p>
            <w:r/>
            <w:r>
              <w:rPr>
                <w:b/>
                <w:color w:val="5B6570"/>
                <w:sz w:val="17"/>
              </w:rPr>
              <w:t>EGP million, as reported</w:t>
            </w:r>
          </w:p>
        </w:tc>
        <w:tc>
          <w:tcPr>
            <w:tcW w:type="dxa" w:w="1871"/>
          </w:tcPr>
          <w:p>
            <w:r/>
            <w:r>
              <w:rPr>
                <w:b/>
                <w:color w:val="5B6570"/>
                <w:sz w:val="17"/>
              </w:rPr>
              <w:t>2023</w:t>
            </w:r>
          </w:p>
        </w:tc>
        <w:tc>
          <w:tcPr>
            <w:tcW w:type="dxa" w:w="1871"/>
          </w:tcPr>
          <w:p>
            <w:r/>
            <w:r>
              <w:rPr>
                <w:b/>
                <w:color w:val="5B6570"/>
                <w:sz w:val="17"/>
              </w:rPr>
              <w:t>2024</w:t>
            </w:r>
          </w:p>
        </w:tc>
        <w:tc>
          <w:tcPr>
            <w:tcW w:type="dxa" w:w="1871"/>
          </w:tcPr>
          <w:p>
            <w:r/>
            <w:r>
              <w:rPr>
                <w:b/>
                <w:color w:val="5B6570"/>
                <w:sz w:val="17"/>
              </w:rPr>
              <w:t>2025</w:t>
            </w:r>
          </w:p>
        </w:tc>
      </w:tr>
      <w:tr>
        <w:trPr>
          <w:cantSplit/>
        </w:trPr>
        <w:tc>
          <w:tcPr>
            <w:tcW w:type="dxa" w:w="3515"/>
          </w:tcPr>
          <w:p>
            <w:r/>
            <w:r>
              <w:rPr>
                <w:color w:val="1A1D21"/>
                <w:sz w:val="17"/>
              </w:rPr>
              <w:t>Revenue</w:t>
            </w:r>
          </w:p>
        </w:tc>
        <w:tc>
          <w:tcPr>
            <w:tcW w:type="dxa" w:w="1871"/>
          </w:tcPr>
          <w:p>
            <w:pPr>
              <w:jc w:val="right"/>
            </w:pPr>
            <w:r/>
            <w:r>
              <w:rPr>
                <w:color w:val="1A1D21"/>
                <w:sz w:val="17"/>
              </w:rPr>
              <w:t>17,462.1</w:t>
            </w:r>
          </w:p>
        </w:tc>
        <w:tc>
          <w:tcPr>
            <w:tcW w:type="dxa" w:w="1871"/>
          </w:tcPr>
          <w:p>
            <w:pPr>
              <w:jc w:val="right"/>
            </w:pPr>
            <w:r/>
            <w:r>
              <w:rPr>
                <w:color w:val="1A1D21"/>
                <w:sz w:val="17"/>
              </w:rPr>
              <w:t>27,167.3</w:t>
            </w:r>
          </w:p>
        </w:tc>
        <w:tc>
          <w:tcPr>
            <w:tcW w:type="dxa" w:w="1871"/>
          </w:tcPr>
          <w:p>
            <w:pPr>
              <w:jc w:val="right"/>
            </w:pPr>
            <w:r/>
            <w:r>
              <w:rPr>
                <w:color w:val="1A1D21"/>
                <w:sz w:val="17"/>
              </w:rPr>
              <w:t>36,169.3</w:t>
            </w:r>
          </w:p>
        </w:tc>
      </w:tr>
      <w:tr>
        <w:trPr>
          <w:cantSplit/>
        </w:trPr>
        <w:tc>
          <w:tcPr>
            <w:tcW w:type="dxa" w:w="3515"/>
          </w:tcPr>
          <w:p>
            <w:r/>
            <w:r>
              <w:rPr>
                <w:color w:val="1A1D21"/>
                <w:sz w:val="17"/>
              </w:rPr>
              <w:t>Cost of revenue</w:t>
            </w:r>
          </w:p>
        </w:tc>
        <w:tc>
          <w:tcPr>
            <w:tcW w:type="dxa" w:w="1871"/>
          </w:tcPr>
          <w:p>
            <w:pPr>
              <w:jc w:val="right"/>
            </w:pPr>
            <w:r/>
            <w:r>
              <w:rPr>
                <w:color w:val="1A1D21"/>
                <w:sz w:val="17"/>
              </w:rPr>
              <w:t>-11,907.2</w:t>
            </w:r>
          </w:p>
        </w:tc>
        <w:tc>
          <w:tcPr>
            <w:tcW w:type="dxa" w:w="1871"/>
          </w:tcPr>
          <w:p>
            <w:pPr>
              <w:jc w:val="right"/>
            </w:pPr>
            <w:r/>
            <w:r>
              <w:rPr>
                <w:color w:val="1A1D21"/>
                <w:sz w:val="17"/>
              </w:rPr>
              <w:t>-17,739.9</w:t>
            </w:r>
          </w:p>
        </w:tc>
        <w:tc>
          <w:tcPr>
            <w:tcW w:type="dxa" w:w="1871"/>
          </w:tcPr>
          <w:p>
            <w:pPr>
              <w:jc w:val="right"/>
            </w:pPr>
            <w:r/>
            <w:r>
              <w:rPr>
                <w:color w:val="1A1D21"/>
                <w:sz w:val="17"/>
              </w:rPr>
              <w:t>-21,118.9</w:t>
            </w:r>
          </w:p>
        </w:tc>
      </w:tr>
      <w:tr>
        <w:trPr>
          <w:cantSplit/>
        </w:trPr>
        <w:tc>
          <w:tcPr>
            <w:tcW w:type="dxa" w:w="3515"/>
          </w:tcPr>
          <w:p>
            <w:r/>
            <w:r>
              <w:rPr>
                <w:color w:val="1A1D21"/>
                <w:sz w:val="17"/>
              </w:rPr>
              <w:t>Cash discount</w:t>
            </w:r>
          </w:p>
        </w:tc>
        <w:tc>
          <w:tcPr>
            <w:tcW w:type="dxa" w:w="1871"/>
          </w:tcPr>
          <w:p>
            <w:pPr>
              <w:jc w:val="right"/>
            </w:pPr>
            <w:r/>
            <w:r>
              <w:rPr>
                <w:color w:val="1A1D21"/>
                <w:sz w:val="17"/>
              </w:rPr>
              <w:t>-47.2</w:t>
            </w:r>
          </w:p>
        </w:tc>
        <w:tc>
          <w:tcPr>
            <w:tcW w:type="dxa" w:w="1871"/>
          </w:tcPr>
          <w:p>
            <w:pPr>
              <w:jc w:val="right"/>
            </w:pPr>
            <w:r/>
            <w:r>
              <w:rPr>
                <w:color w:val="1A1D21"/>
                <w:sz w:val="17"/>
              </w:rPr>
              <w:t>-97.3</w:t>
            </w:r>
          </w:p>
        </w:tc>
        <w:tc>
          <w:tcPr>
            <w:tcW w:type="dxa" w:w="1871"/>
          </w:tcPr>
          <w:p>
            <w:pPr>
              <w:jc w:val="right"/>
            </w:pPr>
            <w:r/>
            <w:r>
              <w:rPr>
                <w:color w:val="1A1D21"/>
                <w:sz w:val="17"/>
              </w:rPr>
              <w:t>-162.8</w:t>
            </w:r>
          </w:p>
        </w:tc>
      </w:tr>
      <w:tr>
        <w:trPr>
          <w:cantSplit/>
        </w:trPr>
        <w:tc>
          <w:tcPr>
            <w:tcW w:type="dxa" w:w="3515"/>
          </w:tcPr>
          <w:p>
            <w:r/>
            <w:r>
              <w:rPr>
                <w:color w:val="1A1D21"/>
                <w:sz w:val="17"/>
              </w:rPr>
              <w:t>Gross profit</w:t>
            </w:r>
          </w:p>
        </w:tc>
        <w:tc>
          <w:tcPr>
            <w:tcW w:type="dxa" w:w="1871"/>
          </w:tcPr>
          <w:p>
            <w:pPr>
              <w:jc w:val="right"/>
            </w:pPr>
            <w:r/>
            <w:r>
              <w:rPr>
                <w:color w:val="1A1D21"/>
                <w:sz w:val="17"/>
              </w:rPr>
              <w:t>5,507.6</w:t>
            </w:r>
          </w:p>
        </w:tc>
        <w:tc>
          <w:tcPr>
            <w:tcW w:type="dxa" w:w="1871"/>
          </w:tcPr>
          <w:p>
            <w:pPr>
              <w:jc w:val="right"/>
            </w:pPr>
            <w:r/>
            <w:r>
              <w:rPr>
                <w:color w:val="1A1D21"/>
                <w:sz w:val="17"/>
              </w:rPr>
              <w:t>9,330.1</w:t>
            </w:r>
          </w:p>
        </w:tc>
        <w:tc>
          <w:tcPr>
            <w:tcW w:type="dxa" w:w="1871"/>
          </w:tcPr>
          <w:p>
            <w:pPr>
              <w:jc w:val="right"/>
            </w:pPr>
            <w:r/>
            <w:r>
              <w:rPr>
                <w:color w:val="1A1D21"/>
                <w:sz w:val="17"/>
              </w:rPr>
              <w:t>14,887.6</w:t>
            </w:r>
          </w:p>
        </w:tc>
      </w:tr>
      <w:tr>
        <w:trPr>
          <w:cantSplit/>
        </w:trPr>
        <w:tc>
          <w:tcPr>
            <w:tcW w:type="dxa" w:w="3515"/>
          </w:tcPr>
          <w:p>
            <w:r/>
            <w:r>
              <w:rPr>
                <w:color w:val="1A1D21"/>
                <w:sz w:val="17"/>
              </w:rPr>
              <w:t>Overheads</w:t>
            </w:r>
          </w:p>
        </w:tc>
        <w:tc>
          <w:tcPr>
            <w:tcW w:type="dxa" w:w="1871"/>
          </w:tcPr>
          <w:p>
            <w:pPr>
              <w:jc w:val="right"/>
            </w:pPr>
            <w:r/>
            <w:r>
              <w:rPr>
                <w:color w:val="1A1D21"/>
                <w:sz w:val="17"/>
              </w:rPr>
              <w:t>-2,060.5</w:t>
            </w:r>
          </w:p>
        </w:tc>
        <w:tc>
          <w:tcPr>
            <w:tcW w:type="dxa" w:w="1871"/>
          </w:tcPr>
          <w:p>
            <w:pPr>
              <w:jc w:val="right"/>
            </w:pPr>
            <w:r/>
            <w:r>
              <w:rPr>
                <w:color w:val="1A1D21"/>
                <w:sz w:val="17"/>
              </w:rPr>
              <w:t>-3,435.8</w:t>
            </w:r>
          </w:p>
        </w:tc>
        <w:tc>
          <w:tcPr>
            <w:tcW w:type="dxa" w:w="1871"/>
          </w:tcPr>
          <w:p>
            <w:pPr>
              <w:jc w:val="right"/>
            </w:pPr>
            <w:r/>
            <w:r>
              <w:rPr>
                <w:color w:val="1A1D21"/>
                <w:sz w:val="17"/>
              </w:rPr>
              <w:t>-6,365.6</w:t>
            </w:r>
          </w:p>
        </w:tc>
      </w:tr>
      <w:tr>
        <w:trPr>
          <w:cantSplit/>
        </w:trPr>
        <w:tc>
          <w:tcPr>
            <w:tcW w:type="dxa" w:w="3515"/>
          </w:tcPr>
          <w:p>
            <w:r/>
            <w:r>
              <w:rPr>
                <w:color w:val="1A1D21"/>
                <w:sz w:val="17"/>
              </w:rPr>
              <w:t>Depreciation and amortisation</w:t>
            </w:r>
          </w:p>
        </w:tc>
        <w:tc>
          <w:tcPr>
            <w:tcW w:type="dxa" w:w="1871"/>
          </w:tcPr>
          <w:p>
            <w:pPr>
              <w:jc w:val="right"/>
            </w:pPr>
            <w:r/>
            <w:r>
              <w:rPr>
                <w:color w:val="1A1D21"/>
                <w:sz w:val="17"/>
              </w:rPr>
              <w:t>-178.6</w:t>
            </w:r>
          </w:p>
        </w:tc>
        <w:tc>
          <w:tcPr>
            <w:tcW w:type="dxa" w:w="1871"/>
          </w:tcPr>
          <w:p>
            <w:pPr>
              <w:jc w:val="right"/>
            </w:pPr>
            <w:r/>
            <w:r>
              <w:rPr>
                <w:color w:val="1A1D21"/>
                <w:sz w:val="17"/>
              </w:rPr>
              <w:t>-239.9</w:t>
            </w:r>
          </w:p>
        </w:tc>
        <w:tc>
          <w:tcPr>
            <w:tcW w:type="dxa" w:w="1871"/>
          </w:tcPr>
          <w:p>
            <w:pPr>
              <w:jc w:val="right"/>
            </w:pPr>
            <w:r/>
            <w:r>
              <w:rPr>
                <w:color w:val="1A1D21"/>
                <w:sz w:val="17"/>
              </w:rPr>
              <w:t>-353.7</w:t>
            </w:r>
          </w:p>
        </w:tc>
      </w:tr>
      <w:tr>
        <w:trPr>
          <w:cantSplit/>
        </w:trPr>
        <w:tc>
          <w:tcPr>
            <w:tcW w:type="dxa" w:w="3515"/>
          </w:tcPr>
          <w:p>
            <w:r/>
            <w:r>
              <w:rPr>
                <w:color w:val="1A1D21"/>
                <w:sz w:val="17"/>
              </w:rPr>
              <w:t>Finance cost</w:t>
            </w:r>
          </w:p>
        </w:tc>
        <w:tc>
          <w:tcPr>
            <w:tcW w:type="dxa" w:w="1871"/>
          </w:tcPr>
          <w:p>
            <w:r/>
            <w:r>
              <w:rPr>
                <w:color w:val="1A1D21"/>
                <w:sz w:val="17"/>
              </w:rPr>
            </w:r>
          </w:p>
        </w:tc>
        <w:tc>
          <w:tcPr>
            <w:tcW w:type="dxa" w:w="1871"/>
          </w:tcPr>
          <w:p>
            <w:pPr>
              <w:jc w:val="right"/>
            </w:pPr>
            <w:r/>
            <w:r>
              <w:rPr>
                <w:color w:val="1A1D21"/>
                <w:sz w:val="17"/>
              </w:rPr>
              <w:t>-2,311.4</w:t>
            </w:r>
          </w:p>
        </w:tc>
        <w:tc>
          <w:tcPr>
            <w:tcW w:type="dxa" w:w="1871"/>
          </w:tcPr>
          <w:p>
            <w:pPr>
              <w:jc w:val="right"/>
            </w:pPr>
            <w:r/>
            <w:r>
              <w:rPr>
                <w:color w:val="1A1D21"/>
                <w:sz w:val="17"/>
              </w:rPr>
              <w:t>-3,347.5</w:t>
            </w:r>
          </w:p>
        </w:tc>
      </w:tr>
      <w:tr>
        <w:trPr>
          <w:cantSplit/>
        </w:trPr>
        <w:tc>
          <w:tcPr>
            <w:tcW w:type="dxa" w:w="3515"/>
          </w:tcPr>
          <w:p>
            <w:r/>
            <w:r>
              <w:rPr>
                <w:color w:val="1A1D21"/>
                <w:sz w:val="17"/>
              </w:rPr>
              <w:t>Other income and items the record does not hold separately (residual)</w:t>
            </w:r>
          </w:p>
        </w:tc>
        <w:tc>
          <w:tcPr>
            <w:tcW w:type="dxa" w:w="1871"/>
          </w:tcPr>
          <w:p>
            <w:pPr>
              <w:jc w:val="right"/>
            </w:pPr>
            <w:r/>
            <w:r>
              <w:rPr>
                <w:color w:val="1A1D21"/>
                <w:sz w:val="17"/>
              </w:rPr>
              <w:t>-967.8</w:t>
            </w:r>
          </w:p>
        </w:tc>
        <w:tc>
          <w:tcPr>
            <w:tcW w:type="dxa" w:w="1871"/>
          </w:tcPr>
          <w:p>
            <w:pPr>
              <w:jc w:val="right"/>
            </w:pPr>
            <w:r/>
            <w:r>
              <w:rPr>
                <w:color w:val="1A1D21"/>
                <w:sz w:val="17"/>
              </w:rPr>
              <w:t>977.6</w:t>
            </w:r>
          </w:p>
        </w:tc>
        <w:tc>
          <w:tcPr>
            <w:tcW w:type="dxa" w:w="1871"/>
          </w:tcPr>
          <w:p>
            <w:pPr>
              <w:jc w:val="right"/>
            </w:pPr>
            <w:r/>
            <w:r>
              <w:rPr>
                <w:color w:val="1A1D21"/>
                <w:sz w:val="17"/>
              </w:rPr>
              <w:t>1,430.3</w:t>
            </w:r>
          </w:p>
        </w:tc>
      </w:tr>
      <w:tr>
        <w:trPr>
          <w:cantSplit/>
        </w:trPr>
        <w:tc>
          <w:tcPr>
            <w:tcW w:type="dxa" w:w="3515"/>
          </w:tcPr>
          <w:p>
            <w:r/>
            <w:r>
              <w:rPr>
                <w:color w:val="1A1D21"/>
                <w:sz w:val="17"/>
              </w:rPr>
              <w:t>Profit before tax</w:t>
            </w:r>
          </w:p>
        </w:tc>
        <w:tc>
          <w:tcPr>
            <w:tcW w:type="dxa" w:w="1871"/>
          </w:tcPr>
          <w:p>
            <w:pPr>
              <w:jc w:val="right"/>
            </w:pPr>
            <w:r/>
            <w:r>
              <w:rPr>
                <w:color w:val="1A1D21"/>
                <w:sz w:val="17"/>
              </w:rPr>
              <w:t>2,300.7</w:t>
            </w:r>
          </w:p>
        </w:tc>
        <w:tc>
          <w:tcPr>
            <w:tcW w:type="dxa" w:w="1871"/>
          </w:tcPr>
          <w:p>
            <w:pPr>
              <w:jc w:val="right"/>
            </w:pPr>
            <w:r/>
            <w:r>
              <w:rPr>
                <w:color w:val="1A1D21"/>
                <w:sz w:val="17"/>
              </w:rPr>
              <w:t>4,320.6</w:t>
            </w:r>
          </w:p>
        </w:tc>
        <w:tc>
          <w:tcPr>
            <w:tcW w:type="dxa" w:w="1871"/>
          </w:tcPr>
          <w:p>
            <w:pPr>
              <w:jc w:val="right"/>
            </w:pPr>
            <w:r/>
            <w:r>
              <w:rPr>
                <w:color w:val="1A1D21"/>
                <w:sz w:val="17"/>
              </w:rPr>
              <w:t>6,251.1</w:t>
            </w:r>
          </w:p>
        </w:tc>
      </w:tr>
      <w:tr>
        <w:trPr>
          <w:cantSplit/>
        </w:trPr>
        <w:tc>
          <w:tcPr>
            <w:tcW w:type="dxa" w:w="3515"/>
          </w:tcPr>
          <w:p>
            <w:r/>
            <w:r>
              <w:rPr>
                <w:color w:val="1A1D21"/>
                <w:sz w:val="17"/>
              </w:rPr>
              <w:t>Tax</w:t>
            </w:r>
          </w:p>
        </w:tc>
        <w:tc>
          <w:tcPr>
            <w:tcW w:type="dxa" w:w="1871"/>
          </w:tcPr>
          <w:p>
            <w:pPr>
              <w:jc w:val="right"/>
            </w:pPr>
            <w:r/>
            <w:r>
              <w:rPr>
                <w:color w:val="1A1D21"/>
                <w:sz w:val="17"/>
              </w:rPr>
              <w:t>-567.3</w:t>
            </w:r>
          </w:p>
        </w:tc>
        <w:tc>
          <w:tcPr>
            <w:tcW w:type="dxa" w:w="1871"/>
          </w:tcPr>
          <w:p>
            <w:pPr>
              <w:jc w:val="right"/>
            </w:pPr>
            <w:r/>
            <w:r>
              <w:rPr>
                <w:color w:val="1A1D21"/>
                <w:sz w:val="17"/>
              </w:rPr>
              <w:t>-917.1</w:t>
            </w:r>
          </w:p>
        </w:tc>
        <w:tc>
          <w:tcPr>
            <w:tcW w:type="dxa" w:w="1871"/>
          </w:tcPr>
          <w:p>
            <w:pPr>
              <w:jc w:val="right"/>
            </w:pPr>
            <w:r/>
            <w:r>
              <w:rPr>
                <w:color w:val="1A1D21"/>
                <w:sz w:val="17"/>
              </w:rPr>
              <w:t>-1,827.2</w:t>
            </w:r>
          </w:p>
        </w:tc>
      </w:tr>
      <w:tr>
        <w:trPr>
          <w:cantSplit/>
        </w:trPr>
        <w:tc>
          <w:tcPr>
            <w:tcW w:type="dxa" w:w="3515"/>
          </w:tcPr>
          <w:p>
            <w:r/>
            <w:r>
              <w:rPr>
                <w:color w:val="1A1D21"/>
                <w:sz w:val="17"/>
              </w:rPr>
              <w:t>Profit after tax</w:t>
            </w:r>
          </w:p>
        </w:tc>
        <w:tc>
          <w:tcPr>
            <w:tcW w:type="dxa" w:w="1871"/>
          </w:tcPr>
          <w:p>
            <w:pPr>
              <w:jc w:val="right"/>
            </w:pPr>
            <w:r/>
            <w:r>
              <w:rPr>
                <w:color w:val="1A1D21"/>
                <w:sz w:val="17"/>
              </w:rPr>
              <w:t>1,733.4</w:t>
            </w:r>
          </w:p>
        </w:tc>
        <w:tc>
          <w:tcPr>
            <w:tcW w:type="dxa" w:w="1871"/>
          </w:tcPr>
          <w:p>
            <w:pPr>
              <w:jc w:val="right"/>
            </w:pPr>
            <w:r/>
            <w:r>
              <w:rPr>
                <w:color w:val="1A1D21"/>
                <w:sz w:val="17"/>
              </w:rPr>
              <w:t>3,403.5</w:t>
            </w:r>
          </w:p>
        </w:tc>
        <w:tc>
          <w:tcPr>
            <w:tcW w:type="dxa" w:w="1871"/>
          </w:tcPr>
          <w:p>
            <w:pPr>
              <w:jc w:val="right"/>
            </w:pPr>
            <w:r/>
            <w:r>
              <w:rPr>
                <w:color w:val="1A1D21"/>
                <w:sz w:val="17"/>
              </w:rPr>
              <w:t>4,423.8</w:t>
            </w:r>
          </w:p>
        </w:tc>
      </w:tr>
      <w:tr>
        <w:trPr>
          <w:cantSplit/>
        </w:trPr>
        <w:tc>
          <w:tcPr>
            <w:tcW w:type="dxa" w:w="3515"/>
          </w:tcPr>
          <w:p>
            <w:r/>
            <w:r>
              <w:rPr>
                <w:color w:val="1A1D21"/>
                <w:sz w:val="17"/>
              </w:rPr>
              <w:t>Minority interest</w:t>
            </w:r>
          </w:p>
        </w:tc>
        <w:tc>
          <w:tcPr>
            <w:tcW w:type="dxa" w:w="1871"/>
          </w:tcPr>
          <w:p>
            <w:pPr>
              <w:jc w:val="right"/>
            </w:pPr>
            <w:r/>
            <w:r>
              <w:rPr>
                <w:color w:val="1A1D21"/>
                <w:sz w:val="17"/>
              </w:rPr>
              <w:t>-151.9</w:t>
            </w:r>
          </w:p>
        </w:tc>
        <w:tc>
          <w:tcPr>
            <w:tcW w:type="dxa" w:w="1871"/>
          </w:tcPr>
          <w:p>
            <w:pPr>
              <w:jc w:val="right"/>
            </w:pPr>
            <w:r/>
            <w:r>
              <w:rPr>
                <w:color w:val="1A1D21"/>
                <w:sz w:val="17"/>
              </w:rPr>
              <w:t>-148.5</w:t>
            </w:r>
          </w:p>
        </w:tc>
        <w:tc>
          <w:tcPr>
            <w:tcW w:type="dxa" w:w="1871"/>
          </w:tcPr>
          <w:p>
            <w:pPr>
              <w:jc w:val="right"/>
            </w:pPr>
            <w:r/>
            <w:r>
              <w:rPr>
                <w:color w:val="1A1D21"/>
                <w:sz w:val="17"/>
              </w:rPr>
              <w:t>-207.2</w:t>
            </w:r>
          </w:p>
        </w:tc>
      </w:tr>
      <w:tr>
        <w:trPr>
          <w:cantSplit/>
        </w:trPr>
        <w:tc>
          <w:tcPr>
            <w:tcW w:type="dxa" w:w="3515"/>
          </w:tcPr>
          <w:p>
            <w:r/>
            <w:r>
              <w:rPr>
                <w:color w:val="1A1D21"/>
                <w:sz w:val="17"/>
              </w:rPr>
              <w:t>Profit attributable to shareholders</w:t>
            </w:r>
          </w:p>
        </w:tc>
        <w:tc>
          <w:tcPr>
            <w:tcW w:type="dxa" w:w="1871"/>
          </w:tcPr>
          <w:p>
            <w:pPr>
              <w:jc w:val="right"/>
            </w:pPr>
            <w:r/>
            <w:r>
              <w:rPr>
                <w:color w:val="1A1D21"/>
                <w:sz w:val="17"/>
              </w:rPr>
              <w:t>1,581.5</w:t>
            </w:r>
          </w:p>
        </w:tc>
        <w:tc>
          <w:tcPr>
            <w:tcW w:type="dxa" w:w="1871"/>
          </w:tcPr>
          <w:p>
            <w:pPr>
              <w:jc w:val="right"/>
            </w:pPr>
            <w:r/>
            <w:r>
              <w:rPr>
                <w:color w:val="1A1D21"/>
                <w:sz w:val="17"/>
              </w:rPr>
              <w:t>3,254.9</w:t>
            </w:r>
          </w:p>
        </w:tc>
        <w:tc>
          <w:tcPr>
            <w:tcW w:type="dxa" w:w="1871"/>
          </w:tcPr>
          <w:p>
            <w:pPr>
              <w:jc w:val="right"/>
            </w:pPr>
            <w:r/>
            <w:r>
              <w:rPr>
                <w:color w:val="1A1D21"/>
                <w:sz w:val="17"/>
              </w:rPr>
              <w:t>4,216.7</w:t>
            </w:r>
          </w:p>
        </w:tc>
      </w:tr>
    </w:tbl>
    <w:p>
      <w:pPr>
        <w:spacing w:after="200"/>
      </w:pPr>
      <w:r>
        <w:rPr>
          <w:b w:val="0"/>
          <w:i/>
          <w:color w:val="5B6570"/>
          <w:sz w:val="16"/>
        </w:rPr>
        <w:t>Three years, each as that year's own audited statements reported it. Revenue less cost of revenue less the cash discount foots to reported gross profit in all three years, and profit before tax less tax less minority interest foots to the attributable figure. The residual line is what the printed rows leave over against reported profit before tax: this study holds no source filings of its own, so the items inside it are not separated here and are not guessed at. It is negative in 2023 because no finance cost for that year is in the record at all, and positive in 2024 and 2025 because an income line the company reports is not held separately.</w:t>
      </w:r>
    </w:p>
    <w:p>
      <w:pPr>
        <w:spacing w:after="140"/>
      </w:pPr>
      <w:r>
        <w:rPr>
          <w:b w:val="0"/>
          <w:i w:val="0"/>
          <w:color w:val="1A1D21"/>
          <w:sz w:val="20"/>
        </w:rPr>
        <w:t>One presentational difference is worth naming rather than smoothing. Cost of revenue for 2024 is EGP 17,739.9 million as the company reported it that year and EGP 17,837.2 million in the comparative column of the 2025 statements — a difference of EGP 97.3 million, exactly that year's cash discount, which the later presentation folds into cost. The forecast is built on the later basis throughout; the table above shows each year as first reported. Both figures are right on their own basis.</w:t>
      </w:r>
    </w:p>
    <w:tbl>
      <w:tblPr>
        <w:tblStyle w:val="TableGrid"/>
        <w:tblW w:type="auto" w:w="0"/>
        <w:jc w:val="center"/>
        <w:tblLayout w:type="fixed"/>
        <w:tblLook w:firstColumn="1" w:firstRow="1" w:lastColumn="0" w:lastRow="0" w:noHBand="0" w:noVBand="1" w:val="04A0"/>
        <w:tblLayout w:type="fixed"/>
      </w:tblPr>
      <w:tblGrid>
        <w:gridCol w:w="1984"/>
        <w:gridCol w:w="1026"/>
        <w:gridCol w:w="1026"/>
        <w:gridCol w:w="1026"/>
        <w:gridCol w:w="1026"/>
        <w:gridCol w:w="1026"/>
        <w:gridCol w:w="1026"/>
        <w:gridCol w:w="1026"/>
      </w:tblGrid>
      <w:tr>
        <w:trPr>
          <w:tblHeader w:val="true"/>
        </w:trPr>
        <w:tc>
          <w:tcPr>
            <w:tcW w:type="dxa" w:w="1984"/>
          </w:tcPr>
          <w:p>
            <w:r/>
            <w:r>
              <w:rPr>
                <w:b/>
                <w:color w:val="5B6570"/>
                <w:sz w:val="17"/>
              </w:rPr>
              <w:t>Forecast, EGP million</w:t>
            </w:r>
          </w:p>
        </w:tc>
        <w:tc>
          <w:tcPr>
            <w:tcW w:type="dxa" w:w="1026"/>
          </w:tcPr>
          <w:p>
            <w:r/>
            <w:r>
              <w:rPr>
                <w:b/>
                <w:color w:val="5B6570"/>
                <w:sz w:val="17"/>
              </w:rPr>
              <w:t>2026</w:t>
            </w:r>
          </w:p>
        </w:tc>
        <w:tc>
          <w:tcPr>
            <w:tcW w:type="dxa" w:w="1026"/>
          </w:tcPr>
          <w:p>
            <w:r/>
            <w:r>
              <w:rPr>
                <w:b/>
                <w:color w:val="5B6570"/>
                <w:sz w:val="17"/>
              </w:rPr>
              <w:t>2027</w:t>
            </w:r>
          </w:p>
        </w:tc>
        <w:tc>
          <w:tcPr>
            <w:tcW w:type="dxa" w:w="1026"/>
          </w:tcPr>
          <w:p>
            <w:r/>
            <w:r>
              <w:rPr>
                <w:b/>
                <w:color w:val="5B6570"/>
                <w:sz w:val="17"/>
              </w:rPr>
              <w:t>2028</w:t>
            </w:r>
          </w:p>
        </w:tc>
        <w:tc>
          <w:tcPr>
            <w:tcW w:type="dxa" w:w="1026"/>
          </w:tcPr>
          <w:p>
            <w:r/>
            <w:r>
              <w:rPr>
                <w:b/>
                <w:color w:val="5B6570"/>
                <w:sz w:val="17"/>
              </w:rPr>
              <w:t>2029</w:t>
            </w:r>
          </w:p>
        </w:tc>
        <w:tc>
          <w:tcPr>
            <w:tcW w:type="dxa" w:w="1026"/>
          </w:tcPr>
          <w:p>
            <w:r/>
            <w:r>
              <w:rPr>
                <w:b/>
                <w:color w:val="5B6570"/>
                <w:sz w:val="17"/>
              </w:rPr>
              <w:t>2030</w:t>
            </w:r>
          </w:p>
        </w:tc>
        <w:tc>
          <w:tcPr>
            <w:tcW w:type="dxa" w:w="1026"/>
          </w:tcPr>
          <w:p>
            <w:r/>
            <w:r>
              <w:rPr>
                <w:b/>
                <w:color w:val="5B6570"/>
                <w:sz w:val="17"/>
              </w:rPr>
              <w:t>2035</w:t>
            </w:r>
          </w:p>
        </w:tc>
        <w:tc>
          <w:tcPr>
            <w:tcW w:type="dxa" w:w="1026"/>
          </w:tcPr>
          <w:p>
            <w:r/>
            <w:r>
              <w:rPr>
                <w:b/>
                <w:color w:val="5B6570"/>
                <w:sz w:val="17"/>
              </w:rPr>
              <w:t>2040</w:t>
            </w:r>
          </w:p>
        </w:tc>
      </w:tr>
      <w:tr>
        <w:trPr>
          <w:cantSplit/>
        </w:trPr>
        <w:tc>
          <w:tcPr>
            <w:tcW w:type="dxa" w:w="1984"/>
          </w:tcPr>
          <w:p>
            <w:r/>
            <w:r>
              <w:rPr>
                <w:color w:val="1A1D21"/>
                <w:sz w:val="17"/>
              </w:rPr>
              <w:t>Units delivered</w:t>
            </w:r>
          </w:p>
        </w:tc>
        <w:tc>
          <w:tcPr>
            <w:tcW w:type="dxa" w:w="1026"/>
          </w:tcPr>
          <w:p>
            <w:pPr>
              <w:jc w:val="right"/>
            </w:pPr>
            <w:r/>
            <w:r>
              <w:rPr>
                <w:color w:val="1A1D21"/>
                <w:sz w:val="17"/>
              </w:rPr>
              <w:t>2,035</w:t>
            </w:r>
          </w:p>
        </w:tc>
        <w:tc>
          <w:tcPr>
            <w:tcW w:type="dxa" w:w="1026"/>
          </w:tcPr>
          <w:p>
            <w:pPr>
              <w:jc w:val="right"/>
            </w:pPr>
            <w:r/>
            <w:r>
              <w:rPr>
                <w:color w:val="1A1D21"/>
                <w:sz w:val="17"/>
              </w:rPr>
              <w:t>2,340</w:t>
            </w:r>
          </w:p>
        </w:tc>
        <w:tc>
          <w:tcPr>
            <w:tcW w:type="dxa" w:w="1026"/>
          </w:tcPr>
          <w:p>
            <w:pPr>
              <w:jc w:val="right"/>
            </w:pPr>
            <w:r/>
            <w:r>
              <w:rPr>
                <w:color w:val="1A1D21"/>
                <w:sz w:val="17"/>
              </w:rPr>
              <w:t>2,656</w:t>
            </w:r>
          </w:p>
        </w:tc>
        <w:tc>
          <w:tcPr>
            <w:tcW w:type="dxa" w:w="1026"/>
          </w:tcPr>
          <w:p>
            <w:pPr>
              <w:jc w:val="right"/>
            </w:pPr>
            <w:r/>
            <w:r>
              <w:rPr>
                <w:color w:val="1A1D21"/>
                <w:sz w:val="17"/>
              </w:rPr>
              <w:t>2,975</w:t>
            </w:r>
          </w:p>
        </w:tc>
        <w:tc>
          <w:tcPr>
            <w:tcW w:type="dxa" w:w="1026"/>
          </w:tcPr>
          <w:p>
            <w:pPr>
              <w:jc w:val="right"/>
            </w:pPr>
            <w:r/>
            <w:r>
              <w:rPr>
                <w:color w:val="1A1D21"/>
                <w:sz w:val="17"/>
              </w:rPr>
              <w:t>3,287</w:t>
            </w:r>
          </w:p>
        </w:tc>
        <w:tc>
          <w:tcPr>
            <w:tcW w:type="dxa" w:w="1026"/>
          </w:tcPr>
          <w:p>
            <w:pPr>
              <w:jc w:val="right"/>
            </w:pPr>
            <w:r/>
            <w:r>
              <w:rPr>
                <w:color w:val="1A1D21"/>
                <w:sz w:val="17"/>
              </w:rPr>
              <w:t>4,395</w:t>
            </w:r>
          </w:p>
        </w:tc>
        <w:tc>
          <w:tcPr>
            <w:tcW w:type="dxa" w:w="1026"/>
          </w:tcPr>
          <w:p>
            <w:pPr>
              <w:jc w:val="right"/>
            </w:pPr>
            <w:r/>
            <w:r>
              <w:rPr>
                <w:color w:val="1A1D21"/>
                <w:sz w:val="17"/>
              </w:rPr>
              <w:t>4,461</w:t>
            </w:r>
          </w:p>
        </w:tc>
      </w:tr>
      <w:tr>
        <w:trPr>
          <w:cantSplit/>
        </w:trPr>
        <w:tc>
          <w:tcPr>
            <w:tcW w:type="dxa" w:w="1984"/>
          </w:tcPr>
          <w:p>
            <w:r/>
            <w:r>
              <w:rPr>
                <w:color w:val="1A1D21"/>
                <w:sz w:val="17"/>
              </w:rPr>
              <w:t>Revenue per delivered unit</w:t>
            </w:r>
          </w:p>
        </w:tc>
        <w:tc>
          <w:tcPr>
            <w:tcW w:type="dxa" w:w="1026"/>
          </w:tcPr>
          <w:p>
            <w:pPr>
              <w:jc w:val="right"/>
            </w:pPr>
            <w:r/>
            <w:r>
              <w:rPr>
                <w:color w:val="1A1D21"/>
                <w:sz w:val="17"/>
              </w:rPr>
              <w:t>19.73</w:t>
            </w:r>
          </w:p>
        </w:tc>
        <w:tc>
          <w:tcPr>
            <w:tcW w:type="dxa" w:w="1026"/>
          </w:tcPr>
          <w:p>
            <w:pPr>
              <w:jc w:val="right"/>
            </w:pPr>
            <w:r/>
            <w:r>
              <w:rPr>
                <w:color w:val="1A1D21"/>
                <w:sz w:val="17"/>
              </w:rPr>
              <w:t>22.10</w:t>
            </w:r>
          </w:p>
        </w:tc>
        <w:tc>
          <w:tcPr>
            <w:tcW w:type="dxa" w:w="1026"/>
          </w:tcPr>
          <w:p>
            <w:pPr>
              <w:jc w:val="right"/>
            </w:pPr>
            <w:r/>
            <w:r>
              <w:rPr>
                <w:color w:val="1A1D21"/>
                <w:sz w:val="17"/>
              </w:rPr>
              <w:t>24.08</w:t>
            </w:r>
          </w:p>
        </w:tc>
        <w:tc>
          <w:tcPr>
            <w:tcW w:type="dxa" w:w="1026"/>
          </w:tcPr>
          <w:p>
            <w:pPr>
              <w:jc w:val="right"/>
            </w:pPr>
            <w:r/>
            <w:r>
              <w:rPr>
                <w:color w:val="1A1D21"/>
                <w:sz w:val="17"/>
              </w:rPr>
              <w:t>25.89</w:t>
            </w:r>
          </w:p>
        </w:tc>
        <w:tc>
          <w:tcPr>
            <w:tcW w:type="dxa" w:w="1026"/>
          </w:tcPr>
          <w:p>
            <w:pPr>
              <w:jc w:val="right"/>
            </w:pPr>
            <w:r/>
            <w:r>
              <w:rPr>
                <w:color w:val="1A1D21"/>
                <w:sz w:val="17"/>
              </w:rPr>
              <w:t>27.70</w:t>
            </w:r>
          </w:p>
        </w:tc>
        <w:tc>
          <w:tcPr>
            <w:tcW w:type="dxa" w:w="1026"/>
          </w:tcPr>
          <w:p>
            <w:pPr>
              <w:jc w:val="right"/>
            </w:pPr>
            <w:r/>
            <w:r>
              <w:rPr>
                <w:color w:val="1A1D21"/>
                <w:sz w:val="17"/>
              </w:rPr>
              <w:t>38.85</w:t>
            </w:r>
          </w:p>
        </w:tc>
        <w:tc>
          <w:tcPr>
            <w:tcW w:type="dxa" w:w="1026"/>
          </w:tcPr>
          <w:p>
            <w:pPr>
              <w:jc w:val="right"/>
            </w:pPr>
            <w:r/>
            <w:r>
              <w:rPr>
                <w:color w:val="1A1D21"/>
                <w:sz w:val="17"/>
              </w:rPr>
              <w:t>54.49</w:t>
            </w:r>
          </w:p>
        </w:tc>
      </w:tr>
      <w:tr>
        <w:trPr>
          <w:cantSplit/>
        </w:trPr>
        <w:tc>
          <w:tcPr>
            <w:tcW w:type="dxa" w:w="1984"/>
          </w:tcPr>
          <w:p>
            <w:r/>
            <w:r>
              <w:rPr>
                <w:color w:val="1A1D21"/>
                <w:sz w:val="17"/>
              </w:rPr>
              <w:t>Revenue</w:t>
            </w:r>
          </w:p>
        </w:tc>
        <w:tc>
          <w:tcPr>
            <w:tcW w:type="dxa" w:w="1026"/>
          </w:tcPr>
          <w:p>
            <w:pPr>
              <w:jc w:val="right"/>
            </w:pPr>
            <w:r/>
            <w:r>
              <w:rPr>
                <w:color w:val="1A1D21"/>
                <w:sz w:val="17"/>
              </w:rPr>
              <w:t>40,148</w:t>
            </w:r>
          </w:p>
        </w:tc>
        <w:tc>
          <w:tcPr>
            <w:tcW w:type="dxa" w:w="1026"/>
          </w:tcPr>
          <w:p>
            <w:pPr>
              <w:jc w:val="right"/>
            </w:pPr>
            <w:r/>
            <w:r>
              <w:rPr>
                <w:color w:val="1A1D21"/>
                <w:sz w:val="17"/>
              </w:rPr>
              <w:t>51,711</w:t>
            </w:r>
          </w:p>
        </w:tc>
        <w:tc>
          <w:tcPr>
            <w:tcW w:type="dxa" w:w="1026"/>
          </w:tcPr>
          <w:p>
            <w:pPr>
              <w:jc w:val="right"/>
            </w:pPr>
            <w:r/>
            <w:r>
              <w:rPr>
                <w:color w:val="1A1D21"/>
                <w:sz w:val="17"/>
              </w:rPr>
              <w:t>63,974</w:t>
            </w:r>
          </w:p>
        </w:tc>
        <w:tc>
          <w:tcPr>
            <w:tcW w:type="dxa" w:w="1026"/>
          </w:tcPr>
          <w:p>
            <w:pPr>
              <w:jc w:val="right"/>
            </w:pPr>
            <w:r/>
            <w:r>
              <w:rPr>
                <w:color w:val="1A1D21"/>
                <w:sz w:val="17"/>
              </w:rPr>
              <w:t>77,024</w:t>
            </w:r>
          </w:p>
        </w:tc>
        <w:tc>
          <w:tcPr>
            <w:tcW w:type="dxa" w:w="1026"/>
          </w:tcPr>
          <w:p>
            <w:pPr>
              <w:jc w:val="right"/>
            </w:pPr>
            <w:r/>
            <w:r>
              <w:rPr>
                <w:color w:val="1A1D21"/>
                <w:sz w:val="17"/>
              </w:rPr>
              <w:t>91,070</w:t>
            </w:r>
          </w:p>
        </w:tc>
        <w:tc>
          <w:tcPr>
            <w:tcW w:type="dxa" w:w="1026"/>
          </w:tcPr>
          <w:p>
            <w:pPr>
              <w:jc w:val="right"/>
            </w:pPr>
            <w:r/>
            <w:r>
              <w:rPr>
                <w:color w:val="1A1D21"/>
                <w:sz w:val="17"/>
              </w:rPr>
              <w:t>170,760</w:t>
            </w:r>
          </w:p>
        </w:tc>
        <w:tc>
          <w:tcPr>
            <w:tcW w:type="dxa" w:w="1026"/>
          </w:tcPr>
          <w:p>
            <w:pPr>
              <w:jc w:val="right"/>
            </w:pPr>
            <w:r/>
            <w:r>
              <w:rPr>
                <w:color w:val="1A1D21"/>
                <w:sz w:val="17"/>
              </w:rPr>
              <w:t>243,093</w:t>
            </w:r>
          </w:p>
        </w:tc>
      </w:tr>
      <w:tr>
        <w:trPr>
          <w:cantSplit/>
        </w:trPr>
        <w:tc>
          <w:tcPr>
            <w:tcW w:type="dxa" w:w="1984"/>
          </w:tcPr>
          <w:p>
            <w:r/>
            <w:r>
              <w:rPr>
                <w:color w:val="1A1D21"/>
                <w:sz w:val="17"/>
              </w:rPr>
              <w:t>Cost per delivered unit</w:t>
            </w:r>
          </w:p>
        </w:tc>
        <w:tc>
          <w:tcPr>
            <w:tcW w:type="dxa" w:w="1026"/>
          </w:tcPr>
          <w:p>
            <w:pPr>
              <w:jc w:val="right"/>
            </w:pPr>
            <w:r/>
            <w:r>
              <w:rPr>
                <w:color w:val="1A1D21"/>
                <w:sz w:val="17"/>
              </w:rPr>
              <w:t>12.73</w:t>
            </w:r>
          </w:p>
        </w:tc>
        <w:tc>
          <w:tcPr>
            <w:tcW w:type="dxa" w:w="1026"/>
          </w:tcPr>
          <w:p>
            <w:pPr>
              <w:jc w:val="right"/>
            </w:pPr>
            <w:r/>
            <w:r>
              <w:rPr>
                <w:color w:val="1A1D21"/>
                <w:sz w:val="17"/>
              </w:rPr>
              <w:t>14.25</w:t>
            </w:r>
          </w:p>
        </w:tc>
        <w:tc>
          <w:tcPr>
            <w:tcW w:type="dxa" w:w="1026"/>
          </w:tcPr>
          <w:p>
            <w:pPr>
              <w:jc w:val="right"/>
            </w:pPr>
            <w:r/>
            <w:r>
              <w:rPr>
                <w:color w:val="1A1D21"/>
                <w:sz w:val="17"/>
              </w:rPr>
              <w:t>15.54</w:t>
            </w:r>
          </w:p>
        </w:tc>
        <w:tc>
          <w:tcPr>
            <w:tcW w:type="dxa" w:w="1026"/>
          </w:tcPr>
          <w:p>
            <w:pPr>
              <w:jc w:val="right"/>
            </w:pPr>
            <w:r/>
            <w:r>
              <w:rPr>
                <w:color w:val="1A1D21"/>
                <w:sz w:val="17"/>
              </w:rPr>
              <w:t>16.70</w:t>
            </w:r>
          </w:p>
        </w:tc>
        <w:tc>
          <w:tcPr>
            <w:tcW w:type="dxa" w:w="1026"/>
          </w:tcPr>
          <w:p>
            <w:pPr>
              <w:jc w:val="right"/>
            </w:pPr>
            <w:r/>
            <w:r>
              <w:rPr>
                <w:color w:val="1A1D21"/>
                <w:sz w:val="17"/>
              </w:rPr>
              <w:t>17.87</w:t>
            </w:r>
          </w:p>
        </w:tc>
        <w:tc>
          <w:tcPr>
            <w:tcW w:type="dxa" w:w="1026"/>
          </w:tcPr>
          <w:p>
            <w:pPr>
              <w:jc w:val="right"/>
            </w:pPr>
            <w:r/>
            <w:r>
              <w:rPr>
                <w:color w:val="1A1D21"/>
                <w:sz w:val="17"/>
              </w:rPr>
              <w:t>25.07</w:t>
            </w:r>
          </w:p>
        </w:tc>
        <w:tc>
          <w:tcPr>
            <w:tcW w:type="dxa" w:w="1026"/>
          </w:tcPr>
          <w:p>
            <w:pPr>
              <w:jc w:val="right"/>
            </w:pPr>
            <w:r/>
            <w:r>
              <w:rPr>
                <w:color w:val="1A1D21"/>
                <w:sz w:val="17"/>
              </w:rPr>
              <w:t>35.16</w:t>
            </w:r>
          </w:p>
        </w:tc>
      </w:tr>
      <w:tr>
        <w:trPr>
          <w:cantSplit/>
        </w:trPr>
        <w:tc>
          <w:tcPr>
            <w:tcW w:type="dxa" w:w="1984"/>
          </w:tcPr>
          <w:p>
            <w:r/>
            <w:r>
              <w:rPr>
                <w:color w:val="1A1D21"/>
                <w:sz w:val="17"/>
              </w:rPr>
              <w:t>Cost of revenue</w:t>
            </w:r>
          </w:p>
        </w:tc>
        <w:tc>
          <w:tcPr>
            <w:tcW w:type="dxa" w:w="1026"/>
          </w:tcPr>
          <w:p>
            <w:pPr>
              <w:jc w:val="right"/>
            </w:pPr>
            <w:r/>
            <w:r>
              <w:rPr>
                <w:color w:val="1A1D21"/>
                <w:sz w:val="17"/>
              </w:rPr>
              <w:t>-25,902</w:t>
            </w:r>
          </w:p>
        </w:tc>
        <w:tc>
          <w:tcPr>
            <w:tcW w:type="dxa" w:w="1026"/>
          </w:tcPr>
          <w:p>
            <w:pPr>
              <w:jc w:val="right"/>
            </w:pPr>
            <w:r/>
            <w:r>
              <w:rPr>
                <w:color w:val="1A1D21"/>
                <w:sz w:val="17"/>
              </w:rPr>
              <w:t>-33,362</w:t>
            </w:r>
          </w:p>
        </w:tc>
        <w:tc>
          <w:tcPr>
            <w:tcW w:type="dxa" w:w="1026"/>
          </w:tcPr>
          <w:p>
            <w:pPr>
              <w:jc w:val="right"/>
            </w:pPr>
            <w:r/>
            <w:r>
              <w:rPr>
                <w:color w:val="1A1D21"/>
                <w:sz w:val="17"/>
              </w:rPr>
              <w:t>-41,273</w:t>
            </w:r>
          </w:p>
        </w:tc>
        <w:tc>
          <w:tcPr>
            <w:tcW w:type="dxa" w:w="1026"/>
          </w:tcPr>
          <w:p>
            <w:pPr>
              <w:jc w:val="right"/>
            </w:pPr>
            <w:r/>
            <w:r>
              <w:rPr>
                <w:color w:val="1A1D21"/>
                <w:sz w:val="17"/>
              </w:rPr>
              <w:t>-49,693</w:t>
            </w:r>
          </w:p>
        </w:tc>
        <w:tc>
          <w:tcPr>
            <w:tcW w:type="dxa" w:w="1026"/>
          </w:tcPr>
          <w:p>
            <w:pPr>
              <w:jc w:val="right"/>
            </w:pPr>
            <w:r/>
            <w:r>
              <w:rPr>
                <w:color w:val="1A1D21"/>
                <w:sz w:val="17"/>
              </w:rPr>
              <w:t>-58,755</w:t>
            </w:r>
          </w:p>
        </w:tc>
        <w:tc>
          <w:tcPr>
            <w:tcW w:type="dxa" w:w="1026"/>
          </w:tcPr>
          <w:p>
            <w:pPr>
              <w:jc w:val="right"/>
            </w:pPr>
            <w:r/>
            <w:r>
              <w:rPr>
                <w:color w:val="1A1D21"/>
                <w:sz w:val="17"/>
              </w:rPr>
              <w:t>-110,168</w:t>
            </w:r>
          </w:p>
        </w:tc>
        <w:tc>
          <w:tcPr>
            <w:tcW w:type="dxa" w:w="1026"/>
          </w:tcPr>
          <w:p>
            <w:pPr>
              <w:jc w:val="right"/>
            </w:pPr>
            <w:r/>
            <w:r>
              <w:rPr>
                <w:color w:val="1A1D21"/>
                <w:sz w:val="17"/>
              </w:rPr>
              <w:t>-156,834</w:t>
            </w:r>
          </w:p>
        </w:tc>
      </w:tr>
      <w:tr>
        <w:trPr>
          <w:cantSplit/>
        </w:trPr>
        <w:tc>
          <w:tcPr>
            <w:tcW w:type="dxa" w:w="1984"/>
          </w:tcPr>
          <w:p>
            <w:r/>
            <w:r>
              <w:rPr>
                <w:color w:val="1A1D21"/>
                <w:sz w:val="17"/>
              </w:rPr>
              <w:t>Gross profit</w:t>
            </w:r>
          </w:p>
        </w:tc>
        <w:tc>
          <w:tcPr>
            <w:tcW w:type="dxa" w:w="1026"/>
          </w:tcPr>
          <w:p>
            <w:pPr>
              <w:jc w:val="right"/>
            </w:pPr>
            <w:r/>
            <w:r>
              <w:rPr>
                <w:color w:val="1A1D21"/>
                <w:sz w:val="17"/>
              </w:rPr>
              <w:t>14,246</w:t>
            </w:r>
          </w:p>
        </w:tc>
        <w:tc>
          <w:tcPr>
            <w:tcW w:type="dxa" w:w="1026"/>
          </w:tcPr>
          <w:p>
            <w:pPr>
              <w:jc w:val="right"/>
            </w:pPr>
            <w:r/>
            <w:r>
              <w:rPr>
                <w:color w:val="1A1D21"/>
                <w:sz w:val="17"/>
              </w:rPr>
              <w:t>18,349</w:t>
            </w:r>
          </w:p>
        </w:tc>
        <w:tc>
          <w:tcPr>
            <w:tcW w:type="dxa" w:w="1026"/>
          </w:tcPr>
          <w:p>
            <w:pPr>
              <w:jc w:val="right"/>
            </w:pPr>
            <w:r/>
            <w:r>
              <w:rPr>
                <w:color w:val="1A1D21"/>
                <w:sz w:val="17"/>
              </w:rPr>
              <w:t>22,700</w:t>
            </w:r>
          </w:p>
        </w:tc>
        <w:tc>
          <w:tcPr>
            <w:tcW w:type="dxa" w:w="1026"/>
          </w:tcPr>
          <w:p>
            <w:pPr>
              <w:jc w:val="right"/>
            </w:pPr>
            <w:r/>
            <w:r>
              <w:rPr>
                <w:color w:val="1A1D21"/>
                <w:sz w:val="17"/>
              </w:rPr>
              <w:t>27,331</w:t>
            </w:r>
          </w:p>
        </w:tc>
        <w:tc>
          <w:tcPr>
            <w:tcW w:type="dxa" w:w="1026"/>
          </w:tcPr>
          <w:p>
            <w:pPr>
              <w:jc w:val="right"/>
            </w:pPr>
            <w:r/>
            <w:r>
              <w:rPr>
                <w:color w:val="1A1D21"/>
                <w:sz w:val="17"/>
              </w:rPr>
              <w:t>32,315</w:t>
            </w:r>
          </w:p>
        </w:tc>
        <w:tc>
          <w:tcPr>
            <w:tcW w:type="dxa" w:w="1026"/>
          </w:tcPr>
          <w:p>
            <w:pPr>
              <w:jc w:val="right"/>
            </w:pPr>
            <w:r/>
            <w:r>
              <w:rPr>
                <w:color w:val="1A1D21"/>
                <w:sz w:val="17"/>
              </w:rPr>
              <w:t>60,592</w:t>
            </w:r>
          </w:p>
        </w:tc>
        <w:tc>
          <w:tcPr>
            <w:tcW w:type="dxa" w:w="1026"/>
          </w:tcPr>
          <w:p>
            <w:pPr>
              <w:jc w:val="right"/>
            </w:pPr>
            <w:r/>
            <w:r>
              <w:rPr>
                <w:color w:val="1A1D21"/>
                <w:sz w:val="17"/>
              </w:rPr>
              <w:t>86,259</w:t>
            </w:r>
          </w:p>
        </w:tc>
      </w:tr>
      <w:tr>
        <w:trPr>
          <w:cantSplit/>
        </w:trPr>
        <w:tc>
          <w:tcPr>
            <w:tcW w:type="dxa" w:w="1984"/>
          </w:tcPr>
          <w:p>
            <w:r/>
            <w:r>
              <w:rPr>
                <w:color w:val="1A1D21"/>
                <w:sz w:val="17"/>
              </w:rPr>
              <w:t>Gross margin</w:t>
            </w:r>
          </w:p>
        </w:tc>
        <w:tc>
          <w:tcPr>
            <w:tcW w:type="dxa" w:w="1026"/>
          </w:tcPr>
          <w:p>
            <w:pPr>
              <w:jc w:val="right"/>
            </w:pPr>
            <w:r/>
            <w:r>
              <w:rPr>
                <w:color w:val="1A1D21"/>
                <w:sz w:val="17"/>
              </w:rPr>
              <w:t>35.5%</w:t>
            </w:r>
          </w:p>
        </w:tc>
        <w:tc>
          <w:tcPr>
            <w:tcW w:type="dxa" w:w="1026"/>
          </w:tcPr>
          <w:p>
            <w:pPr>
              <w:jc w:val="right"/>
            </w:pPr>
            <w:r/>
            <w:r>
              <w:rPr>
                <w:color w:val="1A1D21"/>
                <w:sz w:val="17"/>
              </w:rPr>
              <w:t>35.5%</w:t>
            </w:r>
          </w:p>
        </w:tc>
        <w:tc>
          <w:tcPr>
            <w:tcW w:type="dxa" w:w="1026"/>
          </w:tcPr>
          <w:p>
            <w:pPr>
              <w:jc w:val="right"/>
            </w:pPr>
            <w:r/>
            <w:r>
              <w:rPr>
                <w:color w:val="1A1D21"/>
                <w:sz w:val="17"/>
              </w:rPr>
              <w:t>35.5%</w:t>
            </w:r>
          </w:p>
        </w:tc>
        <w:tc>
          <w:tcPr>
            <w:tcW w:type="dxa" w:w="1026"/>
          </w:tcPr>
          <w:p>
            <w:pPr>
              <w:jc w:val="right"/>
            </w:pPr>
            <w:r/>
            <w:r>
              <w:rPr>
                <w:color w:val="1A1D21"/>
                <w:sz w:val="17"/>
              </w:rPr>
              <w:t>35.5%</w:t>
            </w:r>
          </w:p>
        </w:tc>
        <w:tc>
          <w:tcPr>
            <w:tcW w:type="dxa" w:w="1026"/>
          </w:tcPr>
          <w:p>
            <w:pPr>
              <w:jc w:val="right"/>
            </w:pPr>
            <w:r/>
            <w:r>
              <w:rPr>
                <w:color w:val="1A1D21"/>
                <w:sz w:val="17"/>
              </w:rPr>
              <w:t>35.5%</w:t>
            </w:r>
          </w:p>
        </w:tc>
        <w:tc>
          <w:tcPr>
            <w:tcW w:type="dxa" w:w="1026"/>
          </w:tcPr>
          <w:p>
            <w:pPr>
              <w:jc w:val="right"/>
            </w:pPr>
            <w:r/>
            <w:r>
              <w:rPr>
                <w:color w:val="1A1D21"/>
                <w:sz w:val="17"/>
              </w:rPr>
              <w:t>35.5%</w:t>
            </w:r>
          </w:p>
        </w:tc>
        <w:tc>
          <w:tcPr>
            <w:tcW w:type="dxa" w:w="1026"/>
          </w:tcPr>
          <w:p>
            <w:pPr>
              <w:jc w:val="right"/>
            </w:pPr>
            <w:r/>
            <w:r>
              <w:rPr>
                <w:color w:val="1A1D21"/>
                <w:sz w:val="17"/>
              </w:rPr>
              <w:t>35.5%</w:t>
            </w:r>
          </w:p>
        </w:tc>
      </w:tr>
      <w:tr>
        <w:trPr>
          <w:cantSplit/>
        </w:trPr>
        <w:tc>
          <w:tcPr>
            <w:tcW w:type="dxa" w:w="1984"/>
          </w:tcPr>
          <w:p>
            <w:r/>
            <w:r>
              <w:rPr>
                <w:color w:val="1A1D21"/>
                <w:sz w:val="17"/>
              </w:rPr>
              <w:t>Overheads</w:t>
            </w:r>
          </w:p>
        </w:tc>
        <w:tc>
          <w:tcPr>
            <w:tcW w:type="dxa" w:w="1026"/>
          </w:tcPr>
          <w:p>
            <w:pPr>
              <w:jc w:val="right"/>
            </w:pPr>
            <w:r/>
            <w:r>
              <w:rPr>
                <w:color w:val="1A1D21"/>
                <w:sz w:val="17"/>
              </w:rPr>
              <w:t>-7,066</w:t>
            </w:r>
          </w:p>
        </w:tc>
        <w:tc>
          <w:tcPr>
            <w:tcW w:type="dxa" w:w="1026"/>
          </w:tcPr>
          <w:p>
            <w:pPr>
              <w:jc w:val="right"/>
            </w:pPr>
            <w:r/>
            <w:r>
              <w:rPr>
                <w:color w:val="1A1D21"/>
                <w:sz w:val="17"/>
              </w:rPr>
              <w:t>-9,101</w:t>
            </w:r>
          </w:p>
        </w:tc>
        <w:tc>
          <w:tcPr>
            <w:tcW w:type="dxa" w:w="1026"/>
          </w:tcPr>
          <w:p>
            <w:pPr>
              <w:jc w:val="right"/>
            </w:pPr>
            <w:r/>
            <w:r>
              <w:rPr>
                <w:color w:val="1A1D21"/>
                <w:sz w:val="17"/>
              </w:rPr>
              <w:t>-11,259</w:t>
            </w:r>
          </w:p>
        </w:tc>
        <w:tc>
          <w:tcPr>
            <w:tcW w:type="dxa" w:w="1026"/>
          </w:tcPr>
          <w:p>
            <w:pPr>
              <w:jc w:val="right"/>
            </w:pPr>
            <w:r/>
            <w:r>
              <w:rPr>
                <w:color w:val="1A1D21"/>
                <w:sz w:val="17"/>
              </w:rPr>
              <w:t>-13,556</w:t>
            </w:r>
          </w:p>
        </w:tc>
        <w:tc>
          <w:tcPr>
            <w:tcW w:type="dxa" w:w="1026"/>
          </w:tcPr>
          <w:p>
            <w:pPr>
              <w:jc w:val="right"/>
            </w:pPr>
            <w:r/>
            <w:r>
              <w:rPr>
                <w:color w:val="1A1D21"/>
                <w:sz w:val="17"/>
              </w:rPr>
              <w:t>-16,028</w:t>
            </w:r>
          </w:p>
        </w:tc>
        <w:tc>
          <w:tcPr>
            <w:tcW w:type="dxa" w:w="1026"/>
          </w:tcPr>
          <w:p>
            <w:pPr>
              <w:jc w:val="right"/>
            </w:pPr>
            <w:r/>
            <w:r>
              <w:rPr>
                <w:color w:val="1A1D21"/>
                <w:sz w:val="17"/>
              </w:rPr>
              <w:t>-30,053</w:t>
            </w:r>
          </w:p>
        </w:tc>
        <w:tc>
          <w:tcPr>
            <w:tcW w:type="dxa" w:w="1026"/>
          </w:tcPr>
          <w:p>
            <w:pPr>
              <w:jc w:val="right"/>
            </w:pPr>
            <w:r/>
            <w:r>
              <w:rPr>
                <w:color w:val="1A1D21"/>
                <w:sz w:val="17"/>
              </w:rPr>
              <w:t>-42,783</w:t>
            </w:r>
          </w:p>
        </w:tc>
      </w:tr>
      <w:tr>
        <w:trPr>
          <w:cantSplit/>
        </w:trPr>
        <w:tc>
          <w:tcPr>
            <w:tcW w:type="dxa" w:w="1984"/>
          </w:tcPr>
          <w:p>
            <w:r/>
            <w:r>
              <w:rPr>
                <w:color w:val="1A1D21"/>
                <w:sz w:val="17"/>
              </w:rPr>
              <w:t>Depreciation and amortisation</w:t>
            </w:r>
          </w:p>
        </w:tc>
        <w:tc>
          <w:tcPr>
            <w:tcW w:type="dxa" w:w="1026"/>
          </w:tcPr>
          <w:p>
            <w:pPr>
              <w:jc w:val="right"/>
            </w:pPr>
            <w:r/>
            <w:r>
              <w:rPr>
                <w:color w:val="1A1D21"/>
                <w:sz w:val="17"/>
              </w:rPr>
              <w:t>-393</w:t>
            </w:r>
          </w:p>
        </w:tc>
        <w:tc>
          <w:tcPr>
            <w:tcW w:type="dxa" w:w="1026"/>
          </w:tcPr>
          <w:p>
            <w:pPr>
              <w:jc w:val="right"/>
            </w:pPr>
            <w:r/>
            <w:r>
              <w:rPr>
                <w:color w:val="1A1D21"/>
                <w:sz w:val="17"/>
              </w:rPr>
              <w:t>-506</w:t>
            </w:r>
          </w:p>
        </w:tc>
        <w:tc>
          <w:tcPr>
            <w:tcW w:type="dxa" w:w="1026"/>
          </w:tcPr>
          <w:p>
            <w:pPr>
              <w:jc w:val="right"/>
            </w:pPr>
            <w:r/>
            <w:r>
              <w:rPr>
                <w:color w:val="1A1D21"/>
                <w:sz w:val="17"/>
              </w:rPr>
              <w:t>-626</w:t>
            </w:r>
          </w:p>
        </w:tc>
        <w:tc>
          <w:tcPr>
            <w:tcW w:type="dxa" w:w="1026"/>
          </w:tcPr>
          <w:p>
            <w:pPr>
              <w:jc w:val="right"/>
            </w:pPr>
            <w:r/>
            <w:r>
              <w:rPr>
                <w:color w:val="1A1D21"/>
                <w:sz w:val="17"/>
              </w:rPr>
              <w:t>-753</w:t>
            </w:r>
          </w:p>
        </w:tc>
        <w:tc>
          <w:tcPr>
            <w:tcW w:type="dxa" w:w="1026"/>
          </w:tcPr>
          <w:p>
            <w:pPr>
              <w:jc w:val="right"/>
            </w:pPr>
            <w:r/>
            <w:r>
              <w:rPr>
                <w:color w:val="1A1D21"/>
                <w:sz w:val="17"/>
              </w:rPr>
              <w:t>-891</w:t>
            </w:r>
          </w:p>
        </w:tc>
        <w:tc>
          <w:tcPr>
            <w:tcW w:type="dxa" w:w="1026"/>
          </w:tcPr>
          <w:p>
            <w:pPr>
              <w:jc w:val="right"/>
            </w:pPr>
            <w:r/>
            <w:r>
              <w:rPr>
                <w:color w:val="1A1D21"/>
                <w:sz w:val="17"/>
              </w:rPr>
              <w:t>-1,670</w:t>
            </w:r>
          </w:p>
        </w:tc>
        <w:tc>
          <w:tcPr>
            <w:tcW w:type="dxa" w:w="1026"/>
          </w:tcPr>
          <w:p>
            <w:pPr>
              <w:jc w:val="right"/>
            </w:pPr>
            <w:r/>
            <w:r>
              <w:rPr>
                <w:color w:val="1A1D21"/>
                <w:sz w:val="17"/>
              </w:rPr>
              <w:t>-2,377</w:t>
            </w:r>
          </w:p>
        </w:tc>
      </w:tr>
      <w:tr>
        <w:trPr>
          <w:cantSplit/>
        </w:trPr>
        <w:tc>
          <w:tcPr>
            <w:tcW w:type="dxa" w:w="1984"/>
          </w:tcPr>
          <w:p>
            <w:r/>
            <w:r>
              <w:rPr>
                <w:color w:val="1A1D21"/>
                <w:sz w:val="17"/>
              </w:rPr>
              <w:t>Operating profit</w:t>
            </w:r>
          </w:p>
        </w:tc>
        <w:tc>
          <w:tcPr>
            <w:tcW w:type="dxa" w:w="1026"/>
          </w:tcPr>
          <w:p>
            <w:pPr>
              <w:jc w:val="right"/>
            </w:pPr>
            <w:r/>
            <w:r>
              <w:rPr>
                <w:color w:val="1A1D21"/>
                <w:sz w:val="17"/>
              </w:rPr>
              <w:t>6,788</w:t>
            </w:r>
          </w:p>
        </w:tc>
        <w:tc>
          <w:tcPr>
            <w:tcW w:type="dxa" w:w="1026"/>
          </w:tcPr>
          <w:p>
            <w:pPr>
              <w:jc w:val="right"/>
            </w:pPr>
            <w:r/>
            <w:r>
              <w:rPr>
                <w:color w:val="1A1D21"/>
                <w:sz w:val="17"/>
              </w:rPr>
              <w:t>8,742</w:t>
            </w:r>
          </w:p>
        </w:tc>
        <w:tc>
          <w:tcPr>
            <w:tcW w:type="dxa" w:w="1026"/>
          </w:tcPr>
          <w:p>
            <w:pPr>
              <w:jc w:val="right"/>
            </w:pPr>
            <w:r/>
            <w:r>
              <w:rPr>
                <w:color w:val="1A1D21"/>
                <w:sz w:val="17"/>
              </w:rPr>
              <w:t>10,816</w:t>
            </w:r>
          </w:p>
        </w:tc>
        <w:tc>
          <w:tcPr>
            <w:tcW w:type="dxa" w:w="1026"/>
          </w:tcPr>
          <w:p>
            <w:pPr>
              <w:jc w:val="right"/>
            </w:pPr>
            <w:r/>
            <w:r>
              <w:rPr>
                <w:color w:val="1A1D21"/>
                <w:sz w:val="17"/>
              </w:rPr>
              <w:t>13,022</w:t>
            </w:r>
          </w:p>
        </w:tc>
        <w:tc>
          <w:tcPr>
            <w:tcW w:type="dxa" w:w="1026"/>
          </w:tcPr>
          <w:p>
            <w:pPr>
              <w:jc w:val="right"/>
            </w:pPr>
            <w:r/>
            <w:r>
              <w:rPr>
                <w:color w:val="1A1D21"/>
                <w:sz w:val="17"/>
              </w:rPr>
              <w:t>15,397</w:t>
            </w:r>
          </w:p>
        </w:tc>
        <w:tc>
          <w:tcPr>
            <w:tcW w:type="dxa" w:w="1026"/>
          </w:tcPr>
          <w:p>
            <w:pPr>
              <w:jc w:val="right"/>
            </w:pPr>
            <w:r/>
            <w:r>
              <w:rPr>
                <w:color w:val="1A1D21"/>
                <w:sz w:val="17"/>
              </w:rPr>
              <w:t>28,870</w:t>
            </w:r>
          </w:p>
        </w:tc>
        <w:tc>
          <w:tcPr>
            <w:tcW w:type="dxa" w:w="1026"/>
          </w:tcPr>
          <w:p>
            <w:pPr>
              <w:jc w:val="right"/>
            </w:pPr>
            <w:r/>
            <w:r>
              <w:rPr>
                <w:color w:val="1A1D21"/>
                <w:sz w:val="17"/>
              </w:rPr>
              <w:t>41,099</w:t>
            </w:r>
          </w:p>
        </w:tc>
      </w:tr>
      <w:tr>
        <w:trPr>
          <w:cantSplit/>
        </w:trPr>
        <w:tc>
          <w:tcPr>
            <w:tcW w:type="dxa" w:w="1984"/>
          </w:tcPr>
          <w:p>
            <w:r/>
            <w:r>
              <w:rPr>
                <w:color w:val="1A1D21"/>
                <w:sz w:val="17"/>
              </w:rPr>
              <w:t>Finance cost</w:t>
            </w:r>
          </w:p>
        </w:tc>
        <w:tc>
          <w:tcPr>
            <w:tcW w:type="dxa" w:w="1026"/>
          </w:tcPr>
          <w:p>
            <w:pPr>
              <w:jc w:val="right"/>
            </w:pPr>
            <w:r/>
            <w:r>
              <w:rPr>
                <w:color w:val="1A1D21"/>
                <w:sz w:val="17"/>
              </w:rPr>
              <w:t>-3,348</w:t>
            </w:r>
          </w:p>
        </w:tc>
        <w:tc>
          <w:tcPr>
            <w:tcW w:type="dxa" w:w="1026"/>
          </w:tcPr>
          <w:p>
            <w:pPr>
              <w:jc w:val="right"/>
            </w:pPr>
            <w:r/>
            <w:r>
              <w:rPr>
                <w:color w:val="1A1D21"/>
                <w:sz w:val="17"/>
              </w:rPr>
              <w:t>-3,348</w:t>
            </w:r>
          </w:p>
        </w:tc>
        <w:tc>
          <w:tcPr>
            <w:tcW w:type="dxa" w:w="1026"/>
          </w:tcPr>
          <w:p>
            <w:pPr>
              <w:jc w:val="right"/>
            </w:pPr>
            <w:r/>
            <w:r>
              <w:rPr>
                <w:color w:val="1A1D21"/>
                <w:sz w:val="17"/>
              </w:rPr>
              <w:t>-3,348</w:t>
            </w:r>
          </w:p>
        </w:tc>
        <w:tc>
          <w:tcPr>
            <w:tcW w:type="dxa" w:w="1026"/>
          </w:tcPr>
          <w:p>
            <w:pPr>
              <w:jc w:val="right"/>
            </w:pPr>
            <w:r/>
            <w:r>
              <w:rPr>
                <w:color w:val="1A1D21"/>
                <w:sz w:val="17"/>
              </w:rPr>
              <w:t>-3,348</w:t>
            </w:r>
          </w:p>
        </w:tc>
        <w:tc>
          <w:tcPr>
            <w:tcW w:type="dxa" w:w="1026"/>
          </w:tcPr>
          <w:p>
            <w:pPr>
              <w:jc w:val="right"/>
            </w:pPr>
            <w:r/>
            <w:r>
              <w:rPr>
                <w:color w:val="1A1D21"/>
                <w:sz w:val="17"/>
              </w:rPr>
              <w:t>-3,348</w:t>
            </w:r>
          </w:p>
        </w:tc>
        <w:tc>
          <w:tcPr>
            <w:tcW w:type="dxa" w:w="1026"/>
          </w:tcPr>
          <w:p>
            <w:pPr>
              <w:jc w:val="right"/>
            </w:pPr>
            <w:r/>
            <w:r>
              <w:rPr>
                <w:color w:val="1A1D21"/>
                <w:sz w:val="17"/>
              </w:rPr>
              <w:t>-3,348</w:t>
            </w:r>
          </w:p>
        </w:tc>
        <w:tc>
          <w:tcPr>
            <w:tcW w:type="dxa" w:w="1026"/>
          </w:tcPr>
          <w:p>
            <w:pPr>
              <w:jc w:val="right"/>
            </w:pPr>
            <w:r/>
            <w:r>
              <w:rPr>
                <w:color w:val="1A1D21"/>
                <w:sz w:val="17"/>
              </w:rPr>
              <w:t>-3,348</w:t>
            </w:r>
          </w:p>
        </w:tc>
      </w:tr>
      <w:tr>
        <w:trPr>
          <w:cantSplit/>
        </w:trPr>
        <w:tc>
          <w:tcPr>
            <w:tcW w:type="dxa" w:w="1984"/>
          </w:tcPr>
          <w:p>
            <w:r/>
            <w:r>
              <w:rPr>
                <w:color w:val="1A1D21"/>
                <w:sz w:val="17"/>
              </w:rPr>
              <w:t>Profit before tax</w:t>
            </w:r>
          </w:p>
        </w:tc>
        <w:tc>
          <w:tcPr>
            <w:tcW w:type="dxa" w:w="1026"/>
          </w:tcPr>
          <w:p>
            <w:pPr>
              <w:jc w:val="right"/>
            </w:pPr>
            <w:r/>
            <w:r>
              <w:rPr>
                <w:color w:val="1A1D21"/>
                <w:sz w:val="17"/>
              </w:rPr>
              <w:t>3,440</w:t>
            </w:r>
          </w:p>
        </w:tc>
        <w:tc>
          <w:tcPr>
            <w:tcW w:type="dxa" w:w="1026"/>
          </w:tcPr>
          <w:p>
            <w:pPr>
              <w:jc w:val="right"/>
            </w:pPr>
            <w:r/>
            <w:r>
              <w:rPr>
                <w:color w:val="1A1D21"/>
                <w:sz w:val="17"/>
              </w:rPr>
              <w:t>5,395</w:t>
            </w:r>
          </w:p>
        </w:tc>
        <w:tc>
          <w:tcPr>
            <w:tcW w:type="dxa" w:w="1026"/>
          </w:tcPr>
          <w:p>
            <w:pPr>
              <w:jc w:val="right"/>
            </w:pPr>
            <w:r/>
            <w:r>
              <w:rPr>
                <w:color w:val="1A1D21"/>
                <w:sz w:val="17"/>
              </w:rPr>
              <w:t>7,468</w:t>
            </w:r>
          </w:p>
        </w:tc>
        <w:tc>
          <w:tcPr>
            <w:tcW w:type="dxa" w:w="1026"/>
          </w:tcPr>
          <w:p>
            <w:pPr>
              <w:jc w:val="right"/>
            </w:pPr>
            <w:r/>
            <w:r>
              <w:rPr>
                <w:color w:val="1A1D21"/>
                <w:sz w:val="17"/>
              </w:rPr>
              <w:t>9,675</w:t>
            </w:r>
          </w:p>
        </w:tc>
        <w:tc>
          <w:tcPr>
            <w:tcW w:type="dxa" w:w="1026"/>
          </w:tcPr>
          <w:p>
            <w:pPr>
              <w:jc w:val="right"/>
            </w:pPr>
            <w:r/>
            <w:r>
              <w:rPr>
                <w:color w:val="1A1D21"/>
                <w:sz w:val="17"/>
              </w:rPr>
              <w:t>12,049</w:t>
            </w:r>
          </w:p>
        </w:tc>
        <w:tc>
          <w:tcPr>
            <w:tcW w:type="dxa" w:w="1026"/>
          </w:tcPr>
          <w:p>
            <w:pPr>
              <w:jc w:val="right"/>
            </w:pPr>
            <w:r/>
            <w:r>
              <w:rPr>
                <w:color w:val="1A1D21"/>
                <w:sz w:val="17"/>
              </w:rPr>
              <w:t>25,522</w:t>
            </w:r>
          </w:p>
        </w:tc>
        <w:tc>
          <w:tcPr>
            <w:tcW w:type="dxa" w:w="1026"/>
          </w:tcPr>
          <w:p>
            <w:pPr>
              <w:jc w:val="right"/>
            </w:pPr>
            <w:r/>
            <w:r>
              <w:rPr>
                <w:color w:val="1A1D21"/>
                <w:sz w:val="17"/>
              </w:rPr>
              <w:t>37,751</w:t>
            </w:r>
          </w:p>
        </w:tc>
      </w:tr>
      <w:tr>
        <w:trPr>
          <w:cantSplit/>
        </w:trPr>
        <w:tc>
          <w:tcPr>
            <w:tcW w:type="dxa" w:w="1984"/>
          </w:tcPr>
          <w:p>
            <w:r/>
            <w:r>
              <w:rPr>
                <w:color w:val="1A1D21"/>
                <w:sz w:val="17"/>
              </w:rPr>
              <w:t>Tax</w:t>
            </w:r>
          </w:p>
        </w:tc>
        <w:tc>
          <w:tcPr>
            <w:tcW w:type="dxa" w:w="1026"/>
          </w:tcPr>
          <w:p>
            <w:pPr>
              <w:jc w:val="right"/>
            </w:pPr>
            <w:r/>
            <w:r>
              <w:rPr>
                <w:color w:val="1A1D21"/>
                <w:sz w:val="17"/>
              </w:rPr>
              <w:t>-774</w:t>
            </w:r>
          </w:p>
        </w:tc>
        <w:tc>
          <w:tcPr>
            <w:tcW w:type="dxa" w:w="1026"/>
          </w:tcPr>
          <w:p>
            <w:pPr>
              <w:jc w:val="right"/>
            </w:pPr>
            <w:r/>
            <w:r>
              <w:rPr>
                <w:color w:val="1A1D21"/>
                <w:sz w:val="17"/>
              </w:rPr>
              <w:t>-1,214</w:t>
            </w:r>
          </w:p>
        </w:tc>
        <w:tc>
          <w:tcPr>
            <w:tcW w:type="dxa" w:w="1026"/>
          </w:tcPr>
          <w:p>
            <w:pPr>
              <w:jc w:val="right"/>
            </w:pPr>
            <w:r/>
            <w:r>
              <w:rPr>
                <w:color w:val="1A1D21"/>
                <w:sz w:val="17"/>
              </w:rPr>
              <w:t>-1,680</w:t>
            </w:r>
          </w:p>
        </w:tc>
        <w:tc>
          <w:tcPr>
            <w:tcW w:type="dxa" w:w="1026"/>
          </w:tcPr>
          <w:p>
            <w:pPr>
              <w:jc w:val="right"/>
            </w:pPr>
            <w:r/>
            <w:r>
              <w:rPr>
                <w:color w:val="1A1D21"/>
                <w:sz w:val="17"/>
              </w:rPr>
              <w:t>-2,177</w:t>
            </w:r>
          </w:p>
        </w:tc>
        <w:tc>
          <w:tcPr>
            <w:tcW w:type="dxa" w:w="1026"/>
          </w:tcPr>
          <w:p>
            <w:pPr>
              <w:jc w:val="right"/>
            </w:pPr>
            <w:r/>
            <w:r>
              <w:rPr>
                <w:color w:val="1A1D21"/>
                <w:sz w:val="17"/>
              </w:rPr>
              <w:t>-2,711</w:t>
            </w:r>
          </w:p>
        </w:tc>
        <w:tc>
          <w:tcPr>
            <w:tcW w:type="dxa" w:w="1026"/>
          </w:tcPr>
          <w:p>
            <w:pPr>
              <w:jc w:val="right"/>
            </w:pPr>
            <w:r/>
            <w:r>
              <w:rPr>
                <w:color w:val="1A1D21"/>
                <w:sz w:val="17"/>
              </w:rPr>
              <w:t>-5,742</w:t>
            </w:r>
          </w:p>
        </w:tc>
        <w:tc>
          <w:tcPr>
            <w:tcW w:type="dxa" w:w="1026"/>
          </w:tcPr>
          <w:p>
            <w:pPr>
              <w:jc w:val="right"/>
            </w:pPr>
            <w:r/>
            <w:r>
              <w:rPr>
                <w:color w:val="1A1D21"/>
                <w:sz w:val="17"/>
              </w:rPr>
              <w:t>-8,494</w:t>
            </w:r>
          </w:p>
        </w:tc>
      </w:tr>
      <w:tr>
        <w:trPr>
          <w:cantSplit/>
        </w:trPr>
        <w:tc>
          <w:tcPr>
            <w:tcW w:type="dxa" w:w="1984"/>
          </w:tcPr>
          <w:p>
            <w:r/>
            <w:r>
              <w:rPr>
                <w:color w:val="1A1D21"/>
                <w:sz w:val="17"/>
              </w:rPr>
              <w:t>Net profit</w:t>
            </w:r>
          </w:p>
        </w:tc>
        <w:tc>
          <w:tcPr>
            <w:tcW w:type="dxa" w:w="1026"/>
          </w:tcPr>
          <w:p>
            <w:pPr>
              <w:jc w:val="right"/>
            </w:pPr>
            <w:r/>
            <w:r>
              <w:rPr>
                <w:color w:val="1A1D21"/>
                <w:sz w:val="17"/>
              </w:rPr>
              <w:t>2,666</w:t>
            </w:r>
          </w:p>
        </w:tc>
        <w:tc>
          <w:tcPr>
            <w:tcW w:type="dxa" w:w="1026"/>
          </w:tcPr>
          <w:p>
            <w:pPr>
              <w:jc w:val="right"/>
            </w:pPr>
            <w:r/>
            <w:r>
              <w:rPr>
                <w:color w:val="1A1D21"/>
                <w:sz w:val="17"/>
              </w:rPr>
              <w:t>4,181</w:t>
            </w:r>
          </w:p>
        </w:tc>
        <w:tc>
          <w:tcPr>
            <w:tcW w:type="dxa" w:w="1026"/>
          </w:tcPr>
          <w:p>
            <w:pPr>
              <w:jc w:val="right"/>
            </w:pPr>
            <w:r/>
            <w:r>
              <w:rPr>
                <w:color w:val="1A1D21"/>
                <w:sz w:val="17"/>
              </w:rPr>
              <w:t>5,788</w:t>
            </w:r>
          </w:p>
        </w:tc>
        <w:tc>
          <w:tcPr>
            <w:tcW w:type="dxa" w:w="1026"/>
          </w:tcPr>
          <w:p>
            <w:pPr>
              <w:jc w:val="right"/>
            </w:pPr>
            <w:r/>
            <w:r>
              <w:rPr>
                <w:color w:val="1A1D21"/>
                <w:sz w:val="17"/>
              </w:rPr>
              <w:t>7,498</w:t>
            </w:r>
          </w:p>
        </w:tc>
        <w:tc>
          <w:tcPr>
            <w:tcW w:type="dxa" w:w="1026"/>
          </w:tcPr>
          <w:p>
            <w:pPr>
              <w:jc w:val="right"/>
            </w:pPr>
            <w:r/>
            <w:r>
              <w:rPr>
                <w:color w:val="1A1D21"/>
                <w:sz w:val="17"/>
              </w:rPr>
              <w:t>9,338</w:t>
            </w:r>
          </w:p>
        </w:tc>
        <w:tc>
          <w:tcPr>
            <w:tcW w:type="dxa" w:w="1026"/>
          </w:tcPr>
          <w:p>
            <w:pPr>
              <w:jc w:val="right"/>
            </w:pPr>
            <w:r/>
            <w:r>
              <w:rPr>
                <w:color w:val="1A1D21"/>
                <w:sz w:val="17"/>
              </w:rPr>
              <w:t>19,780</w:t>
            </w:r>
          </w:p>
        </w:tc>
        <w:tc>
          <w:tcPr>
            <w:tcW w:type="dxa" w:w="1026"/>
          </w:tcPr>
          <w:p>
            <w:pPr>
              <w:jc w:val="right"/>
            </w:pPr>
            <w:r/>
            <w:r>
              <w:rPr>
                <w:color w:val="1A1D21"/>
                <w:sz w:val="17"/>
              </w:rPr>
              <w:t>29,257</w:t>
            </w:r>
          </w:p>
        </w:tc>
      </w:tr>
      <w:tr>
        <w:trPr>
          <w:cantSplit/>
        </w:trPr>
        <w:tc>
          <w:tcPr>
            <w:tcW w:type="dxa" w:w="1984"/>
          </w:tcPr>
          <w:p>
            <w:r/>
            <w:r>
              <w:rPr>
                <w:color w:val="1A1D21"/>
                <w:sz w:val="17"/>
              </w:rPr>
              <w:t>Earnings per share (EGP)</w:t>
            </w:r>
          </w:p>
        </w:tc>
        <w:tc>
          <w:tcPr>
            <w:tcW w:type="dxa" w:w="1026"/>
          </w:tcPr>
          <w:p>
            <w:pPr>
              <w:jc w:val="right"/>
            </w:pPr>
            <w:r/>
            <w:r>
              <w:rPr>
                <w:color w:val="1A1D21"/>
                <w:sz w:val="17"/>
              </w:rPr>
              <w:t>0.93</w:t>
            </w:r>
          </w:p>
        </w:tc>
        <w:tc>
          <w:tcPr>
            <w:tcW w:type="dxa" w:w="1026"/>
          </w:tcPr>
          <w:p>
            <w:pPr>
              <w:jc w:val="right"/>
            </w:pPr>
            <w:r/>
            <w:r>
              <w:rPr>
                <w:color w:val="1A1D21"/>
                <w:sz w:val="17"/>
              </w:rPr>
              <w:t>1.46</w:t>
            </w:r>
          </w:p>
        </w:tc>
        <w:tc>
          <w:tcPr>
            <w:tcW w:type="dxa" w:w="1026"/>
          </w:tcPr>
          <w:p>
            <w:pPr>
              <w:jc w:val="right"/>
            </w:pPr>
            <w:r/>
            <w:r>
              <w:rPr>
                <w:color w:val="1A1D21"/>
                <w:sz w:val="17"/>
              </w:rPr>
              <w:t>2.02</w:t>
            </w:r>
          </w:p>
        </w:tc>
        <w:tc>
          <w:tcPr>
            <w:tcW w:type="dxa" w:w="1026"/>
          </w:tcPr>
          <w:p>
            <w:pPr>
              <w:jc w:val="right"/>
            </w:pPr>
            <w:r/>
            <w:r>
              <w:rPr>
                <w:color w:val="1A1D21"/>
                <w:sz w:val="17"/>
              </w:rPr>
              <w:t>2.62</w:t>
            </w:r>
          </w:p>
        </w:tc>
        <w:tc>
          <w:tcPr>
            <w:tcW w:type="dxa" w:w="1026"/>
          </w:tcPr>
          <w:p>
            <w:pPr>
              <w:jc w:val="right"/>
            </w:pPr>
            <w:r/>
            <w:r>
              <w:rPr>
                <w:color w:val="1A1D21"/>
                <w:sz w:val="17"/>
              </w:rPr>
              <w:t>3.27</w:t>
            </w:r>
          </w:p>
        </w:tc>
        <w:tc>
          <w:tcPr>
            <w:tcW w:type="dxa" w:w="1026"/>
          </w:tcPr>
          <w:p>
            <w:pPr>
              <w:jc w:val="right"/>
            </w:pPr>
            <w:r/>
            <w:r>
              <w:rPr>
                <w:color w:val="1A1D21"/>
                <w:sz w:val="17"/>
              </w:rPr>
              <w:t>6.92</w:t>
            </w:r>
          </w:p>
        </w:tc>
        <w:tc>
          <w:tcPr>
            <w:tcW w:type="dxa" w:w="1026"/>
          </w:tcPr>
          <w:p>
            <w:pPr>
              <w:jc w:val="right"/>
            </w:pPr>
            <w:r/>
            <w:r>
              <w:rPr>
                <w:color w:val="1A1D21"/>
                <w:sz w:val="17"/>
              </w:rPr>
              <w:t>10.23</w:t>
            </w:r>
          </w:p>
        </w:tc>
      </w:tr>
    </w:tbl>
    <w:p>
      <w:pPr>
        <w:spacing w:after="200"/>
      </w:pPr>
      <w:r>
        <w:rPr>
          <w:b w:val="0"/>
          <w:i/>
          <w:color w:val="5B6570"/>
          <w:sz w:val="16"/>
        </w:rPr>
        <w:t>Five forecast years. Gross margin is a HELD input and cost per unit is solved from it, for the disclosure reason given in section 1.1. Years three to five should be read against the range in section 1.9, not as points.</w:t>
      </w:r>
    </w:p>
    <w:p>
      <w:pPr>
        <w:pStyle w:val="Heading2"/>
      </w:pPr>
      <w:r>
        <w:t>A.2  Balance sheet</w:t>
      </w:r>
    </w:p>
    <w:tbl>
      <w:tblPr>
        <w:tblStyle w:val="TableGrid"/>
        <w:tblW w:type="auto" w:w="0"/>
        <w:jc w:val="center"/>
        <w:tblLayout w:type="fixed"/>
        <w:tblLook w:firstColumn="1" w:firstRow="1" w:lastColumn="0" w:lastRow="0" w:noHBand="0" w:noVBand="1" w:val="04A0"/>
        <w:tblLayout w:type="fixed"/>
      </w:tblPr>
      <w:tblGrid>
        <w:gridCol w:w="3515"/>
        <w:gridCol w:w="2041"/>
        <w:gridCol w:w="1814"/>
        <w:gridCol w:w="1814"/>
      </w:tblGrid>
      <w:tr>
        <w:trPr>
          <w:tblHeader w:val="true"/>
        </w:trPr>
        <w:tc>
          <w:tcPr>
            <w:tcW w:type="dxa" w:w="3515"/>
          </w:tcPr>
          <w:p>
            <w:r/>
            <w:r>
              <w:rPr>
                <w:b/>
                <w:color w:val="5B6570"/>
                <w:sz w:val="17"/>
              </w:rPr>
              <w:t>EGP million, as reported</w:t>
            </w:r>
          </w:p>
        </w:tc>
        <w:tc>
          <w:tcPr>
            <w:tcW w:type="dxa" w:w="2041"/>
          </w:tcPr>
          <w:p>
            <w:r/>
            <w:r>
              <w:rPr>
                <w:b/>
                <w:color w:val="5B6570"/>
                <w:sz w:val="17"/>
              </w:rPr>
              <w:t>31 Mar 2026 (reviewed)</w:t>
            </w:r>
          </w:p>
        </w:tc>
        <w:tc>
          <w:tcPr>
            <w:tcW w:type="dxa" w:w="1814"/>
          </w:tcPr>
          <w:p>
            <w:r/>
            <w:r>
              <w:rPr>
                <w:b/>
                <w:color w:val="5B6570"/>
                <w:sz w:val="17"/>
              </w:rPr>
              <w:t>2025</w:t>
            </w:r>
          </w:p>
        </w:tc>
        <w:tc>
          <w:tcPr>
            <w:tcW w:type="dxa" w:w="1814"/>
          </w:tcPr>
          <w:p>
            <w:r/>
            <w:r>
              <w:rPr>
                <w:b/>
                <w:color w:val="5B6570"/>
                <w:sz w:val="17"/>
              </w:rPr>
              <w:t>2024</w:t>
            </w:r>
          </w:p>
        </w:tc>
      </w:tr>
      <w:tr>
        <w:trPr>
          <w:cantSplit/>
        </w:trPr>
        <w:tc>
          <w:tcPr>
            <w:tcW w:type="dxa" w:w="3515"/>
          </w:tcPr>
          <w:p>
            <w:r/>
            <w:r>
              <w:rPr>
                <w:color w:val="1A1D21"/>
                <w:sz w:val="17"/>
              </w:rPr>
              <w:t>Non-current assets</w:t>
            </w:r>
          </w:p>
        </w:tc>
        <w:tc>
          <w:tcPr>
            <w:tcW w:type="dxa" w:w="2041"/>
          </w:tcPr>
          <w:p>
            <w:pPr>
              <w:jc w:val="right"/>
            </w:pPr>
            <w:r/>
            <w:r>
              <w:rPr>
                <w:color w:val="1A1D21"/>
                <w:sz w:val="17"/>
              </w:rPr>
              <w:t>63,115.1</w:t>
            </w:r>
          </w:p>
        </w:tc>
        <w:tc>
          <w:tcPr>
            <w:tcW w:type="dxa" w:w="1814"/>
          </w:tcPr>
          <w:p>
            <w:pPr>
              <w:jc w:val="right"/>
            </w:pPr>
            <w:r/>
            <w:r>
              <w:rPr>
                <w:color w:val="1A1D21"/>
                <w:sz w:val="17"/>
              </w:rPr>
              <w:t>65,900.2</w:t>
            </w:r>
          </w:p>
        </w:tc>
        <w:tc>
          <w:tcPr>
            <w:tcW w:type="dxa" w:w="1814"/>
          </w:tcPr>
          <w:p>
            <w:pPr>
              <w:jc w:val="right"/>
            </w:pPr>
            <w:r/>
            <w:r>
              <w:rPr>
                <w:color w:val="1A1D21"/>
                <w:sz w:val="17"/>
              </w:rPr>
              <w:t>54,166.4</w:t>
            </w:r>
          </w:p>
        </w:tc>
      </w:tr>
      <w:tr>
        <w:trPr>
          <w:cantSplit/>
        </w:trPr>
        <w:tc>
          <w:tcPr>
            <w:tcW w:type="dxa" w:w="3515"/>
          </w:tcPr>
          <w:p>
            <w:r/>
            <w:r>
              <w:rPr>
                <w:color w:val="1A1D21"/>
                <w:sz w:val="17"/>
              </w:rPr>
              <w:t xml:space="preserve">  of which notes receivable, long term</w:t>
            </w:r>
          </w:p>
        </w:tc>
        <w:tc>
          <w:tcPr>
            <w:tcW w:type="dxa" w:w="2041"/>
          </w:tcPr>
          <w:p>
            <w:pPr>
              <w:jc w:val="right"/>
            </w:pPr>
            <w:r/>
            <w:r>
              <w:rPr>
                <w:color w:val="1A1D21"/>
                <w:sz w:val="17"/>
              </w:rPr>
              <w:t>53,187.9</w:t>
            </w:r>
          </w:p>
        </w:tc>
        <w:tc>
          <w:tcPr>
            <w:tcW w:type="dxa" w:w="1814"/>
          </w:tcPr>
          <w:p>
            <w:pPr>
              <w:jc w:val="right"/>
            </w:pPr>
            <w:r/>
            <w:r>
              <w:rPr>
                <w:color w:val="1A1D21"/>
                <w:sz w:val="17"/>
              </w:rPr>
              <w:t>56,319.8</w:t>
            </w:r>
          </w:p>
        </w:tc>
        <w:tc>
          <w:tcPr>
            <w:tcW w:type="dxa" w:w="1814"/>
          </w:tcPr>
          <w:p>
            <w:pPr>
              <w:jc w:val="right"/>
            </w:pPr>
            <w:r/>
            <w:r>
              <w:rPr>
                <w:color w:val="1A1D21"/>
                <w:sz w:val="17"/>
              </w:rPr>
              <w:t>46,309.1</w:t>
            </w:r>
          </w:p>
        </w:tc>
      </w:tr>
      <w:tr>
        <w:trPr>
          <w:cantSplit/>
        </w:trPr>
        <w:tc>
          <w:tcPr>
            <w:tcW w:type="dxa" w:w="3515"/>
          </w:tcPr>
          <w:p>
            <w:r/>
            <w:r>
              <w:rPr>
                <w:color w:val="1A1D21"/>
                <w:sz w:val="17"/>
              </w:rPr>
              <w:t>Current assets</w:t>
            </w:r>
          </w:p>
        </w:tc>
        <w:tc>
          <w:tcPr>
            <w:tcW w:type="dxa" w:w="2041"/>
          </w:tcPr>
          <w:p>
            <w:pPr>
              <w:jc w:val="right"/>
            </w:pPr>
            <w:r/>
            <w:r>
              <w:rPr>
                <w:color w:val="1A1D21"/>
                <w:sz w:val="17"/>
              </w:rPr>
              <w:t>114,863.9</w:t>
            </w:r>
          </w:p>
        </w:tc>
        <w:tc>
          <w:tcPr>
            <w:tcW w:type="dxa" w:w="1814"/>
          </w:tcPr>
          <w:p>
            <w:pPr>
              <w:jc w:val="right"/>
            </w:pPr>
            <w:r/>
            <w:r>
              <w:rPr>
                <w:color w:val="1A1D21"/>
                <w:sz w:val="17"/>
              </w:rPr>
              <w:t>106,229.6</w:t>
            </w:r>
          </w:p>
        </w:tc>
        <w:tc>
          <w:tcPr>
            <w:tcW w:type="dxa" w:w="1814"/>
          </w:tcPr>
          <w:p>
            <w:pPr>
              <w:jc w:val="right"/>
            </w:pPr>
            <w:r/>
            <w:r>
              <w:rPr>
                <w:color w:val="1A1D21"/>
                <w:sz w:val="17"/>
              </w:rPr>
              <w:t>69,270.9</w:t>
            </w:r>
          </w:p>
        </w:tc>
      </w:tr>
      <w:tr>
        <w:trPr>
          <w:cantSplit/>
        </w:trPr>
        <w:tc>
          <w:tcPr>
            <w:tcW w:type="dxa" w:w="3515"/>
          </w:tcPr>
          <w:p>
            <w:r/>
            <w:r>
              <w:rPr>
                <w:color w:val="1A1D21"/>
                <w:sz w:val="17"/>
              </w:rPr>
              <w:t xml:space="preserve">  of which work in progress</w:t>
            </w:r>
          </w:p>
        </w:tc>
        <w:tc>
          <w:tcPr>
            <w:tcW w:type="dxa" w:w="2041"/>
          </w:tcPr>
          <w:p>
            <w:pPr>
              <w:jc w:val="right"/>
            </w:pPr>
            <w:r/>
            <w:r>
              <w:rPr>
                <w:color w:val="1A1D21"/>
                <w:sz w:val="17"/>
              </w:rPr>
              <w:t>21,337.8</w:t>
            </w:r>
          </w:p>
        </w:tc>
        <w:tc>
          <w:tcPr>
            <w:tcW w:type="dxa" w:w="1814"/>
          </w:tcPr>
          <w:p>
            <w:pPr>
              <w:jc w:val="right"/>
            </w:pPr>
            <w:r/>
            <w:r>
              <w:rPr>
                <w:color w:val="1A1D21"/>
                <w:sz w:val="17"/>
              </w:rPr>
              <w:t>17,570.9</w:t>
            </w:r>
          </w:p>
        </w:tc>
        <w:tc>
          <w:tcPr>
            <w:tcW w:type="dxa" w:w="1814"/>
          </w:tcPr>
          <w:p>
            <w:pPr>
              <w:jc w:val="right"/>
            </w:pPr>
            <w:r/>
            <w:r>
              <w:rPr>
                <w:color w:val="1A1D21"/>
                <w:sz w:val="17"/>
              </w:rPr>
              <w:t>13,209.8</w:t>
            </w:r>
          </w:p>
        </w:tc>
      </w:tr>
      <w:tr>
        <w:trPr>
          <w:cantSplit/>
        </w:trPr>
        <w:tc>
          <w:tcPr>
            <w:tcW w:type="dxa" w:w="3515"/>
          </w:tcPr>
          <w:p>
            <w:r/>
            <w:r>
              <w:rPr>
                <w:color w:val="1A1D21"/>
                <w:sz w:val="17"/>
              </w:rPr>
              <w:t xml:space="preserve">  of which trade receivables</w:t>
            </w:r>
          </w:p>
        </w:tc>
        <w:tc>
          <w:tcPr>
            <w:tcW w:type="dxa" w:w="2041"/>
          </w:tcPr>
          <w:p>
            <w:pPr>
              <w:jc w:val="right"/>
            </w:pPr>
            <w:r/>
            <w:r>
              <w:rPr>
                <w:color w:val="1A1D21"/>
                <w:sz w:val="17"/>
              </w:rPr>
              <w:t>30,481.0</w:t>
            </w:r>
          </w:p>
        </w:tc>
        <w:tc>
          <w:tcPr>
            <w:tcW w:type="dxa" w:w="1814"/>
          </w:tcPr>
          <w:p>
            <w:pPr>
              <w:jc w:val="right"/>
            </w:pPr>
            <w:r/>
            <w:r>
              <w:rPr>
                <w:color w:val="1A1D21"/>
                <w:sz w:val="17"/>
              </w:rPr>
              <w:t>28,118.1</w:t>
            </w:r>
          </w:p>
        </w:tc>
        <w:tc>
          <w:tcPr>
            <w:tcW w:type="dxa" w:w="1814"/>
          </w:tcPr>
          <w:p>
            <w:pPr>
              <w:jc w:val="right"/>
            </w:pPr>
            <w:r/>
            <w:r>
              <w:rPr>
                <w:color w:val="1A1D21"/>
                <w:sz w:val="17"/>
              </w:rPr>
              <w:t>15,561.1</w:t>
            </w:r>
          </w:p>
        </w:tc>
      </w:tr>
      <w:tr>
        <w:trPr>
          <w:cantSplit/>
        </w:trPr>
        <w:tc>
          <w:tcPr>
            <w:tcW w:type="dxa" w:w="3515"/>
          </w:tcPr>
          <w:p>
            <w:r/>
            <w:r>
              <w:rPr>
                <w:color w:val="1A1D21"/>
                <w:sz w:val="17"/>
              </w:rPr>
              <w:t xml:space="preserve">  of which notes receivable, short term</w:t>
            </w:r>
          </w:p>
        </w:tc>
        <w:tc>
          <w:tcPr>
            <w:tcW w:type="dxa" w:w="2041"/>
          </w:tcPr>
          <w:p>
            <w:pPr>
              <w:jc w:val="right"/>
            </w:pPr>
            <w:r/>
            <w:r>
              <w:rPr>
                <w:color w:val="1A1D21"/>
                <w:sz w:val="17"/>
              </w:rPr>
              <w:t>17,788.2</w:t>
            </w:r>
          </w:p>
        </w:tc>
        <w:tc>
          <w:tcPr>
            <w:tcW w:type="dxa" w:w="1814"/>
          </w:tcPr>
          <w:p>
            <w:pPr>
              <w:jc w:val="right"/>
            </w:pPr>
            <w:r/>
            <w:r>
              <w:rPr>
                <w:color w:val="1A1D21"/>
                <w:sz w:val="17"/>
              </w:rPr>
              <w:t>19,073.0</w:t>
            </w:r>
          </w:p>
        </w:tc>
        <w:tc>
          <w:tcPr>
            <w:tcW w:type="dxa" w:w="1814"/>
          </w:tcPr>
          <w:p>
            <w:pPr>
              <w:jc w:val="right"/>
            </w:pPr>
            <w:r/>
            <w:r>
              <w:rPr>
                <w:color w:val="1A1D21"/>
                <w:sz w:val="17"/>
              </w:rPr>
              <w:t>15,148.4</w:t>
            </w:r>
          </w:p>
        </w:tc>
      </w:tr>
      <w:tr>
        <w:trPr>
          <w:cantSplit/>
        </w:trPr>
        <w:tc>
          <w:tcPr>
            <w:tcW w:type="dxa" w:w="3515"/>
          </w:tcPr>
          <w:p>
            <w:r/>
            <w:r>
              <w:rPr>
                <w:color w:val="1A1D21"/>
                <w:sz w:val="17"/>
              </w:rPr>
              <w:t xml:space="preserve">  of which cash</w:t>
            </w:r>
          </w:p>
        </w:tc>
        <w:tc>
          <w:tcPr>
            <w:tcW w:type="dxa" w:w="2041"/>
          </w:tcPr>
          <w:p>
            <w:pPr>
              <w:jc w:val="right"/>
            </w:pPr>
            <w:r/>
            <w:r>
              <w:rPr>
                <w:color w:val="1A1D21"/>
                <w:sz w:val="17"/>
              </w:rPr>
              <w:t>9,125.1</w:t>
            </w:r>
          </w:p>
        </w:tc>
        <w:tc>
          <w:tcPr>
            <w:tcW w:type="dxa" w:w="1814"/>
          </w:tcPr>
          <w:p>
            <w:pPr>
              <w:jc w:val="right"/>
            </w:pPr>
            <w:r/>
            <w:r>
              <w:rPr>
                <w:color w:val="1A1D21"/>
                <w:sz w:val="17"/>
              </w:rPr>
              <w:t>9,419.5</w:t>
            </w:r>
          </w:p>
        </w:tc>
        <w:tc>
          <w:tcPr>
            <w:tcW w:type="dxa" w:w="1814"/>
          </w:tcPr>
          <w:p>
            <w:pPr>
              <w:jc w:val="right"/>
            </w:pPr>
            <w:r/>
            <w:r>
              <w:rPr>
                <w:color w:val="1A1D21"/>
                <w:sz w:val="17"/>
              </w:rPr>
              <w:t>6,372.4</w:t>
            </w:r>
          </w:p>
        </w:tc>
      </w:tr>
      <w:tr>
        <w:trPr>
          <w:cantSplit/>
        </w:trPr>
        <w:tc>
          <w:tcPr>
            <w:tcW w:type="dxa" w:w="3515"/>
          </w:tcPr>
          <w:p>
            <w:r/>
            <w:r>
              <w:rPr>
                <w:color w:val="1A1D21"/>
                <w:sz w:val="17"/>
              </w:rPr>
              <w:t>Total assets</w:t>
            </w:r>
          </w:p>
        </w:tc>
        <w:tc>
          <w:tcPr>
            <w:tcW w:type="dxa" w:w="2041"/>
          </w:tcPr>
          <w:p>
            <w:pPr>
              <w:jc w:val="right"/>
            </w:pPr>
            <w:r/>
            <w:r>
              <w:rPr>
                <w:color w:val="1A1D21"/>
                <w:sz w:val="17"/>
              </w:rPr>
              <w:t>177,979.0</w:t>
            </w:r>
          </w:p>
        </w:tc>
        <w:tc>
          <w:tcPr>
            <w:tcW w:type="dxa" w:w="1814"/>
          </w:tcPr>
          <w:p>
            <w:pPr>
              <w:jc w:val="right"/>
            </w:pPr>
            <w:r/>
            <w:r>
              <w:rPr>
                <w:color w:val="1A1D21"/>
                <w:sz w:val="17"/>
              </w:rPr>
              <w:t>172,129.8</w:t>
            </w:r>
          </w:p>
        </w:tc>
        <w:tc>
          <w:tcPr>
            <w:tcW w:type="dxa" w:w="1814"/>
          </w:tcPr>
          <w:p>
            <w:pPr>
              <w:jc w:val="right"/>
            </w:pPr>
            <w:r/>
            <w:r>
              <w:rPr>
                <w:color w:val="1A1D21"/>
                <w:sz w:val="17"/>
              </w:rPr>
              <w:t>123,437.3</w:t>
            </w:r>
          </w:p>
        </w:tc>
      </w:tr>
      <w:tr>
        <w:trPr>
          <w:cantSplit/>
        </w:trPr>
        <w:tc>
          <w:tcPr>
            <w:tcW w:type="dxa" w:w="3515"/>
          </w:tcPr>
          <w:p>
            <w:r/>
            <w:r>
              <w:rPr>
                <w:color w:val="1A1D21"/>
                <w:sz w:val="17"/>
              </w:rPr>
              <w:t>Current liabilities</w:t>
            </w:r>
          </w:p>
        </w:tc>
        <w:tc>
          <w:tcPr>
            <w:tcW w:type="dxa" w:w="2041"/>
          </w:tcPr>
          <w:p>
            <w:pPr>
              <w:jc w:val="right"/>
            </w:pPr>
            <w:r/>
            <w:r>
              <w:rPr>
                <w:color w:val="1A1D21"/>
                <w:sz w:val="17"/>
              </w:rPr>
              <w:t>108,093.2</w:t>
            </w:r>
          </w:p>
        </w:tc>
        <w:tc>
          <w:tcPr>
            <w:tcW w:type="dxa" w:w="1814"/>
          </w:tcPr>
          <w:p>
            <w:pPr>
              <w:jc w:val="right"/>
            </w:pPr>
            <w:r/>
            <w:r>
              <w:rPr>
                <w:color w:val="1A1D21"/>
                <w:sz w:val="17"/>
              </w:rPr>
              <w:t>105,099.0</w:t>
            </w:r>
          </w:p>
        </w:tc>
        <w:tc>
          <w:tcPr>
            <w:tcW w:type="dxa" w:w="1814"/>
          </w:tcPr>
          <w:p>
            <w:pPr>
              <w:jc w:val="right"/>
            </w:pPr>
            <w:r/>
            <w:r>
              <w:rPr>
                <w:color w:val="1A1D21"/>
                <w:sz w:val="17"/>
              </w:rPr>
              <w:t>74,496.9</w:t>
            </w:r>
          </w:p>
        </w:tc>
      </w:tr>
      <w:tr>
        <w:trPr>
          <w:cantSplit/>
        </w:trPr>
        <w:tc>
          <w:tcPr>
            <w:tcW w:type="dxa" w:w="3515"/>
          </w:tcPr>
          <w:p>
            <w:r/>
            <w:r>
              <w:rPr>
                <w:color w:val="1A1D21"/>
                <w:sz w:val="17"/>
              </w:rPr>
              <w:t xml:space="preserve">  of which advances from customers</w:t>
            </w:r>
          </w:p>
        </w:tc>
        <w:tc>
          <w:tcPr>
            <w:tcW w:type="dxa" w:w="2041"/>
          </w:tcPr>
          <w:p>
            <w:pPr>
              <w:jc w:val="right"/>
            </w:pPr>
            <w:r/>
            <w:r>
              <w:rPr>
                <w:color w:val="1A1D21"/>
                <w:sz w:val="17"/>
              </w:rPr>
              <w:t>72,867.8</w:t>
            </w:r>
          </w:p>
        </w:tc>
        <w:tc>
          <w:tcPr>
            <w:tcW w:type="dxa" w:w="1814"/>
          </w:tcPr>
          <w:p>
            <w:pPr>
              <w:jc w:val="right"/>
            </w:pPr>
            <w:r/>
            <w:r>
              <w:rPr>
                <w:color w:val="1A1D21"/>
                <w:sz w:val="17"/>
              </w:rPr>
              <w:t>69,354.1</w:t>
            </w:r>
          </w:p>
        </w:tc>
        <w:tc>
          <w:tcPr>
            <w:tcW w:type="dxa" w:w="1814"/>
          </w:tcPr>
          <w:p>
            <w:pPr>
              <w:jc w:val="right"/>
            </w:pPr>
            <w:r/>
            <w:r>
              <w:rPr>
                <w:color w:val="1A1D21"/>
                <w:sz w:val="17"/>
              </w:rPr>
              <w:t>47,403.8</w:t>
            </w:r>
          </w:p>
        </w:tc>
      </w:tr>
      <w:tr>
        <w:trPr>
          <w:cantSplit/>
        </w:trPr>
        <w:tc>
          <w:tcPr>
            <w:tcW w:type="dxa" w:w="3515"/>
          </w:tcPr>
          <w:p>
            <w:r/>
            <w:r>
              <w:rPr>
                <w:color w:val="1A1D21"/>
                <w:sz w:val="17"/>
              </w:rPr>
              <w:t xml:space="preserve">  of which suppliers</w:t>
            </w:r>
          </w:p>
        </w:tc>
        <w:tc>
          <w:tcPr>
            <w:tcW w:type="dxa" w:w="2041"/>
          </w:tcPr>
          <w:p>
            <w:pPr>
              <w:jc w:val="right"/>
            </w:pPr>
            <w:r/>
            <w:r>
              <w:rPr>
                <w:color w:val="1A1D21"/>
                <w:sz w:val="17"/>
              </w:rPr>
              <w:t>5,340.1</w:t>
            </w:r>
          </w:p>
        </w:tc>
        <w:tc>
          <w:tcPr>
            <w:tcW w:type="dxa" w:w="1814"/>
          </w:tcPr>
          <w:p>
            <w:pPr>
              <w:jc w:val="right"/>
            </w:pPr>
            <w:r/>
            <w:r>
              <w:rPr>
                <w:color w:val="1A1D21"/>
                <w:sz w:val="17"/>
              </w:rPr>
              <w:t>3,807.0</w:t>
            </w:r>
          </w:p>
        </w:tc>
        <w:tc>
          <w:tcPr>
            <w:tcW w:type="dxa" w:w="1814"/>
          </w:tcPr>
          <w:p>
            <w:pPr>
              <w:jc w:val="right"/>
            </w:pPr>
            <w:r/>
            <w:r>
              <w:rPr>
                <w:color w:val="1A1D21"/>
                <w:sz w:val="17"/>
              </w:rPr>
              <w:t>3,426.7</w:t>
            </w:r>
          </w:p>
        </w:tc>
      </w:tr>
      <w:tr>
        <w:trPr>
          <w:cantSplit/>
        </w:trPr>
        <w:tc>
          <w:tcPr>
            <w:tcW w:type="dxa" w:w="3515"/>
          </w:tcPr>
          <w:p>
            <w:r/>
            <w:r>
              <w:rPr>
                <w:color w:val="1A1D21"/>
                <w:sz w:val="17"/>
              </w:rPr>
              <w:t>Non-current liabilities</w:t>
            </w:r>
          </w:p>
        </w:tc>
        <w:tc>
          <w:tcPr>
            <w:tcW w:type="dxa" w:w="2041"/>
          </w:tcPr>
          <w:p>
            <w:pPr>
              <w:jc w:val="right"/>
            </w:pPr>
            <w:r/>
            <w:r>
              <w:rPr>
                <w:color w:val="1A1D21"/>
                <w:sz w:val="17"/>
              </w:rPr>
              <w:t>49,497.4</w:t>
            </w:r>
          </w:p>
        </w:tc>
        <w:tc>
          <w:tcPr>
            <w:tcW w:type="dxa" w:w="1814"/>
          </w:tcPr>
          <w:p>
            <w:pPr>
              <w:jc w:val="right"/>
            </w:pPr>
            <w:r/>
            <w:r>
              <w:rPr>
                <w:color w:val="1A1D21"/>
                <w:sz w:val="17"/>
              </w:rPr>
              <w:t>48,265.1</w:t>
            </w:r>
          </w:p>
        </w:tc>
        <w:tc>
          <w:tcPr>
            <w:tcW w:type="dxa" w:w="1814"/>
          </w:tcPr>
          <w:p>
            <w:pPr>
              <w:jc w:val="right"/>
            </w:pPr>
            <w:r/>
            <w:r>
              <w:rPr>
                <w:color w:val="1A1D21"/>
                <w:sz w:val="17"/>
              </w:rPr>
              <w:t>34,315.7</w:t>
            </w:r>
          </w:p>
        </w:tc>
      </w:tr>
      <w:tr>
        <w:trPr>
          <w:cantSplit/>
        </w:trPr>
        <w:tc>
          <w:tcPr>
            <w:tcW w:type="dxa" w:w="3515"/>
          </w:tcPr>
          <w:p>
            <w:r/>
            <w:r>
              <w:rPr>
                <w:color w:val="1A1D21"/>
                <w:sz w:val="17"/>
              </w:rPr>
              <w:t>Total liabilities</w:t>
            </w:r>
          </w:p>
        </w:tc>
        <w:tc>
          <w:tcPr>
            <w:tcW w:type="dxa" w:w="2041"/>
          </w:tcPr>
          <w:p>
            <w:pPr>
              <w:jc w:val="right"/>
            </w:pPr>
            <w:r/>
            <w:r>
              <w:rPr>
                <w:color w:val="1A1D21"/>
                <w:sz w:val="17"/>
              </w:rPr>
              <w:t>157,590.6</w:t>
            </w:r>
          </w:p>
        </w:tc>
        <w:tc>
          <w:tcPr>
            <w:tcW w:type="dxa" w:w="1814"/>
          </w:tcPr>
          <w:p>
            <w:pPr>
              <w:jc w:val="right"/>
            </w:pPr>
            <w:r/>
            <w:r>
              <w:rPr>
                <w:color w:val="1A1D21"/>
                <w:sz w:val="17"/>
              </w:rPr>
              <w:t>153,364.1</w:t>
            </w:r>
          </w:p>
        </w:tc>
        <w:tc>
          <w:tcPr>
            <w:tcW w:type="dxa" w:w="1814"/>
          </w:tcPr>
          <w:p>
            <w:pPr>
              <w:jc w:val="right"/>
            </w:pPr>
            <w:r/>
            <w:r>
              <w:rPr>
                <w:color w:val="1A1D21"/>
                <w:sz w:val="17"/>
              </w:rPr>
              <w:t>108,812.6</w:t>
            </w:r>
          </w:p>
        </w:tc>
      </w:tr>
      <w:tr>
        <w:trPr>
          <w:cantSplit/>
        </w:trPr>
        <w:tc>
          <w:tcPr>
            <w:tcW w:type="dxa" w:w="3515"/>
          </w:tcPr>
          <w:p>
            <w:r/>
            <w:r>
              <w:rPr>
                <w:color w:val="1A1D21"/>
                <w:sz w:val="17"/>
              </w:rPr>
              <w:t>Shareholders' funds</w:t>
            </w:r>
          </w:p>
        </w:tc>
        <w:tc>
          <w:tcPr>
            <w:tcW w:type="dxa" w:w="2041"/>
          </w:tcPr>
          <w:p>
            <w:pPr>
              <w:jc w:val="right"/>
            </w:pPr>
            <w:r/>
            <w:r>
              <w:rPr>
                <w:color w:val="1A1D21"/>
                <w:sz w:val="17"/>
              </w:rPr>
              <w:t>20,388.4</w:t>
            </w:r>
          </w:p>
        </w:tc>
        <w:tc>
          <w:tcPr>
            <w:tcW w:type="dxa" w:w="1814"/>
          </w:tcPr>
          <w:p>
            <w:pPr>
              <w:jc w:val="right"/>
            </w:pPr>
            <w:r/>
            <w:r>
              <w:rPr>
                <w:color w:val="1A1D21"/>
                <w:sz w:val="17"/>
              </w:rPr>
              <w:t>18,765.8</w:t>
            </w:r>
          </w:p>
        </w:tc>
        <w:tc>
          <w:tcPr>
            <w:tcW w:type="dxa" w:w="1814"/>
          </w:tcPr>
          <w:p>
            <w:pPr>
              <w:jc w:val="right"/>
            </w:pPr>
            <w:r/>
            <w:r>
              <w:rPr>
                <w:color w:val="1A1D21"/>
                <w:sz w:val="17"/>
              </w:rPr>
              <w:t>14,624.7</w:t>
            </w:r>
          </w:p>
        </w:tc>
      </w:tr>
      <w:tr>
        <w:trPr>
          <w:cantSplit/>
        </w:trPr>
        <w:tc>
          <w:tcPr>
            <w:tcW w:type="dxa" w:w="3515"/>
          </w:tcPr>
          <w:p>
            <w:r/>
            <w:r>
              <w:rPr>
                <w:color w:val="1A1D21"/>
                <w:sz w:val="17"/>
              </w:rPr>
              <w:t xml:space="preserve">  of which attributable to the parent</w:t>
            </w:r>
          </w:p>
        </w:tc>
        <w:tc>
          <w:tcPr>
            <w:tcW w:type="dxa" w:w="2041"/>
          </w:tcPr>
          <w:p>
            <w:pPr>
              <w:jc w:val="right"/>
            </w:pPr>
            <w:r/>
            <w:r>
              <w:rPr>
                <w:color w:val="1A1D21"/>
                <w:sz w:val="17"/>
              </w:rPr>
              <w:t>18,955.7</w:t>
            </w:r>
          </w:p>
        </w:tc>
        <w:tc>
          <w:tcPr>
            <w:tcW w:type="dxa" w:w="1814"/>
          </w:tcPr>
          <w:p>
            <w:pPr>
              <w:jc w:val="right"/>
            </w:pPr>
            <w:r/>
            <w:r>
              <w:rPr>
                <w:color w:val="1A1D21"/>
                <w:sz w:val="17"/>
              </w:rPr>
              <w:t>17,431.4</w:t>
            </w:r>
          </w:p>
        </w:tc>
        <w:tc>
          <w:tcPr>
            <w:tcW w:type="dxa" w:w="1814"/>
          </w:tcPr>
          <w:p>
            <w:r/>
            <w:r>
              <w:rPr>
                <w:color w:val="1A1D21"/>
                <w:sz w:val="17"/>
              </w:rPr>
              <w:t>n/a</w:t>
            </w:r>
          </w:p>
        </w:tc>
      </w:tr>
      <w:tr>
        <w:trPr>
          <w:cantSplit/>
        </w:trPr>
        <w:tc>
          <w:tcPr>
            <w:tcW w:type="dxa" w:w="3515"/>
          </w:tcPr>
          <w:p>
            <w:r/>
            <w:r>
              <w:rPr>
                <w:color w:val="1A1D21"/>
                <w:sz w:val="17"/>
              </w:rPr>
              <w:t xml:space="preserve">  of which minority interests</w:t>
            </w:r>
          </w:p>
        </w:tc>
        <w:tc>
          <w:tcPr>
            <w:tcW w:type="dxa" w:w="2041"/>
          </w:tcPr>
          <w:p>
            <w:pPr>
              <w:jc w:val="right"/>
            </w:pPr>
            <w:r/>
            <w:r>
              <w:rPr>
                <w:color w:val="1A1D21"/>
                <w:sz w:val="17"/>
              </w:rPr>
              <w:t>1,432.7</w:t>
            </w:r>
          </w:p>
        </w:tc>
        <w:tc>
          <w:tcPr>
            <w:tcW w:type="dxa" w:w="1814"/>
          </w:tcPr>
          <w:p>
            <w:pPr>
              <w:jc w:val="right"/>
            </w:pPr>
            <w:r/>
            <w:r>
              <w:rPr>
                <w:color w:val="1A1D21"/>
                <w:sz w:val="17"/>
              </w:rPr>
              <w:t>1,334.3</w:t>
            </w:r>
          </w:p>
        </w:tc>
        <w:tc>
          <w:tcPr>
            <w:tcW w:type="dxa" w:w="1814"/>
          </w:tcPr>
          <w:p>
            <w:r/>
            <w:r>
              <w:rPr>
                <w:color w:val="1A1D21"/>
                <w:sz w:val="17"/>
              </w:rPr>
              <w:t>n/a</w:t>
            </w:r>
          </w:p>
        </w:tc>
      </w:tr>
      <w:tr>
        <w:trPr>
          <w:cantSplit/>
        </w:trPr>
        <w:tc>
          <w:tcPr>
            <w:tcW w:type="dxa" w:w="3515"/>
          </w:tcPr>
          <w:p>
            <w:r/>
            <w:r>
              <w:rPr>
                <w:color w:val="1A1D21"/>
                <w:sz w:val="17"/>
              </w:rPr>
              <w:t>Total equity and liabilities</w:t>
            </w:r>
          </w:p>
        </w:tc>
        <w:tc>
          <w:tcPr>
            <w:tcW w:type="dxa" w:w="2041"/>
          </w:tcPr>
          <w:p>
            <w:pPr>
              <w:jc w:val="right"/>
            </w:pPr>
            <w:r/>
            <w:r>
              <w:rPr>
                <w:color w:val="1A1D21"/>
                <w:sz w:val="17"/>
              </w:rPr>
              <w:t>177,979.0</w:t>
            </w:r>
          </w:p>
        </w:tc>
        <w:tc>
          <w:tcPr>
            <w:tcW w:type="dxa" w:w="1814"/>
          </w:tcPr>
          <w:p>
            <w:pPr>
              <w:jc w:val="right"/>
            </w:pPr>
            <w:r/>
            <w:r>
              <w:rPr>
                <w:color w:val="1A1D21"/>
                <w:sz w:val="17"/>
              </w:rPr>
              <w:t>172,129.8</w:t>
            </w:r>
          </w:p>
        </w:tc>
        <w:tc>
          <w:tcPr>
            <w:tcW w:type="dxa" w:w="1814"/>
          </w:tcPr>
          <w:p>
            <w:pPr>
              <w:jc w:val="right"/>
            </w:pPr>
            <w:r/>
            <w:r>
              <w:rPr>
                <w:color w:val="1A1D21"/>
                <w:sz w:val="17"/>
              </w:rPr>
              <w:t>123,437.3</w:t>
            </w:r>
          </w:p>
        </w:tc>
      </w:tr>
    </w:tbl>
    <w:p>
      <w:pPr>
        <w:spacing w:after="200"/>
      </w:pPr>
      <w:r>
        <w:rPr>
          <w:b w:val="0"/>
          <w:i/>
          <w:color w:val="5B6570"/>
          <w:sz w:val="16"/>
        </w:rPr>
        <w:t>As reported. Total assets equal total liabilities plus shareholders' funds on all three dates, and each subtotal reconciles to its components. The March 2026 column is the reviewed interim statement and is the sheet the bridge, the book value and the borrowings stand on; the split of shareholders' funds is not carried in the 2024 comparative column the study holds.</w:t>
      </w:r>
    </w:p>
    <w:p>
      <w:pPr>
        <w:pStyle w:val="Heading2"/>
      </w:pPr>
      <w:r>
        <w:t>A.3  Forecast balance sheet and cash flow</w:t>
      </w:r>
    </w:p>
    <w:p>
      <w:pPr>
        <w:spacing w:after="140"/>
      </w:pPr>
      <w:r>
        <w:rPr>
          <w:b w:val="0"/>
          <w:i w:val="0"/>
          <w:color w:val="1A1D21"/>
          <w:sz w:val="20"/>
        </w:rPr>
        <w:t>Because the balance sheet and the cash-flow statement disagree about 2025 by EGP 16,938 million, and that difference cannot be split from what has been disclosed, the forecast is published two ways. Neither is averaged into the other. Both rest on the same income statement above; they differ only in what they hold fixed about cash.</w:t>
      </w:r>
    </w:p>
    <w:p>
      <w:pPr>
        <w:pStyle w:val="ListBullet"/>
        <w:spacing w:after="60"/>
      </w:pPr>
      <w:r>
        <w:rPr>
          <w:color w:val="1A1D21"/>
          <w:sz w:val="20"/>
        </w:rPr>
        <w:t>The first holds the collection cycle. Every working-capital line stays at the ratio to revenue it stood at in 2025, the balance sheet is built from those ratios, and operating cash is what is left. It asks what the growth costs to fund if nothing about collection changes.</w:t>
      </w:r>
    </w:p>
    <w:p>
      <w:pPr>
        <w:pStyle w:val="ListBullet"/>
        <w:spacing w:after="60"/>
      </w:pPr>
      <w:r>
        <w:rPr>
          <w:color w:val="1A1D21"/>
          <w:sz w:val="20"/>
        </w:rPr>
        <w:t>The second holds cash conversion. Operating cash is set at the company's own disclosed rate — 4.3, 17.9 and 3.9 per cent of revenue in the three published years, 8.7 per cent on average — and working capital is what is left. It asks what the collection cycle must do for the cash to keep converting as it has.</w:t>
      </w:r>
    </w:p>
    <w:p>
      <w:pPr>
        <w:spacing w:after="140"/>
      </w:pPr>
      <w:r>
        <w:rPr>
          <w:b w:val="0"/>
          <w:i w:val="0"/>
          <w:color w:val="1A1D21"/>
          <w:sz w:val="20"/>
        </w:rPr>
        <w:t>The valuation stands on the second, because that is the reading the company's own cash-flow statements support. The first is printed beside it because the two do not agree, and a single set of figures would hide that they don't.</w:t>
      </w:r>
    </w:p>
    <w:p>
      <w:pPr>
        <w:pStyle w:val="Heading3"/>
      </w:pPr>
      <w:r>
        <w:t>If cash conversion holds — the basis of the valuation</w:t>
      </w:r>
    </w:p>
    <w:tbl>
      <w:tblPr>
        <w:tblStyle w:val="TableGrid"/>
        <w:tblW w:type="auto" w:w="0"/>
        <w:jc w:val="center"/>
        <w:tblLayout w:type="fixed"/>
        <w:tblLook w:firstColumn="1" w:firstRow="1" w:lastColumn="0" w:lastRow="0" w:noHBand="0" w:noVBand="1" w:val="04A0"/>
        <w:tblLayout w:type="fixed"/>
      </w:tblPr>
      <w:tblGrid>
        <w:gridCol w:w="1984"/>
        <w:gridCol w:w="1026"/>
        <w:gridCol w:w="1026"/>
        <w:gridCol w:w="1026"/>
        <w:gridCol w:w="1026"/>
        <w:gridCol w:w="1026"/>
        <w:gridCol w:w="1026"/>
        <w:gridCol w:w="1026"/>
      </w:tblGrid>
      <w:tr>
        <w:trPr>
          <w:tblHeader w:val="true"/>
        </w:trPr>
        <w:tc>
          <w:tcPr>
            <w:tcW w:type="dxa" w:w="1984"/>
          </w:tcPr>
          <w:p>
            <w:r/>
            <w:r>
              <w:rPr>
                <w:b/>
                <w:color w:val="5B6570"/>
                <w:sz w:val="17"/>
              </w:rPr>
              <w:t>Forecast balance sheet, EGP million</w:t>
            </w:r>
          </w:p>
        </w:tc>
        <w:tc>
          <w:tcPr>
            <w:tcW w:type="dxa" w:w="1026"/>
          </w:tcPr>
          <w:p>
            <w:r/>
            <w:r>
              <w:rPr>
                <w:b/>
                <w:color w:val="5B6570"/>
                <w:sz w:val="17"/>
              </w:rPr>
              <w:t>2026</w:t>
            </w:r>
          </w:p>
        </w:tc>
        <w:tc>
          <w:tcPr>
            <w:tcW w:type="dxa" w:w="1026"/>
          </w:tcPr>
          <w:p>
            <w:r/>
            <w:r>
              <w:rPr>
                <w:b/>
                <w:color w:val="5B6570"/>
                <w:sz w:val="17"/>
              </w:rPr>
              <w:t>2027</w:t>
            </w:r>
          </w:p>
        </w:tc>
        <w:tc>
          <w:tcPr>
            <w:tcW w:type="dxa" w:w="1026"/>
          </w:tcPr>
          <w:p>
            <w:r/>
            <w:r>
              <w:rPr>
                <w:b/>
                <w:color w:val="5B6570"/>
                <w:sz w:val="17"/>
              </w:rPr>
              <w:t>2028</w:t>
            </w:r>
          </w:p>
        </w:tc>
        <w:tc>
          <w:tcPr>
            <w:tcW w:type="dxa" w:w="1026"/>
          </w:tcPr>
          <w:p>
            <w:r/>
            <w:r>
              <w:rPr>
                <w:b/>
                <w:color w:val="5B6570"/>
                <w:sz w:val="17"/>
              </w:rPr>
              <w:t>2029</w:t>
            </w:r>
          </w:p>
        </w:tc>
        <w:tc>
          <w:tcPr>
            <w:tcW w:type="dxa" w:w="1026"/>
          </w:tcPr>
          <w:p>
            <w:r/>
            <w:r>
              <w:rPr>
                <w:b/>
                <w:color w:val="5B6570"/>
                <w:sz w:val="17"/>
              </w:rPr>
              <w:t>2030</w:t>
            </w:r>
          </w:p>
        </w:tc>
        <w:tc>
          <w:tcPr>
            <w:tcW w:type="dxa" w:w="1026"/>
          </w:tcPr>
          <w:p>
            <w:r/>
            <w:r>
              <w:rPr>
                <w:b/>
                <w:color w:val="5B6570"/>
                <w:sz w:val="17"/>
              </w:rPr>
              <w:t>2035</w:t>
            </w:r>
          </w:p>
        </w:tc>
        <w:tc>
          <w:tcPr>
            <w:tcW w:type="dxa" w:w="1026"/>
          </w:tcPr>
          <w:p>
            <w:r/>
            <w:r>
              <w:rPr>
                <w:b/>
                <w:color w:val="5B6570"/>
                <w:sz w:val="17"/>
              </w:rPr>
              <w:t>2040</w:t>
            </w:r>
          </w:p>
        </w:tc>
      </w:tr>
      <w:tr>
        <w:trPr>
          <w:cantSplit/>
        </w:trPr>
        <w:tc>
          <w:tcPr>
            <w:tcW w:type="dxa" w:w="1984"/>
          </w:tcPr>
          <w:p>
            <w:r/>
            <w:r>
              <w:rPr>
                <w:color w:val="1A1D21"/>
                <w:sz w:val="17"/>
              </w:rPr>
              <w:t>Trade and notes receivable</w:t>
            </w:r>
          </w:p>
        </w:tc>
        <w:tc>
          <w:tcPr>
            <w:tcW w:type="dxa" w:w="1026"/>
          </w:tcPr>
          <w:p>
            <w:pPr>
              <w:jc w:val="right"/>
            </w:pPr>
            <w:r/>
            <w:r>
              <w:rPr>
                <w:color w:val="1A1D21"/>
                <w:sz w:val="17"/>
              </w:rPr>
              <w:t>102,781</w:t>
            </w:r>
          </w:p>
        </w:tc>
        <w:tc>
          <w:tcPr>
            <w:tcW w:type="dxa" w:w="1026"/>
          </w:tcPr>
          <w:p>
            <w:pPr>
              <w:jc w:val="right"/>
            </w:pPr>
            <w:r/>
            <w:r>
              <w:rPr>
                <w:color w:val="1A1D21"/>
                <w:sz w:val="17"/>
              </w:rPr>
              <w:t>103,081</w:t>
            </w:r>
          </w:p>
        </w:tc>
        <w:tc>
          <w:tcPr>
            <w:tcW w:type="dxa" w:w="1026"/>
          </w:tcPr>
          <w:p>
            <w:pPr>
              <w:jc w:val="right"/>
            </w:pPr>
            <w:r/>
            <w:r>
              <w:rPr>
                <w:color w:val="1A1D21"/>
                <w:sz w:val="17"/>
              </w:rPr>
              <w:t>104,475</w:t>
            </w:r>
          </w:p>
        </w:tc>
        <w:tc>
          <w:tcPr>
            <w:tcW w:type="dxa" w:w="1026"/>
          </w:tcPr>
          <w:p>
            <w:pPr>
              <w:jc w:val="right"/>
            </w:pPr>
            <w:r/>
            <w:r>
              <w:rPr>
                <w:color w:val="1A1D21"/>
                <w:sz w:val="17"/>
              </w:rPr>
              <w:t>107,031</w:t>
            </w:r>
          </w:p>
        </w:tc>
        <w:tc>
          <w:tcPr>
            <w:tcW w:type="dxa" w:w="1026"/>
          </w:tcPr>
          <w:p>
            <w:pPr>
              <w:jc w:val="right"/>
            </w:pPr>
            <w:r/>
            <w:r>
              <w:rPr>
                <w:color w:val="1A1D21"/>
                <w:sz w:val="17"/>
              </w:rPr>
              <w:t>110,840</w:t>
            </w:r>
          </w:p>
        </w:tc>
        <w:tc>
          <w:tcPr>
            <w:tcW w:type="dxa" w:w="1026"/>
          </w:tcPr>
          <w:p>
            <w:pPr>
              <w:jc w:val="right"/>
            </w:pPr>
            <w:r/>
            <w:r>
              <w:rPr>
                <w:color w:val="1A1D21"/>
                <w:sz w:val="17"/>
              </w:rPr>
              <w:t>151,036</w:t>
            </w:r>
          </w:p>
        </w:tc>
        <w:tc>
          <w:tcPr>
            <w:tcW w:type="dxa" w:w="1026"/>
          </w:tcPr>
          <w:p>
            <w:pPr>
              <w:jc w:val="right"/>
            </w:pPr>
            <w:r/>
            <w:r>
              <w:rPr>
                <w:color w:val="1A1D21"/>
                <w:sz w:val="17"/>
              </w:rPr>
              <w:t>224,555</w:t>
            </w:r>
          </w:p>
        </w:tc>
      </w:tr>
      <w:tr>
        <w:trPr>
          <w:cantSplit/>
        </w:trPr>
        <w:tc>
          <w:tcPr>
            <w:tcW w:type="dxa" w:w="1984"/>
          </w:tcPr>
          <w:p>
            <w:r/>
            <w:r>
              <w:rPr>
                <w:color w:val="1A1D21"/>
                <w:sz w:val="17"/>
              </w:rPr>
              <w:t>Work in progress</w:t>
            </w:r>
          </w:p>
        </w:tc>
        <w:tc>
          <w:tcPr>
            <w:tcW w:type="dxa" w:w="1026"/>
          </w:tcPr>
          <w:p>
            <w:pPr>
              <w:jc w:val="right"/>
            </w:pPr>
            <w:r/>
            <w:r>
              <w:rPr>
                <w:color w:val="1A1D21"/>
                <w:sz w:val="17"/>
              </w:rPr>
              <w:t>17,447</w:t>
            </w:r>
          </w:p>
        </w:tc>
        <w:tc>
          <w:tcPr>
            <w:tcW w:type="dxa" w:w="1026"/>
          </w:tcPr>
          <w:p>
            <w:pPr>
              <w:jc w:val="right"/>
            </w:pPr>
            <w:r/>
            <w:r>
              <w:rPr>
                <w:color w:val="1A1D21"/>
                <w:sz w:val="17"/>
              </w:rPr>
              <w:t>17,498</w:t>
            </w:r>
          </w:p>
        </w:tc>
        <w:tc>
          <w:tcPr>
            <w:tcW w:type="dxa" w:w="1026"/>
          </w:tcPr>
          <w:p>
            <w:pPr>
              <w:jc w:val="right"/>
            </w:pPr>
            <w:r/>
            <w:r>
              <w:rPr>
                <w:color w:val="1A1D21"/>
                <w:sz w:val="17"/>
              </w:rPr>
              <w:t>17,734</w:t>
            </w:r>
          </w:p>
        </w:tc>
        <w:tc>
          <w:tcPr>
            <w:tcW w:type="dxa" w:w="1026"/>
          </w:tcPr>
          <w:p>
            <w:pPr>
              <w:jc w:val="right"/>
            </w:pPr>
            <w:r/>
            <w:r>
              <w:rPr>
                <w:color w:val="1A1D21"/>
                <w:sz w:val="17"/>
              </w:rPr>
              <w:t>18,168</w:t>
            </w:r>
          </w:p>
        </w:tc>
        <w:tc>
          <w:tcPr>
            <w:tcW w:type="dxa" w:w="1026"/>
          </w:tcPr>
          <w:p>
            <w:pPr>
              <w:jc w:val="right"/>
            </w:pPr>
            <w:r/>
            <w:r>
              <w:rPr>
                <w:color w:val="1A1D21"/>
                <w:sz w:val="17"/>
              </w:rPr>
              <w:t>18,815</w:t>
            </w:r>
          </w:p>
        </w:tc>
        <w:tc>
          <w:tcPr>
            <w:tcW w:type="dxa" w:w="1026"/>
          </w:tcPr>
          <w:p>
            <w:pPr>
              <w:jc w:val="right"/>
            </w:pPr>
            <w:r/>
            <w:r>
              <w:rPr>
                <w:color w:val="1A1D21"/>
                <w:sz w:val="17"/>
              </w:rPr>
              <w:t>25,638</w:t>
            </w:r>
          </w:p>
        </w:tc>
        <w:tc>
          <w:tcPr>
            <w:tcW w:type="dxa" w:w="1026"/>
          </w:tcPr>
          <w:p>
            <w:pPr>
              <w:jc w:val="right"/>
            </w:pPr>
            <w:r/>
            <w:r>
              <w:rPr>
                <w:color w:val="1A1D21"/>
                <w:sz w:val="17"/>
              </w:rPr>
              <w:t>38,118</w:t>
            </w:r>
          </w:p>
        </w:tc>
      </w:tr>
      <w:tr>
        <w:trPr>
          <w:cantSplit/>
        </w:trPr>
        <w:tc>
          <w:tcPr>
            <w:tcW w:type="dxa" w:w="1984"/>
          </w:tcPr>
          <w:p>
            <w:r/>
            <w:r>
              <w:rPr>
                <w:color w:val="1A1D21"/>
                <w:sz w:val="17"/>
              </w:rPr>
              <w:t>Other receivables and prepayments</w:t>
            </w:r>
          </w:p>
        </w:tc>
        <w:tc>
          <w:tcPr>
            <w:tcW w:type="dxa" w:w="1026"/>
          </w:tcPr>
          <w:p>
            <w:pPr>
              <w:jc w:val="right"/>
            </w:pPr>
            <w:r/>
            <w:r>
              <w:rPr>
                <w:color w:val="1A1D21"/>
                <w:sz w:val="17"/>
              </w:rPr>
              <w:t>12,831</w:t>
            </w:r>
          </w:p>
        </w:tc>
        <w:tc>
          <w:tcPr>
            <w:tcW w:type="dxa" w:w="1026"/>
          </w:tcPr>
          <w:p>
            <w:pPr>
              <w:jc w:val="right"/>
            </w:pPr>
            <w:r/>
            <w:r>
              <w:rPr>
                <w:color w:val="1A1D21"/>
                <w:sz w:val="17"/>
              </w:rPr>
              <w:t>12,868</w:t>
            </w:r>
          </w:p>
        </w:tc>
        <w:tc>
          <w:tcPr>
            <w:tcW w:type="dxa" w:w="1026"/>
          </w:tcPr>
          <w:p>
            <w:pPr>
              <w:jc w:val="right"/>
            </w:pPr>
            <w:r/>
            <w:r>
              <w:rPr>
                <w:color w:val="1A1D21"/>
                <w:sz w:val="17"/>
              </w:rPr>
              <w:t>13,042</w:t>
            </w:r>
          </w:p>
        </w:tc>
        <w:tc>
          <w:tcPr>
            <w:tcW w:type="dxa" w:w="1026"/>
          </w:tcPr>
          <w:p>
            <w:pPr>
              <w:jc w:val="right"/>
            </w:pPr>
            <w:r/>
            <w:r>
              <w:rPr>
                <w:color w:val="1A1D21"/>
                <w:sz w:val="17"/>
              </w:rPr>
              <w:t>13,361</w:t>
            </w:r>
          </w:p>
        </w:tc>
        <w:tc>
          <w:tcPr>
            <w:tcW w:type="dxa" w:w="1026"/>
          </w:tcPr>
          <w:p>
            <w:pPr>
              <w:jc w:val="right"/>
            </w:pPr>
            <w:r/>
            <w:r>
              <w:rPr>
                <w:color w:val="1A1D21"/>
                <w:sz w:val="17"/>
              </w:rPr>
              <w:t>13,837</w:t>
            </w:r>
          </w:p>
        </w:tc>
        <w:tc>
          <w:tcPr>
            <w:tcW w:type="dxa" w:w="1026"/>
          </w:tcPr>
          <w:p>
            <w:pPr>
              <w:jc w:val="right"/>
            </w:pPr>
            <w:r/>
            <w:r>
              <w:rPr>
                <w:color w:val="1A1D21"/>
                <w:sz w:val="17"/>
              </w:rPr>
              <w:t>18,855</w:t>
            </w:r>
          </w:p>
        </w:tc>
        <w:tc>
          <w:tcPr>
            <w:tcW w:type="dxa" w:w="1026"/>
          </w:tcPr>
          <w:p>
            <w:pPr>
              <w:jc w:val="right"/>
            </w:pPr>
            <w:r/>
            <w:r>
              <w:rPr>
                <w:color w:val="1A1D21"/>
                <w:sz w:val="17"/>
              </w:rPr>
              <w:t>28,033</w:t>
            </w:r>
          </w:p>
        </w:tc>
      </w:tr>
      <w:tr>
        <w:trPr>
          <w:cantSplit/>
        </w:trPr>
        <w:tc>
          <w:tcPr>
            <w:tcW w:type="dxa" w:w="1984"/>
          </w:tcPr>
          <w:p>
            <w:r/>
            <w:r>
              <w:rPr>
                <w:color w:val="1A1D21"/>
                <w:sz w:val="17"/>
              </w:rPr>
              <w:t>Advances to suppliers</w:t>
            </w:r>
          </w:p>
        </w:tc>
        <w:tc>
          <w:tcPr>
            <w:tcW w:type="dxa" w:w="1026"/>
          </w:tcPr>
          <w:p>
            <w:pPr>
              <w:jc w:val="right"/>
            </w:pPr>
            <w:r/>
            <w:r>
              <w:rPr>
                <w:color w:val="1A1D21"/>
                <w:sz w:val="17"/>
              </w:rPr>
              <w:t>8,992</w:t>
            </w:r>
          </w:p>
        </w:tc>
        <w:tc>
          <w:tcPr>
            <w:tcW w:type="dxa" w:w="1026"/>
          </w:tcPr>
          <w:p>
            <w:pPr>
              <w:jc w:val="right"/>
            </w:pPr>
            <w:r/>
            <w:r>
              <w:rPr>
                <w:color w:val="1A1D21"/>
                <w:sz w:val="17"/>
              </w:rPr>
              <w:t>9,019</w:t>
            </w:r>
          </w:p>
        </w:tc>
        <w:tc>
          <w:tcPr>
            <w:tcW w:type="dxa" w:w="1026"/>
          </w:tcPr>
          <w:p>
            <w:pPr>
              <w:jc w:val="right"/>
            </w:pPr>
            <w:r/>
            <w:r>
              <w:rPr>
                <w:color w:val="1A1D21"/>
                <w:sz w:val="17"/>
              </w:rPr>
              <w:t>9,141</w:t>
            </w:r>
          </w:p>
        </w:tc>
        <w:tc>
          <w:tcPr>
            <w:tcW w:type="dxa" w:w="1026"/>
          </w:tcPr>
          <w:p>
            <w:pPr>
              <w:jc w:val="right"/>
            </w:pPr>
            <w:r/>
            <w:r>
              <w:rPr>
                <w:color w:val="1A1D21"/>
                <w:sz w:val="17"/>
              </w:rPr>
              <w:t>9,364</w:t>
            </w:r>
          </w:p>
        </w:tc>
        <w:tc>
          <w:tcPr>
            <w:tcW w:type="dxa" w:w="1026"/>
          </w:tcPr>
          <w:p>
            <w:pPr>
              <w:jc w:val="right"/>
            </w:pPr>
            <w:r/>
            <w:r>
              <w:rPr>
                <w:color w:val="1A1D21"/>
                <w:sz w:val="17"/>
              </w:rPr>
              <w:t>9,697</w:t>
            </w:r>
          </w:p>
        </w:tc>
        <w:tc>
          <w:tcPr>
            <w:tcW w:type="dxa" w:w="1026"/>
          </w:tcPr>
          <w:p>
            <w:pPr>
              <w:jc w:val="right"/>
            </w:pPr>
            <w:r/>
            <w:r>
              <w:rPr>
                <w:color w:val="1A1D21"/>
                <w:sz w:val="17"/>
              </w:rPr>
              <w:t>13,214</w:t>
            </w:r>
          </w:p>
        </w:tc>
        <w:tc>
          <w:tcPr>
            <w:tcW w:type="dxa" w:w="1026"/>
          </w:tcPr>
          <w:p>
            <w:pPr>
              <w:jc w:val="right"/>
            </w:pPr>
            <w:r/>
            <w:r>
              <w:rPr>
                <w:color w:val="1A1D21"/>
                <w:sz w:val="17"/>
              </w:rPr>
              <w:t>19,646</w:t>
            </w:r>
          </w:p>
        </w:tc>
      </w:tr>
      <w:tr>
        <w:trPr>
          <w:cantSplit/>
        </w:trPr>
        <w:tc>
          <w:tcPr>
            <w:tcW w:type="dxa" w:w="1984"/>
          </w:tcPr>
          <w:p>
            <w:r/>
            <w:r>
              <w:rPr>
                <w:color w:val="1A1D21"/>
                <w:sz w:val="17"/>
              </w:rPr>
              <w:t>Cash and equivalents</w:t>
            </w:r>
          </w:p>
        </w:tc>
        <w:tc>
          <w:tcPr>
            <w:tcW w:type="dxa" w:w="1026"/>
          </w:tcPr>
          <w:p>
            <w:pPr>
              <w:jc w:val="right"/>
            </w:pPr>
            <w:r/>
            <w:r>
              <w:rPr>
                <w:color w:val="1A1D21"/>
                <w:sz w:val="17"/>
              </w:rPr>
              <w:t>12,516</w:t>
            </w:r>
          </w:p>
        </w:tc>
        <w:tc>
          <w:tcPr>
            <w:tcW w:type="dxa" w:w="1026"/>
          </w:tcPr>
          <w:p>
            <w:pPr>
              <w:jc w:val="right"/>
            </w:pPr>
            <w:r/>
            <w:r>
              <w:rPr>
                <w:color w:val="1A1D21"/>
                <w:sz w:val="17"/>
              </w:rPr>
              <w:t>16,505</w:t>
            </w:r>
          </w:p>
        </w:tc>
        <w:tc>
          <w:tcPr>
            <w:tcW w:type="dxa" w:w="1026"/>
          </w:tcPr>
          <w:p>
            <w:pPr>
              <w:jc w:val="right"/>
            </w:pPr>
            <w:r/>
            <w:r>
              <w:rPr>
                <w:color w:val="1A1D21"/>
                <w:sz w:val="17"/>
              </w:rPr>
              <w:t>21,440</w:t>
            </w:r>
          </w:p>
        </w:tc>
        <w:tc>
          <w:tcPr>
            <w:tcW w:type="dxa" w:w="1026"/>
          </w:tcPr>
          <w:p>
            <w:pPr>
              <w:jc w:val="right"/>
            </w:pPr>
            <w:r/>
            <w:r>
              <w:rPr>
                <w:color w:val="1A1D21"/>
                <w:sz w:val="17"/>
              </w:rPr>
              <w:t>27,381</w:t>
            </w:r>
          </w:p>
        </w:tc>
        <w:tc>
          <w:tcPr>
            <w:tcW w:type="dxa" w:w="1026"/>
          </w:tcPr>
          <w:p>
            <w:pPr>
              <w:jc w:val="right"/>
            </w:pPr>
            <w:r/>
            <w:r>
              <w:rPr>
                <w:color w:val="1A1D21"/>
                <w:sz w:val="17"/>
              </w:rPr>
              <w:t>34,406</w:t>
            </w:r>
          </w:p>
        </w:tc>
        <w:tc>
          <w:tcPr>
            <w:tcW w:type="dxa" w:w="1026"/>
          </w:tcPr>
          <w:p>
            <w:pPr>
              <w:jc w:val="right"/>
            </w:pPr>
            <w:r/>
            <w:r>
              <w:rPr>
                <w:color w:val="1A1D21"/>
                <w:sz w:val="17"/>
              </w:rPr>
              <w:t>87,835</w:t>
            </w:r>
          </w:p>
        </w:tc>
        <w:tc>
          <w:tcPr>
            <w:tcW w:type="dxa" w:w="1026"/>
          </w:tcPr>
          <w:p>
            <w:pPr>
              <w:jc w:val="right"/>
            </w:pPr>
            <w:r/>
            <w:r>
              <w:rPr>
                <w:color w:val="1A1D21"/>
                <w:sz w:val="17"/>
              </w:rPr>
              <w:t>170,102</w:t>
            </w:r>
          </w:p>
        </w:tc>
      </w:tr>
      <w:tr>
        <w:trPr>
          <w:cantSplit/>
        </w:trPr>
        <w:tc>
          <w:tcPr>
            <w:tcW w:type="dxa" w:w="1984"/>
          </w:tcPr>
          <w:p>
            <w:r/>
            <w:r>
              <w:rPr>
                <w:color w:val="1A1D21"/>
                <w:sz w:val="17"/>
              </w:rPr>
              <w:t>Property and equipment</w:t>
            </w:r>
          </w:p>
        </w:tc>
        <w:tc>
          <w:tcPr>
            <w:tcW w:type="dxa" w:w="1026"/>
          </w:tcPr>
          <w:p>
            <w:pPr>
              <w:jc w:val="right"/>
            </w:pPr>
            <w:r/>
            <w:r>
              <w:rPr>
                <w:color w:val="1A1D21"/>
                <w:sz w:val="17"/>
              </w:rPr>
              <w:t>4,531</w:t>
            </w:r>
          </w:p>
        </w:tc>
        <w:tc>
          <w:tcPr>
            <w:tcW w:type="dxa" w:w="1026"/>
          </w:tcPr>
          <w:p>
            <w:pPr>
              <w:jc w:val="right"/>
            </w:pPr>
            <w:r/>
            <w:r>
              <w:rPr>
                <w:color w:val="1A1D21"/>
                <w:sz w:val="17"/>
              </w:rPr>
              <w:t>4,542</w:t>
            </w:r>
          </w:p>
        </w:tc>
        <w:tc>
          <w:tcPr>
            <w:tcW w:type="dxa" w:w="1026"/>
          </w:tcPr>
          <w:p>
            <w:pPr>
              <w:jc w:val="right"/>
            </w:pPr>
            <w:r/>
            <w:r>
              <w:rPr>
                <w:color w:val="1A1D21"/>
                <w:sz w:val="17"/>
              </w:rPr>
              <w:t>4,556</w:t>
            </w:r>
          </w:p>
        </w:tc>
        <w:tc>
          <w:tcPr>
            <w:tcW w:type="dxa" w:w="1026"/>
          </w:tcPr>
          <w:p>
            <w:pPr>
              <w:jc w:val="right"/>
            </w:pPr>
            <w:r/>
            <w:r>
              <w:rPr>
                <w:color w:val="1A1D21"/>
                <w:sz w:val="17"/>
              </w:rPr>
              <w:t>4,573</w:t>
            </w:r>
          </w:p>
        </w:tc>
        <w:tc>
          <w:tcPr>
            <w:tcW w:type="dxa" w:w="1026"/>
          </w:tcPr>
          <w:p>
            <w:pPr>
              <w:jc w:val="right"/>
            </w:pPr>
            <w:r/>
            <w:r>
              <w:rPr>
                <w:color w:val="1A1D21"/>
                <w:sz w:val="17"/>
              </w:rPr>
              <w:t>4,594</w:t>
            </w:r>
          </w:p>
        </w:tc>
        <w:tc>
          <w:tcPr>
            <w:tcW w:type="dxa" w:w="1026"/>
          </w:tcPr>
          <w:p>
            <w:pPr>
              <w:jc w:val="right"/>
            </w:pPr>
            <w:r/>
            <w:r>
              <w:rPr>
                <w:color w:val="1A1D21"/>
                <w:sz w:val="17"/>
              </w:rPr>
              <w:t>4,747</w:t>
            </w:r>
          </w:p>
        </w:tc>
        <w:tc>
          <w:tcPr>
            <w:tcW w:type="dxa" w:w="1026"/>
          </w:tcPr>
          <w:p>
            <w:pPr>
              <w:jc w:val="right"/>
            </w:pPr>
            <w:r/>
            <w:r>
              <w:rPr>
                <w:color w:val="1A1D21"/>
                <w:sz w:val="17"/>
              </w:rPr>
              <w:t>4,982</w:t>
            </w:r>
          </w:p>
        </w:tc>
      </w:tr>
      <w:tr>
        <w:trPr>
          <w:cantSplit/>
        </w:trPr>
        <w:tc>
          <w:tcPr>
            <w:tcW w:type="dxa" w:w="1984"/>
          </w:tcPr>
          <w:p>
            <w:r/>
            <w:r>
              <w:rPr>
                <w:color w:val="1A1D21"/>
                <w:sz w:val="17"/>
              </w:rPr>
              <w:t>Other assets, held at the 2025 level</w:t>
            </w:r>
          </w:p>
        </w:tc>
        <w:tc>
          <w:tcPr>
            <w:tcW w:type="dxa" w:w="1026"/>
          </w:tcPr>
          <w:p>
            <w:pPr>
              <w:jc w:val="right"/>
            </w:pPr>
            <w:r/>
            <w:r>
              <w:rPr>
                <w:color w:val="1A1D21"/>
                <w:sz w:val="17"/>
              </w:rPr>
              <w:t>15,128</w:t>
            </w:r>
          </w:p>
        </w:tc>
        <w:tc>
          <w:tcPr>
            <w:tcW w:type="dxa" w:w="1026"/>
          </w:tcPr>
          <w:p>
            <w:pPr>
              <w:jc w:val="right"/>
            </w:pPr>
            <w:r/>
            <w:r>
              <w:rPr>
                <w:color w:val="1A1D21"/>
                <w:sz w:val="17"/>
              </w:rPr>
              <w:t>15,128</w:t>
            </w:r>
          </w:p>
        </w:tc>
        <w:tc>
          <w:tcPr>
            <w:tcW w:type="dxa" w:w="1026"/>
          </w:tcPr>
          <w:p>
            <w:pPr>
              <w:jc w:val="right"/>
            </w:pPr>
            <w:r/>
            <w:r>
              <w:rPr>
                <w:color w:val="1A1D21"/>
                <w:sz w:val="17"/>
              </w:rPr>
              <w:t>15,128</w:t>
            </w:r>
          </w:p>
        </w:tc>
        <w:tc>
          <w:tcPr>
            <w:tcW w:type="dxa" w:w="1026"/>
          </w:tcPr>
          <w:p>
            <w:pPr>
              <w:jc w:val="right"/>
            </w:pPr>
            <w:r/>
            <w:r>
              <w:rPr>
                <w:color w:val="1A1D21"/>
                <w:sz w:val="17"/>
              </w:rPr>
              <w:t>15,128</w:t>
            </w:r>
          </w:p>
        </w:tc>
        <w:tc>
          <w:tcPr>
            <w:tcW w:type="dxa" w:w="1026"/>
          </w:tcPr>
          <w:p>
            <w:pPr>
              <w:jc w:val="right"/>
            </w:pPr>
            <w:r/>
            <w:r>
              <w:rPr>
                <w:color w:val="1A1D21"/>
                <w:sz w:val="17"/>
              </w:rPr>
              <w:t>15,128</w:t>
            </w:r>
          </w:p>
        </w:tc>
        <w:tc>
          <w:tcPr>
            <w:tcW w:type="dxa" w:w="1026"/>
          </w:tcPr>
          <w:p>
            <w:pPr>
              <w:jc w:val="right"/>
            </w:pPr>
            <w:r/>
            <w:r>
              <w:rPr>
                <w:color w:val="1A1D21"/>
                <w:sz w:val="17"/>
              </w:rPr>
              <w:t>15,128</w:t>
            </w:r>
          </w:p>
        </w:tc>
        <w:tc>
          <w:tcPr>
            <w:tcW w:type="dxa" w:w="1026"/>
          </w:tcPr>
          <w:p>
            <w:pPr>
              <w:jc w:val="right"/>
            </w:pPr>
            <w:r/>
            <w:r>
              <w:rPr>
                <w:color w:val="1A1D21"/>
                <w:sz w:val="17"/>
              </w:rPr>
              <w:t>15,128</w:t>
            </w:r>
          </w:p>
        </w:tc>
      </w:tr>
      <w:tr>
        <w:trPr>
          <w:cantSplit/>
        </w:trPr>
        <w:tc>
          <w:tcPr>
            <w:tcW w:type="dxa" w:w="1984"/>
          </w:tcPr>
          <w:p>
            <w:r/>
            <w:r>
              <w:rPr>
                <w:color w:val="1A1D21"/>
                <w:sz w:val="17"/>
              </w:rPr>
              <w:t>Total assets</w:t>
            </w:r>
          </w:p>
        </w:tc>
        <w:tc>
          <w:tcPr>
            <w:tcW w:type="dxa" w:w="1026"/>
          </w:tcPr>
          <w:p>
            <w:pPr>
              <w:jc w:val="right"/>
            </w:pPr>
            <w:r/>
            <w:r>
              <w:rPr>
                <w:color w:val="1A1D21"/>
                <w:sz w:val="17"/>
              </w:rPr>
              <w:t>174,226</w:t>
            </w:r>
          </w:p>
        </w:tc>
        <w:tc>
          <w:tcPr>
            <w:tcW w:type="dxa" w:w="1026"/>
          </w:tcPr>
          <w:p>
            <w:pPr>
              <w:jc w:val="right"/>
            </w:pPr>
            <w:r/>
            <w:r>
              <w:rPr>
                <w:color w:val="1A1D21"/>
                <w:sz w:val="17"/>
              </w:rPr>
              <w:t>178,642</w:t>
            </w:r>
          </w:p>
        </w:tc>
        <w:tc>
          <w:tcPr>
            <w:tcW w:type="dxa" w:w="1026"/>
          </w:tcPr>
          <w:p>
            <w:pPr>
              <w:jc w:val="right"/>
            </w:pPr>
            <w:r/>
            <w:r>
              <w:rPr>
                <w:color w:val="1A1D21"/>
                <w:sz w:val="17"/>
              </w:rPr>
              <w:t>185,517</w:t>
            </w:r>
          </w:p>
        </w:tc>
        <w:tc>
          <w:tcPr>
            <w:tcW w:type="dxa" w:w="1026"/>
          </w:tcPr>
          <w:p>
            <w:pPr>
              <w:jc w:val="right"/>
            </w:pPr>
            <w:r/>
            <w:r>
              <w:rPr>
                <w:color w:val="1A1D21"/>
                <w:sz w:val="17"/>
              </w:rPr>
              <w:t>195,009</w:t>
            </w:r>
          </w:p>
        </w:tc>
        <w:tc>
          <w:tcPr>
            <w:tcW w:type="dxa" w:w="1026"/>
          </w:tcPr>
          <w:p>
            <w:pPr>
              <w:jc w:val="right"/>
            </w:pPr>
            <w:r/>
            <w:r>
              <w:rPr>
                <w:color w:val="1A1D21"/>
                <w:sz w:val="17"/>
              </w:rPr>
              <w:t>207,317</w:t>
            </w:r>
          </w:p>
        </w:tc>
        <w:tc>
          <w:tcPr>
            <w:tcW w:type="dxa" w:w="1026"/>
          </w:tcPr>
          <w:p>
            <w:pPr>
              <w:jc w:val="right"/>
            </w:pPr>
            <w:r/>
            <w:r>
              <w:rPr>
                <w:color w:val="1A1D21"/>
                <w:sz w:val="17"/>
              </w:rPr>
              <w:t>316,454</w:t>
            </w:r>
          </w:p>
        </w:tc>
        <w:tc>
          <w:tcPr>
            <w:tcW w:type="dxa" w:w="1026"/>
          </w:tcPr>
          <w:p>
            <w:pPr>
              <w:jc w:val="right"/>
            </w:pPr>
            <w:r/>
            <w:r>
              <w:rPr>
                <w:color w:val="1A1D21"/>
                <w:sz w:val="17"/>
              </w:rPr>
              <w:t>500,564</w:t>
            </w:r>
          </w:p>
        </w:tc>
      </w:tr>
      <w:tr>
        <w:trPr>
          <w:cantSplit/>
        </w:trPr>
        <w:tc>
          <w:tcPr>
            <w:tcW w:type="dxa" w:w="1984"/>
          </w:tcPr>
          <w:p>
            <w:r/>
            <w:r>
              <w:rPr>
                <w:color w:val="1A1D21"/>
                <w:sz w:val="17"/>
              </w:rPr>
              <w:t>Customer advances</w:t>
            </w:r>
          </w:p>
        </w:tc>
        <w:tc>
          <w:tcPr>
            <w:tcW w:type="dxa" w:w="1026"/>
          </w:tcPr>
          <w:p>
            <w:pPr>
              <w:jc w:val="right"/>
            </w:pPr>
            <w:r/>
            <w:r>
              <w:rPr>
                <w:color w:val="1A1D21"/>
                <w:sz w:val="17"/>
              </w:rPr>
              <w:t>68,865</w:t>
            </w:r>
          </w:p>
        </w:tc>
        <w:tc>
          <w:tcPr>
            <w:tcW w:type="dxa" w:w="1026"/>
          </w:tcPr>
          <w:p>
            <w:pPr>
              <w:jc w:val="right"/>
            </w:pPr>
            <w:r/>
            <w:r>
              <w:rPr>
                <w:color w:val="1A1D21"/>
                <w:sz w:val="17"/>
              </w:rPr>
              <w:t>69,066</w:t>
            </w:r>
          </w:p>
        </w:tc>
        <w:tc>
          <w:tcPr>
            <w:tcW w:type="dxa" w:w="1026"/>
          </w:tcPr>
          <w:p>
            <w:pPr>
              <w:jc w:val="right"/>
            </w:pPr>
            <w:r/>
            <w:r>
              <w:rPr>
                <w:color w:val="1A1D21"/>
                <w:sz w:val="17"/>
              </w:rPr>
              <w:t>70,000</w:t>
            </w:r>
          </w:p>
        </w:tc>
        <w:tc>
          <w:tcPr>
            <w:tcW w:type="dxa" w:w="1026"/>
          </w:tcPr>
          <w:p>
            <w:pPr>
              <w:jc w:val="right"/>
            </w:pPr>
            <w:r/>
            <w:r>
              <w:rPr>
                <w:color w:val="1A1D21"/>
                <w:sz w:val="17"/>
              </w:rPr>
              <w:t>71,713</w:t>
            </w:r>
          </w:p>
        </w:tc>
        <w:tc>
          <w:tcPr>
            <w:tcW w:type="dxa" w:w="1026"/>
          </w:tcPr>
          <w:p>
            <w:pPr>
              <w:jc w:val="right"/>
            </w:pPr>
            <w:r/>
            <w:r>
              <w:rPr>
                <w:color w:val="1A1D21"/>
                <w:sz w:val="17"/>
              </w:rPr>
              <w:t>74,265</w:t>
            </w:r>
          </w:p>
        </w:tc>
        <w:tc>
          <w:tcPr>
            <w:tcW w:type="dxa" w:w="1026"/>
          </w:tcPr>
          <w:p>
            <w:pPr>
              <w:jc w:val="right"/>
            </w:pPr>
            <w:r/>
            <w:r>
              <w:rPr>
                <w:color w:val="1A1D21"/>
                <w:sz w:val="17"/>
              </w:rPr>
              <w:t>101,197</w:t>
            </w:r>
          </w:p>
        </w:tc>
        <w:tc>
          <w:tcPr>
            <w:tcW w:type="dxa" w:w="1026"/>
          </w:tcPr>
          <w:p>
            <w:pPr>
              <w:jc w:val="right"/>
            </w:pPr>
            <w:r/>
            <w:r>
              <w:rPr>
                <w:color w:val="1A1D21"/>
                <w:sz w:val="17"/>
              </w:rPr>
              <w:t>150,455</w:t>
            </w:r>
          </w:p>
        </w:tc>
      </w:tr>
      <w:tr>
        <w:trPr>
          <w:cantSplit/>
        </w:trPr>
        <w:tc>
          <w:tcPr>
            <w:tcW w:type="dxa" w:w="1984"/>
          </w:tcPr>
          <w:p>
            <w:r/>
            <w:r>
              <w:rPr>
                <w:color w:val="1A1D21"/>
                <w:sz w:val="17"/>
              </w:rPr>
              <w:t>Suppliers</w:t>
            </w:r>
          </w:p>
        </w:tc>
        <w:tc>
          <w:tcPr>
            <w:tcW w:type="dxa" w:w="1026"/>
          </w:tcPr>
          <w:p>
            <w:pPr>
              <w:jc w:val="right"/>
            </w:pPr>
            <w:r/>
            <w:r>
              <w:rPr>
                <w:color w:val="1A1D21"/>
                <w:sz w:val="17"/>
              </w:rPr>
              <w:t>3,780</w:t>
            </w:r>
          </w:p>
        </w:tc>
        <w:tc>
          <w:tcPr>
            <w:tcW w:type="dxa" w:w="1026"/>
          </w:tcPr>
          <w:p>
            <w:pPr>
              <w:jc w:val="right"/>
            </w:pPr>
            <w:r/>
            <w:r>
              <w:rPr>
                <w:color w:val="1A1D21"/>
                <w:sz w:val="17"/>
              </w:rPr>
              <w:t>3,791</w:t>
            </w:r>
          </w:p>
        </w:tc>
        <w:tc>
          <w:tcPr>
            <w:tcW w:type="dxa" w:w="1026"/>
          </w:tcPr>
          <w:p>
            <w:pPr>
              <w:jc w:val="right"/>
            </w:pPr>
            <w:r/>
            <w:r>
              <w:rPr>
                <w:color w:val="1A1D21"/>
                <w:sz w:val="17"/>
              </w:rPr>
              <w:t>3,842</w:t>
            </w:r>
          </w:p>
        </w:tc>
        <w:tc>
          <w:tcPr>
            <w:tcW w:type="dxa" w:w="1026"/>
          </w:tcPr>
          <w:p>
            <w:pPr>
              <w:jc w:val="right"/>
            </w:pPr>
            <w:r/>
            <w:r>
              <w:rPr>
                <w:color w:val="1A1D21"/>
                <w:sz w:val="17"/>
              </w:rPr>
              <w:t>3,936</w:t>
            </w:r>
          </w:p>
        </w:tc>
        <w:tc>
          <w:tcPr>
            <w:tcW w:type="dxa" w:w="1026"/>
          </w:tcPr>
          <w:p>
            <w:pPr>
              <w:jc w:val="right"/>
            </w:pPr>
            <w:r/>
            <w:r>
              <w:rPr>
                <w:color w:val="1A1D21"/>
                <w:sz w:val="17"/>
              </w:rPr>
              <w:t>4,077</w:t>
            </w:r>
          </w:p>
        </w:tc>
        <w:tc>
          <w:tcPr>
            <w:tcW w:type="dxa" w:w="1026"/>
          </w:tcPr>
          <w:p>
            <w:pPr>
              <w:jc w:val="right"/>
            </w:pPr>
            <w:r/>
            <w:r>
              <w:rPr>
                <w:color w:val="1A1D21"/>
                <w:sz w:val="17"/>
              </w:rPr>
              <w:t>5,555</w:t>
            </w:r>
          </w:p>
        </w:tc>
        <w:tc>
          <w:tcPr>
            <w:tcW w:type="dxa" w:w="1026"/>
          </w:tcPr>
          <w:p>
            <w:pPr>
              <w:jc w:val="right"/>
            </w:pPr>
            <w:r/>
            <w:r>
              <w:rPr>
                <w:color w:val="1A1D21"/>
                <w:sz w:val="17"/>
              </w:rPr>
              <w:t>8,259</w:t>
            </w:r>
          </w:p>
        </w:tc>
      </w:tr>
      <w:tr>
        <w:trPr>
          <w:cantSplit/>
        </w:trPr>
        <w:tc>
          <w:tcPr>
            <w:tcW w:type="dxa" w:w="1984"/>
          </w:tcPr>
          <w:p>
            <w:r/>
            <w:r>
              <w:rPr>
                <w:color w:val="1A1D21"/>
                <w:sz w:val="17"/>
              </w:rPr>
              <w:t>Other creditors</w:t>
            </w:r>
          </w:p>
        </w:tc>
        <w:tc>
          <w:tcPr>
            <w:tcW w:type="dxa" w:w="1026"/>
          </w:tcPr>
          <w:p>
            <w:pPr>
              <w:jc w:val="right"/>
            </w:pPr>
            <w:r/>
            <w:r>
              <w:rPr>
                <w:color w:val="1A1D21"/>
                <w:sz w:val="17"/>
              </w:rPr>
              <w:t>5,086</w:t>
            </w:r>
          </w:p>
        </w:tc>
        <w:tc>
          <w:tcPr>
            <w:tcW w:type="dxa" w:w="1026"/>
          </w:tcPr>
          <w:p>
            <w:pPr>
              <w:jc w:val="right"/>
            </w:pPr>
            <w:r/>
            <w:r>
              <w:rPr>
                <w:color w:val="1A1D21"/>
                <w:sz w:val="17"/>
              </w:rPr>
              <w:t>5,100</w:t>
            </w:r>
          </w:p>
        </w:tc>
        <w:tc>
          <w:tcPr>
            <w:tcW w:type="dxa" w:w="1026"/>
          </w:tcPr>
          <w:p>
            <w:pPr>
              <w:jc w:val="right"/>
            </w:pPr>
            <w:r/>
            <w:r>
              <w:rPr>
                <w:color w:val="1A1D21"/>
                <w:sz w:val="17"/>
              </w:rPr>
              <w:t>5,169</w:t>
            </w:r>
          </w:p>
        </w:tc>
        <w:tc>
          <w:tcPr>
            <w:tcW w:type="dxa" w:w="1026"/>
          </w:tcPr>
          <w:p>
            <w:pPr>
              <w:jc w:val="right"/>
            </w:pPr>
            <w:r/>
            <w:r>
              <w:rPr>
                <w:color w:val="1A1D21"/>
                <w:sz w:val="17"/>
              </w:rPr>
              <w:t>5,296</w:t>
            </w:r>
          </w:p>
        </w:tc>
        <w:tc>
          <w:tcPr>
            <w:tcW w:type="dxa" w:w="1026"/>
          </w:tcPr>
          <w:p>
            <w:pPr>
              <w:jc w:val="right"/>
            </w:pPr>
            <w:r/>
            <w:r>
              <w:rPr>
                <w:color w:val="1A1D21"/>
                <w:sz w:val="17"/>
              </w:rPr>
              <w:t>5,484</w:t>
            </w:r>
          </w:p>
        </w:tc>
        <w:tc>
          <w:tcPr>
            <w:tcW w:type="dxa" w:w="1026"/>
          </w:tcPr>
          <w:p>
            <w:pPr>
              <w:jc w:val="right"/>
            </w:pPr>
            <w:r/>
            <w:r>
              <w:rPr>
                <w:color w:val="1A1D21"/>
                <w:sz w:val="17"/>
              </w:rPr>
              <w:t>7,473</w:t>
            </w:r>
          </w:p>
        </w:tc>
        <w:tc>
          <w:tcPr>
            <w:tcW w:type="dxa" w:w="1026"/>
          </w:tcPr>
          <w:p>
            <w:pPr>
              <w:jc w:val="right"/>
            </w:pPr>
            <w:r/>
            <w:r>
              <w:rPr>
                <w:color w:val="1A1D21"/>
                <w:sz w:val="17"/>
              </w:rPr>
              <w:t>11,111</w:t>
            </w:r>
          </w:p>
        </w:tc>
      </w:tr>
      <w:tr>
        <w:trPr>
          <w:cantSplit/>
        </w:trPr>
        <w:tc>
          <w:tcPr>
            <w:tcW w:type="dxa" w:w="1984"/>
          </w:tcPr>
          <w:p>
            <w:r/>
            <w:r>
              <w:rPr>
                <w:color w:val="1A1D21"/>
                <w:sz w:val="17"/>
              </w:rPr>
              <w:t>Cheques under collection</w:t>
            </w:r>
          </w:p>
        </w:tc>
        <w:tc>
          <w:tcPr>
            <w:tcW w:type="dxa" w:w="1026"/>
          </w:tcPr>
          <w:p>
            <w:pPr>
              <w:jc w:val="right"/>
            </w:pPr>
            <w:r/>
            <w:r>
              <w:rPr>
                <w:color w:val="1A1D21"/>
                <w:sz w:val="17"/>
              </w:rPr>
              <w:t>2,436</w:t>
            </w:r>
          </w:p>
        </w:tc>
        <w:tc>
          <w:tcPr>
            <w:tcW w:type="dxa" w:w="1026"/>
          </w:tcPr>
          <w:p>
            <w:pPr>
              <w:jc w:val="right"/>
            </w:pPr>
            <w:r/>
            <w:r>
              <w:rPr>
                <w:color w:val="1A1D21"/>
                <w:sz w:val="17"/>
              </w:rPr>
              <w:t>2,444</w:t>
            </w:r>
          </w:p>
        </w:tc>
        <w:tc>
          <w:tcPr>
            <w:tcW w:type="dxa" w:w="1026"/>
          </w:tcPr>
          <w:p>
            <w:pPr>
              <w:jc w:val="right"/>
            </w:pPr>
            <w:r/>
            <w:r>
              <w:rPr>
                <w:color w:val="1A1D21"/>
                <w:sz w:val="17"/>
              </w:rPr>
              <w:t>2,477</w:t>
            </w:r>
          </w:p>
        </w:tc>
        <w:tc>
          <w:tcPr>
            <w:tcW w:type="dxa" w:w="1026"/>
          </w:tcPr>
          <w:p>
            <w:pPr>
              <w:jc w:val="right"/>
            </w:pPr>
            <w:r/>
            <w:r>
              <w:rPr>
                <w:color w:val="1A1D21"/>
                <w:sz w:val="17"/>
              </w:rPr>
              <w:t>2,537</w:t>
            </w:r>
          </w:p>
        </w:tc>
        <w:tc>
          <w:tcPr>
            <w:tcW w:type="dxa" w:w="1026"/>
          </w:tcPr>
          <w:p>
            <w:pPr>
              <w:jc w:val="right"/>
            </w:pPr>
            <w:r/>
            <w:r>
              <w:rPr>
                <w:color w:val="1A1D21"/>
                <w:sz w:val="17"/>
              </w:rPr>
              <w:t>2,627</w:t>
            </w:r>
          </w:p>
        </w:tc>
        <w:tc>
          <w:tcPr>
            <w:tcW w:type="dxa" w:w="1026"/>
          </w:tcPr>
          <w:p>
            <w:pPr>
              <w:jc w:val="right"/>
            </w:pPr>
            <w:r/>
            <w:r>
              <w:rPr>
                <w:color w:val="1A1D21"/>
                <w:sz w:val="17"/>
              </w:rPr>
              <w:t>3,580</w:t>
            </w:r>
          </w:p>
        </w:tc>
        <w:tc>
          <w:tcPr>
            <w:tcW w:type="dxa" w:w="1026"/>
          </w:tcPr>
          <w:p>
            <w:pPr>
              <w:jc w:val="right"/>
            </w:pPr>
            <w:r/>
            <w:r>
              <w:rPr>
                <w:color w:val="1A1D21"/>
                <w:sz w:val="17"/>
              </w:rPr>
              <w:t>5,323</w:t>
            </w:r>
          </w:p>
        </w:tc>
      </w:tr>
      <w:tr>
        <w:trPr>
          <w:cantSplit/>
        </w:trPr>
        <w:tc>
          <w:tcPr>
            <w:tcW w:type="dxa" w:w="1984"/>
          </w:tcPr>
          <w:p>
            <w:r/>
            <w:r>
              <w:rPr>
                <w:color w:val="1A1D21"/>
                <w:sz w:val="17"/>
              </w:rPr>
              <w:t>Borrowings</w:t>
            </w:r>
          </w:p>
        </w:tc>
        <w:tc>
          <w:tcPr>
            <w:tcW w:type="dxa" w:w="1026"/>
          </w:tcPr>
          <w:p>
            <w:pPr>
              <w:jc w:val="right"/>
            </w:pPr>
            <w:r/>
            <w:r>
              <w:rPr>
                <w:color w:val="1A1D21"/>
                <w:sz w:val="17"/>
              </w:rPr>
              <w:t>33,553</w:t>
            </w:r>
          </w:p>
        </w:tc>
        <w:tc>
          <w:tcPr>
            <w:tcW w:type="dxa" w:w="1026"/>
          </w:tcPr>
          <w:p>
            <w:pPr>
              <w:jc w:val="right"/>
            </w:pPr>
            <w:r/>
            <w:r>
              <w:rPr>
                <w:color w:val="1A1D21"/>
                <w:sz w:val="17"/>
              </w:rPr>
              <w:t>33,553</w:t>
            </w:r>
          </w:p>
        </w:tc>
        <w:tc>
          <w:tcPr>
            <w:tcW w:type="dxa" w:w="1026"/>
          </w:tcPr>
          <w:p>
            <w:pPr>
              <w:jc w:val="right"/>
            </w:pPr>
            <w:r/>
            <w:r>
              <w:rPr>
                <w:color w:val="1A1D21"/>
                <w:sz w:val="17"/>
              </w:rPr>
              <w:t>33,553</w:t>
            </w:r>
          </w:p>
        </w:tc>
        <w:tc>
          <w:tcPr>
            <w:tcW w:type="dxa" w:w="1026"/>
          </w:tcPr>
          <w:p>
            <w:pPr>
              <w:jc w:val="right"/>
            </w:pPr>
            <w:r/>
            <w:r>
              <w:rPr>
                <w:color w:val="1A1D21"/>
                <w:sz w:val="17"/>
              </w:rPr>
              <w:t>33,553</w:t>
            </w:r>
          </w:p>
        </w:tc>
        <w:tc>
          <w:tcPr>
            <w:tcW w:type="dxa" w:w="1026"/>
          </w:tcPr>
          <w:p>
            <w:pPr>
              <w:jc w:val="right"/>
            </w:pPr>
            <w:r/>
            <w:r>
              <w:rPr>
                <w:color w:val="1A1D21"/>
                <w:sz w:val="17"/>
              </w:rPr>
              <w:t>33,553</w:t>
            </w:r>
          </w:p>
        </w:tc>
        <w:tc>
          <w:tcPr>
            <w:tcW w:type="dxa" w:w="1026"/>
          </w:tcPr>
          <w:p>
            <w:pPr>
              <w:jc w:val="right"/>
            </w:pPr>
            <w:r/>
            <w:r>
              <w:rPr>
                <w:color w:val="1A1D21"/>
                <w:sz w:val="17"/>
              </w:rPr>
              <w:t>33,553</w:t>
            </w:r>
          </w:p>
        </w:tc>
        <w:tc>
          <w:tcPr>
            <w:tcW w:type="dxa" w:w="1026"/>
          </w:tcPr>
          <w:p>
            <w:pPr>
              <w:jc w:val="right"/>
            </w:pPr>
            <w:r/>
            <w:r>
              <w:rPr>
                <w:color w:val="1A1D21"/>
                <w:sz w:val="17"/>
              </w:rPr>
              <w:t>33,553</w:t>
            </w:r>
          </w:p>
        </w:tc>
      </w:tr>
      <w:tr>
        <w:trPr>
          <w:cantSplit/>
        </w:trPr>
        <w:tc>
          <w:tcPr>
            <w:tcW w:type="dxa" w:w="1984"/>
          </w:tcPr>
          <w:p>
            <w:r/>
            <w:r>
              <w:rPr>
                <w:color w:val="1A1D21"/>
                <w:sz w:val="17"/>
              </w:rPr>
              <w:t>Other liabilities, held at the 2025 level</w:t>
            </w:r>
          </w:p>
        </w:tc>
        <w:tc>
          <w:tcPr>
            <w:tcW w:type="dxa" w:w="1026"/>
          </w:tcPr>
          <w:p>
            <w:pPr>
              <w:jc w:val="right"/>
            </w:pPr>
            <w:r/>
            <w:r>
              <w:rPr>
                <w:color w:val="1A1D21"/>
                <w:sz w:val="17"/>
              </w:rPr>
              <w:t>39,075</w:t>
            </w:r>
          </w:p>
        </w:tc>
        <w:tc>
          <w:tcPr>
            <w:tcW w:type="dxa" w:w="1026"/>
          </w:tcPr>
          <w:p>
            <w:pPr>
              <w:jc w:val="right"/>
            </w:pPr>
            <w:r/>
            <w:r>
              <w:rPr>
                <w:color w:val="1A1D21"/>
                <w:sz w:val="17"/>
              </w:rPr>
              <w:t>39,075</w:t>
            </w:r>
          </w:p>
        </w:tc>
        <w:tc>
          <w:tcPr>
            <w:tcW w:type="dxa" w:w="1026"/>
          </w:tcPr>
          <w:p>
            <w:pPr>
              <w:jc w:val="right"/>
            </w:pPr>
            <w:r/>
            <w:r>
              <w:rPr>
                <w:color w:val="1A1D21"/>
                <w:sz w:val="17"/>
              </w:rPr>
              <w:t>39,075</w:t>
            </w:r>
          </w:p>
        </w:tc>
        <w:tc>
          <w:tcPr>
            <w:tcW w:type="dxa" w:w="1026"/>
          </w:tcPr>
          <w:p>
            <w:pPr>
              <w:jc w:val="right"/>
            </w:pPr>
            <w:r/>
            <w:r>
              <w:rPr>
                <w:color w:val="1A1D21"/>
                <w:sz w:val="17"/>
              </w:rPr>
              <w:t>39,075</w:t>
            </w:r>
          </w:p>
        </w:tc>
        <w:tc>
          <w:tcPr>
            <w:tcW w:type="dxa" w:w="1026"/>
          </w:tcPr>
          <w:p>
            <w:pPr>
              <w:jc w:val="right"/>
            </w:pPr>
            <w:r/>
            <w:r>
              <w:rPr>
                <w:color w:val="1A1D21"/>
                <w:sz w:val="17"/>
              </w:rPr>
              <w:t>39,075</w:t>
            </w:r>
          </w:p>
        </w:tc>
        <w:tc>
          <w:tcPr>
            <w:tcW w:type="dxa" w:w="1026"/>
          </w:tcPr>
          <w:p>
            <w:pPr>
              <w:jc w:val="right"/>
            </w:pPr>
            <w:r/>
            <w:r>
              <w:rPr>
                <w:color w:val="1A1D21"/>
                <w:sz w:val="17"/>
              </w:rPr>
              <w:t>39,075</w:t>
            </w:r>
          </w:p>
        </w:tc>
        <w:tc>
          <w:tcPr>
            <w:tcW w:type="dxa" w:w="1026"/>
          </w:tcPr>
          <w:p>
            <w:pPr>
              <w:jc w:val="right"/>
            </w:pPr>
            <w:r/>
            <w:r>
              <w:rPr>
                <w:color w:val="1A1D21"/>
                <w:sz w:val="17"/>
              </w:rPr>
              <w:t>39,075</w:t>
            </w:r>
          </w:p>
        </w:tc>
      </w:tr>
      <w:tr>
        <w:trPr>
          <w:cantSplit/>
        </w:trPr>
        <w:tc>
          <w:tcPr>
            <w:tcW w:type="dxa" w:w="1984"/>
          </w:tcPr>
          <w:p>
            <w:r/>
            <w:r>
              <w:rPr>
                <w:color w:val="1A1D21"/>
                <w:sz w:val="17"/>
              </w:rPr>
              <w:t>Total liabilities</w:t>
            </w:r>
          </w:p>
        </w:tc>
        <w:tc>
          <w:tcPr>
            <w:tcW w:type="dxa" w:w="1026"/>
          </w:tcPr>
          <w:p>
            <w:pPr>
              <w:jc w:val="right"/>
            </w:pPr>
            <w:r/>
            <w:r>
              <w:rPr>
                <w:color w:val="1A1D21"/>
                <w:sz w:val="17"/>
              </w:rPr>
              <w:t>152,794</w:t>
            </w:r>
          </w:p>
        </w:tc>
        <w:tc>
          <w:tcPr>
            <w:tcW w:type="dxa" w:w="1026"/>
          </w:tcPr>
          <w:p>
            <w:pPr>
              <w:jc w:val="right"/>
            </w:pPr>
            <w:r/>
            <w:r>
              <w:rPr>
                <w:color w:val="1A1D21"/>
                <w:sz w:val="17"/>
              </w:rPr>
              <w:t>153,029</w:t>
            </w:r>
          </w:p>
        </w:tc>
        <w:tc>
          <w:tcPr>
            <w:tcW w:type="dxa" w:w="1026"/>
          </w:tcPr>
          <w:p>
            <w:pPr>
              <w:jc w:val="right"/>
            </w:pPr>
            <w:r/>
            <w:r>
              <w:rPr>
                <w:color w:val="1A1D21"/>
                <w:sz w:val="17"/>
              </w:rPr>
              <w:t>154,116</w:t>
            </w:r>
          </w:p>
        </w:tc>
        <w:tc>
          <w:tcPr>
            <w:tcW w:type="dxa" w:w="1026"/>
          </w:tcPr>
          <w:p>
            <w:pPr>
              <w:jc w:val="right"/>
            </w:pPr>
            <w:r/>
            <w:r>
              <w:rPr>
                <w:color w:val="1A1D21"/>
                <w:sz w:val="17"/>
              </w:rPr>
              <w:t>156,110</w:t>
            </w:r>
          </w:p>
        </w:tc>
        <w:tc>
          <w:tcPr>
            <w:tcW w:type="dxa" w:w="1026"/>
          </w:tcPr>
          <w:p>
            <w:pPr>
              <w:jc w:val="right"/>
            </w:pPr>
            <w:r/>
            <w:r>
              <w:rPr>
                <w:color w:val="1A1D21"/>
                <w:sz w:val="17"/>
              </w:rPr>
              <w:t>159,081</w:t>
            </w:r>
          </w:p>
        </w:tc>
        <w:tc>
          <w:tcPr>
            <w:tcW w:type="dxa" w:w="1026"/>
          </w:tcPr>
          <w:p>
            <w:pPr>
              <w:jc w:val="right"/>
            </w:pPr>
            <w:r/>
            <w:r>
              <w:rPr>
                <w:color w:val="1A1D21"/>
                <w:sz w:val="17"/>
              </w:rPr>
              <w:t>190,433</w:t>
            </w:r>
          </w:p>
        </w:tc>
        <w:tc>
          <w:tcPr>
            <w:tcW w:type="dxa" w:w="1026"/>
          </w:tcPr>
          <w:p>
            <w:pPr>
              <w:jc w:val="right"/>
            </w:pPr>
            <w:r/>
            <w:r>
              <w:rPr>
                <w:color w:val="1A1D21"/>
                <w:sz w:val="17"/>
              </w:rPr>
              <w:t>247,776</w:t>
            </w:r>
          </w:p>
        </w:tc>
      </w:tr>
      <w:tr>
        <w:trPr>
          <w:cantSplit/>
        </w:trPr>
        <w:tc>
          <w:tcPr>
            <w:tcW w:type="dxa" w:w="1984"/>
          </w:tcPr>
          <w:p>
            <w:r/>
            <w:r>
              <w:rPr>
                <w:color w:val="1A1D21"/>
                <w:sz w:val="17"/>
              </w:rPr>
              <w:t>Shareholders' funds</w:t>
            </w:r>
          </w:p>
        </w:tc>
        <w:tc>
          <w:tcPr>
            <w:tcW w:type="dxa" w:w="1026"/>
          </w:tcPr>
          <w:p>
            <w:pPr>
              <w:jc w:val="right"/>
            </w:pPr>
            <w:r/>
            <w:r>
              <w:rPr>
                <w:color w:val="1A1D21"/>
                <w:sz w:val="17"/>
              </w:rPr>
              <w:t>21,432</w:t>
            </w:r>
          </w:p>
        </w:tc>
        <w:tc>
          <w:tcPr>
            <w:tcW w:type="dxa" w:w="1026"/>
          </w:tcPr>
          <w:p>
            <w:pPr>
              <w:jc w:val="right"/>
            </w:pPr>
            <w:r/>
            <w:r>
              <w:rPr>
                <w:color w:val="1A1D21"/>
                <w:sz w:val="17"/>
              </w:rPr>
              <w:t>25,613</w:t>
            </w:r>
          </w:p>
        </w:tc>
        <w:tc>
          <w:tcPr>
            <w:tcW w:type="dxa" w:w="1026"/>
          </w:tcPr>
          <w:p>
            <w:pPr>
              <w:jc w:val="right"/>
            </w:pPr>
            <w:r/>
            <w:r>
              <w:rPr>
                <w:color w:val="1A1D21"/>
                <w:sz w:val="17"/>
              </w:rPr>
              <w:t>31,401</w:t>
            </w:r>
          </w:p>
        </w:tc>
        <w:tc>
          <w:tcPr>
            <w:tcW w:type="dxa" w:w="1026"/>
          </w:tcPr>
          <w:p>
            <w:pPr>
              <w:jc w:val="right"/>
            </w:pPr>
            <w:r/>
            <w:r>
              <w:rPr>
                <w:color w:val="1A1D21"/>
                <w:sz w:val="17"/>
              </w:rPr>
              <w:t>38,899</w:t>
            </w:r>
          </w:p>
        </w:tc>
        <w:tc>
          <w:tcPr>
            <w:tcW w:type="dxa" w:w="1026"/>
          </w:tcPr>
          <w:p>
            <w:pPr>
              <w:jc w:val="right"/>
            </w:pPr>
            <w:r/>
            <w:r>
              <w:rPr>
                <w:color w:val="1A1D21"/>
                <w:sz w:val="17"/>
              </w:rPr>
              <w:t>48,237</w:t>
            </w:r>
          </w:p>
        </w:tc>
        <w:tc>
          <w:tcPr>
            <w:tcW w:type="dxa" w:w="1026"/>
          </w:tcPr>
          <w:p>
            <w:pPr>
              <w:jc w:val="right"/>
            </w:pPr>
            <w:r/>
            <w:r>
              <w:rPr>
                <w:color w:val="1A1D21"/>
                <w:sz w:val="17"/>
              </w:rPr>
              <w:t>126,021</w:t>
            </w:r>
          </w:p>
        </w:tc>
        <w:tc>
          <w:tcPr>
            <w:tcW w:type="dxa" w:w="1026"/>
          </w:tcPr>
          <w:p>
            <w:pPr>
              <w:jc w:val="right"/>
            </w:pPr>
            <w:r/>
            <w:r>
              <w:rPr>
                <w:color w:val="1A1D21"/>
                <w:sz w:val="17"/>
              </w:rPr>
              <w:t>252,788</w:t>
            </w:r>
          </w:p>
        </w:tc>
      </w:tr>
      <w:tr>
        <w:trPr>
          <w:cantSplit/>
        </w:trPr>
        <w:tc>
          <w:tcPr>
            <w:tcW w:type="dxa" w:w="1984"/>
          </w:tcPr>
          <w:p>
            <w:r/>
            <w:r>
              <w:rPr>
                <w:color w:val="1A1D21"/>
                <w:sz w:val="17"/>
              </w:rPr>
              <w:t>Total liabilities and equity</w:t>
            </w:r>
          </w:p>
        </w:tc>
        <w:tc>
          <w:tcPr>
            <w:tcW w:type="dxa" w:w="1026"/>
          </w:tcPr>
          <w:p>
            <w:pPr>
              <w:jc w:val="right"/>
            </w:pPr>
            <w:r/>
            <w:r>
              <w:rPr>
                <w:color w:val="1A1D21"/>
                <w:sz w:val="17"/>
              </w:rPr>
              <w:t>174,226</w:t>
            </w:r>
          </w:p>
        </w:tc>
        <w:tc>
          <w:tcPr>
            <w:tcW w:type="dxa" w:w="1026"/>
          </w:tcPr>
          <w:p>
            <w:pPr>
              <w:jc w:val="right"/>
            </w:pPr>
            <w:r/>
            <w:r>
              <w:rPr>
                <w:color w:val="1A1D21"/>
                <w:sz w:val="17"/>
              </w:rPr>
              <w:t>178,642</w:t>
            </w:r>
          </w:p>
        </w:tc>
        <w:tc>
          <w:tcPr>
            <w:tcW w:type="dxa" w:w="1026"/>
          </w:tcPr>
          <w:p>
            <w:pPr>
              <w:jc w:val="right"/>
            </w:pPr>
            <w:r/>
            <w:r>
              <w:rPr>
                <w:color w:val="1A1D21"/>
                <w:sz w:val="17"/>
              </w:rPr>
              <w:t>185,517</w:t>
            </w:r>
          </w:p>
        </w:tc>
        <w:tc>
          <w:tcPr>
            <w:tcW w:type="dxa" w:w="1026"/>
          </w:tcPr>
          <w:p>
            <w:pPr>
              <w:jc w:val="right"/>
            </w:pPr>
            <w:r/>
            <w:r>
              <w:rPr>
                <w:color w:val="1A1D21"/>
                <w:sz w:val="17"/>
              </w:rPr>
              <w:t>195,009</w:t>
            </w:r>
          </w:p>
        </w:tc>
        <w:tc>
          <w:tcPr>
            <w:tcW w:type="dxa" w:w="1026"/>
          </w:tcPr>
          <w:p>
            <w:pPr>
              <w:jc w:val="right"/>
            </w:pPr>
            <w:r/>
            <w:r>
              <w:rPr>
                <w:color w:val="1A1D21"/>
                <w:sz w:val="17"/>
              </w:rPr>
              <w:t>207,317</w:t>
            </w:r>
          </w:p>
        </w:tc>
        <w:tc>
          <w:tcPr>
            <w:tcW w:type="dxa" w:w="1026"/>
          </w:tcPr>
          <w:p>
            <w:pPr>
              <w:jc w:val="right"/>
            </w:pPr>
            <w:r/>
            <w:r>
              <w:rPr>
                <w:color w:val="1A1D21"/>
                <w:sz w:val="17"/>
              </w:rPr>
              <w:t>316,454</w:t>
            </w:r>
          </w:p>
        </w:tc>
        <w:tc>
          <w:tcPr>
            <w:tcW w:type="dxa" w:w="1026"/>
          </w:tcPr>
          <w:p>
            <w:pPr>
              <w:jc w:val="right"/>
            </w:pPr>
            <w:r/>
            <w:r>
              <w:rPr>
                <w:color w:val="1A1D21"/>
                <w:sz w:val="17"/>
              </w:rPr>
              <w:t>500,564</w:t>
            </w:r>
          </w:p>
        </w:tc>
      </w:tr>
    </w:tbl>
    <w:p>
      <w:pPr>
        <w:spacing w:after="200"/>
      </w:pPr>
      <w:r>
        <w:rPr>
          <w:b w:val="0"/>
          <w:i/>
          <w:color w:val="5B6570"/>
          <w:sz w:val="16"/>
        </w:rPr>
        <w:t>Assets equal liabilities plus shareholders' funds in every year, to the same tenth of a million the audited 2025 sheet itself foots to.</w:t>
      </w:r>
    </w:p>
    <w:tbl>
      <w:tblPr>
        <w:tblStyle w:val="TableGrid"/>
        <w:tblW w:type="auto" w:w="0"/>
        <w:jc w:val="center"/>
        <w:tblLayout w:type="fixed"/>
        <w:tblLook w:firstColumn="1" w:firstRow="1" w:lastColumn="0" w:lastRow="0" w:noHBand="0" w:noVBand="1" w:val="04A0"/>
        <w:tblLayout w:type="fixed"/>
      </w:tblPr>
      <w:tblGrid>
        <w:gridCol w:w="1984"/>
        <w:gridCol w:w="1026"/>
        <w:gridCol w:w="1026"/>
        <w:gridCol w:w="1026"/>
        <w:gridCol w:w="1026"/>
        <w:gridCol w:w="1026"/>
        <w:gridCol w:w="1026"/>
        <w:gridCol w:w="1026"/>
      </w:tblGrid>
      <w:tr>
        <w:trPr>
          <w:tblHeader w:val="true"/>
        </w:trPr>
        <w:tc>
          <w:tcPr>
            <w:tcW w:type="dxa" w:w="1984"/>
          </w:tcPr>
          <w:p>
            <w:r/>
            <w:r>
              <w:rPr>
                <w:b/>
                <w:color w:val="5B6570"/>
                <w:sz w:val="17"/>
              </w:rPr>
              <w:t>Forecast cash flow, EGP million</w:t>
            </w:r>
          </w:p>
        </w:tc>
        <w:tc>
          <w:tcPr>
            <w:tcW w:type="dxa" w:w="1026"/>
          </w:tcPr>
          <w:p>
            <w:r/>
            <w:r>
              <w:rPr>
                <w:b/>
                <w:color w:val="5B6570"/>
                <w:sz w:val="17"/>
              </w:rPr>
              <w:t>2026</w:t>
            </w:r>
          </w:p>
        </w:tc>
        <w:tc>
          <w:tcPr>
            <w:tcW w:type="dxa" w:w="1026"/>
          </w:tcPr>
          <w:p>
            <w:r/>
            <w:r>
              <w:rPr>
                <w:b/>
                <w:color w:val="5B6570"/>
                <w:sz w:val="17"/>
              </w:rPr>
              <w:t>2027</w:t>
            </w:r>
          </w:p>
        </w:tc>
        <w:tc>
          <w:tcPr>
            <w:tcW w:type="dxa" w:w="1026"/>
          </w:tcPr>
          <w:p>
            <w:r/>
            <w:r>
              <w:rPr>
                <w:b/>
                <w:color w:val="5B6570"/>
                <w:sz w:val="17"/>
              </w:rPr>
              <w:t>2028</w:t>
            </w:r>
          </w:p>
        </w:tc>
        <w:tc>
          <w:tcPr>
            <w:tcW w:type="dxa" w:w="1026"/>
          </w:tcPr>
          <w:p>
            <w:r/>
            <w:r>
              <w:rPr>
                <w:b/>
                <w:color w:val="5B6570"/>
                <w:sz w:val="17"/>
              </w:rPr>
              <w:t>2029</w:t>
            </w:r>
          </w:p>
        </w:tc>
        <w:tc>
          <w:tcPr>
            <w:tcW w:type="dxa" w:w="1026"/>
          </w:tcPr>
          <w:p>
            <w:r/>
            <w:r>
              <w:rPr>
                <w:b/>
                <w:color w:val="5B6570"/>
                <w:sz w:val="17"/>
              </w:rPr>
              <w:t>2030</w:t>
            </w:r>
          </w:p>
        </w:tc>
        <w:tc>
          <w:tcPr>
            <w:tcW w:type="dxa" w:w="1026"/>
          </w:tcPr>
          <w:p>
            <w:r/>
            <w:r>
              <w:rPr>
                <w:b/>
                <w:color w:val="5B6570"/>
                <w:sz w:val="17"/>
              </w:rPr>
              <w:t>2035</w:t>
            </w:r>
          </w:p>
        </w:tc>
        <w:tc>
          <w:tcPr>
            <w:tcW w:type="dxa" w:w="1026"/>
          </w:tcPr>
          <w:p>
            <w:r/>
            <w:r>
              <w:rPr>
                <w:b/>
                <w:color w:val="5B6570"/>
                <w:sz w:val="17"/>
              </w:rPr>
              <w:t>2040</w:t>
            </w:r>
          </w:p>
        </w:tc>
      </w:tr>
      <w:tr>
        <w:trPr>
          <w:cantSplit/>
        </w:trPr>
        <w:tc>
          <w:tcPr>
            <w:tcW w:type="dxa" w:w="1984"/>
          </w:tcPr>
          <w:p>
            <w:r/>
            <w:r>
              <w:rPr>
                <w:color w:val="1A1D21"/>
                <w:sz w:val="17"/>
              </w:rPr>
              <w:t>Net profit</w:t>
            </w:r>
          </w:p>
        </w:tc>
        <w:tc>
          <w:tcPr>
            <w:tcW w:type="dxa" w:w="1026"/>
          </w:tcPr>
          <w:p>
            <w:pPr>
              <w:jc w:val="right"/>
            </w:pPr>
            <w:r/>
            <w:r>
              <w:rPr>
                <w:color w:val="1A1D21"/>
                <w:sz w:val="17"/>
              </w:rPr>
              <w:t>2,666</w:t>
            </w:r>
          </w:p>
        </w:tc>
        <w:tc>
          <w:tcPr>
            <w:tcW w:type="dxa" w:w="1026"/>
          </w:tcPr>
          <w:p>
            <w:pPr>
              <w:jc w:val="right"/>
            </w:pPr>
            <w:r/>
            <w:r>
              <w:rPr>
                <w:color w:val="1A1D21"/>
                <w:sz w:val="17"/>
              </w:rPr>
              <w:t>4,181</w:t>
            </w:r>
          </w:p>
        </w:tc>
        <w:tc>
          <w:tcPr>
            <w:tcW w:type="dxa" w:w="1026"/>
          </w:tcPr>
          <w:p>
            <w:pPr>
              <w:jc w:val="right"/>
            </w:pPr>
            <w:r/>
            <w:r>
              <w:rPr>
                <w:color w:val="1A1D21"/>
                <w:sz w:val="17"/>
              </w:rPr>
              <w:t>5,788</w:t>
            </w:r>
          </w:p>
        </w:tc>
        <w:tc>
          <w:tcPr>
            <w:tcW w:type="dxa" w:w="1026"/>
          </w:tcPr>
          <w:p>
            <w:pPr>
              <w:jc w:val="right"/>
            </w:pPr>
            <w:r/>
            <w:r>
              <w:rPr>
                <w:color w:val="1A1D21"/>
                <w:sz w:val="17"/>
              </w:rPr>
              <w:t>7,498</w:t>
            </w:r>
          </w:p>
        </w:tc>
        <w:tc>
          <w:tcPr>
            <w:tcW w:type="dxa" w:w="1026"/>
          </w:tcPr>
          <w:p>
            <w:pPr>
              <w:jc w:val="right"/>
            </w:pPr>
            <w:r/>
            <w:r>
              <w:rPr>
                <w:color w:val="1A1D21"/>
                <w:sz w:val="17"/>
              </w:rPr>
              <w:t>9,338</w:t>
            </w:r>
          </w:p>
        </w:tc>
        <w:tc>
          <w:tcPr>
            <w:tcW w:type="dxa" w:w="1026"/>
          </w:tcPr>
          <w:p>
            <w:pPr>
              <w:jc w:val="right"/>
            </w:pPr>
            <w:r/>
            <w:r>
              <w:rPr>
                <w:color w:val="1A1D21"/>
                <w:sz w:val="17"/>
              </w:rPr>
              <w:t>19,780</w:t>
            </w:r>
          </w:p>
        </w:tc>
        <w:tc>
          <w:tcPr>
            <w:tcW w:type="dxa" w:w="1026"/>
          </w:tcPr>
          <w:p>
            <w:pPr>
              <w:jc w:val="right"/>
            </w:pPr>
            <w:r/>
            <w:r>
              <w:rPr>
                <w:color w:val="1A1D21"/>
                <w:sz w:val="17"/>
              </w:rPr>
              <w:t>29,257</w:t>
            </w:r>
          </w:p>
        </w:tc>
      </w:tr>
      <w:tr>
        <w:trPr>
          <w:cantSplit/>
        </w:trPr>
        <w:tc>
          <w:tcPr>
            <w:tcW w:type="dxa" w:w="1984"/>
          </w:tcPr>
          <w:p>
            <w:r/>
            <w:r>
              <w:rPr>
                <w:color w:val="1A1D21"/>
                <w:sz w:val="17"/>
              </w:rPr>
              <w:t>Depreciation and amortisation</w:t>
            </w:r>
          </w:p>
        </w:tc>
        <w:tc>
          <w:tcPr>
            <w:tcW w:type="dxa" w:w="1026"/>
          </w:tcPr>
          <w:p>
            <w:pPr>
              <w:jc w:val="right"/>
            </w:pPr>
            <w:r/>
            <w:r>
              <w:rPr>
                <w:color w:val="1A1D21"/>
                <w:sz w:val="17"/>
              </w:rPr>
              <w:t>393</w:t>
            </w:r>
          </w:p>
        </w:tc>
        <w:tc>
          <w:tcPr>
            <w:tcW w:type="dxa" w:w="1026"/>
          </w:tcPr>
          <w:p>
            <w:pPr>
              <w:jc w:val="right"/>
            </w:pPr>
            <w:r/>
            <w:r>
              <w:rPr>
                <w:color w:val="1A1D21"/>
                <w:sz w:val="17"/>
              </w:rPr>
              <w:t>506</w:t>
            </w:r>
          </w:p>
        </w:tc>
        <w:tc>
          <w:tcPr>
            <w:tcW w:type="dxa" w:w="1026"/>
          </w:tcPr>
          <w:p>
            <w:pPr>
              <w:jc w:val="right"/>
            </w:pPr>
            <w:r/>
            <w:r>
              <w:rPr>
                <w:color w:val="1A1D21"/>
                <w:sz w:val="17"/>
              </w:rPr>
              <w:t>626</w:t>
            </w:r>
          </w:p>
        </w:tc>
        <w:tc>
          <w:tcPr>
            <w:tcW w:type="dxa" w:w="1026"/>
          </w:tcPr>
          <w:p>
            <w:pPr>
              <w:jc w:val="right"/>
            </w:pPr>
            <w:r/>
            <w:r>
              <w:rPr>
                <w:color w:val="1A1D21"/>
                <w:sz w:val="17"/>
              </w:rPr>
              <w:t>753</w:t>
            </w:r>
          </w:p>
        </w:tc>
        <w:tc>
          <w:tcPr>
            <w:tcW w:type="dxa" w:w="1026"/>
          </w:tcPr>
          <w:p>
            <w:pPr>
              <w:jc w:val="right"/>
            </w:pPr>
            <w:r/>
            <w:r>
              <w:rPr>
                <w:color w:val="1A1D21"/>
                <w:sz w:val="17"/>
              </w:rPr>
              <w:t>891</w:t>
            </w:r>
          </w:p>
        </w:tc>
        <w:tc>
          <w:tcPr>
            <w:tcW w:type="dxa" w:w="1026"/>
          </w:tcPr>
          <w:p>
            <w:pPr>
              <w:jc w:val="right"/>
            </w:pPr>
            <w:r/>
            <w:r>
              <w:rPr>
                <w:color w:val="1A1D21"/>
                <w:sz w:val="17"/>
              </w:rPr>
              <w:t>1,670</w:t>
            </w:r>
          </w:p>
        </w:tc>
        <w:tc>
          <w:tcPr>
            <w:tcW w:type="dxa" w:w="1026"/>
          </w:tcPr>
          <w:p>
            <w:pPr>
              <w:jc w:val="right"/>
            </w:pPr>
            <w:r/>
            <w:r>
              <w:rPr>
                <w:color w:val="1A1D21"/>
                <w:sz w:val="17"/>
              </w:rPr>
              <w:t>2,377</w:t>
            </w:r>
          </w:p>
        </w:tc>
      </w:tr>
      <w:tr>
        <w:trPr>
          <w:cantSplit/>
        </w:trPr>
        <w:tc>
          <w:tcPr>
            <w:tcW w:type="dxa" w:w="1984"/>
          </w:tcPr>
          <w:p>
            <w:r/>
            <w:r>
              <w:rPr>
                <w:color w:val="1A1D21"/>
                <w:sz w:val="17"/>
              </w:rPr>
              <w:t>Change in working capital, cash effect</w:t>
            </w:r>
          </w:p>
        </w:tc>
        <w:tc>
          <w:tcPr>
            <w:tcW w:type="dxa" w:w="1026"/>
          </w:tcPr>
          <w:p>
            <w:pPr>
              <w:jc w:val="right"/>
            </w:pPr>
            <w:r/>
            <w:r>
              <w:rPr>
                <w:color w:val="1A1D21"/>
                <w:sz w:val="17"/>
              </w:rPr>
              <w:t>440</w:t>
            </w:r>
          </w:p>
        </w:tc>
        <w:tc>
          <w:tcPr>
            <w:tcW w:type="dxa" w:w="1026"/>
          </w:tcPr>
          <w:p>
            <w:pPr>
              <w:jc w:val="right"/>
            </w:pPr>
            <w:r/>
            <w:r>
              <w:rPr>
                <w:color w:val="1A1D21"/>
                <w:sz w:val="17"/>
              </w:rPr>
              <w:t>-181</w:t>
            </w:r>
          </w:p>
        </w:tc>
        <w:tc>
          <w:tcPr>
            <w:tcW w:type="dxa" w:w="1026"/>
          </w:tcPr>
          <w:p>
            <w:pPr>
              <w:jc w:val="right"/>
            </w:pPr>
            <w:r/>
            <w:r>
              <w:rPr>
                <w:color w:val="1A1D21"/>
                <w:sz w:val="17"/>
              </w:rPr>
              <w:t>-839</w:t>
            </w:r>
          </w:p>
        </w:tc>
        <w:tc>
          <w:tcPr>
            <w:tcW w:type="dxa" w:w="1026"/>
          </w:tcPr>
          <w:p>
            <w:pPr>
              <w:jc w:val="right"/>
            </w:pPr>
            <w:r/>
            <w:r>
              <w:rPr>
                <w:color w:val="1A1D21"/>
                <w:sz w:val="17"/>
              </w:rPr>
              <w:t>-1,539</w:t>
            </w:r>
          </w:p>
        </w:tc>
        <w:tc>
          <w:tcPr>
            <w:tcW w:type="dxa" w:w="1026"/>
          </w:tcPr>
          <w:p>
            <w:pPr>
              <w:jc w:val="right"/>
            </w:pPr>
            <w:r/>
            <w:r>
              <w:rPr>
                <w:color w:val="1A1D21"/>
                <w:sz w:val="17"/>
              </w:rPr>
              <w:t>-2,293</w:t>
            </w:r>
          </w:p>
        </w:tc>
        <w:tc>
          <w:tcPr>
            <w:tcW w:type="dxa" w:w="1026"/>
          </w:tcPr>
          <w:p>
            <w:pPr>
              <w:jc w:val="right"/>
            </w:pPr>
            <w:r/>
            <w:r>
              <w:rPr>
                <w:color w:val="1A1D21"/>
                <w:sz w:val="17"/>
              </w:rPr>
              <w:t>-6,570</w:t>
            </w:r>
          </w:p>
        </w:tc>
        <w:tc>
          <w:tcPr>
            <w:tcW w:type="dxa" w:w="1026"/>
          </w:tcPr>
          <w:p>
            <w:pPr>
              <w:jc w:val="right"/>
            </w:pPr>
            <w:r/>
            <w:r>
              <w:rPr>
                <w:color w:val="1A1D21"/>
                <w:sz w:val="17"/>
              </w:rPr>
              <w:t>-10,452</w:t>
            </w:r>
          </w:p>
        </w:tc>
      </w:tr>
      <w:tr>
        <w:trPr>
          <w:cantSplit/>
        </w:trPr>
        <w:tc>
          <w:tcPr>
            <w:tcW w:type="dxa" w:w="1984"/>
          </w:tcPr>
          <w:p>
            <w:r/>
            <w:r>
              <w:rPr>
                <w:color w:val="1A1D21"/>
                <w:sz w:val="17"/>
              </w:rPr>
              <w:t>Cash from operations</w:t>
            </w:r>
          </w:p>
        </w:tc>
        <w:tc>
          <w:tcPr>
            <w:tcW w:type="dxa" w:w="1026"/>
          </w:tcPr>
          <w:p>
            <w:pPr>
              <w:jc w:val="right"/>
            </w:pPr>
            <w:r/>
            <w:r>
              <w:rPr>
                <w:color w:val="1A1D21"/>
                <w:sz w:val="17"/>
              </w:rPr>
              <w:t>3,498</w:t>
            </w:r>
          </w:p>
        </w:tc>
        <w:tc>
          <w:tcPr>
            <w:tcW w:type="dxa" w:w="1026"/>
          </w:tcPr>
          <w:p>
            <w:pPr>
              <w:jc w:val="right"/>
            </w:pPr>
            <w:r/>
            <w:r>
              <w:rPr>
                <w:color w:val="1A1D21"/>
                <w:sz w:val="17"/>
              </w:rPr>
              <w:t>4,506</w:t>
            </w:r>
          </w:p>
        </w:tc>
        <w:tc>
          <w:tcPr>
            <w:tcW w:type="dxa" w:w="1026"/>
          </w:tcPr>
          <w:p>
            <w:pPr>
              <w:jc w:val="right"/>
            </w:pPr>
            <w:r/>
            <w:r>
              <w:rPr>
                <w:color w:val="1A1D21"/>
                <w:sz w:val="17"/>
              </w:rPr>
              <w:t>5,574</w:t>
            </w:r>
          </w:p>
        </w:tc>
        <w:tc>
          <w:tcPr>
            <w:tcW w:type="dxa" w:w="1026"/>
          </w:tcPr>
          <w:p>
            <w:pPr>
              <w:jc w:val="right"/>
            </w:pPr>
            <w:r/>
            <w:r>
              <w:rPr>
                <w:color w:val="1A1D21"/>
                <w:sz w:val="17"/>
              </w:rPr>
              <w:t>6,712</w:t>
            </w:r>
          </w:p>
        </w:tc>
        <w:tc>
          <w:tcPr>
            <w:tcW w:type="dxa" w:w="1026"/>
          </w:tcPr>
          <w:p>
            <w:pPr>
              <w:jc w:val="right"/>
            </w:pPr>
            <w:r/>
            <w:r>
              <w:rPr>
                <w:color w:val="1A1D21"/>
                <w:sz w:val="17"/>
              </w:rPr>
              <w:t>7,936</w:t>
            </w:r>
          </w:p>
        </w:tc>
        <w:tc>
          <w:tcPr>
            <w:tcW w:type="dxa" w:w="1026"/>
          </w:tcPr>
          <w:p>
            <w:pPr>
              <w:jc w:val="right"/>
            </w:pPr>
            <w:r/>
            <w:r>
              <w:rPr>
                <w:color w:val="1A1D21"/>
                <w:sz w:val="17"/>
              </w:rPr>
              <w:t>14,879</w:t>
            </w:r>
          </w:p>
        </w:tc>
        <w:tc>
          <w:tcPr>
            <w:tcW w:type="dxa" w:w="1026"/>
          </w:tcPr>
          <w:p>
            <w:pPr>
              <w:jc w:val="right"/>
            </w:pPr>
            <w:r/>
            <w:r>
              <w:rPr>
                <w:color w:val="1A1D21"/>
                <w:sz w:val="17"/>
              </w:rPr>
              <w:t>21,182</w:t>
            </w:r>
          </w:p>
        </w:tc>
      </w:tr>
      <w:tr>
        <w:trPr>
          <w:cantSplit/>
        </w:trPr>
        <w:tc>
          <w:tcPr>
            <w:tcW w:type="dxa" w:w="1984"/>
          </w:tcPr>
          <w:p>
            <w:r/>
            <w:r>
              <w:rPr>
                <w:color w:val="1A1D21"/>
                <w:sz w:val="17"/>
              </w:rPr>
              <w:t xml:space="preserve">  as a share of revenue</w:t>
            </w:r>
          </w:p>
        </w:tc>
        <w:tc>
          <w:tcPr>
            <w:tcW w:type="dxa" w:w="1026"/>
          </w:tcPr>
          <w:p>
            <w:pPr>
              <w:jc w:val="right"/>
            </w:pPr>
            <w:r/>
            <w:r>
              <w:rPr>
                <w:color w:val="1A1D21"/>
                <w:sz w:val="17"/>
              </w:rPr>
              <w:t>8.7%</w:t>
            </w:r>
          </w:p>
        </w:tc>
        <w:tc>
          <w:tcPr>
            <w:tcW w:type="dxa" w:w="1026"/>
          </w:tcPr>
          <w:p>
            <w:pPr>
              <w:jc w:val="right"/>
            </w:pPr>
            <w:r/>
            <w:r>
              <w:rPr>
                <w:color w:val="1A1D21"/>
                <w:sz w:val="17"/>
              </w:rPr>
              <w:t>8.7%</w:t>
            </w:r>
          </w:p>
        </w:tc>
        <w:tc>
          <w:tcPr>
            <w:tcW w:type="dxa" w:w="1026"/>
          </w:tcPr>
          <w:p>
            <w:pPr>
              <w:jc w:val="right"/>
            </w:pPr>
            <w:r/>
            <w:r>
              <w:rPr>
                <w:color w:val="1A1D21"/>
                <w:sz w:val="17"/>
              </w:rPr>
              <w:t>8.7%</w:t>
            </w:r>
          </w:p>
        </w:tc>
        <w:tc>
          <w:tcPr>
            <w:tcW w:type="dxa" w:w="1026"/>
          </w:tcPr>
          <w:p>
            <w:pPr>
              <w:jc w:val="right"/>
            </w:pPr>
            <w:r/>
            <w:r>
              <w:rPr>
                <w:color w:val="1A1D21"/>
                <w:sz w:val="17"/>
              </w:rPr>
              <w:t>8.7%</w:t>
            </w:r>
          </w:p>
        </w:tc>
        <w:tc>
          <w:tcPr>
            <w:tcW w:type="dxa" w:w="1026"/>
          </w:tcPr>
          <w:p>
            <w:pPr>
              <w:jc w:val="right"/>
            </w:pPr>
            <w:r/>
            <w:r>
              <w:rPr>
                <w:color w:val="1A1D21"/>
                <w:sz w:val="17"/>
              </w:rPr>
              <w:t>8.7%</w:t>
            </w:r>
          </w:p>
        </w:tc>
        <w:tc>
          <w:tcPr>
            <w:tcW w:type="dxa" w:w="1026"/>
          </w:tcPr>
          <w:p>
            <w:pPr>
              <w:jc w:val="right"/>
            </w:pPr>
            <w:r/>
            <w:r>
              <w:rPr>
                <w:color w:val="1A1D21"/>
                <w:sz w:val="17"/>
              </w:rPr>
              <w:t>8.7%</w:t>
            </w:r>
          </w:p>
        </w:tc>
        <w:tc>
          <w:tcPr>
            <w:tcW w:type="dxa" w:w="1026"/>
          </w:tcPr>
          <w:p>
            <w:pPr>
              <w:jc w:val="right"/>
            </w:pPr>
            <w:r/>
            <w:r>
              <w:rPr>
                <w:color w:val="1A1D21"/>
                <w:sz w:val="17"/>
              </w:rPr>
              <w:t>8.7%</w:t>
            </w:r>
          </w:p>
        </w:tc>
      </w:tr>
      <w:tr>
        <w:trPr>
          <w:cantSplit/>
        </w:trPr>
        <w:tc>
          <w:tcPr>
            <w:tcW w:type="dxa" w:w="1984"/>
          </w:tcPr>
          <w:p>
            <w:r/>
            <w:r>
              <w:rPr>
                <w:color w:val="1A1D21"/>
                <w:sz w:val="17"/>
              </w:rPr>
              <w:t>Capital expenditure</w:t>
            </w:r>
          </w:p>
        </w:tc>
        <w:tc>
          <w:tcPr>
            <w:tcW w:type="dxa" w:w="1026"/>
          </w:tcPr>
          <w:p>
            <w:pPr>
              <w:jc w:val="right"/>
            </w:pPr>
            <w:r/>
            <w:r>
              <w:rPr>
                <w:color w:val="1A1D21"/>
                <w:sz w:val="17"/>
              </w:rPr>
              <w:t>-401</w:t>
            </w:r>
          </w:p>
        </w:tc>
        <w:tc>
          <w:tcPr>
            <w:tcW w:type="dxa" w:w="1026"/>
          </w:tcPr>
          <w:p>
            <w:pPr>
              <w:jc w:val="right"/>
            </w:pPr>
            <w:r/>
            <w:r>
              <w:rPr>
                <w:color w:val="1A1D21"/>
                <w:sz w:val="17"/>
              </w:rPr>
              <w:t>-517</w:t>
            </w:r>
          </w:p>
        </w:tc>
        <w:tc>
          <w:tcPr>
            <w:tcW w:type="dxa" w:w="1026"/>
          </w:tcPr>
          <w:p>
            <w:pPr>
              <w:jc w:val="right"/>
            </w:pPr>
            <w:r/>
            <w:r>
              <w:rPr>
                <w:color w:val="1A1D21"/>
                <w:sz w:val="17"/>
              </w:rPr>
              <w:t>-640</w:t>
            </w:r>
          </w:p>
        </w:tc>
        <w:tc>
          <w:tcPr>
            <w:tcW w:type="dxa" w:w="1026"/>
          </w:tcPr>
          <w:p>
            <w:pPr>
              <w:jc w:val="right"/>
            </w:pPr>
            <w:r/>
            <w:r>
              <w:rPr>
                <w:color w:val="1A1D21"/>
                <w:sz w:val="17"/>
              </w:rPr>
              <w:t>-770</w:t>
            </w:r>
          </w:p>
        </w:tc>
        <w:tc>
          <w:tcPr>
            <w:tcW w:type="dxa" w:w="1026"/>
          </w:tcPr>
          <w:p>
            <w:pPr>
              <w:jc w:val="right"/>
            </w:pPr>
            <w:r/>
            <w:r>
              <w:rPr>
                <w:color w:val="1A1D21"/>
                <w:sz w:val="17"/>
              </w:rPr>
              <w:t>-911</w:t>
            </w:r>
          </w:p>
        </w:tc>
        <w:tc>
          <w:tcPr>
            <w:tcW w:type="dxa" w:w="1026"/>
          </w:tcPr>
          <w:p>
            <w:pPr>
              <w:jc w:val="right"/>
            </w:pPr>
            <w:r/>
            <w:r>
              <w:rPr>
                <w:color w:val="1A1D21"/>
                <w:sz w:val="17"/>
              </w:rPr>
              <w:t>-1,708</w:t>
            </w:r>
          </w:p>
        </w:tc>
        <w:tc>
          <w:tcPr>
            <w:tcW w:type="dxa" w:w="1026"/>
          </w:tcPr>
          <w:p>
            <w:pPr>
              <w:jc w:val="right"/>
            </w:pPr>
            <w:r/>
            <w:r>
              <w:rPr>
                <w:color w:val="1A1D21"/>
                <w:sz w:val="17"/>
              </w:rPr>
              <w:t>-2,431</w:t>
            </w:r>
          </w:p>
        </w:tc>
      </w:tr>
      <w:tr>
        <w:trPr>
          <w:cantSplit/>
        </w:trPr>
        <w:tc>
          <w:tcPr>
            <w:tcW w:type="dxa" w:w="1984"/>
          </w:tcPr>
          <w:p>
            <w:r/>
            <w:r>
              <w:rPr>
                <w:color w:val="1A1D21"/>
                <w:sz w:val="17"/>
              </w:rPr>
              <w:t>New borrowing drawn</w:t>
            </w:r>
          </w:p>
        </w:tc>
        <w:tc>
          <w:tcPr>
            <w:tcW w:type="dxa" w:w="1026"/>
          </w:tcPr>
          <w:p>
            <w:pPr>
              <w:jc w:val="right"/>
            </w:pPr>
            <w:r/>
            <w:r>
              <w:rPr>
                <w:color w:val="1A1D21"/>
                <w:sz w:val="17"/>
              </w:rPr>
              <w:t>0</w:t>
            </w:r>
          </w:p>
        </w:tc>
        <w:tc>
          <w:tcPr>
            <w:tcW w:type="dxa" w:w="1026"/>
          </w:tcPr>
          <w:p>
            <w:pPr>
              <w:jc w:val="right"/>
            </w:pPr>
            <w:r/>
            <w:r>
              <w:rPr>
                <w:color w:val="1A1D21"/>
                <w:sz w:val="17"/>
              </w:rPr>
              <w:t>0</w:t>
            </w:r>
          </w:p>
        </w:tc>
        <w:tc>
          <w:tcPr>
            <w:tcW w:type="dxa" w:w="1026"/>
          </w:tcPr>
          <w:p>
            <w:pPr>
              <w:jc w:val="right"/>
            </w:pPr>
            <w:r/>
            <w:r>
              <w:rPr>
                <w:color w:val="1A1D21"/>
                <w:sz w:val="17"/>
              </w:rPr>
              <w:t>0</w:t>
            </w:r>
          </w:p>
        </w:tc>
        <w:tc>
          <w:tcPr>
            <w:tcW w:type="dxa" w:w="1026"/>
          </w:tcPr>
          <w:p>
            <w:pPr>
              <w:jc w:val="right"/>
            </w:pPr>
            <w:r/>
            <w:r>
              <w:rPr>
                <w:color w:val="1A1D21"/>
                <w:sz w:val="17"/>
              </w:rPr>
              <w:t>0</w:t>
            </w:r>
          </w:p>
        </w:tc>
        <w:tc>
          <w:tcPr>
            <w:tcW w:type="dxa" w:w="1026"/>
          </w:tcPr>
          <w:p>
            <w:pPr>
              <w:jc w:val="right"/>
            </w:pPr>
            <w:r/>
            <w:r>
              <w:rPr>
                <w:color w:val="1A1D21"/>
                <w:sz w:val="17"/>
              </w:rPr>
              <w:t>0</w:t>
            </w:r>
          </w:p>
        </w:tc>
        <w:tc>
          <w:tcPr>
            <w:tcW w:type="dxa" w:w="1026"/>
          </w:tcPr>
          <w:p>
            <w:pPr>
              <w:jc w:val="right"/>
            </w:pPr>
            <w:r/>
            <w:r>
              <w:rPr>
                <w:color w:val="1A1D21"/>
                <w:sz w:val="17"/>
              </w:rPr>
              <w:t>0</w:t>
            </w:r>
          </w:p>
        </w:tc>
        <w:tc>
          <w:tcPr>
            <w:tcW w:type="dxa" w:w="1026"/>
          </w:tcPr>
          <w:p>
            <w:pPr>
              <w:jc w:val="right"/>
            </w:pPr>
            <w:r/>
            <w:r>
              <w:rPr>
                <w:color w:val="1A1D21"/>
                <w:sz w:val="17"/>
              </w:rPr>
              <w:t>0</w:t>
            </w:r>
          </w:p>
        </w:tc>
      </w:tr>
      <w:tr>
        <w:trPr>
          <w:cantSplit/>
        </w:trPr>
        <w:tc>
          <w:tcPr>
            <w:tcW w:type="dxa" w:w="1984"/>
          </w:tcPr>
          <w:p>
            <w:r/>
            <w:r>
              <w:rPr>
                <w:color w:val="1A1D21"/>
                <w:sz w:val="17"/>
              </w:rPr>
              <w:t>Closing cash</w:t>
            </w:r>
          </w:p>
        </w:tc>
        <w:tc>
          <w:tcPr>
            <w:tcW w:type="dxa" w:w="1026"/>
          </w:tcPr>
          <w:p>
            <w:pPr>
              <w:jc w:val="right"/>
            </w:pPr>
            <w:r/>
            <w:r>
              <w:rPr>
                <w:color w:val="1A1D21"/>
                <w:sz w:val="17"/>
              </w:rPr>
              <w:t>12,516</w:t>
            </w:r>
          </w:p>
        </w:tc>
        <w:tc>
          <w:tcPr>
            <w:tcW w:type="dxa" w:w="1026"/>
          </w:tcPr>
          <w:p>
            <w:pPr>
              <w:jc w:val="right"/>
            </w:pPr>
            <w:r/>
            <w:r>
              <w:rPr>
                <w:color w:val="1A1D21"/>
                <w:sz w:val="17"/>
              </w:rPr>
              <w:t>16,505</w:t>
            </w:r>
          </w:p>
        </w:tc>
        <w:tc>
          <w:tcPr>
            <w:tcW w:type="dxa" w:w="1026"/>
          </w:tcPr>
          <w:p>
            <w:pPr>
              <w:jc w:val="right"/>
            </w:pPr>
            <w:r/>
            <w:r>
              <w:rPr>
                <w:color w:val="1A1D21"/>
                <w:sz w:val="17"/>
              </w:rPr>
              <w:t>21,440</w:t>
            </w:r>
          </w:p>
        </w:tc>
        <w:tc>
          <w:tcPr>
            <w:tcW w:type="dxa" w:w="1026"/>
          </w:tcPr>
          <w:p>
            <w:pPr>
              <w:jc w:val="right"/>
            </w:pPr>
            <w:r/>
            <w:r>
              <w:rPr>
                <w:color w:val="1A1D21"/>
                <w:sz w:val="17"/>
              </w:rPr>
              <w:t>27,381</w:t>
            </w:r>
          </w:p>
        </w:tc>
        <w:tc>
          <w:tcPr>
            <w:tcW w:type="dxa" w:w="1026"/>
          </w:tcPr>
          <w:p>
            <w:pPr>
              <w:jc w:val="right"/>
            </w:pPr>
            <w:r/>
            <w:r>
              <w:rPr>
                <w:color w:val="1A1D21"/>
                <w:sz w:val="17"/>
              </w:rPr>
              <w:t>34,406</w:t>
            </w:r>
          </w:p>
        </w:tc>
        <w:tc>
          <w:tcPr>
            <w:tcW w:type="dxa" w:w="1026"/>
          </w:tcPr>
          <w:p>
            <w:pPr>
              <w:jc w:val="right"/>
            </w:pPr>
            <w:r/>
            <w:r>
              <w:rPr>
                <w:color w:val="1A1D21"/>
                <w:sz w:val="17"/>
              </w:rPr>
              <w:t>87,835</w:t>
            </w:r>
          </w:p>
        </w:tc>
        <w:tc>
          <w:tcPr>
            <w:tcW w:type="dxa" w:w="1026"/>
          </w:tcPr>
          <w:p>
            <w:pPr>
              <w:jc w:val="right"/>
            </w:pPr>
            <w:r/>
            <w:r>
              <w:rPr>
                <w:color w:val="1A1D21"/>
                <w:sz w:val="17"/>
              </w:rPr>
              <w:t>170,102</w:t>
            </w:r>
          </w:p>
        </w:tc>
      </w:tr>
    </w:tbl>
    <w:p>
      <w:pPr>
        <w:spacing w:after="80"/>
      </w:pPr>
      <w:r>
        <w:rPr>
          <w:b w:val="0"/>
          <w:i w:val="0"/>
          <w:color w:val="1A1D21"/>
          <w:sz w:val="8"/>
        </w:rPr>
      </w:r>
    </w:p>
    <w:tbl>
      <w:tblPr>
        <w:tblStyle w:val="TableGrid"/>
        <w:tblW w:type="auto" w:w="0"/>
        <w:jc w:val="center"/>
        <w:tblLayout w:type="fixed"/>
        <w:tblLook w:firstColumn="1" w:firstRow="1" w:lastColumn="0" w:lastRow="0" w:noHBand="0" w:noVBand="1" w:val="04A0"/>
        <w:tblLayout w:type="fixed"/>
      </w:tblPr>
      <w:tblGrid>
        <w:gridCol w:w="1984"/>
        <w:gridCol w:w="1026"/>
        <w:gridCol w:w="1026"/>
        <w:gridCol w:w="1026"/>
        <w:gridCol w:w="1026"/>
        <w:gridCol w:w="1026"/>
        <w:gridCol w:w="1026"/>
        <w:gridCol w:w="1026"/>
      </w:tblGrid>
      <w:tr>
        <w:trPr>
          <w:tblHeader w:val="true"/>
        </w:trPr>
        <w:tc>
          <w:tcPr>
            <w:tcW w:type="dxa" w:w="1984"/>
          </w:tcPr>
          <w:p>
            <w:r/>
            <w:r>
              <w:rPr>
                <w:b/>
                <w:color w:val="5B6570"/>
                <w:sz w:val="17"/>
              </w:rPr>
              <w:t>The cycle this implies</w:t>
            </w:r>
          </w:p>
        </w:tc>
        <w:tc>
          <w:tcPr>
            <w:tcW w:type="dxa" w:w="1026"/>
          </w:tcPr>
          <w:p>
            <w:r/>
            <w:r>
              <w:rPr>
                <w:b/>
                <w:color w:val="5B6570"/>
                <w:sz w:val="17"/>
              </w:rPr>
              <w:t>2026</w:t>
            </w:r>
          </w:p>
        </w:tc>
        <w:tc>
          <w:tcPr>
            <w:tcW w:type="dxa" w:w="1026"/>
          </w:tcPr>
          <w:p>
            <w:r/>
            <w:r>
              <w:rPr>
                <w:b/>
                <w:color w:val="5B6570"/>
                <w:sz w:val="17"/>
              </w:rPr>
              <w:t>2027</w:t>
            </w:r>
          </w:p>
        </w:tc>
        <w:tc>
          <w:tcPr>
            <w:tcW w:type="dxa" w:w="1026"/>
          </w:tcPr>
          <w:p>
            <w:r/>
            <w:r>
              <w:rPr>
                <w:b/>
                <w:color w:val="5B6570"/>
                <w:sz w:val="17"/>
              </w:rPr>
              <w:t>2028</w:t>
            </w:r>
          </w:p>
        </w:tc>
        <w:tc>
          <w:tcPr>
            <w:tcW w:type="dxa" w:w="1026"/>
          </w:tcPr>
          <w:p>
            <w:r/>
            <w:r>
              <w:rPr>
                <w:b/>
                <w:color w:val="5B6570"/>
                <w:sz w:val="17"/>
              </w:rPr>
              <w:t>2029</w:t>
            </w:r>
          </w:p>
        </w:tc>
        <w:tc>
          <w:tcPr>
            <w:tcW w:type="dxa" w:w="1026"/>
          </w:tcPr>
          <w:p>
            <w:r/>
            <w:r>
              <w:rPr>
                <w:b/>
                <w:color w:val="5B6570"/>
                <w:sz w:val="17"/>
              </w:rPr>
              <w:t>2030</w:t>
            </w:r>
          </w:p>
        </w:tc>
        <w:tc>
          <w:tcPr>
            <w:tcW w:type="dxa" w:w="1026"/>
          </w:tcPr>
          <w:p>
            <w:r/>
            <w:r>
              <w:rPr>
                <w:b/>
                <w:color w:val="5B6570"/>
                <w:sz w:val="17"/>
              </w:rPr>
              <w:t>2035</w:t>
            </w:r>
          </w:p>
        </w:tc>
        <w:tc>
          <w:tcPr>
            <w:tcW w:type="dxa" w:w="1026"/>
          </w:tcPr>
          <w:p>
            <w:r/>
            <w:r>
              <w:rPr>
                <w:b/>
                <w:color w:val="5B6570"/>
                <w:sz w:val="17"/>
              </w:rPr>
              <w:t>2040</w:t>
            </w:r>
          </w:p>
        </w:tc>
      </w:tr>
      <w:tr>
        <w:trPr>
          <w:cantSplit/>
        </w:trPr>
        <w:tc>
          <w:tcPr>
            <w:tcW w:type="dxa" w:w="1984"/>
          </w:tcPr>
          <w:p>
            <w:r/>
            <w:r>
              <w:rPr>
                <w:color w:val="1A1D21"/>
                <w:sz w:val="17"/>
              </w:rPr>
              <w:t>Collection period, days</w:t>
            </w:r>
          </w:p>
        </w:tc>
        <w:tc>
          <w:tcPr>
            <w:tcW w:type="dxa" w:w="1026"/>
          </w:tcPr>
          <w:p>
            <w:pPr>
              <w:jc w:val="right"/>
            </w:pPr>
            <w:r/>
            <w:r>
              <w:rPr>
                <w:color w:val="1A1D21"/>
                <w:sz w:val="17"/>
              </w:rPr>
              <w:t>934</w:t>
            </w:r>
          </w:p>
        </w:tc>
        <w:tc>
          <w:tcPr>
            <w:tcW w:type="dxa" w:w="1026"/>
          </w:tcPr>
          <w:p>
            <w:pPr>
              <w:jc w:val="right"/>
            </w:pPr>
            <w:r/>
            <w:r>
              <w:rPr>
                <w:color w:val="1A1D21"/>
                <w:sz w:val="17"/>
              </w:rPr>
              <w:t>728</w:t>
            </w:r>
          </w:p>
        </w:tc>
        <w:tc>
          <w:tcPr>
            <w:tcW w:type="dxa" w:w="1026"/>
          </w:tcPr>
          <w:p>
            <w:pPr>
              <w:jc w:val="right"/>
            </w:pPr>
            <w:r/>
            <w:r>
              <w:rPr>
                <w:color w:val="1A1D21"/>
                <w:sz w:val="17"/>
              </w:rPr>
              <w:t>596</w:t>
            </w:r>
          </w:p>
        </w:tc>
        <w:tc>
          <w:tcPr>
            <w:tcW w:type="dxa" w:w="1026"/>
          </w:tcPr>
          <w:p>
            <w:pPr>
              <w:jc w:val="right"/>
            </w:pPr>
            <w:r/>
            <w:r>
              <w:rPr>
                <w:color w:val="1A1D21"/>
                <w:sz w:val="17"/>
              </w:rPr>
              <w:t>507</w:t>
            </w:r>
          </w:p>
        </w:tc>
        <w:tc>
          <w:tcPr>
            <w:tcW w:type="dxa" w:w="1026"/>
          </w:tcPr>
          <w:p>
            <w:pPr>
              <w:jc w:val="right"/>
            </w:pPr>
            <w:r/>
            <w:r>
              <w:rPr>
                <w:color w:val="1A1D21"/>
                <w:sz w:val="17"/>
              </w:rPr>
              <w:t>444</w:t>
            </w:r>
          </w:p>
        </w:tc>
        <w:tc>
          <w:tcPr>
            <w:tcW w:type="dxa" w:w="1026"/>
          </w:tcPr>
          <w:p>
            <w:pPr>
              <w:jc w:val="right"/>
            </w:pPr>
            <w:r/>
            <w:r>
              <w:rPr>
                <w:color w:val="1A1D21"/>
                <w:sz w:val="17"/>
              </w:rPr>
              <w:t>323</w:t>
            </w:r>
          </w:p>
        </w:tc>
        <w:tc>
          <w:tcPr>
            <w:tcW w:type="dxa" w:w="1026"/>
          </w:tcPr>
          <w:p>
            <w:pPr>
              <w:jc w:val="right"/>
            </w:pPr>
            <w:r/>
            <w:r>
              <w:rPr>
                <w:color w:val="1A1D21"/>
                <w:sz w:val="17"/>
              </w:rPr>
              <w:t>337</w:t>
            </w:r>
          </w:p>
        </w:tc>
      </w:tr>
      <w:tr>
        <w:trPr>
          <w:cantSplit/>
        </w:trPr>
        <w:tc>
          <w:tcPr>
            <w:tcW w:type="dxa" w:w="1984"/>
          </w:tcPr>
          <w:p>
            <w:r/>
            <w:r>
              <w:rPr>
                <w:color w:val="1A1D21"/>
                <w:sz w:val="17"/>
              </w:rPr>
              <w:t>Work in progress, days of cost</w:t>
            </w:r>
          </w:p>
        </w:tc>
        <w:tc>
          <w:tcPr>
            <w:tcW w:type="dxa" w:w="1026"/>
          </w:tcPr>
          <w:p>
            <w:pPr>
              <w:jc w:val="right"/>
            </w:pPr>
            <w:r/>
            <w:r>
              <w:rPr>
                <w:color w:val="1A1D21"/>
                <w:sz w:val="17"/>
              </w:rPr>
              <w:t>246</w:t>
            </w:r>
          </w:p>
        </w:tc>
        <w:tc>
          <w:tcPr>
            <w:tcW w:type="dxa" w:w="1026"/>
          </w:tcPr>
          <w:p>
            <w:pPr>
              <w:jc w:val="right"/>
            </w:pPr>
            <w:r/>
            <w:r>
              <w:rPr>
                <w:color w:val="1A1D21"/>
                <w:sz w:val="17"/>
              </w:rPr>
              <w:t>191</w:t>
            </w:r>
          </w:p>
        </w:tc>
        <w:tc>
          <w:tcPr>
            <w:tcW w:type="dxa" w:w="1026"/>
          </w:tcPr>
          <w:p>
            <w:pPr>
              <w:jc w:val="right"/>
            </w:pPr>
            <w:r/>
            <w:r>
              <w:rPr>
                <w:color w:val="1A1D21"/>
                <w:sz w:val="17"/>
              </w:rPr>
              <w:t>157</w:t>
            </w:r>
          </w:p>
        </w:tc>
        <w:tc>
          <w:tcPr>
            <w:tcW w:type="dxa" w:w="1026"/>
          </w:tcPr>
          <w:p>
            <w:pPr>
              <w:jc w:val="right"/>
            </w:pPr>
            <w:r/>
            <w:r>
              <w:rPr>
                <w:color w:val="1A1D21"/>
                <w:sz w:val="17"/>
              </w:rPr>
              <w:t>133</w:t>
            </w:r>
          </w:p>
        </w:tc>
        <w:tc>
          <w:tcPr>
            <w:tcW w:type="dxa" w:w="1026"/>
          </w:tcPr>
          <w:p>
            <w:pPr>
              <w:jc w:val="right"/>
            </w:pPr>
            <w:r/>
            <w:r>
              <w:rPr>
                <w:color w:val="1A1D21"/>
                <w:sz w:val="17"/>
              </w:rPr>
              <w:t>117</w:t>
            </w:r>
          </w:p>
        </w:tc>
        <w:tc>
          <w:tcPr>
            <w:tcW w:type="dxa" w:w="1026"/>
          </w:tcPr>
          <w:p>
            <w:pPr>
              <w:jc w:val="right"/>
            </w:pPr>
            <w:r/>
            <w:r>
              <w:rPr>
                <w:color w:val="1A1D21"/>
                <w:sz w:val="17"/>
              </w:rPr>
              <w:t>85</w:t>
            </w:r>
          </w:p>
        </w:tc>
        <w:tc>
          <w:tcPr>
            <w:tcW w:type="dxa" w:w="1026"/>
          </w:tcPr>
          <w:p>
            <w:pPr>
              <w:jc w:val="right"/>
            </w:pPr>
            <w:r/>
            <w:r>
              <w:rPr>
                <w:color w:val="1A1D21"/>
                <w:sz w:val="17"/>
              </w:rPr>
              <w:t>89</w:t>
            </w:r>
          </w:p>
        </w:tc>
      </w:tr>
      <w:tr>
        <w:trPr>
          <w:cantSplit/>
        </w:trPr>
        <w:tc>
          <w:tcPr>
            <w:tcW w:type="dxa" w:w="1984"/>
          </w:tcPr>
          <w:p>
            <w:r/>
            <w:r>
              <w:rPr>
                <w:color w:val="1A1D21"/>
                <w:sz w:val="17"/>
              </w:rPr>
              <w:t>Suppliers, days of cost</w:t>
            </w:r>
          </w:p>
        </w:tc>
        <w:tc>
          <w:tcPr>
            <w:tcW w:type="dxa" w:w="1026"/>
          </w:tcPr>
          <w:p>
            <w:pPr>
              <w:jc w:val="right"/>
            </w:pPr>
            <w:r/>
            <w:r>
              <w:rPr>
                <w:color w:val="1A1D21"/>
                <w:sz w:val="17"/>
              </w:rPr>
              <w:t>53</w:t>
            </w:r>
          </w:p>
        </w:tc>
        <w:tc>
          <w:tcPr>
            <w:tcW w:type="dxa" w:w="1026"/>
          </w:tcPr>
          <w:p>
            <w:pPr>
              <w:jc w:val="right"/>
            </w:pPr>
            <w:r/>
            <w:r>
              <w:rPr>
                <w:color w:val="1A1D21"/>
                <w:sz w:val="17"/>
              </w:rPr>
              <w:t>41</w:t>
            </w:r>
          </w:p>
        </w:tc>
        <w:tc>
          <w:tcPr>
            <w:tcW w:type="dxa" w:w="1026"/>
          </w:tcPr>
          <w:p>
            <w:pPr>
              <w:jc w:val="right"/>
            </w:pPr>
            <w:r/>
            <w:r>
              <w:rPr>
                <w:color w:val="1A1D21"/>
                <w:sz w:val="17"/>
              </w:rPr>
              <w:t>34</w:t>
            </w:r>
          </w:p>
        </w:tc>
        <w:tc>
          <w:tcPr>
            <w:tcW w:type="dxa" w:w="1026"/>
          </w:tcPr>
          <w:p>
            <w:pPr>
              <w:jc w:val="right"/>
            </w:pPr>
            <w:r/>
            <w:r>
              <w:rPr>
                <w:color w:val="1A1D21"/>
                <w:sz w:val="17"/>
              </w:rPr>
              <w:t>29</w:t>
            </w:r>
          </w:p>
        </w:tc>
        <w:tc>
          <w:tcPr>
            <w:tcW w:type="dxa" w:w="1026"/>
          </w:tcPr>
          <w:p>
            <w:pPr>
              <w:jc w:val="right"/>
            </w:pPr>
            <w:r/>
            <w:r>
              <w:rPr>
                <w:color w:val="1A1D21"/>
                <w:sz w:val="17"/>
              </w:rPr>
              <w:t>25</w:t>
            </w:r>
          </w:p>
        </w:tc>
        <w:tc>
          <w:tcPr>
            <w:tcW w:type="dxa" w:w="1026"/>
          </w:tcPr>
          <w:p>
            <w:pPr>
              <w:jc w:val="right"/>
            </w:pPr>
            <w:r/>
            <w:r>
              <w:rPr>
                <w:color w:val="1A1D21"/>
                <w:sz w:val="17"/>
              </w:rPr>
              <w:t>18</w:t>
            </w:r>
          </w:p>
        </w:tc>
        <w:tc>
          <w:tcPr>
            <w:tcW w:type="dxa" w:w="1026"/>
          </w:tcPr>
          <w:p>
            <w:pPr>
              <w:jc w:val="right"/>
            </w:pPr>
            <w:r/>
            <w:r>
              <w:rPr>
                <w:color w:val="1A1D21"/>
                <w:sz w:val="17"/>
              </w:rPr>
              <w:t>19</w:t>
            </w:r>
          </w:p>
        </w:tc>
      </w:tr>
      <w:tr>
        <w:trPr>
          <w:cantSplit/>
        </w:trPr>
        <w:tc>
          <w:tcPr>
            <w:tcW w:type="dxa" w:w="1984"/>
          </w:tcPr>
          <w:p>
            <w:r/>
            <w:r>
              <w:rPr>
                <w:color w:val="1A1D21"/>
                <w:sz w:val="17"/>
              </w:rPr>
              <w:t>Customer advances, share of the order book</w:t>
            </w:r>
          </w:p>
        </w:tc>
        <w:tc>
          <w:tcPr>
            <w:tcW w:type="dxa" w:w="1026"/>
          </w:tcPr>
          <w:p>
            <w:pPr>
              <w:jc w:val="right"/>
            </w:pPr>
            <w:r/>
            <w:r>
              <w:rPr>
                <w:color w:val="1A1D21"/>
                <w:sz w:val="17"/>
              </w:rPr>
              <w:t>19.5%</w:t>
            </w:r>
          </w:p>
        </w:tc>
        <w:tc>
          <w:tcPr>
            <w:tcW w:type="dxa" w:w="1026"/>
          </w:tcPr>
          <w:p>
            <w:pPr>
              <w:jc w:val="right"/>
            </w:pPr>
            <w:r/>
            <w:r>
              <w:rPr>
                <w:color w:val="1A1D21"/>
                <w:sz w:val="17"/>
              </w:rPr>
              <w:t>15.5%</w:t>
            </w:r>
          </w:p>
        </w:tc>
        <w:tc>
          <w:tcPr>
            <w:tcW w:type="dxa" w:w="1026"/>
          </w:tcPr>
          <w:p>
            <w:pPr>
              <w:jc w:val="right"/>
            </w:pPr>
            <w:r/>
            <w:r>
              <w:rPr>
                <w:color w:val="1A1D21"/>
                <w:sz w:val="17"/>
              </w:rPr>
              <w:t>13.0%</w:t>
            </w:r>
          </w:p>
        </w:tc>
        <w:tc>
          <w:tcPr>
            <w:tcW w:type="dxa" w:w="1026"/>
          </w:tcPr>
          <w:p>
            <w:pPr>
              <w:jc w:val="right"/>
            </w:pPr>
            <w:r/>
            <w:r>
              <w:rPr>
                <w:color w:val="1A1D21"/>
                <w:sz w:val="17"/>
              </w:rPr>
              <w:t>11.3%</w:t>
            </w:r>
          </w:p>
        </w:tc>
        <w:tc>
          <w:tcPr>
            <w:tcW w:type="dxa" w:w="1026"/>
          </w:tcPr>
          <w:p>
            <w:pPr>
              <w:jc w:val="right"/>
            </w:pPr>
            <w:r/>
            <w:r>
              <w:rPr>
                <w:color w:val="1A1D21"/>
                <w:sz w:val="17"/>
              </w:rPr>
              <w:t>10.2%</w:t>
            </w:r>
          </w:p>
        </w:tc>
        <w:tc>
          <w:tcPr>
            <w:tcW w:type="dxa" w:w="1026"/>
          </w:tcPr>
          <w:p>
            <w:pPr>
              <w:jc w:val="right"/>
            </w:pPr>
            <w:r/>
            <w:r>
              <w:rPr>
                <w:color w:val="1A1D21"/>
                <w:sz w:val="17"/>
              </w:rPr>
              <w:t>8.8%</w:t>
            </w:r>
          </w:p>
        </w:tc>
        <w:tc>
          <w:tcPr>
            <w:tcW w:type="dxa" w:w="1026"/>
          </w:tcPr>
          <w:p>
            <w:pPr>
              <w:jc w:val="right"/>
            </w:pPr>
            <w:r/>
            <w:r>
              <w:rPr>
                <w:color w:val="1A1D21"/>
                <w:sz w:val="17"/>
              </w:rPr>
              <w:t>9.1%</w:t>
            </w:r>
          </w:p>
        </w:tc>
      </w:tr>
      <w:tr>
        <w:trPr>
          <w:cantSplit/>
        </w:trPr>
        <w:tc>
          <w:tcPr>
            <w:tcW w:type="dxa" w:w="1984"/>
          </w:tcPr>
          <w:p>
            <w:r/>
            <w:r>
              <w:rPr>
                <w:color w:val="1A1D21"/>
                <w:sz w:val="17"/>
              </w:rPr>
              <w:t>Net working capital</w:t>
            </w:r>
          </w:p>
        </w:tc>
        <w:tc>
          <w:tcPr>
            <w:tcW w:type="dxa" w:w="1026"/>
          </w:tcPr>
          <w:p>
            <w:pPr>
              <w:jc w:val="right"/>
            </w:pPr>
            <w:r/>
            <w:r>
              <w:rPr>
                <w:color w:val="1A1D21"/>
                <w:sz w:val="17"/>
              </w:rPr>
              <w:t>61,884</w:t>
            </w:r>
          </w:p>
        </w:tc>
        <w:tc>
          <w:tcPr>
            <w:tcW w:type="dxa" w:w="1026"/>
          </w:tcPr>
          <w:p>
            <w:pPr>
              <w:jc w:val="right"/>
            </w:pPr>
            <w:r/>
            <w:r>
              <w:rPr>
                <w:color w:val="1A1D21"/>
                <w:sz w:val="17"/>
              </w:rPr>
              <w:t>62,065</w:t>
            </w:r>
          </w:p>
        </w:tc>
        <w:tc>
          <w:tcPr>
            <w:tcW w:type="dxa" w:w="1026"/>
          </w:tcPr>
          <w:p>
            <w:pPr>
              <w:jc w:val="right"/>
            </w:pPr>
            <w:r/>
            <w:r>
              <w:rPr>
                <w:color w:val="1A1D21"/>
                <w:sz w:val="17"/>
              </w:rPr>
              <w:t>62,904</w:t>
            </w:r>
          </w:p>
        </w:tc>
        <w:tc>
          <w:tcPr>
            <w:tcW w:type="dxa" w:w="1026"/>
          </w:tcPr>
          <w:p>
            <w:pPr>
              <w:jc w:val="right"/>
            </w:pPr>
            <w:r/>
            <w:r>
              <w:rPr>
                <w:color w:val="1A1D21"/>
                <w:sz w:val="17"/>
              </w:rPr>
              <w:t>64,443</w:t>
            </w:r>
          </w:p>
        </w:tc>
        <w:tc>
          <w:tcPr>
            <w:tcW w:type="dxa" w:w="1026"/>
          </w:tcPr>
          <w:p>
            <w:pPr>
              <w:jc w:val="right"/>
            </w:pPr>
            <w:r/>
            <w:r>
              <w:rPr>
                <w:color w:val="1A1D21"/>
                <w:sz w:val="17"/>
              </w:rPr>
              <w:t>66,736</w:t>
            </w:r>
          </w:p>
        </w:tc>
        <w:tc>
          <w:tcPr>
            <w:tcW w:type="dxa" w:w="1026"/>
          </w:tcPr>
          <w:p>
            <w:pPr>
              <w:jc w:val="right"/>
            </w:pPr>
            <w:r/>
            <w:r>
              <w:rPr>
                <w:color w:val="1A1D21"/>
                <w:sz w:val="17"/>
              </w:rPr>
              <w:t>90,938</w:t>
            </w:r>
          </w:p>
        </w:tc>
        <w:tc>
          <w:tcPr>
            <w:tcW w:type="dxa" w:w="1026"/>
          </w:tcPr>
          <w:p>
            <w:pPr>
              <w:jc w:val="right"/>
            </w:pPr>
            <w:r/>
            <w:r>
              <w:rPr>
                <w:color w:val="1A1D21"/>
                <w:sz w:val="17"/>
              </w:rPr>
              <w:t>135,203</w:t>
            </w:r>
          </w:p>
        </w:tc>
      </w:tr>
      <w:tr>
        <w:trPr>
          <w:cantSplit/>
        </w:trPr>
        <w:tc>
          <w:tcPr>
            <w:tcW w:type="dxa" w:w="1984"/>
          </w:tcPr>
          <w:p>
            <w:r/>
            <w:r>
              <w:rPr>
                <w:color w:val="1A1D21"/>
                <w:sz w:val="17"/>
              </w:rPr>
              <w:t xml:space="preserve">  as a multiple of revenue</w:t>
            </w:r>
          </w:p>
        </w:tc>
        <w:tc>
          <w:tcPr>
            <w:tcW w:type="dxa" w:w="1026"/>
          </w:tcPr>
          <w:p>
            <w:pPr>
              <w:jc w:val="right"/>
            </w:pPr>
            <w:r/>
            <w:r>
              <w:rPr>
                <w:color w:val="1A1D21"/>
                <w:sz w:val="17"/>
              </w:rPr>
              <w:t>1.54</w:t>
            </w:r>
          </w:p>
        </w:tc>
        <w:tc>
          <w:tcPr>
            <w:tcW w:type="dxa" w:w="1026"/>
          </w:tcPr>
          <w:p>
            <w:pPr>
              <w:jc w:val="right"/>
            </w:pPr>
            <w:r/>
            <w:r>
              <w:rPr>
                <w:color w:val="1A1D21"/>
                <w:sz w:val="17"/>
              </w:rPr>
              <w:t>1.20</w:t>
            </w:r>
          </w:p>
        </w:tc>
        <w:tc>
          <w:tcPr>
            <w:tcW w:type="dxa" w:w="1026"/>
          </w:tcPr>
          <w:p>
            <w:pPr>
              <w:jc w:val="right"/>
            </w:pPr>
            <w:r/>
            <w:r>
              <w:rPr>
                <w:color w:val="1A1D21"/>
                <w:sz w:val="17"/>
              </w:rPr>
              <w:t>0.98</w:t>
            </w:r>
          </w:p>
        </w:tc>
        <w:tc>
          <w:tcPr>
            <w:tcW w:type="dxa" w:w="1026"/>
          </w:tcPr>
          <w:p>
            <w:pPr>
              <w:jc w:val="right"/>
            </w:pPr>
            <w:r/>
            <w:r>
              <w:rPr>
                <w:color w:val="1A1D21"/>
                <w:sz w:val="17"/>
              </w:rPr>
              <w:t>0.84</w:t>
            </w:r>
          </w:p>
        </w:tc>
        <w:tc>
          <w:tcPr>
            <w:tcW w:type="dxa" w:w="1026"/>
          </w:tcPr>
          <w:p>
            <w:pPr>
              <w:jc w:val="right"/>
            </w:pPr>
            <w:r/>
            <w:r>
              <w:rPr>
                <w:color w:val="1A1D21"/>
                <w:sz w:val="17"/>
              </w:rPr>
              <w:t>0.73</w:t>
            </w:r>
          </w:p>
        </w:tc>
        <w:tc>
          <w:tcPr>
            <w:tcW w:type="dxa" w:w="1026"/>
          </w:tcPr>
          <w:p>
            <w:pPr>
              <w:jc w:val="right"/>
            </w:pPr>
            <w:r/>
            <w:r>
              <w:rPr>
                <w:color w:val="1A1D21"/>
                <w:sz w:val="17"/>
              </w:rPr>
              <w:t>0.53</w:t>
            </w:r>
          </w:p>
        </w:tc>
        <w:tc>
          <w:tcPr>
            <w:tcW w:type="dxa" w:w="1026"/>
          </w:tcPr>
          <w:p>
            <w:pPr>
              <w:jc w:val="right"/>
            </w:pPr>
            <w:r/>
            <w:r>
              <w:rPr>
                <w:color w:val="1A1D21"/>
                <w:sz w:val="17"/>
              </w:rPr>
              <w:t>0.56</w:t>
            </w:r>
          </w:p>
        </w:tc>
      </w:tr>
    </w:tbl>
    <w:p>
      <w:pPr>
        <w:spacing w:after="200"/>
      </w:pPr>
      <w:r>
        <w:rPr>
          <w:b w:val="0"/>
          <w:i/>
          <w:color w:val="5B6570"/>
          <w:sz w:val="16"/>
        </w:rPr>
        <w:t>The collection period falls from 934 days to 337 over five years. That is what this reading requires, and it is a large improvement to take on trust — which is exactly why the other reading is printed too.</w:t>
      </w:r>
    </w:p>
    <w:tbl>
      <w:tblPr>
        <w:tblStyle w:val="TableGrid"/>
        <w:tblW w:type="auto" w:w="0"/>
        <w:jc w:val="center"/>
        <w:tblLayout w:type="fixed"/>
        <w:tblLook w:firstColumn="1" w:firstRow="1" w:lastColumn="0" w:lastRow="0" w:noHBand="0" w:noVBand="1" w:val="04A0"/>
        <w:tblLayout w:type="fixed"/>
      </w:tblPr>
      <w:tblGrid>
        <w:gridCol w:w="1984"/>
        <w:gridCol w:w="1026"/>
        <w:gridCol w:w="1026"/>
        <w:gridCol w:w="1026"/>
        <w:gridCol w:w="1026"/>
        <w:gridCol w:w="1026"/>
        <w:gridCol w:w="1026"/>
        <w:gridCol w:w="1026"/>
      </w:tblGrid>
      <w:tr>
        <w:trPr>
          <w:tblHeader w:val="true"/>
        </w:trPr>
        <w:tc>
          <w:tcPr>
            <w:tcW w:type="dxa" w:w="1984"/>
          </w:tcPr>
          <w:p>
            <w:r/>
            <w:r>
              <w:rPr>
                <w:b/>
                <w:color w:val="5B6570"/>
                <w:sz w:val="17"/>
              </w:rPr>
              <w:t>Free cash flow to the firm, EGP million</w:t>
            </w:r>
          </w:p>
        </w:tc>
        <w:tc>
          <w:tcPr>
            <w:tcW w:type="dxa" w:w="1026"/>
          </w:tcPr>
          <w:p>
            <w:r/>
            <w:r>
              <w:rPr>
                <w:b/>
                <w:color w:val="5B6570"/>
                <w:sz w:val="17"/>
              </w:rPr>
              <w:t>2026</w:t>
            </w:r>
          </w:p>
        </w:tc>
        <w:tc>
          <w:tcPr>
            <w:tcW w:type="dxa" w:w="1026"/>
          </w:tcPr>
          <w:p>
            <w:r/>
            <w:r>
              <w:rPr>
                <w:b/>
                <w:color w:val="5B6570"/>
                <w:sz w:val="17"/>
              </w:rPr>
              <w:t>2027</w:t>
            </w:r>
          </w:p>
        </w:tc>
        <w:tc>
          <w:tcPr>
            <w:tcW w:type="dxa" w:w="1026"/>
          </w:tcPr>
          <w:p>
            <w:r/>
            <w:r>
              <w:rPr>
                <w:b/>
                <w:color w:val="5B6570"/>
                <w:sz w:val="17"/>
              </w:rPr>
              <w:t>2028</w:t>
            </w:r>
          </w:p>
        </w:tc>
        <w:tc>
          <w:tcPr>
            <w:tcW w:type="dxa" w:w="1026"/>
          </w:tcPr>
          <w:p>
            <w:r/>
            <w:r>
              <w:rPr>
                <w:b/>
                <w:color w:val="5B6570"/>
                <w:sz w:val="17"/>
              </w:rPr>
              <w:t>2029</w:t>
            </w:r>
          </w:p>
        </w:tc>
        <w:tc>
          <w:tcPr>
            <w:tcW w:type="dxa" w:w="1026"/>
          </w:tcPr>
          <w:p>
            <w:r/>
            <w:r>
              <w:rPr>
                <w:b/>
                <w:color w:val="5B6570"/>
                <w:sz w:val="17"/>
              </w:rPr>
              <w:t>2030</w:t>
            </w:r>
          </w:p>
        </w:tc>
        <w:tc>
          <w:tcPr>
            <w:tcW w:type="dxa" w:w="1026"/>
          </w:tcPr>
          <w:p>
            <w:r/>
            <w:r>
              <w:rPr>
                <w:b/>
                <w:color w:val="5B6570"/>
                <w:sz w:val="17"/>
              </w:rPr>
              <w:t>2035</w:t>
            </w:r>
          </w:p>
        </w:tc>
        <w:tc>
          <w:tcPr>
            <w:tcW w:type="dxa" w:w="1026"/>
          </w:tcPr>
          <w:p>
            <w:r/>
            <w:r>
              <w:rPr>
                <w:b/>
                <w:color w:val="5B6570"/>
                <w:sz w:val="17"/>
              </w:rPr>
              <w:t>2040</w:t>
            </w:r>
          </w:p>
        </w:tc>
      </w:tr>
      <w:tr>
        <w:trPr>
          <w:cantSplit/>
        </w:trPr>
        <w:tc>
          <w:tcPr>
            <w:tcW w:type="dxa" w:w="1984"/>
          </w:tcPr>
          <w:p>
            <w:r/>
            <w:r>
              <w:rPr>
                <w:color w:val="1A1D21"/>
                <w:sz w:val="17"/>
              </w:rPr>
              <w:t>Cash from operations</w:t>
            </w:r>
          </w:p>
        </w:tc>
        <w:tc>
          <w:tcPr>
            <w:tcW w:type="dxa" w:w="1026"/>
          </w:tcPr>
          <w:p>
            <w:pPr>
              <w:jc w:val="right"/>
            </w:pPr>
            <w:r/>
            <w:r>
              <w:rPr>
                <w:color w:val="1A1D21"/>
                <w:sz w:val="17"/>
              </w:rPr>
              <w:t>3,498</w:t>
            </w:r>
          </w:p>
        </w:tc>
        <w:tc>
          <w:tcPr>
            <w:tcW w:type="dxa" w:w="1026"/>
          </w:tcPr>
          <w:p>
            <w:pPr>
              <w:jc w:val="right"/>
            </w:pPr>
            <w:r/>
            <w:r>
              <w:rPr>
                <w:color w:val="1A1D21"/>
                <w:sz w:val="17"/>
              </w:rPr>
              <w:t>4,506</w:t>
            </w:r>
          </w:p>
        </w:tc>
        <w:tc>
          <w:tcPr>
            <w:tcW w:type="dxa" w:w="1026"/>
          </w:tcPr>
          <w:p>
            <w:pPr>
              <w:jc w:val="right"/>
            </w:pPr>
            <w:r/>
            <w:r>
              <w:rPr>
                <w:color w:val="1A1D21"/>
                <w:sz w:val="17"/>
              </w:rPr>
              <w:t>5,574</w:t>
            </w:r>
          </w:p>
        </w:tc>
        <w:tc>
          <w:tcPr>
            <w:tcW w:type="dxa" w:w="1026"/>
          </w:tcPr>
          <w:p>
            <w:pPr>
              <w:jc w:val="right"/>
            </w:pPr>
            <w:r/>
            <w:r>
              <w:rPr>
                <w:color w:val="1A1D21"/>
                <w:sz w:val="17"/>
              </w:rPr>
              <w:t>6,712</w:t>
            </w:r>
          </w:p>
        </w:tc>
        <w:tc>
          <w:tcPr>
            <w:tcW w:type="dxa" w:w="1026"/>
          </w:tcPr>
          <w:p>
            <w:pPr>
              <w:jc w:val="right"/>
            </w:pPr>
            <w:r/>
            <w:r>
              <w:rPr>
                <w:color w:val="1A1D21"/>
                <w:sz w:val="17"/>
              </w:rPr>
              <w:t>7,936</w:t>
            </w:r>
          </w:p>
        </w:tc>
        <w:tc>
          <w:tcPr>
            <w:tcW w:type="dxa" w:w="1026"/>
          </w:tcPr>
          <w:p>
            <w:pPr>
              <w:jc w:val="right"/>
            </w:pPr>
            <w:r/>
            <w:r>
              <w:rPr>
                <w:color w:val="1A1D21"/>
                <w:sz w:val="17"/>
              </w:rPr>
              <w:t>14,879</w:t>
            </w:r>
          </w:p>
        </w:tc>
        <w:tc>
          <w:tcPr>
            <w:tcW w:type="dxa" w:w="1026"/>
          </w:tcPr>
          <w:p>
            <w:pPr>
              <w:jc w:val="right"/>
            </w:pPr>
            <w:r/>
            <w:r>
              <w:rPr>
                <w:color w:val="1A1D21"/>
                <w:sz w:val="17"/>
              </w:rPr>
              <w:t>21,182</w:t>
            </w:r>
          </w:p>
        </w:tc>
      </w:tr>
      <w:tr>
        <w:trPr>
          <w:cantSplit/>
        </w:trPr>
        <w:tc>
          <w:tcPr>
            <w:tcW w:type="dxa" w:w="1984"/>
          </w:tcPr>
          <w:p>
            <w:r/>
            <w:r>
              <w:rPr>
                <w:color w:val="1A1D21"/>
                <w:sz w:val="17"/>
              </w:rPr>
              <w:t>plus finance cost, after tax</w:t>
            </w:r>
          </w:p>
        </w:tc>
        <w:tc>
          <w:tcPr>
            <w:tcW w:type="dxa" w:w="1026"/>
          </w:tcPr>
          <w:p>
            <w:pPr>
              <w:jc w:val="right"/>
            </w:pPr>
            <w:r/>
            <w:r>
              <w:rPr>
                <w:color w:val="1A1D21"/>
                <w:sz w:val="17"/>
              </w:rPr>
              <w:t>2,594</w:t>
            </w:r>
          </w:p>
        </w:tc>
        <w:tc>
          <w:tcPr>
            <w:tcW w:type="dxa" w:w="1026"/>
          </w:tcPr>
          <w:p>
            <w:pPr>
              <w:jc w:val="right"/>
            </w:pPr>
            <w:r/>
            <w:r>
              <w:rPr>
                <w:color w:val="1A1D21"/>
                <w:sz w:val="17"/>
              </w:rPr>
              <w:t>2,594</w:t>
            </w:r>
          </w:p>
        </w:tc>
        <w:tc>
          <w:tcPr>
            <w:tcW w:type="dxa" w:w="1026"/>
          </w:tcPr>
          <w:p>
            <w:pPr>
              <w:jc w:val="right"/>
            </w:pPr>
            <w:r/>
            <w:r>
              <w:rPr>
                <w:color w:val="1A1D21"/>
                <w:sz w:val="17"/>
              </w:rPr>
              <w:t>2,594</w:t>
            </w:r>
          </w:p>
        </w:tc>
        <w:tc>
          <w:tcPr>
            <w:tcW w:type="dxa" w:w="1026"/>
          </w:tcPr>
          <w:p>
            <w:pPr>
              <w:jc w:val="right"/>
            </w:pPr>
            <w:r/>
            <w:r>
              <w:rPr>
                <w:color w:val="1A1D21"/>
                <w:sz w:val="17"/>
              </w:rPr>
              <w:t>2,594</w:t>
            </w:r>
          </w:p>
        </w:tc>
        <w:tc>
          <w:tcPr>
            <w:tcW w:type="dxa" w:w="1026"/>
          </w:tcPr>
          <w:p>
            <w:pPr>
              <w:jc w:val="right"/>
            </w:pPr>
            <w:r/>
            <w:r>
              <w:rPr>
                <w:color w:val="1A1D21"/>
                <w:sz w:val="17"/>
              </w:rPr>
              <w:t>2,594</w:t>
            </w:r>
          </w:p>
        </w:tc>
        <w:tc>
          <w:tcPr>
            <w:tcW w:type="dxa" w:w="1026"/>
          </w:tcPr>
          <w:p>
            <w:pPr>
              <w:jc w:val="right"/>
            </w:pPr>
            <w:r/>
            <w:r>
              <w:rPr>
                <w:color w:val="1A1D21"/>
                <w:sz w:val="17"/>
              </w:rPr>
              <w:t>2,594</w:t>
            </w:r>
          </w:p>
        </w:tc>
        <w:tc>
          <w:tcPr>
            <w:tcW w:type="dxa" w:w="1026"/>
          </w:tcPr>
          <w:p>
            <w:pPr>
              <w:jc w:val="right"/>
            </w:pPr>
            <w:r/>
            <w:r>
              <w:rPr>
                <w:color w:val="1A1D21"/>
                <w:sz w:val="17"/>
              </w:rPr>
              <w:t>2,594</w:t>
            </w:r>
          </w:p>
        </w:tc>
      </w:tr>
      <w:tr>
        <w:trPr>
          <w:cantSplit/>
        </w:trPr>
        <w:tc>
          <w:tcPr>
            <w:tcW w:type="dxa" w:w="1984"/>
          </w:tcPr>
          <w:p>
            <w:r/>
            <w:r>
              <w:rPr>
                <w:color w:val="1A1D21"/>
                <w:sz w:val="17"/>
              </w:rPr>
              <w:t>less capital expenditure</w:t>
            </w:r>
          </w:p>
        </w:tc>
        <w:tc>
          <w:tcPr>
            <w:tcW w:type="dxa" w:w="1026"/>
          </w:tcPr>
          <w:p>
            <w:pPr>
              <w:jc w:val="right"/>
            </w:pPr>
            <w:r/>
            <w:r>
              <w:rPr>
                <w:color w:val="1A1D21"/>
                <w:sz w:val="17"/>
              </w:rPr>
              <w:t>-401</w:t>
            </w:r>
          </w:p>
        </w:tc>
        <w:tc>
          <w:tcPr>
            <w:tcW w:type="dxa" w:w="1026"/>
          </w:tcPr>
          <w:p>
            <w:pPr>
              <w:jc w:val="right"/>
            </w:pPr>
            <w:r/>
            <w:r>
              <w:rPr>
                <w:color w:val="1A1D21"/>
                <w:sz w:val="17"/>
              </w:rPr>
              <w:t>-517</w:t>
            </w:r>
          </w:p>
        </w:tc>
        <w:tc>
          <w:tcPr>
            <w:tcW w:type="dxa" w:w="1026"/>
          </w:tcPr>
          <w:p>
            <w:pPr>
              <w:jc w:val="right"/>
            </w:pPr>
            <w:r/>
            <w:r>
              <w:rPr>
                <w:color w:val="1A1D21"/>
                <w:sz w:val="17"/>
              </w:rPr>
              <w:t>-640</w:t>
            </w:r>
          </w:p>
        </w:tc>
        <w:tc>
          <w:tcPr>
            <w:tcW w:type="dxa" w:w="1026"/>
          </w:tcPr>
          <w:p>
            <w:pPr>
              <w:jc w:val="right"/>
            </w:pPr>
            <w:r/>
            <w:r>
              <w:rPr>
                <w:color w:val="1A1D21"/>
                <w:sz w:val="17"/>
              </w:rPr>
              <w:t>-770</w:t>
            </w:r>
          </w:p>
        </w:tc>
        <w:tc>
          <w:tcPr>
            <w:tcW w:type="dxa" w:w="1026"/>
          </w:tcPr>
          <w:p>
            <w:pPr>
              <w:jc w:val="right"/>
            </w:pPr>
            <w:r/>
            <w:r>
              <w:rPr>
                <w:color w:val="1A1D21"/>
                <w:sz w:val="17"/>
              </w:rPr>
              <w:t>-911</w:t>
            </w:r>
          </w:p>
        </w:tc>
        <w:tc>
          <w:tcPr>
            <w:tcW w:type="dxa" w:w="1026"/>
          </w:tcPr>
          <w:p>
            <w:pPr>
              <w:jc w:val="right"/>
            </w:pPr>
            <w:r/>
            <w:r>
              <w:rPr>
                <w:color w:val="1A1D21"/>
                <w:sz w:val="17"/>
              </w:rPr>
              <w:t>-1,708</w:t>
            </w:r>
          </w:p>
        </w:tc>
        <w:tc>
          <w:tcPr>
            <w:tcW w:type="dxa" w:w="1026"/>
          </w:tcPr>
          <w:p>
            <w:pPr>
              <w:jc w:val="right"/>
            </w:pPr>
            <w:r/>
            <w:r>
              <w:rPr>
                <w:color w:val="1A1D21"/>
                <w:sz w:val="17"/>
              </w:rPr>
              <w:t>-2,431</w:t>
            </w:r>
          </w:p>
        </w:tc>
      </w:tr>
      <w:tr>
        <w:trPr>
          <w:cantSplit/>
        </w:trPr>
        <w:tc>
          <w:tcPr>
            <w:tcW w:type="dxa" w:w="1984"/>
          </w:tcPr>
          <w:p>
            <w:r/>
            <w:r>
              <w:rPr>
                <w:color w:val="1A1D21"/>
                <w:sz w:val="17"/>
              </w:rPr>
              <w:t>Free cash flow to the firm</w:t>
            </w:r>
          </w:p>
        </w:tc>
        <w:tc>
          <w:tcPr>
            <w:tcW w:type="dxa" w:w="1026"/>
          </w:tcPr>
          <w:p>
            <w:pPr>
              <w:jc w:val="right"/>
            </w:pPr>
            <w:r/>
            <w:r>
              <w:rPr>
                <w:color w:val="1A1D21"/>
                <w:sz w:val="17"/>
              </w:rPr>
              <w:t>5,691</w:t>
            </w:r>
          </w:p>
        </w:tc>
        <w:tc>
          <w:tcPr>
            <w:tcW w:type="dxa" w:w="1026"/>
          </w:tcPr>
          <w:p>
            <w:pPr>
              <w:jc w:val="right"/>
            </w:pPr>
            <w:r/>
            <w:r>
              <w:rPr>
                <w:color w:val="1A1D21"/>
                <w:sz w:val="17"/>
              </w:rPr>
              <w:t>6,583</w:t>
            </w:r>
          </w:p>
        </w:tc>
        <w:tc>
          <w:tcPr>
            <w:tcW w:type="dxa" w:w="1026"/>
          </w:tcPr>
          <w:p>
            <w:pPr>
              <w:jc w:val="right"/>
            </w:pPr>
            <w:r/>
            <w:r>
              <w:rPr>
                <w:color w:val="1A1D21"/>
                <w:sz w:val="17"/>
              </w:rPr>
              <w:t>7,529</w:t>
            </w:r>
          </w:p>
        </w:tc>
        <w:tc>
          <w:tcPr>
            <w:tcW w:type="dxa" w:w="1026"/>
          </w:tcPr>
          <w:p>
            <w:pPr>
              <w:jc w:val="right"/>
            </w:pPr>
            <w:r/>
            <w:r>
              <w:rPr>
                <w:color w:val="1A1D21"/>
                <w:sz w:val="17"/>
              </w:rPr>
              <w:t>8,536</w:t>
            </w:r>
          </w:p>
        </w:tc>
        <w:tc>
          <w:tcPr>
            <w:tcW w:type="dxa" w:w="1026"/>
          </w:tcPr>
          <w:p>
            <w:pPr>
              <w:jc w:val="right"/>
            </w:pPr>
            <w:r/>
            <w:r>
              <w:rPr>
                <w:color w:val="1A1D21"/>
                <w:sz w:val="17"/>
              </w:rPr>
              <w:t>9,619</w:t>
            </w:r>
          </w:p>
        </w:tc>
        <w:tc>
          <w:tcPr>
            <w:tcW w:type="dxa" w:w="1026"/>
          </w:tcPr>
          <w:p>
            <w:pPr>
              <w:jc w:val="right"/>
            </w:pPr>
            <w:r/>
            <w:r>
              <w:rPr>
                <w:color w:val="1A1D21"/>
                <w:sz w:val="17"/>
              </w:rPr>
              <w:t>15,766</w:t>
            </w:r>
          </w:p>
        </w:tc>
        <w:tc>
          <w:tcPr>
            <w:tcW w:type="dxa" w:w="1026"/>
          </w:tcPr>
          <w:p>
            <w:pPr>
              <w:jc w:val="right"/>
            </w:pPr>
            <w:r/>
            <w:r>
              <w:rPr>
                <w:color w:val="1A1D21"/>
                <w:sz w:val="17"/>
              </w:rPr>
              <w:t>21,346</w:t>
            </w:r>
          </w:p>
        </w:tc>
      </w:tr>
      <w:tr>
        <w:trPr>
          <w:cantSplit/>
        </w:trPr>
        <w:tc>
          <w:tcPr>
            <w:tcW w:type="dxa" w:w="1984"/>
          </w:tcPr>
          <w:p>
            <w:r/>
            <w:r>
              <w:rPr>
                <w:color w:val="1A1D21"/>
                <w:sz w:val="17"/>
              </w:rPr>
              <w:t>Present value, on the schedule</w:t>
            </w:r>
          </w:p>
        </w:tc>
        <w:tc>
          <w:tcPr>
            <w:tcW w:type="dxa" w:w="1026"/>
          </w:tcPr>
          <w:p>
            <w:pPr>
              <w:jc w:val="right"/>
            </w:pPr>
            <w:r/>
            <w:r>
              <w:rPr>
                <w:color w:val="1A1D21"/>
                <w:sz w:val="17"/>
              </w:rPr>
              <w:t>4,554</w:t>
            </w:r>
          </w:p>
        </w:tc>
        <w:tc>
          <w:tcPr>
            <w:tcW w:type="dxa" w:w="1026"/>
          </w:tcPr>
          <w:p>
            <w:pPr>
              <w:jc w:val="right"/>
            </w:pPr>
            <w:r/>
            <w:r>
              <w:rPr>
                <w:color w:val="1A1D21"/>
                <w:sz w:val="17"/>
              </w:rPr>
              <w:t>4,339</w:t>
            </w:r>
          </w:p>
        </w:tc>
        <w:tc>
          <w:tcPr>
            <w:tcW w:type="dxa" w:w="1026"/>
          </w:tcPr>
          <w:p>
            <w:pPr>
              <w:jc w:val="right"/>
            </w:pPr>
            <w:r/>
            <w:r>
              <w:rPr>
                <w:color w:val="1A1D21"/>
                <w:sz w:val="17"/>
              </w:rPr>
              <w:t>4,187</w:t>
            </w:r>
          </w:p>
        </w:tc>
        <w:tc>
          <w:tcPr>
            <w:tcW w:type="dxa" w:w="1026"/>
          </w:tcPr>
          <w:p>
            <w:pPr>
              <w:jc w:val="right"/>
            </w:pPr>
            <w:r/>
            <w:r>
              <w:rPr>
                <w:color w:val="1A1D21"/>
                <w:sz w:val="17"/>
              </w:rPr>
              <w:t>4,078</w:t>
            </w:r>
          </w:p>
        </w:tc>
        <w:tc>
          <w:tcPr>
            <w:tcW w:type="dxa" w:w="1026"/>
          </w:tcPr>
          <w:p>
            <w:pPr>
              <w:jc w:val="right"/>
            </w:pPr>
            <w:r/>
            <w:r>
              <w:rPr>
                <w:color w:val="1A1D21"/>
                <w:sz w:val="17"/>
              </w:rPr>
              <w:t>3,997</w:t>
            </w:r>
          </w:p>
        </w:tc>
        <w:tc>
          <w:tcPr>
            <w:tcW w:type="dxa" w:w="1026"/>
          </w:tcPr>
          <w:p>
            <w:pPr>
              <w:jc w:val="right"/>
            </w:pPr>
            <w:r/>
            <w:r>
              <w:rPr>
                <w:color w:val="1A1D21"/>
                <w:sz w:val="17"/>
              </w:rPr>
              <w:t>3,261</w:t>
            </w:r>
          </w:p>
        </w:tc>
        <w:tc>
          <w:tcPr>
            <w:tcW w:type="dxa" w:w="1026"/>
          </w:tcPr>
          <w:p>
            <w:pPr>
              <w:jc w:val="right"/>
            </w:pPr>
            <w:r/>
            <w:r>
              <w:rPr>
                <w:color w:val="1A1D21"/>
                <w:sz w:val="17"/>
              </w:rPr>
              <w:t>2,197</w:t>
            </w:r>
          </w:p>
        </w:tc>
      </w:tr>
    </w:tbl>
    <w:p>
      <w:pPr>
        <w:spacing w:after="200"/>
      </w:pPr>
      <w:r>
        <w:rPr>
          <w:b w:val="0"/>
          <w:i/>
          <w:color w:val="5B6570"/>
          <w:sz w:val="16"/>
        </w:rPr>
        <w:t>These are the figures discounted in section 1.1, shown again here beside the statements they come out of.</w:t>
      </w:r>
    </w:p>
    <w:p>
      <w:pPr>
        <w:pStyle w:val="Heading3"/>
      </w:pPr>
      <w:r>
        <w:t>If the collection cycle holds</w:t>
      </w:r>
    </w:p>
    <w:tbl>
      <w:tblPr>
        <w:tblStyle w:val="TableGrid"/>
        <w:tblW w:type="auto" w:w="0"/>
        <w:jc w:val="center"/>
        <w:tblLayout w:type="fixed"/>
        <w:tblLook w:firstColumn="1" w:firstRow="1" w:lastColumn="0" w:lastRow="0" w:noHBand="0" w:noVBand="1" w:val="04A0"/>
        <w:tblLayout w:type="fixed"/>
      </w:tblPr>
      <w:tblGrid>
        <w:gridCol w:w="1984"/>
        <w:gridCol w:w="1026"/>
        <w:gridCol w:w="1026"/>
        <w:gridCol w:w="1026"/>
        <w:gridCol w:w="1026"/>
        <w:gridCol w:w="1026"/>
        <w:gridCol w:w="1026"/>
        <w:gridCol w:w="1026"/>
      </w:tblGrid>
      <w:tr>
        <w:trPr>
          <w:tblHeader w:val="true"/>
        </w:trPr>
        <w:tc>
          <w:tcPr>
            <w:tcW w:type="dxa" w:w="1984"/>
          </w:tcPr>
          <w:p>
            <w:r/>
            <w:r>
              <w:rPr>
                <w:b/>
                <w:color w:val="5B6570"/>
                <w:sz w:val="17"/>
              </w:rPr>
              <w:t>Forecast balance sheet, EGP million</w:t>
            </w:r>
          </w:p>
        </w:tc>
        <w:tc>
          <w:tcPr>
            <w:tcW w:type="dxa" w:w="1026"/>
          </w:tcPr>
          <w:p>
            <w:r/>
            <w:r>
              <w:rPr>
                <w:b/>
                <w:color w:val="5B6570"/>
                <w:sz w:val="17"/>
              </w:rPr>
              <w:t>2026</w:t>
            </w:r>
          </w:p>
        </w:tc>
        <w:tc>
          <w:tcPr>
            <w:tcW w:type="dxa" w:w="1026"/>
          </w:tcPr>
          <w:p>
            <w:r/>
            <w:r>
              <w:rPr>
                <w:b/>
                <w:color w:val="5B6570"/>
                <w:sz w:val="17"/>
              </w:rPr>
              <w:t>2027</w:t>
            </w:r>
          </w:p>
        </w:tc>
        <w:tc>
          <w:tcPr>
            <w:tcW w:type="dxa" w:w="1026"/>
          </w:tcPr>
          <w:p>
            <w:r/>
            <w:r>
              <w:rPr>
                <w:b/>
                <w:color w:val="5B6570"/>
                <w:sz w:val="17"/>
              </w:rPr>
              <w:t>2028</w:t>
            </w:r>
          </w:p>
        </w:tc>
        <w:tc>
          <w:tcPr>
            <w:tcW w:type="dxa" w:w="1026"/>
          </w:tcPr>
          <w:p>
            <w:r/>
            <w:r>
              <w:rPr>
                <w:b/>
                <w:color w:val="5B6570"/>
                <w:sz w:val="17"/>
              </w:rPr>
              <w:t>2029</w:t>
            </w:r>
          </w:p>
        </w:tc>
        <w:tc>
          <w:tcPr>
            <w:tcW w:type="dxa" w:w="1026"/>
          </w:tcPr>
          <w:p>
            <w:r/>
            <w:r>
              <w:rPr>
                <w:b/>
                <w:color w:val="5B6570"/>
                <w:sz w:val="17"/>
              </w:rPr>
              <w:t>2030</w:t>
            </w:r>
          </w:p>
        </w:tc>
        <w:tc>
          <w:tcPr>
            <w:tcW w:type="dxa" w:w="1026"/>
          </w:tcPr>
          <w:p>
            <w:r/>
            <w:r>
              <w:rPr>
                <w:b/>
                <w:color w:val="5B6570"/>
                <w:sz w:val="17"/>
              </w:rPr>
              <w:t>2035</w:t>
            </w:r>
          </w:p>
        </w:tc>
        <w:tc>
          <w:tcPr>
            <w:tcW w:type="dxa" w:w="1026"/>
          </w:tcPr>
          <w:p>
            <w:r/>
            <w:r>
              <w:rPr>
                <w:b/>
                <w:color w:val="5B6570"/>
                <w:sz w:val="17"/>
              </w:rPr>
              <w:t>2040</w:t>
            </w:r>
          </w:p>
        </w:tc>
      </w:tr>
      <w:tr>
        <w:trPr>
          <w:cantSplit/>
        </w:trPr>
        <w:tc>
          <w:tcPr>
            <w:tcW w:type="dxa" w:w="1984"/>
          </w:tcPr>
          <w:p>
            <w:r/>
            <w:r>
              <w:rPr>
                <w:color w:val="1A1D21"/>
                <w:sz w:val="17"/>
              </w:rPr>
              <w:t>Trade and notes receivable</w:t>
            </w:r>
          </w:p>
        </w:tc>
        <w:tc>
          <w:tcPr>
            <w:tcW w:type="dxa" w:w="1026"/>
          </w:tcPr>
          <w:p>
            <w:pPr>
              <w:jc w:val="right"/>
            </w:pPr>
            <w:r/>
            <w:r>
              <w:rPr>
                <w:color w:val="1A1D21"/>
                <w:sz w:val="17"/>
              </w:rPr>
              <w:t>114,897</w:t>
            </w:r>
          </w:p>
        </w:tc>
        <w:tc>
          <w:tcPr>
            <w:tcW w:type="dxa" w:w="1026"/>
          </w:tcPr>
          <w:p>
            <w:pPr>
              <w:jc w:val="right"/>
            </w:pPr>
            <w:r/>
            <w:r>
              <w:rPr>
                <w:color w:val="1A1D21"/>
                <w:sz w:val="17"/>
              </w:rPr>
              <w:t>147,987</w:t>
            </w:r>
          </w:p>
        </w:tc>
        <w:tc>
          <w:tcPr>
            <w:tcW w:type="dxa" w:w="1026"/>
          </w:tcPr>
          <w:p>
            <w:pPr>
              <w:jc w:val="right"/>
            </w:pPr>
            <w:r/>
            <w:r>
              <w:rPr>
                <w:color w:val="1A1D21"/>
                <w:sz w:val="17"/>
              </w:rPr>
              <w:t>183,083</w:t>
            </w:r>
          </w:p>
        </w:tc>
        <w:tc>
          <w:tcPr>
            <w:tcW w:type="dxa" w:w="1026"/>
          </w:tcPr>
          <w:p>
            <w:pPr>
              <w:jc w:val="right"/>
            </w:pPr>
            <w:r/>
            <w:r>
              <w:rPr>
                <w:color w:val="1A1D21"/>
                <w:sz w:val="17"/>
              </w:rPr>
              <w:t>220,432</w:t>
            </w:r>
          </w:p>
        </w:tc>
        <w:tc>
          <w:tcPr>
            <w:tcW w:type="dxa" w:w="1026"/>
          </w:tcPr>
          <w:p>
            <w:pPr>
              <w:jc w:val="right"/>
            </w:pPr>
            <w:r/>
            <w:r>
              <w:rPr>
                <w:color w:val="1A1D21"/>
                <w:sz w:val="17"/>
              </w:rPr>
              <w:t>260,627</w:t>
            </w:r>
          </w:p>
        </w:tc>
        <w:tc>
          <w:tcPr>
            <w:tcW w:type="dxa" w:w="1026"/>
          </w:tcPr>
          <w:p>
            <w:pPr>
              <w:jc w:val="right"/>
            </w:pPr>
            <w:r/>
            <w:r>
              <w:rPr>
                <w:color w:val="1A1D21"/>
                <w:sz w:val="17"/>
              </w:rPr>
              <w:t>488,690</w:t>
            </w:r>
          </w:p>
        </w:tc>
        <w:tc>
          <w:tcPr>
            <w:tcW w:type="dxa" w:w="1026"/>
          </w:tcPr>
          <w:p>
            <w:pPr>
              <w:jc w:val="right"/>
            </w:pPr>
            <w:r/>
            <w:r>
              <w:rPr>
                <w:color w:val="1A1D21"/>
                <w:sz w:val="17"/>
              </w:rPr>
              <w:t>695,694</w:t>
            </w:r>
          </w:p>
        </w:tc>
      </w:tr>
      <w:tr>
        <w:trPr>
          <w:cantSplit/>
        </w:trPr>
        <w:tc>
          <w:tcPr>
            <w:tcW w:type="dxa" w:w="1984"/>
          </w:tcPr>
          <w:p>
            <w:r/>
            <w:r>
              <w:rPr>
                <w:color w:val="1A1D21"/>
                <w:sz w:val="17"/>
              </w:rPr>
              <w:t>Work in progress</w:t>
            </w:r>
          </w:p>
        </w:tc>
        <w:tc>
          <w:tcPr>
            <w:tcW w:type="dxa" w:w="1026"/>
          </w:tcPr>
          <w:p>
            <w:pPr>
              <w:jc w:val="right"/>
            </w:pPr>
            <w:r/>
            <w:r>
              <w:rPr>
                <w:color w:val="1A1D21"/>
                <w:sz w:val="17"/>
              </w:rPr>
              <w:t>19,504</w:t>
            </w:r>
          </w:p>
        </w:tc>
        <w:tc>
          <w:tcPr>
            <w:tcW w:type="dxa" w:w="1026"/>
          </w:tcPr>
          <w:p>
            <w:pPr>
              <w:jc w:val="right"/>
            </w:pPr>
            <w:r/>
            <w:r>
              <w:rPr>
                <w:color w:val="1A1D21"/>
                <w:sz w:val="17"/>
              </w:rPr>
              <w:t>25,121</w:t>
            </w:r>
          </w:p>
        </w:tc>
        <w:tc>
          <w:tcPr>
            <w:tcW w:type="dxa" w:w="1026"/>
          </w:tcPr>
          <w:p>
            <w:pPr>
              <w:jc w:val="right"/>
            </w:pPr>
            <w:r/>
            <w:r>
              <w:rPr>
                <w:color w:val="1A1D21"/>
                <w:sz w:val="17"/>
              </w:rPr>
              <w:t>31,078</w:t>
            </w:r>
          </w:p>
        </w:tc>
        <w:tc>
          <w:tcPr>
            <w:tcW w:type="dxa" w:w="1026"/>
          </w:tcPr>
          <w:p>
            <w:pPr>
              <w:jc w:val="right"/>
            </w:pPr>
            <w:r/>
            <w:r>
              <w:rPr>
                <w:color w:val="1A1D21"/>
                <w:sz w:val="17"/>
              </w:rPr>
              <w:t>37,418</w:t>
            </w:r>
          </w:p>
        </w:tc>
        <w:tc>
          <w:tcPr>
            <w:tcW w:type="dxa" w:w="1026"/>
          </w:tcPr>
          <w:p>
            <w:pPr>
              <w:jc w:val="right"/>
            </w:pPr>
            <w:r/>
            <w:r>
              <w:rPr>
                <w:color w:val="1A1D21"/>
                <w:sz w:val="17"/>
              </w:rPr>
              <w:t>44,241</w:t>
            </w:r>
          </w:p>
        </w:tc>
        <w:tc>
          <w:tcPr>
            <w:tcW w:type="dxa" w:w="1026"/>
          </w:tcPr>
          <w:p>
            <w:pPr>
              <w:jc w:val="right"/>
            </w:pPr>
            <w:r/>
            <w:r>
              <w:rPr>
                <w:color w:val="1A1D21"/>
                <w:sz w:val="17"/>
              </w:rPr>
              <w:t>82,955</w:t>
            </w:r>
          </w:p>
        </w:tc>
        <w:tc>
          <w:tcPr>
            <w:tcW w:type="dxa" w:w="1026"/>
          </w:tcPr>
          <w:p>
            <w:pPr>
              <w:jc w:val="right"/>
            </w:pPr>
            <w:r/>
            <w:r>
              <w:rPr>
                <w:color w:val="1A1D21"/>
                <w:sz w:val="17"/>
              </w:rPr>
              <w:t>118,093</w:t>
            </w:r>
          </w:p>
        </w:tc>
      </w:tr>
      <w:tr>
        <w:trPr>
          <w:cantSplit/>
        </w:trPr>
        <w:tc>
          <w:tcPr>
            <w:tcW w:type="dxa" w:w="1984"/>
          </w:tcPr>
          <w:p>
            <w:r/>
            <w:r>
              <w:rPr>
                <w:color w:val="1A1D21"/>
                <w:sz w:val="17"/>
              </w:rPr>
              <w:t>Other receivables and prepayments</w:t>
            </w:r>
          </w:p>
        </w:tc>
        <w:tc>
          <w:tcPr>
            <w:tcW w:type="dxa" w:w="1026"/>
          </w:tcPr>
          <w:p>
            <w:pPr>
              <w:jc w:val="right"/>
            </w:pPr>
            <w:r/>
            <w:r>
              <w:rPr>
                <w:color w:val="1A1D21"/>
                <w:sz w:val="17"/>
              </w:rPr>
              <w:t>14,343</w:t>
            </w:r>
          </w:p>
        </w:tc>
        <w:tc>
          <w:tcPr>
            <w:tcW w:type="dxa" w:w="1026"/>
          </w:tcPr>
          <w:p>
            <w:pPr>
              <w:jc w:val="right"/>
            </w:pPr>
            <w:r/>
            <w:r>
              <w:rPr>
                <w:color w:val="1A1D21"/>
                <w:sz w:val="17"/>
              </w:rPr>
              <w:t>18,474</w:t>
            </w:r>
          </w:p>
        </w:tc>
        <w:tc>
          <w:tcPr>
            <w:tcW w:type="dxa" w:w="1026"/>
          </w:tcPr>
          <w:p>
            <w:pPr>
              <w:jc w:val="right"/>
            </w:pPr>
            <w:r/>
            <w:r>
              <w:rPr>
                <w:color w:val="1A1D21"/>
                <w:sz w:val="17"/>
              </w:rPr>
              <w:t>22,856</w:t>
            </w:r>
          </w:p>
        </w:tc>
        <w:tc>
          <w:tcPr>
            <w:tcW w:type="dxa" w:w="1026"/>
          </w:tcPr>
          <w:p>
            <w:pPr>
              <w:jc w:val="right"/>
            </w:pPr>
            <w:r/>
            <w:r>
              <w:rPr>
                <w:color w:val="1A1D21"/>
                <w:sz w:val="17"/>
              </w:rPr>
              <w:t>27,518</w:t>
            </w:r>
          </w:p>
        </w:tc>
        <w:tc>
          <w:tcPr>
            <w:tcW w:type="dxa" w:w="1026"/>
          </w:tcPr>
          <w:p>
            <w:pPr>
              <w:jc w:val="right"/>
            </w:pPr>
            <w:r/>
            <w:r>
              <w:rPr>
                <w:color w:val="1A1D21"/>
                <w:sz w:val="17"/>
              </w:rPr>
              <w:t>32,536</w:t>
            </w:r>
          </w:p>
        </w:tc>
        <w:tc>
          <w:tcPr>
            <w:tcW w:type="dxa" w:w="1026"/>
          </w:tcPr>
          <w:p>
            <w:pPr>
              <w:jc w:val="right"/>
            </w:pPr>
            <w:r/>
            <w:r>
              <w:rPr>
                <w:color w:val="1A1D21"/>
                <w:sz w:val="17"/>
              </w:rPr>
              <w:t>61,007</w:t>
            </w:r>
          </w:p>
        </w:tc>
        <w:tc>
          <w:tcPr>
            <w:tcW w:type="dxa" w:w="1026"/>
          </w:tcPr>
          <w:p>
            <w:pPr>
              <w:jc w:val="right"/>
            </w:pPr>
            <w:r/>
            <w:r>
              <w:rPr>
                <w:color w:val="1A1D21"/>
                <w:sz w:val="17"/>
              </w:rPr>
              <w:t>86,848</w:t>
            </w:r>
          </w:p>
        </w:tc>
      </w:tr>
      <w:tr>
        <w:trPr>
          <w:cantSplit/>
        </w:trPr>
        <w:tc>
          <w:tcPr>
            <w:tcW w:type="dxa" w:w="1984"/>
          </w:tcPr>
          <w:p>
            <w:r/>
            <w:r>
              <w:rPr>
                <w:color w:val="1A1D21"/>
                <w:sz w:val="17"/>
              </w:rPr>
              <w:t>Advances to suppliers</w:t>
            </w:r>
          </w:p>
        </w:tc>
        <w:tc>
          <w:tcPr>
            <w:tcW w:type="dxa" w:w="1026"/>
          </w:tcPr>
          <w:p>
            <w:pPr>
              <w:jc w:val="right"/>
            </w:pPr>
            <w:r/>
            <w:r>
              <w:rPr>
                <w:color w:val="1A1D21"/>
                <w:sz w:val="17"/>
              </w:rPr>
              <w:t>10,052</w:t>
            </w:r>
          </w:p>
        </w:tc>
        <w:tc>
          <w:tcPr>
            <w:tcW w:type="dxa" w:w="1026"/>
          </w:tcPr>
          <w:p>
            <w:pPr>
              <w:jc w:val="right"/>
            </w:pPr>
            <w:r/>
            <w:r>
              <w:rPr>
                <w:color w:val="1A1D21"/>
                <w:sz w:val="17"/>
              </w:rPr>
              <w:t>12,947</w:t>
            </w:r>
          </w:p>
        </w:tc>
        <w:tc>
          <w:tcPr>
            <w:tcW w:type="dxa" w:w="1026"/>
          </w:tcPr>
          <w:p>
            <w:pPr>
              <w:jc w:val="right"/>
            </w:pPr>
            <w:r/>
            <w:r>
              <w:rPr>
                <w:color w:val="1A1D21"/>
                <w:sz w:val="17"/>
              </w:rPr>
              <w:t>16,018</w:t>
            </w:r>
          </w:p>
        </w:tc>
        <w:tc>
          <w:tcPr>
            <w:tcW w:type="dxa" w:w="1026"/>
          </w:tcPr>
          <w:p>
            <w:pPr>
              <w:jc w:val="right"/>
            </w:pPr>
            <w:r/>
            <w:r>
              <w:rPr>
                <w:color w:val="1A1D21"/>
                <w:sz w:val="17"/>
              </w:rPr>
              <w:t>19,286</w:t>
            </w:r>
          </w:p>
        </w:tc>
        <w:tc>
          <w:tcPr>
            <w:tcW w:type="dxa" w:w="1026"/>
          </w:tcPr>
          <w:p>
            <w:pPr>
              <w:jc w:val="right"/>
            </w:pPr>
            <w:r/>
            <w:r>
              <w:rPr>
                <w:color w:val="1A1D21"/>
                <w:sz w:val="17"/>
              </w:rPr>
              <w:t>22,802</w:t>
            </w:r>
          </w:p>
        </w:tc>
        <w:tc>
          <w:tcPr>
            <w:tcW w:type="dxa" w:w="1026"/>
          </w:tcPr>
          <w:p>
            <w:pPr>
              <w:jc w:val="right"/>
            </w:pPr>
            <w:r/>
            <w:r>
              <w:rPr>
                <w:color w:val="1A1D21"/>
                <w:sz w:val="17"/>
              </w:rPr>
              <w:t>42,756</w:t>
            </w:r>
          </w:p>
        </w:tc>
        <w:tc>
          <w:tcPr>
            <w:tcW w:type="dxa" w:w="1026"/>
          </w:tcPr>
          <w:p>
            <w:pPr>
              <w:jc w:val="right"/>
            </w:pPr>
            <w:r/>
            <w:r>
              <w:rPr>
                <w:color w:val="1A1D21"/>
                <w:sz w:val="17"/>
              </w:rPr>
              <w:t>60,866</w:t>
            </w:r>
          </w:p>
        </w:tc>
      </w:tr>
      <w:tr>
        <w:trPr>
          <w:cantSplit/>
        </w:trPr>
        <w:tc>
          <w:tcPr>
            <w:tcW w:type="dxa" w:w="1984"/>
          </w:tcPr>
          <w:p>
            <w:r/>
            <w:r>
              <w:rPr>
                <w:color w:val="1A1D21"/>
                <w:sz w:val="17"/>
              </w:rPr>
              <w:t>Cash and equivalents</w:t>
            </w:r>
          </w:p>
        </w:tc>
        <w:tc>
          <w:tcPr>
            <w:tcW w:type="dxa" w:w="1026"/>
          </w:tcPr>
          <w:p>
            <w:pPr>
              <w:jc w:val="right"/>
            </w:pPr>
            <w:r/>
            <w:r>
              <w:rPr>
                <w:color w:val="1A1D21"/>
                <w:sz w:val="17"/>
              </w:rPr>
              <w:t>5,221</w:t>
            </w:r>
          </w:p>
        </w:tc>
        <w:tc>
          <w:tcPr>
            <w:tcW w:type="dxa" w:w="1026"/>
          </w:tcPr>
          <w:p>
            <w:pPr>
              <w:jc w:val="right"/>
            </w:pPr>
            <w:r/>
            <w:r>
              <w:rPr>
                <w:color w:val="1A1D21"/>
                <w:sz w:val="17"/>
              </w:rPr>
              <w:t>2,355</w:t>
            </w:r>
          </w:p>
        </w:tc>
        <w:tc>
          <w:tcPr>
            <w:tcW w:type="dxa" w:w="1026"/>
          </w:tcPr>
          <w:p>
            <w:pPr>
              <w:jc w:val="right"/>
            </w:pPr>
            <w:r/>
            <w:r>
              <w:rPr>
                <w:color w:val="1A1D21"/>
                <w:sz w:val="17"/>
              </w:rPr>
              <w:t>2,355</w:t>
            </w:r>
          </w:p>
        </w:tc>
        <w:tc>
          <w:tcPr>
            <w:tcW w:type="dxa" w:w="1026"/>
          </w:tcPr>
          <w:p>
            <w:pPr>
              <w:jc w:val="right"/>
            </w:pPr>
            <w:r/>
            <w:r>
              <w:rPr>
                <w:color w:val="1A1D21"/>
                <w:sz w:val="17"/>
              </w:rPr>
              <w:t>2,355</w:t>
            </w:r>
          </w:p>
        </w:tc>
        <w:tc>
          <w:tcPr>
            <w:tcW w:type="dxa" w:w="1026"/>
          </w:tcPr>
          <w:p>
            <w:pPr>
              <w:jc w:val="right"/>
            </w:pPr>
            <w:r/>
            <w:r>
              <w:rPr>
                <w:color w:val="1A1D21"/>
                <w:sz w:val="17"/>
              </w:rPr>
              <w:t>2,355</w:t>
            </w:r>
          </w:p>
        </w:tc>
        <w:tc>
          <w:tcPr>
            <w:tcW w:type="dxa" w:w="1026"/>
          </w:tcPr>
          <w:p>
            <w:pPr>
              <w:jc w:val="right"/>
            </w:pPr>
            <w:r/>
            <w:r>
              <w:rPr>
                <w:color w:val="1A1D21"/>
                <w:sz w:val="17"/>
              </w:rPr>
              <w:t>2,355</w:t>
            </w:r>
          </w:p>
        </w:tc>
        <w:tc>
          <w:tcPr>
            <w:tcW w:type="dxa" w:w="1026"/>
          </w:tcPr>
          <w:p>
            <w:pPr>
              <w:jc w:val="right"/>
            </w:pPr>
            <w:r/>
            <w:r>
              <w:rPr>
                <w:color w:val="1A1D21"/>
                <w:sz w:val="17"/>
              </w:rPr>
              <w:t>7,905</w:t>
            </w:r>
          </w:p>
        </w:tc>
      </w:tr>
      <w:tr>
        <w:trPr>
          <w:cantSplit/>
        </w:trPr>
        <w:tc>
          <w:tcPr>
            <w:tcW w:type="dxa" w:w="1984"/>
          </w:tcPr>
          <w:p>
            <w:r/>
            <w:r>
              <w:rPr>
                <w:color w:val="1A1D21"/>
                <w:sz w:val="17"/>
              </w:rPr>
              <w:t>Property and equipment</w:t>
            </w:r>
          </w:p>
        </w:tc>
        <w:tc>
          <w:tcPr>
            <w:tcW w:type="dxa" w:w="1026"/>
          </w:tcPr>
          <w:p>
            <w:pPr>
              <w:jc w:val="right"/>
            </w:pPr>
            <w:r/>
            <w:r>
              <w:rPr>
                <w:color w:val="1A1D21"/>
                <w:sz w:val="17"/>
              </w:rPr>
              <w:t>4,531</w:t>
            </w:r>
          </w:p>
        </w:tc>
        <w:tc>
          <w:tcPr>
            <w:tcW w:type="dxa" w:w="1026"/>
          </w:tcPr>
          <w:p>
            <w:pPr>
              <w:jc w:val="right"/>
            </w:pPr>
            <w:r/>
            <w:r>
              <w:rPr>
                <w:color w:val="1A1D21"/>
                <w:sz w:val="17"/>
              </w:rPr>
              <w:t>4,542</w:t>
            </w:r>
          </w:p>
        </w:tc>
        <w:tc>
          <w:tcPr>
            <w:tcW w:type="dxa" w:w="1026"/>
          </w:tcPr>
          <w:p>
            <w:pPr>
              <w:jc w:val="right"/>
            </w:pPr>
            <w:r/>
            <w:r>
              <w:rPr>
                <w:color w:val="1A1D21"/>
                <w:sz w:val="17"/>
              </w:rPr>
              <w:t>4,556</w:t>
            </w:r>
          </w:p>
        </w:tc>
        <w:tc>
          <w:tcPr>
            <w:tcW w:type="dxa" w:w="1026"/>
          </w:tcPr>
          <w:p>
            <w:pPr>
              <w:jc w:val="right"/>
            </w:pPr>
            <w:r/>
            <w:r>
              <w:rPr>
                <w:color w:val="1A1D21"/>
                <w:sz w:val="17"/>
              </w:rPr>
              <w:t>4,573</w:t>
            </w:r>
          </w:p>
        </w:tc>
        <w:tc>
          <w:tcPr>
            <w:tcW w:type="dxa" w:w="1026"/>
          </w:tcPr>
          <w:p>
            <w:pPr>
              <w:jc w:val="right"/>
            </w:pPr>
            <w:r/>
            <w:r>
              <w:rPr>
                <w:color w:val="1A1D21"/>
                <w:sz w:val="17"/>
              </w:rPr>
              <w:t>4,594</w:t>
            </w:r>
          </w:p>
        </w:tc>
        <w:tc>
          <w:tcPr>
            <w:tcW w:type="dxa" w:w="1026"/>
          </w:tcPr>
          <w:p>
            <w:pPr>
              <w:jc w:val="right"/>
            </w:pPr>
            <w:r/>
            <w:r>
              <w:rPr>
                <w:color w:val="1A1D21"/>
                <w:sz w:val="17"/>
              </w:rPr>
              <w:t>4,747</w:t>
            </w:r>
          </w:p>
        </w:tc>
        <w:tc>
          <w:tcPr>
            <w:tcW w:type="dxa" w:w="1026"/>
          </w:tcPr>
          <w:p>
            <w:pPr>
              <w:jc w:val="right"/>
            </w:pPr>
            <w:r/>
            <w:r>
              <w:rPr>
                <w:color w:val="1A1D21"/>
                <w:sz w:val="17"/>
              </w:rPr>
              <w:t>4,982</w:t>
            </w:r>
          </w:p>
        </w:tc>
      </w:tr>
      <w:tr>
        <w:trPr>
          <w:cantSplit/>
        </w:trPr>
        <w:tc>
          <w:tcPr>
            <w:tcW w:type="dxa" w:w="1984"/>
          </w:tcPr>
          <w:p>
            <w:r/>
            <w:r>
              <w:rPr>
                <w:color w:val="1A1D21"/>
                <w:sz w:val="17"/>
              </w:rPr>
              <w:t>Other assets, held at the 2025 level</w:t>
            </w:r>
          </w:p>
        </w:tc>
        <w:tc>
          <w:tcPr>
            <w:tcW w:type="dxa" w:w="1026"/>
          </w:tcPr>
          <w:p>
            <w:pPr>
              <w:jc w:val="right"/>
            </w:pPr>
            <w:r/>
            <w:r>
              <w:rPr>
                <w:color w:val="1A1D21"/>
                <w:sz w:val="17"/>
              </w:rPr>
              <w:t>15,128</w:t>
            </w:r>
          </w:p>
        </w:tc>
        <w:tc>
          <w:tcPr>
            <w:tcW w:type="dxa" w:w="1026"/>
          </w:tcPr>
          <w:p>
            <w:pPr>
              <w:jc w:val="right"/>
            </w:pPr>
            <w:r/>
            <w:r>
              <w:rPr>
                <w:color w:val="1A1D21"/>
                <w:sz w:val="17"/>
              </w:rPr>
              <w:t>15,128</w:t>
            </w:r>
          </w:p>
        </w:tc>
        <w:tc>
          <w:tcPr>
            <w:tcW w:type="dxa" w:w="1026"/>
          </w:tcPr>
          <w:p>
            <w:pPr>
              <w:jc w:val="right"/>
            </w:pPr>
            <w:r/>
            <w:r>
              <w:rPr>
                <w:color w:val="1A1D21"/>
                <w:sz w:val="17"/>
              </w:rPr>
              <w:t>15,128</w:t>
            </w:r>
          </w:p>
        </w:tc>
        <w:tc>
          <w:tcPr>
            <w:tcW w:type="dxa" w:w="1026"/>
          </w:tcPr>
          <w:p>
            <w:pPr>
              <w:jc w:val="right"/>
            </w:pPr>
            <w:r/>
            <w:r>
              <w:rPr>
                <w:color w:val="1A1D21"/>
                <w:sz w:val="17"/>
              </w:rPr>
              <w:t>15,128</w:t>
            </w:r>
          </w:p>
        </w:tc>
        <w:tc>
          <w:tcPr>
            <w:tcW w:type="dxa" w:w="1026"/>
          </w:tcPr>
          <w:p>
            <w:pPr>
              <w:jc w:val="right"/>
            </w:pPr>
            <w:r/>
            <w:r>
              <w:rPr>
                <w:color w:val="1A1D21"/>
                <w:sz w:val="17"/>
              </w:rPr>
              <w:t>15,128</w:t>
            </w:r>
          </w:p>
        </w:tc>
        <w:tc>
          <w:tcPr>
            <w:tcW w:type="dxa" w:w="1026"/>
          </w:tcPr>
          <w:p>
            <w:pPr>
              <w:jc w:val="right"/>
            </w:pPr>
            <w:r/>
            <w:r>
              <w:rPr>
                <w:color w:val="1A1D21"/>
                <w:sz w:val="17"/>
              </w:rPr>
              <w:t>15,128</w:t>
            </w:r>
          </w:p>
        </w:tc>
        <w:tc>
          <w:tcPr>
            <w:tcW w:type="dxa" w:w="1026"/>
          </w:tcPr>
          <w:p>
            <w:pPr>
              <w:jc w:val="right"/>
            </w:pPr>
            <w:r/>
            <w:r>
              <w:rPr>
                <w:color w:val="1A1D21"/>
                <w:sz w:val="17"/>
              </w:rPr>
              <w:t>15,128</w:t>
            </w:r>
          </w:p>
        </w:tc>
      </w:tr>
      <w:tr>
        <w:trPr>
          <w:cantSplit/>
        </w:trPr>
        <w:tc>
          <w:tcPr>
            <w:tcW w:type="dxa" w:w="1984"/>
          </w:tcPr>
          <w:p>
            <w:r/>
            <w:r>
              <w:rPr>
                <w:color w:val="1A1D21"/>
                <w:sz w:val="17"/>
              </w:rPr>
              <w:t>Total assets</w:t>
            </w:r>
          </w:p>
        </w:tc>
        <w:tc>
          <w:tcPr>
            <w:tcW w:type="dxa" w:w="1026"/>
          </w:tcPr>
          <w:p>
            <w:pPr>
              <w:jc w:val="right"/>
            </w:pPr>
            <w:r/>
            <w:r>
              <w:rPr>
                <w:color w:val="1A1D21"/>
                <w:sz w:val="17"/>
              </w:rPr>
              <w:t>183,677</w:t>
            </w:r>
          </w:p>
        </w:tc>
        <w:tc>
          <w:tcPr>
            <w:tcW w:type="dxa" w:w="1026"/>
          </w:tcPr>
          <w:p>
            <w:pPr>
              <w:jc w:val="right"/>
            </w:pPr>
            <w:r/>
            <w:r>
              <w:rPr>
                <w:color w:val="1A1D21"/>
                <w:sz w:val="17"/>
              </w:rPr>
              <w:t>226,555</w:t>
            </w:r>
          </w:p>
        </w:tc>
        <w:tc>
          <w:tcPr>
            <w:tcW w:type="dxa" w:w="1026"/>
          </w:tcPr>
          <w:p>
            <w:pPr>
              <w:jc w:val="right"/>
            </w:pPr>
            <w:r/>
            <w:r>
              <w:rPr>
                <w:color w:val="1A1D21"/>
                <w:sz w:val="17"/>
              </w:rPr>
              <w:t>275,074</w:t>
            </w:r>
          </w:p>
        </w:tc>
        <w:tc>
          <w:tcPr>
            <w:tcW w:type="dxa" w:w="1026"/>
          </w:tcPr>
          <w:p>
            <w:pPr>
              <w:jc w:val="right"/>
            </w:pPr>
            <w:r/>
            <w:r>
              <w:rPr>
                <w:color w:val="1A1D21"/>
                <w:sz w:val="17"/>
              </w:rPr>
              <w:t>326,710</w:t>
            </w:r>
          </w:p>
        </w:tc>
        <w:tc>
          <w:tcPr>
            <w:tcW w:type="dxa" w:w="1026"/>
          </w:tcPr>
          <w:p>
            <w:pPr>
              <w:jc w:val="right"/>
            </w:pPr>
            <w:r/>
            <w:r>
              <w:rPr>
                <w:color w:val="1A1D21"/>
                <w:sz w:val="17"/>
              </w:rPr>
              <w:t>382,284</w:t>
            </w:r>
          </w:p>
        </w:tc>
        <w:tc>
          <w:tcPr>
            <w:tcW w:type="dxa" w:w="1026"/>
          </w:tcPr>
          <w:p>
            <w:pPr>
              <w:jc w:val="right"/>
            </w:pPr>
            <w:r/>
            <w:r>
              <w:rPr>
                <w:color w:val="1A1D21"/>
                <w:sz w:val="17"/>
              </w:rPr>
              <w:t>697,636</w:t>
            </w:r>
          </w:p>
        </w:tc>
        <w:tc>
          <w:tcPr>
            <w:tcW w:type="dxa" w:w="1026"/>
          </w:tcPr>
          <w:p>
            <w:pPr>
              <w:jc w:val="right"/>
            </w:pPr>
            <w:r/>
            <w:r>
              <w:rPr>
                <w:color w:val="1A1D21"/>
                <w:sz w:val="17"/>
              </w:rPr>
              <w:t>989,518</w:t>
            </w:r>
          </w:p>
        </w:tc>
      </w:tr>
      <w:tr>
        <w:trPr>
          <w:cantSplit/>
        </w:trPr>
        <w:tc>
          <w:tcPr>
            <w:tcW w:type="dxa" w:w="1984"/>
          </w:tcPr>
          <w:p>
            <w:r/>
            <w:r>
              <w:rPr>
                <w:color w:val="1A1D21"/>
                <w:sz w:val="17"/>
              </w:rPr>
              <w:t>Customer advances</w:t>
            </w:r>
          </w:p>
        </w:tc>
        <w:tc>
          <w:tcPr>
            <w:tcW w:type="dxa" w:w="1026"/>
          </w:tcPr>
          <w:p>
            <w:pPr>
              <w:jc w:val="right"/>
            </w:pPr>
            <w:r/>
            <w:r>
              <w:rPr>
                <w:color w:val="1A1D21"/>
                <w:sz w:val="17"/>
              </w:rPr>
              <w:t>76,983</w:t>
            </w:r>
          </w:p>
        </w:tc>
        <w:tc>
          <w:tcPr>
            <w:tcW w:type="dxa" w:w="1026"/>
          </w:tcPr>
          <w:p>
            <w:pPr>
              <w:jc w:val="right"/>
            </w:pPr>
            <w:r/>
            <w:r>
              <w:rPr>
                <w:color w:val="1A1D21"/>
                <w:sz w:val="17"/>
              </w:rPr>
              <w:t>99,154</w:t>
            </w:r>
          </w:p>
        </w:tc>
        <w:tc>
          <w:tcPr>
            <w:tcW w:type="dxa" w:w="1026"/>
          </w:tcPr>
          <w:p>
            <w:pPr>
              <w:jc w:val="right"/>
            </w:pPr>
            <w:r/>
            <w:r>
              <w:rPr>
                <w:color w:val="1A1D21"/>
                <w:sz w:val="17"/>
              </w:rPr>
              <w:t>122,669</w:t>
            </w:r>
          </w:p>
        </w:tc>
        <w:tc>
          <w:tcPr>
            <w:tcW w:type="dxa" w:w="1026"/>
          </w:tcPr>
          <w:p>
            <w:pPr>
              <w:jc w:val="right"/>
            </w:pPr>
            <w:r/>
            <w:r>
              <w:rPr>
                <w:color w:val="1A1D21"/>
                <w:sz w:val="17"/>
              </w:rPr>
              <w:t>147,693</w:t>
            </w:r>
          </w:p>
        </w:tc>
        <w:tc>
          <w:tcPr>
            <w:tcW w:type="dxa" w:w="1026"/>
          </w:tcPr>
          <w:p>
            <w:pPr>
              <w:jc w:val="right"/>
            </w:pPr>
            <w:r/>
            <w:r>
              <w:rPr>
                <w:color w:val="1A1D21"/>
                <w:sz w:val="17"/>
              </w:rPr>
              <w:t>174,625</w:t>
            </w:r>
          </w:p>
        </w:tc>
        <w:tc>
          <w:tcPr>
            <w:tcW w:type="dxa" w:w="1026"/>
          </w:tcPr>
          <w:p>
            <w:pPr>
              <w:jc w:val="right"/>
            </w:pPr>
            <w:r/>
            <w:r>
              <w:rPr>
                <w:color w:val="1A1D21"/>
                <w:sz w:val="17"/>
              </w:rPr>
              <w:t>327,430</w:t>
            </w:r>
          </w:p>
        </w:tc>
        <w:tc>
          <w:tcPr>
            <w:tcW w:type="dxa" w:w="1026"/>
          </w:tcPr>
          <w:p>
            <w:pPr>
              <w:jc w:val="right"/>
            </w:pPr>
            <w:r/>
            <w:r>
              <w:rPr>
                <w:color w:val="1A1D21"/>
                <w:sz w:val="17"/>
              </w:rPr>
              <w:t>466,127</w:t>
            </w:r>
          </w:p>
        </w:tc>
      </w:tr>
      <w:tr>
        <w:trPr>
          <w:cantSplit/>
        </w:trPr>
        <w:tc>
          <w:tcPr>
            <w:tcW w:type="dxa" w:w="1984"/>
          </w:tcPr>
          <w:p>
            <w:r/>
            <w:r>
              <w:rPr>
                <w:color w:val="1A1D21"/>
                <w:sz w:val="17"/>
              </w:rPr>
              <w:t>Suppliers</w:t>
            </w:r>
          </w:p>
        </w:tc>
        <w:tc>
          <w:tcPr>
            <w:tcW w:type="dxa" w:w="1026"/>
          </w:tcPr>
          <w:p>
            <w:pPr>
              <w:jc w:val="right"/>
            </w:pPr>
            <w:r/>
            <w:r>
              <w:rPr>
                <w:color w:val="1A1D21"/>
                <w:sz w:val="17"/>
              </w:rPr>
              <w:t>4,226</w:t>
            </w:r>
          </w:p>
        </w:tc>
        <w:tc>
          <w:tcPr>
            <w:tcW w:type="dxa" w:w="1026"/>
          </w:tcPr>
          <w:p>
            <w:pPr>
              <w:jc w:val="right"/>
            </w:pPr>
            <w:r/>
            <w:r>
              <w:rPr>
                <w:color w:val="1A1D21"/>
                <w:sz w:val="17"/>
              </w:rPr>
              <w:t>5,443</w:t>
            </w:r>
          </w:p>
        </w:tc>
        <w:tc>
          <w:tcPr>
            <w:tcW w:type="dxa" w:w="1026"/>
          </w:tcPr>
          <w:p>
            <w:pPr>
              <w:jc w:val="right"/>
            </w:pPr>
            <w:r/>
            <w:r>
              <w:rPr>
                <w:color w:val="1A1D21"/>
                <w:sz w:val="17"/>
              </w:rPr>
              <w:t>6,734</w:t>
            </w:r>
          </w:p>
        </w:tc>
        <w:tc>
          <w:tcPr>
            <w:tcW w:type="dxa" w:w="1026"/>
          </w:tcPr>
          <w:p>
            <w:pPr>
              <w:jc w:val="right"/>
            </w:pPr>
            <w:r/>
            <w:r>
              <w:rPr>
                <w:color w:val="1A1D21"/>
                <w:sz w:val="17"/>
              </w:rPr>
              <w:t>8,107</w:t>
            </w:r>
          </w:p>
        </w:tc>
        <w:tc>
          <w:tcPr>
            <w:tcW w:type="dxa" w:w="1026"/>
          </w:tcPr>
          <w:p>
            <w:pPr>
              <w:jc w:val="right"/>
            </w:pPr>
            <w:r/>
            <w:r>
              <w:rPr>
                <w:color w:val="1A1D21"/>
                <w:sz w:val="17"/>
              </w:rPr>
              <w:t>9,586</w:t>
            </w:r>
          </w:p>
        </w:tc>
        <w:tc>
          <w:tcPr>
            <w:tcW w:type="dxa" w:w="1026"/>
          </w:tcPr>
          <w:p>
            <w:pPr>
              <w:jc w:val="right"/>
            </w:pPr>
            <w:r/>
            <w:r>
              <w:rPr>
                <w:color w:val="1A1D21"/>
                <w:sz w:val="17"/>
              </w:rPr>
              <w:t>17,973</w:t>
            </w:r>
          </w:p>
        </w:tc>
        <w:tc>
          <w:tcPr>
            <w:tcW w:type="dxa" w:w="1026"/>
          </w:tcPr>
          <w:p>
            <w:pPr>
              <w:jc w:val="right"/>
            </w:pPr>
            <w:r/>
            <w:r>
              <w:rPr>
                <w:color w:val="1A1D21"/>
                <w:sz w:val="17"/>
              </w:rPr>
              <w:t>25,587</w:t>
            </w:r>
          </w:p>
        </w:tc>
      </w:tr>
      <w:tr>
        <w:trPr>
          <w:cantSplit/>
        </w:trPr>
        <w:tc>
          <w:tcPr>
            <w:tcW w:type="dxa" w:w="1984"/>
          </w:tcPr>
          <w:p>
            <w:r/>
            <w:r>
              <w:rPr>
                <w:color w:val="1A1D21"/>
                <w:sz w:val="17"/>
              </w:rPr>
              <w:t>Other creditors</w:t>
            </w:r>
          </w:p>
        </w:tc>
        <w:tc>
          <w:tcPr>
            <w:tcW w:type="dxa" w:w="1026"/>
          </w:tcPr>
          <w:p>
            <w:pPr>
              <w:jc w:val="right"/>
            </w:pPr>
            <w:r/>
            <w:r>
              <w:rPr>
                <w:color w:val="1A1D21"/>
                <w:sz w:val="17"/>
              </w:rPr>
              <w:t>5,685</w:t>
            </w:r>
          </w:p>
        </w:tc>
        <w:tc>
          <w:tcPr>
            <w:tcW w:type="dxa" w:w="1026"/>
          </w:tcPr>
          <w:p>
            <w:pPr>
              <w:jc w:val="right"/>
            </w:pPr>
            <w:r/>
            <w:r>
              <w:rPr>
                <w:color w:val="1A1D21"/>
                <w:sz w:val="17"/>
              </w:rPr>
              <w:t>7,322</w:t>
            </w:r>
          </w:p>
        </w:tc>
        <w:tc>
          <w:tcPr>
            <w:tcW w:type="dxa" w:w="1026"/>
          </w:tcPr>
          <w:p>
            <w:pPr>
              <w:jc w:val="right"/>
            </w:pPr>
            <w:r/>
            <w:r>
              <w:rPr>
                <w:color w:val="1A1D21"/>
                <w:sz w:val="17"/>
              </w:rPr>
              <w:t>9,059</w:t>
            </w:r>
          </w:p>
        </w:tc>
        <w:tc>
          <w:tcPr>
            <w:tcW w:type="dxa" w:w="1026"/>
          </w:tcPr>
          <w:p>
            <w:pPr>
              <w:jc w:val="right"/>
            </w:pPr>
            <w:r/>
            <w:r>
              <w:rPr>
                <w:color w:val="1A1D21"/>
                <w:sz w:val="17"/>
              </w:rPr>
              <w:t>10,907</w:t>
            </w:r>
          </w:p>
        </w:tc>
        <w:tc>
          <w:tcPr>
            <w:tcW w:type="dxa" w:w="1026"/>
          </w:tcPr>
          <w:p>
            <w:pPr>
              <w:jc w:val="right"/>
            </w:pPr>
            <w:r/>
            <w:r>
              <w:rPr>
                <w:color w:val="1A1D21"/>
                <w:sz w:val="17"/>
              </w:rPr>
              <w:t>12,896</w:t>
            </w:r>
          </w:p>
        </w:tc>
        <w:tc>
          <w:tcPr>
            <w:tcW w:type="dxa" w:w="1026"/>
          </w:tcPr>
          <w:p>
            <w:pPr>
              <w:jc w:val="right"/>
            </w:pPr>
            <w:r/>
            <w:r>
              <w:rPr>
                <w:color w:val="1A1D21"/>
                <w:sz w:val="17"/>
              </w:rPr>
              <w:t>24,180</w:t>
            </w:r>
          </w:p>
        </w:tc>
        <w:tc>
          <w:tcPr>
            <w:tcW w:type="dxa" w:w="1026"/>
          </w:tcPr>
          <w:p>
            <w:pPr>
              <w:jc w:val="right"/>
            </w:pPr>
            <w:r/>
            <w:r>
              <w:rPr>
                <w:color w:val="1A1D21"/>
                <w:sz w:val="17"/>
              </w:rPr>
              <w:t>34,423</w:t>
            </w:r>
          </w:p>
        </w:tc>
      </w:tr>
      <w:tr>
        <w:trPr>
          <w:cantSplit/>
        </w:trPr>
        <w:tc>
          <w:tcPr>
            <w:tcW w:type="dxa" w:w="1984"/>
          </w:tcPr>
          <w:p>
            <w:r/>
            <w:r>
              <w:rPr>
                <w:color w:val="1A1D21"/>
                <w:sz w:val="17"/>
              </w:rPr>
              <w:t>Cheques under collection</w:t>
            </w:r>
          </w:p>
        </w:tc>
        <w:tc>
          <w:tcPr>
            <w:tcW w:type="dxa" w:w="1026"/>
          </w:tcPr>
          <w:p>
            <w:pPr>
              <w:jc w:val="right"/>
            </w:pPr>
            <w:r/>
            <w:r>
              <w:rPr>
                <w:color w:val="1A1D21"/>
                <w:sz w:val="17"/>
              </w:rPr>
              <w:t>2,724</w:t>
            </w:r>
          </w:p>
        </w:tc>
        <w:tc>
          <w:tcPr>
            <w:tcW w:type="dxa" w:w="1026"/>
          </w:tcPr>
          <w:p>
            <w:pPr>
              <w:jc w:val="right"/>
            </w:pPr>
            <w:r/>
            <w:r>
              <w:rPr>
                <w:color w:val="1A1D21"/>
                <w:sz w:val="17"/>
              </w:rPr>
              <w:t>3,508</w:t>
            </w:r>
          </w:p>
        </w:tc>
        <w:tc>
          <w:tcPr>
            <w:tcW w:type="dxa" w:w="1026"/>
          </w:tcPr>
          <w:p>
            <w:pPr>
              <w:jc w:val="right"/>
            </w:pPr>
            <w:r/>
            <w:r>
              <w:rPr>
                <w:color w:val="1A1D21"/>
                <w:sz w:val="17"/>
              </w:rPr>
              <w:t>4,340</w:t>
            </w:r>
          </w:p>
        </w:tc>
        <w:tc>
          <w:tcPr>
            <w:tcW w:type="dxa" w:w="1026"/>
          </w:tcPr>
          <w:p>
            <w:pPr>
              <w:jc w:val="right"/>
            </w:pPr>
            <w:r/>
            <w:r>
              <w:rPr>
                <w:color w:val="1A1D21"/>
                <w:sz w:val="17"/>
              </w:rPr>
              <w:t>5,225</w:t>
            </w:r>
          </w:p>
        </w:tc>
        <w:tc>
          <w:tcPr>
            <w:tcW w:type="dxa" w:w="1026"/>
          </w:tcPr>
          <w:p>
            <w:pPr>
              <w:jc w:val="right"/>
            </w:pPr>
            <w:r/>
            <w:r>
              <w:rPr>
                <w:color w:val="1A1D21"/>
                <w:sz w:val="17"/>
              </w:rPr>
              <w:t>6,178</w:t>
            </w:r>
          </w:p>
        </w:tc>
        <w:tc>
          <w:tcPr>
            <w:tcW w:type="dxa" w:w="1026"/>
          </w:tcPr>
          <w:p>
            <w:pPr>
              <w:jc w:val="right"/>
            </w:pPr>
            <w:r/>
            <w:r>
              <w:rPr>
                <w:color w:val="1A1D21"/>
                <w:sz w:val="17"/>
              </w:rPr>
              <w:t>11,584</w:t>
            </w:r>
          </w:p>
        </w:tc>
        <w:tc>
          <w:tcPr>
            <w:tcW w:type="dxa" w:w="1026"/>
          </w:tcPr>
          <w:p>
            <w:pPr>
              <w:jc w:val="right"/>
            </w:pPr>
            <w:r/>
            <w:r>
              <w:rPr>
                <w:color w:val="1A1D21"/>
                <w:sz w:val="17"/>
              </w:rPr>
              <w:t>16,491</w:t>
            </w:r>
          </w:p>
        </w:tc>
      </w:tr>
      <w:tr>
        <w:trPr>
          <w:cantSplit/>
        </w:trPr>
        <w:tc>
          <w:tcPr>
            <w:tcW w:type="dxa" w:w="1984"/>
          </w:tcPr>
          <w:p>
            <w:r/>
            <w:r>
              <w:rPr>
                <w:color w:val="1A1D21"/>
                <w:sz w:val="17"/>
              </w:rPr>
              <w:t>Borrowings</w:t>
            </w:r>
          </w:p>
        </w:tc>
        <w:tc>
          <w:tcPr>
            <w:tcW w:type="dxa" w:w="1026"/>
          </w:tcPr>
          <w:p>
            <w:pPr>
              <w:jc w:val="right"/>
            </w:pPr>
            <w:r/>
            <w:r>
              <w:rPr>
                <w:color w:val="1A1D21"/>
                <w:sz w:val="17"/>
              </w:rPr>
              <w:t>33,553</w:t>
            </w:r>
          </w:p>
        </w:tc>
        <w:tc>
          <w:tcPr>
            <w:tcW w:type="dxa" w:w="1026"/>
          </w:tcPr>
          <w:p>
            <w:pPr>
              <w:jc w:val="right"/>
            </w:pPr>
            <w:r/>
            <w:r>
              <w:rPr>
                <w:color w:val="1A1D21"/>
                <w:sz w:val="17"/>
              </w:rPr>
              <w:t>46,440</w:t>
            </w:r>
          </w:p>
        </w:tc>
        <w:tc>
          <w:tcPr>
            <w:tcW w:type="dxa" w:w="1026"/>
          </w:tcPr>
          <w:p>
            <w:pPr>
              <w:jc w:val="right"/>
            </w:pPr>
            <w:r/>
            <w:r>
              <w:rPr>
                <w:color w:val="1A1D21"/>
                <w:sz w:val="17"/>
              </w:rPr>
              <w:t>61,797</w:t>
            </w:r>
          </w:p>
        </w:tc>
        <w:tc>
          <w:tcPr>
            <w:tcW w:type="dxa" w:w="1026"/>
          </w:tcPr>
          <w:p>
            <w:pPr>
              <w:jc w:val="right"/>
            </w:pPr>
            <w:r/>
            <w:r>
              <w:rPr>
                <w:color w:val="1A1D21"/>
                <w:sz w:val="17"/>
              </w:rPr>
              <w:t>76,804</w:t>
            </w:r>
          </w:p>
        </w:tc>
        <w:tc>
          <w:tcPr>
            <w:tcW w:type="dxa" w:w="1026"/>
          </w:tcPr>
          <w:p>
            <w:pPr>
              <w:jc w:val="right"/>
            </w:pPr>
            <w:r/>
            <w:r>
              <w:rPr>
                <w:color w:val="1A1D21"/>
                <w:sz w:val="17"/>
              </w:rPr>
              <w:t>91,688</w:t>
            </w:r>
          </w:p>
        </w:tc>
        <w:tc>
          <w:tcPr>
            <w:tcW w:type="dxa" w:w="1026"/>
          </w:tcPr>
          <w:p>
            <w:pPr>
              <w:jc w:val="right"/>
            </w:pPr>
            <w:r/>
            <w:r>
              <w:rPr>
                <w:color w:val="1A1D21"/>
                <w:sz w:val="17"/>
              </w:rPr>
              <w:t>151,372</w:t>
            </w:r>
          </w:p>
        </w:tc>
        <w:tc>
          <w:tcPr>
            <w:tcW w:type="dxa" w:w="1026"/>
          </w:tcPr>
          <w:p>
            <w:pPr>
              <w:jc w:val="right"/>
            </w:pPr>
            <w:r/>
            <w:r>
              <w:rPr>
                <w:color w:val="1A1D21"/>
                <w:sz w:val="17"/>
              </w:rPr>
              <w:t>155,027</w:t>
            </w:r>
          </w:p>
        </w:tc>
      </w:tr>
      <w:tr>
        <w:trPr>
          <w:cantSplit/>
        </w:trPr>
        <w:tc>
          <w:tcPr>
            <w:tcW w:type="dxa" w:w="1984"/>
          </w:tcPr>
          <w:p>
            <w:r/>
            <w:r>
              <w:rPr>
                <w:color w:val="1A1D21"/>
                <w:sz w:val="17"/>
              </w:rPr>
              <w:t>Other liabilities, held at the 2025 level</w:t>
            </w:r>
          </w:p>
        </w:tc>
        <w:tc>
          <w:tcPr>
            <w:tcW w:type="dxa" w:w="1026"/>
          </w:tcPr>
          <w:p>
            <w:pPr>
              <w:jc w:val="right"/>
            </w:pPr>
            <w:r/>
            <w:r>
              <w:rPr>
                <w:color w:val="1A1D21"/>
                <w:sz w:val="17"/>
              </w:rPr>
              <w:t>39,075</w:t>
            </w:r>
          </w:p>
        </w:tc>
        <w:tc>
          <w:tcPr>
            <w:tcW w:type="dxa" w:w="1026"/>
          </w:tcPr>
          <w:p>
            <w:pPr>
              <w:jc w:val="right"/>
            </w:pPr>
            <w:r/>
            <w:r>
              <w:rPr>
                <w:color w:val="1A1D21"/>
                <w:sz w:val="17"/>
              </w:rPr>
              <w:t>39,075</w:t>
            </w:r>
          </w:p>
        </w:tc>
        <w:tc>
          <w:tcPr>
            <w:tcW w:type="dxa" w:w="1026"/>
          </w:tcPr>
          <w:p>
            <w:pPr>
              <w:jc w:val="right"/>
            </w:pPr>
            <w:r/>
            <w:r>
              <w:rPr>
                <w:color w:val="1A1D21"/>
                <w:sz w:val="17"/>
              </w:rPr>
              <w:t>39,075</w:t>
            </w:r>
          </w:p>
        </w:tc>
        <w:tc>
          <w:tcPr>
            <w:tcW w:type="dxa" w:w="1026"/>
          </w:tcPr>
          <w:p>
            <w:pPr>
              <w:jc w:val="right"/>
            </w:pPr>
            <w:r/>
            <w:r>
              <w:rPr>
                <w:color w:val="1A1D21"/>
                <w:sz w:val="17"/>
              </w:rPr>
              <w:t>39,075</w:t>
            </w:r>
          </w:p>
        </w:tc>
        <w:tc>
          <w:tcPr>
            <w:tcW w:type="dxa" w:w="1026"/>
          </w:tcPr>
          <w:p>
            <w:pPr>
              <w:jc w:val="right"/>
            </w:pPr>
            <w:r/>
            <w:r>
              <w:rPr>
                <w:color w:val="1A1D21"/>
                <w:sz w:val="17"/>
              </w:rPr>
              <w:t>39,075</w:t>
            </w:r>
          </w:p>
        </w:tc>
        <w:tc>
          <w:tcPr>
            <w:tcW w:type="dxa" w:w="1026"/>
          </w:tcPr>
          <w:p>
            <w:pPr>
              <w:jc w:val="right"/>
            </w:pPr>
            <w:r/>
            <w:r>
              <w:rPr>
                <w:color w:val="1A1D21"/>
                <w:sz w:val="17"/>
              </w:rPr>
              <w:t>39,075</w:t>
            </w:r>
          </w:p>
        </w:tc>
        <w:tc>
          <w:tcPr>
            <w:tcW w:type="dxa" w:w="1026"/>
          </w:tcPr>
          <w:p>
            <w:pPr>
              <w:jc w:val="right"/>
            </w:pPr>
            <w:r/>
            <w:r>
              <w:rPr>
                <w:color w:val="1A1D21"/>
                <w:sz w:val="17"/>
              </w:rPr>
              <w:t>39,075</w:t>
            </w:r>
          </w:p>
        </w:tc>
      </w:tr>
      <w:tr>
        <w:trPr>
          <w:cantSplit/>
        </w:trPr>
        <w:tc>
          <w:tcPr>
            <w:tcW w:type="dxa" w:w="1984"/>
          </w:tcPr>
          <w:p>
            <w:r/>
            <w:r>
              <w:rPr>
                <w:color w:val="1A1D21"/>
                <w:sz w:val="17"/>
              </w:rPr>
              <w:t>Total liabilities</w:t>
            </w:r>
          </w:p>
        </w:tc>
        <w:tc>
          <w:tcPr>
            <w:tcW w:type="dxa" w:w="1026"/>
          </w:tcPr>
          <w:p>
            <w:pPr>
              <w:jc w:val="right"/>
            </w:pPr>
            <w:r/>
            <w:r>
              <w:rPr>
                <w:color w:val="1A1D21"/>
                <w:sz w:val="17"/>
              </w:rPr>
              <w:t>162,245</w:t>
            </w:r>
          </w:p>
        </w:tc>
        <w:tc>
          <w:tcPr>
            <w:tcW w:type="dxa" w:w="1026"/>
          </w:tcPr>
          <w:p>
            <w:pPr>
              <w:jc w:val="right"/>
            </w:pPr>
            <w:r/>
            <w:r>
              <w:rPr>
                <w:color w:val="1A1D21"/>
                <w:sz w:val="17"/>
              </w:rPr>
              <w:t>200,943</w:t>
            </w:r>
          </w:p>
        </w:tc>
        <w:tc>
          <w:tcPr>
            <w:tcW w:type="dxa" w:w="1026"/>
          </w:tcPr>
          <w:p>
            <w:pPr>
              <w:jc w:val="right"/>
            </w:pPr>
            <w:r/>
            <w:r>
              <w:rPr>
                <w:color w:val="1A1D21"/>
                <w:sz w:val="17"/>
              </w:rPr>
              <w:t>243,673</w:t>
            </w:r>
          </w:p>
        </w:tc>
        <w:tc>
          <w:tcPr>
            <w:tcW w:type="dxa" w:w="1026"/>
          </w:tcPr>
          <w:p>
            <w:pPr>
              <w:jc w:val="right"/>
            </w:pPr>
            <w:r/>
            <w:r>
              <w:rPr>
                <w:color w:val="1A1D21"/>
                <w:sz w:val="17"/>
              </w:rPr>
              <w:t>287,811</w:t>
            </w:r>
          </w:p>
        </w:tc>
        <w:tc>
          <w:tcPr>
            <w:tcW w:type="dxa" w:w="1026"/>
          </w:tcPr>
          <w:p>
            <w:pPr>
              <w:jc w:val="right"/>
            </w:pPr>
            <w:r/>
            <w:r>
              <w:rPr>
                <w:color w:val="1A1D21"/>
                <w:sz w:val="17"/>
              </w:rPr>
              <w:t>334,047</w:t>
            </w:r>
          </w:p>
        </w:tc>
        <w:tc>
          <w:tcPr>
            <w:tcW w:type="dxa" w:w="1026"/>
          </w:tcPr>
          <w:p>
            <w:pPr>
              <w:jc w:val="right"/>
            </w:pPr>
            <w:r/>
            <w:r>
              <w:rPr>
                <w:color w:val="1A1D21"/>
                <w:sz w:val="17"/>
              </w:rPr>
              <w:t>571,615</w:t>
            </w:r>
          </w:p>
        </w:tc>
        <w:tc>
          <w:tcPr>
            <w:tcW w:type="dxa" w:w="1026"/>
          </w:tcPr>
          <w:p>
            <w:pPr>
              <w:jc w:val="right"/>
            </w:pPr>
            <w:r/>
            <w:r>
              <w:rPr>
                <w:color w:val="1A1D21"/>
                <w:sz w:val="17"/>
              </w:rPr>
              <w:t>736,730</w:t>
            </w:r>
          </w:p>
        </w:tc>
      </w:tr>
      <w:tr>
        <w:trPr>
          <w:cantSplit/>
        </w:trPr>
        <w:tc>
          <w:tcPr>
            <w:tcW w:type="dxa" w:w="1984"/>
          </w:tcPr>
          <w:p>
            <w:r/>
            <w:r>
              <w:rPr>
                <w:color w:val="1A1D21"/>
                <w:sz w:val="17"/>
              </w:rPr>
              <w:t>Shareholders' funds</w:t>
            </w:r>
          </w:p>
        </w:tc>
        <w:tc>
          <w:tcPr>
            <w:tcW w:type="dxa" w:w="1026"/>
          </w:tcPr>
          <w:p>
            <w:pPr>
              <w:jc w:val="right"/>
            </w:pPr>
            <w:r/>
            <w:r>
              <w:rPr>
                <w:color w:val="1A1D21"/>
                <w:sz w:val="17"/>
              </w:rPr>
              <w:t>21,432</w:t>
            </w:r>
          </w:p>
        </w:tc>
        <w:tc>
          <w:tcPr>
            <w:tcW w:type="dxa" w:w="1026"/>
          </w:tcPr>
          <w:p>
            <w:pPr>
              <w:jc w:val="right"/>
            </w:pPr>
            <w:r/>
            <w:r>
              <w:rPr>
                <w:color w:val="1A1D21"/>
                <w:sz w:val="17"/>
              </w:rPr>
              <w:t>25,613</w:t>
            </w:r>
          </w:p>
        </w:tc>
        <w:tc>
          <w:tcPr>
            <w:tcW w:type="dxa" w:w="1026"/>
          </w:tcPr>
          <w:p>
            <w:pPr>
              <w:jc w:val="right"/>
            </w:pPr>
            <w:r/>
            <w:r>
              <w:rPr>
                <w:color w:val="1A1D21"/>
                <w:sz w:val="17"/>
              </w:rPr>
              <w:t>31,401</w:t>
            </w:r>
          </w:p>
        </w:tc>
        <w:tc>
          <w:tcPr>
            <w:tcW w:type="dxa" w:w="1026"/>
          </w:tcPr>
          <w:p>
            <w:pPr>
              <w:jc w:val="right"/>
            </w:pPr>
            <w:r/>
            <w:r>
              <w:rPr>
                <w:color w:val="1A1D21"/>
                <w:sz w:val="17"/>
              </w:rPr>
              <w:t>38,899</w:t>
            </w:r>
          </w:p>
        </w:tc>
        <w:tc>
          <w:tcPr>
            <w:tcW w:type="dxa" w:w="1026"/>
          </w:tcPr>
          <w:p>
            <w:pPr>
              <w:jc w:val="right"/>
            </w:pPr>
            <w:r/>
            <w:r>
              <w:rPr>
                <w:color w:val="1A1D21"/>
                <w:sz w:val="17"/>
              </w:rPr>
              <w:t>48,237</w:t>
            </w:r>
          </w:p>
        </w:tc>
        <w:tc>
          <w:tcPr>
            <w:tcW w:type="dxa" w:w="1026"/>
          </w:tcPr>
          <w:p>
            <w:pPr>
              <w:jc w:val="right"/>
            </w:pPr>
            <w:r/>
            <w:r>
              <w:rPr>
                <w:color w:val="1A1D21"/>
                <w:sz w:val="17"/>
              </w:rPr>
              <w:t>126,021</w:t>
            </w:r>
          </w:p>
        </w:tc>
        <w:tc>
          <w:tcPr>
            <w:tcW w:type="dxa" w:w="1026"/>
          </w:tcPr>
          <w:p>
            <w:pPr>
              <w:jc w:val="right"/>
            </w:pPr>
            <w:r/>
            <w:r>
              <w:rPr>
                <w:color w:val="1A1D21"/>
                <w:sz w:val="17"/>
              </w:rPr>
              <w:t>252,788</w:t>
            </w:r>
          </w:p>
        </w:tc>
      </w:tr>
      <w:tr>
        <w:trPr>
          <w:cantSplit/>
        </w:trPr>
        <w:tc>
          <w:tcPr>
            <w:tcW w:type="dxa" w:w="1984"/>
          </w:tcPr>
          <w:p>
            <w:r/>
            <w:r>
              <w:rPr>
                <w:color w:val="1A1D21"/>
                <w:sz w:val="17"/>
              </w:rPr>
              <w:t>Total liabilities and equity</w:t>
            </w:r>
          </w:p>
        </w:tc>
        <w:tc>
          <w:tcPr>
            <w:tcW w:type="dxa" w:w="1026"/>
          </w:tcPr>
          <w:p>
            <w:pPr>
              <w:jc w:val="right"/>
            </w:pPr>
            <w:r/>
            <w:r>
              <w:rPr>
                <w:color w:val="1A1D21"/>
                <w:sz w:val="17"/>
              </w:rPr>
              <w:t>183,677</w:t>
            </w:r>
          </w:p>
        </w:tc>
        <w:tc>
          <w:tcPr>
            <w:tcW w:type="dxa" w:w="1026"/>
          </w:tcPr>
          <w:p>
            <w:pPr>
              <w:jc w:val="right"/>
            </w:pPr>
            <w:r/>
            <w:r>
              <w:rPr>
                <w:color w:val="1A1D21"/>
                <w:sz w:val="17"/>
              </w:rPr>
              <w:t>226,555</w:t>
            </w:r>
          </w:p>
        </w:tc>
        <w:tc>
          <w:tcPr>
            <w:tcW w:type="dxa" w:w="1026"/>
          </w:tcPr>
          <w:p>
            <w:pPr>
              <w:jc w:val="right"/>
            </w:pPr>
            <w:r/>
            <w:r>
              <w:rPr>
                <w:color w:val="1A1D21"/>
                <w:sz w:val="17"/>
              </w:rPr>
              <w:t>275,074</w:t>
            </w:r>
          </w:p>
        </w:tc>
        <w:tc>
          <w:tcPr>
            <w:tcW w:type="dxa" w:w="1026"/>
          </w:tcPr>
          <w:p>
            <w:pPr>
              <w:jc w:val="right"/>
            </w:pPr>
            <w:r/>
            <w:r>
              <w:rPr>
                <w:color w:val="1A1D21"/>
                <w:sz w:val="17"/>
              </w:rPr>
              <w:t>326,710</w:t>
            </w:r>
          </w:p>
        </w:tc>
        <w:tc>
          <w:tcPr>
            <w:tcW w:type="dxa" w:w="1026"/>
          </w:tcPr>
          <w:p>
            <w:pPr>
              <w:jc w:val="right"/>
            </w:pPr>
            <w:r/>
            <w:r>
              <w:rPr>
                <w:color w:val="1A1D21"/>
                <w:sz w:val="17"/>
              </w:rPr>
              <w:t>382,284</w:t>
            </w:r>
          </w:p>
        </w:tc>
        <w:tc>
          <w:tcPr>
            <w:tcW w:type="dxa" w:w="1026"/>
          </w:tcPr>
          <w:p>
            <w:pPr>
              <w:jc w:val="right"/>
            </w:pPr>
            <w:r/>
            <w:r>
              <w:rPr>
                <w:color w:val="1A1D21"/>
                <w:sz w:val="17"/>
              </w:rPr>
              <w:t>697,636</w:t>
            </w:r>
          </w:p>
        </w:tc>
        <w:tc>
          <w:tcPr>
            <w:tcW w:type="dxa" w:w="1026"/>
          </w:tcPr>
          <w:p>
            <w:pPr>
              <w:jc w:val="right"/>
            </w:pPr>
            <w:r/>
            <w:r>
              <w:rPr>
                <w:color w:val="1A1D21"/>
                <w:sz w:val="17"/>
              </w:rPr>
              <w:t>989,518</w:t>
            </w:r>
          </w:p>
        </w:tc>
      </w:tr>
    </w:tbl>
    <w:p>
      <w:pPr>
        <w:spacing w:after="200"/>
      </w:pPr>
      <w:r>
        <w:rPr>
          <w:b w:val="0"/>
          <w:i/>
          <w:color w:val="5B6570"/>
          <w:sz w:val="16"/>
        </w:rPr>
        <w:t>Assets equal liabilities plus shareholders' funds in every year, to the same tenth of a million the audited 2025 sheet itself foots to.</w:t>
      </w:r>
    </w:p>
    <w:tbl>
      <w:tblPr>
        <w:tblStyle w:val="TableGrid"/>
        <w:tblW w:type="auto" w:w="0"/>
        <w:jc w:val="center"/>
        <w:tblLayout w:type="fixed"/>
        <w:tblLook w:firstColumn="1" w:firstRow="1" w:lastColumn="0" w:lastRow="0" w:noHBand="0" w:noVBand="1" w:val="04A0"/>
        <w:tblLayout w:type="fixed"/>
      </w:tblPr>
      <w:tblGrid>
        <w:gridCol w:w="1984"/>
        <w:gridCol w:w="1026"/>
        <w:gridCol w:w="1026"/>
        <w:gridCol w:w="1026"/>
        <w:gridCol w:w="1026"/>
        <w:gridCol w:w="1026"/>
        <w:gridCol w:w="1026"/>
        <w:gridCol w:w="1026"/>
      </w:tblGrid>
      <w:tr>
        <w:trPr>
          <w:tblHeader w:val="true"/>
        </w:trPr>
        <w:tc>
          <w:tcPr>
            <w:tcW w:type="dxa" w:w="1984"/>
          </w:tcPr>
          <w:p>
            <w:r/>
            <w:r>
              <w:rPr>
                <w:b/>
                <w:color w:val="5B6570"/>
                <w:sz w:val="17"/>
              </w:rPr>
              <w:t>Forecast cash flow, EGP million</w:t>
            </w:r>
          </w:p>
        </w:tc>
        <w:tc>
          <w:tcPr>
            <w:tcW w:type="dxa" w:w="1026"/>
          </w:tcPr>
          <w:p>
            <w:r/>
            <w:r>
              <w:rPr>
                <w:b/>
                <w:color w:val="5B6570"/>
                <w:sz w:val="17"/>
              </w:rPr>
              <w:t>2026</w:t>
            </w:r>
          </w:p>
        </w:tc>
        <w:tc>
          <w:tcPr>
            <w:tcW w:type="dxa" w:w="1026"/>
          </w:tcPr>
          <w:p>
            <w:r/>
            <w:r>
              <w:rPr>
                <w:b/>
                <w:color w:val="5B6570"/>
                <w:sz w:val="17"/>
              </w:rPr>
              <w:t>2027</w:t>
            </w:r>
          </w:p>
        </w:tc>
        <w:tc>
          <w:tcPr>
            <w:tcW w:type="dxa" w:w="1026"/>
          </w:tcPr>
          <w:p>
            <w:r/>
            <w:r>
              <w:rPr>
                <w:b/>
                <w:color w:val="5B6570"/>
                <w:sz w:val="17"/>
              </w:rPr>
              <w:t>2028</w:t>
            </w:r>
          </w:p>
        </w:tc>
        <w:tc>
          <w:tcPr>
            <w:tcW w:type="dxa" w:w="1026"/>
          </w:tcPr>
          <w:p>
            <w:r/>
            <w:r>
              <w:rPr>
                <w:b/>
                <w:color w:val="5B6570"/>
                <w:sz w:val="17"/>
              </w:rPr>
              <w:t>2029</w:t>
            </w:r>
          </w:p>
        </w:tc>
        <w:tc>
          <w:tcPr>
            <w:tcW w:type="dxa" w:w="1026"/>
          </w:tcPr>
          <w:p>
            <w:r/>
            <w:r>
              <w:rPr>
                <w:b/>
                <w:color w:val="5B6570"/>
                <w:sz w:val="17"/>
              </w:rPr>
              <w:t>2030</w:t>
            </w:r>
          </w:p>
        </w:tc>
        <w:tc>
          <w:tcPr>
            <w:tcW w:type="dxa" w:w="1026"/>
          </w:tcPr>
          <w:p>
            <w:r/>
            <w:r>
              <w:rPr>
                <w:b/>
                <w:color w:val="5B6570"/>
                <w:sz w:val="17"/>
              </w:rPr>
              <w:t>2035</w:t>
            </w:r>
          </w:p>
        </w:tc>
        <w:tc>
          <w:tcPr>
            <w:tcW w:type="dxa" w:w="1026"/>
          </w:tcPr>
          <w:p>
            <w:r/>
            <w:r>
              <w:rPr>
                <w:b/>
                <w:color w:val="5B6570"/>
                <w:sz w:val="17"/>
              </w:rPr>
              <w:t>2040</w:t>
            </w:r>
          </w:p>
        </w:tc>
      </w:tr>
      <w:tr>
        <w:trPr>
          <w:cantSplit/>
        </w:trPr>
        <w:tc>
          <w:tcPr>
            <w:tcW w:type="dxa" w:w="1984"/>
          </w:tcPr>
          <w:p>
            <w:r/>
            <w:r>
              <w:rPr>
                <w:color w:val="1A1D21"/>
                <w:sz w:val="17"/>
              </w:rPr>
              <w:t>Net profit</w:t>
            </w:r>
          </w:p>
        </w:tc>
        <w:tc>
          <w:tcPr>
            <w:tcW w:type="dxa" w:w="1026"/>
          </w:tcPr>
          <w:p>
            <w:pPr>
              <w:jc w:val="right"/>
            </w:pPr>
            <w:r/>
            <w:r>
              <w:rPr>
                <w:color w:val="1A1D21"/>
                <w:sz w:val="17"/>
              </w:rPr>
              <w:t>2,666</w:t>
            </w:r>
          </w:p>
        </w:tc>
        <w:tc>
          <w:tcPr>
            <w:tcW w:type="dxa" w:w="1026"/>
          </w:tcPr>
          <w:p>
            <w:pPr>
              <w:jc w:val="right"/>
            </w:pPr>
            <w:r/>
            <w:r>
              <w:rPr>
                <w:color w:val="1A1D21"/>
                <w:sz w:val="17"/>
              </w:rPr>
              <w:t>4,181</w:t>
            </w:r>
          </w:p>
        </w:tc>
        <w:tc>
          <w:tcPr>
            <w:tcW w:type="dxa" w:w="1026"/>
          </w:tcPr>
          <w:p>
            <w:pPr>
              <w:jc w:val="right"/>
            </w:pPr>
            <w:r/>
            <w:r>
              <w:rPr>
                <w:color w:val="1A1D21"/>
                <w:sz w:val="17"/>
              </w:rPr>
              <w:t>5,788</w:t>
            </w:r>
          </w:p>
        </w:tc>
        <w:tc>
          <w:tcPr>
            <w:tcW w:type="dxa" w:w="1026"/>
          </w:tcPr>
          <w:p>
            <w:pPr>
              <w:jc w:val="right"/>
            </w:pPr>
            <w:r/>
            <w:r>
              <w:rPr>
                <w:color w:val="1A1D21"/>
                <w:sz w:val="17"/>
              </w:rPr>
              <w:t>7,498</w:t>
            </w:r>
          </w:p>
        </w:tc>
        <w:tc>
          <w:tcPr>
            <w:tcW w:type="dxa" w:w="1026"/>
          </w:tcPr>
          <w:p>
            <w:pPr>
              <w:jc w:val="right"/>
            </w:pPr>
            <w:r/>
            <w:r>
              <w:rPr>
                <w:color w:val="1A1D21"/>
                <w:sz w:val="17"/>
              </w:rPr>
              <w:t>9,338</w:t>
            </w:r>
          </w:p>
        </w:tc>
        <w:tc>
          <w:tcPr>
            <w:tcW w:type="dxa" w:w="1026"/>
          </w:tcPr>
          <w:p>
            <w:pPr>
              <w:jc w:val="right"/>
            </w:pPr>
            <w:r/>
            <w:r>
              <w:rPr>
                <w:color w:val="1A1D21"/>
                <w:sz w:val="17"/>
              </w:rPr>
              <w:t>19,780</w:t>
            </w:r>
          </w:p>
        </w:tc>
        <w:tc>
          <w:tcPr>
            <w:tcW w:type="dxa" w:w="1026"/>
          </w:tcPr>
          <w:p>
            <w:pPr>
              <w:jc w:val="right"/>
            </w:pPr>
            <w:r/>
            <w:r>
              <w:rPr>
                <w:color w:val="1A1D21"/>
                <w:sz w:val="17"/>
              </w:rPr>
              <w:t>29,257</w:t>
            </w:r>
          </w:p>
        </w:tc>
      </w:tr>
      <w:tr>
        <w:trPr>
          <w:cantSplit/>
        </w:trPr>
        <w:tc>
          <w:tcPr>
            <w:tcW w:type="dxa" w:w="1984"/>
          </w:tcPr>
          <w:p>
            <w:r/>
            <w:r>
              <w:rPr>
                <w:color w:val="1A1D21"/>
                <w:sz w:val="17"/>
              </w:rPr>
              <w:t>Depreciation and amortisation</w:t>
            </w:r>
          </w:p>
        </w:tc>
        <w:tc>
          <w:tcPr>
            <w:tcW w:type="dxa" w:w="1026"/>
          </w:tcPr>
          <w:p>
            <w:pPr>
              <w:jc w:val="right"/>
            </w:pPr>
            <w:r/>
            <w:r>
              <w:rPr>
                <w:color w:val="1A1D21"/>
                <w:sz w:val="17"/>
              </w:rPr>
              <w:t>393</w:t>
            </w:r>
          </w:p>
        </w:tc>
        <w:tc>
          <w:tcPr>
            <w:tcW w:type="dxa" w:w="1026"/>
          </w:tcPr>
          <w:p>
            <w:pPr>
              <w:jc w:val="right"/>
            </w:pPr>
            <w:r/>
            <w:r>
              <w:rPr>
                <w:color w:val="1A1D21"/>
                <w:sz w:val="17"/>
              </w:rPr>
              <w:t>506</w:t>
            </w:r>
          </w:p>
        </w:tc>
        <w:tc>
          <w:tcPr>
            <w:tcW w:type="dxa" w:w="1026"/>
          </w:tcPr>
          <w:p>
            <w:pPr>
              <w:jc w:val="right"/>
            </w:pPr>
            <w:r/>
            <w:r>
              <w:rPr>
                <w:color w:val="1A1D21"/>
                <w:sz w:val="17"/>
              </w:rPr>
              <w:t>626</w:t>
            </w:r>
          </w:p>
        </w:tc>
        <w:tc>
          <w:tcPr>
            <w:tcW w:type="dxa" w:w="1026"/>
          </w:tcPr>
          <w:p>
            <w:pPr>
              <w:jc w:val="right"/>
            </w:pPr>
            <w:r/>
            <w:r>
              <w:rPr>
                <w:color w:val="1A1D21"/>
                <w:sz w:val="17"/>
              </w:rPr>
              <w:t>753</w:t>
            </w:r>
          </w:p>
        </w:tc>
        <w:tc>
          <w:tcPr>
            <w:tcW w:type="dxa" w:w="1026"/>
          </w:tcPr>
          <w:p>
            <w:pPr>
              <w:jc w:val="right"/>
            </w:pPr>
            <w:r/>
            <w:r>
              <w:rPr>
                <w:color w:val="1A1D21"/>
                <w:sz w:val="17"/>
              </w:rPr>
              <w:t>891</w:t>
            </w:r>
          </w:p>
        </w:tc>
        <w:tc>
          <w:tcPr>
            <w:tcW w:type="dxa" w:w="1026"/>
          </w:tcPr>
          <w:p>
            <w:pPr>
              <w:jc w:val="right"/>
            </w:pPr>
            <w:r/>
            <w:r>
              <w:rPr>
                <w:color w:val="1A1D21"/>
                <w:sz w:val="17"/>
              </w:rPr>
              <w:t>1,670</w:t>
            </w:r>
          </w:p>
        </w:tc>
        <w:tc>
          <w:tcPr>
            <w:tcW w:type="dxa" w:w="1026"/>
          </w:tcPr>
          <w:p>
            <w:pPr>
              <w:jc w:val="right"/>
            </w:pPr>
            <w:r/>
            <w:r>
              <w:rPr>
                <w:color w:val="1A1D21"/>
                <w:sz w:val="17"/>
              </w:rPr>
              <w:t>2,377</w:t>
            </w:r>
          </w:p>
        </w:tc>
      </w:tr>
      <w:tr>
        <w:trPr>
          <w:cantSplit/>
        </w:trPr>
        <w:tc>
          <w:tcPr>
            <w:tcW w:type="dxa" w:w="1984"/>
          </w:tcPr>
          <w:p>
            <w:r/>
            <w:r>
              <w:rPr>
                <w:color w:val="1A1D21"/>
                <w:sz w:val="17"/>
              </w:rPr>
              <w:t>Change in working capital, cash effect</w:t>
            </w:r>
          </w:p>
        </w:tc>
        <w:tc>
          <w:tcPr>
            <w:tcW w:type="dxa" w:w="1026"/>
          </w:tcPr>
          <w:p>
            <w:pPr>
              <w:jc w:val="right"/>
            </w:pPr>
            <w:r/>
            <w:r>
              <w:rPr>
                <w:color w:val="1A1D21"/>
                <w:sz w:val="17"/>
              </w:rPr>
              <w:t>-6,856</w:t>
            </w:r>
          </w:p>
        </w:tc>
        <w:tc>
          <w:tcPr>
            <w:tcW w:type="dxa" w:w="1026"/>
          </w:tcPr>
          <w:p>
            <w:pPr>
              <w:jc w:val="right"/>
            </w:pPr>
            <w:r/>
            <w:r>
              <w:rPr>
                <w:color w:val="1A1D21"/>
                <w:sz w:val="17"/>
              </w:rPr>
              <w:t>-19,924</w:t>
            </w:r>
          </w:p>
        </w:tc>
        <w:tc>
          <w:tcPr>
            <w:tcW w:type="dxa" w:w="1026"/>
          </w:tcPr>
          <w:p>
            <w:pPr>
              <w:jc w:val="right"/>
            </w:pPr>
            <w:r/>
            <w:r>
              <w:rPr>
                <w:color w:val="1A1D21"/>
                <w:sz w:val="17"/>
              </w:rPr>
              <w:t>-21,131</w:t>
            </w:r>
          </w:p>
        </w:tc>
        <w:tc>
          <w:tcPr>
            <w:tcW w:type="dxa" w:w="1026"/>
          </w:tcPr>
          <w:p>
            <w:pPr>
              <w:jc w:val="right"/>
            </w:pPr>
            <w:r/>
            <w:r>
              <w:rPr>
                <w:color w:val="1A1D21"/>
                <w:sz w:val="17"/>
              </w:rPr>
              <w:t>-22,488</w:t>
            </w:r>
          </w:p>
        </w:tc>
        <w:tc>
          <w:tcPr>
            <w:tcW w:type="dxa" w:w="1026"/>
          </w:tcPr>
          <w:p>
            <w:pPr>
              <w:jc w:val="right"/>
            </w:pPr>
            <w:r/>
            <w:r>
              <w:rPr>
                <w:color w:val="1A1D21"/>
                <w:sz w:val="17"/>
              </w:rPr>
              <w:t>-24,202</w:t>
            </w:r>
          </w:p>
        </w:tc>
        <w:tc>
          <w:tcPr>
            <w:tcW w:type="dxa" w:w="1026"/>
          </w:tcPr>
          <w:p>
            <w:pPr>
              <w:jc w:val="right"/>
            </w:pPr>
            <w:r/>
            <w:r>
              <w:rPr>
                <w:color w:val="1A1D21"/>
                <w:sz w:val="17"/>
              </w:rPr>
              <w:t>-27,259</w:t>
            </w:r>
          </w:p>
        </w:tc>
        <w:tc>
          <w:tcPr>
            <w:tcW w:type="dxa" w:w="1026"/>
          </w:tcPr>
          <w:p>
            <w:pPr>
              <w:jc w:val="right"/>
            </w:pPr>
            <w:r/>
            <w:r>
              <w:rPr>
                <w:color w:val="1A1D21"/>
                <w:sz w:val="17"/>
              </w:rPr>
              <w:t>-27,403</w:t>
            </w:r>
          </w:p>
        </w:tc>
      </w:tr>
      <w:tr>
        <w:trPr>
          <w:cantSplit/>
        </w:trPr>
        <w:tc>
          <w:tcPr>
            <w:tcW w:type="dxa" w:w="1984"/>
          </w:tcPr>
          <w:p>
            <w:r/>
            <w:r>
              <w:rPr>
                <w:color w:val="1A1D21"/>
                <w:sz w:val="17"/>
              </w:rPr>
              <w:t>Cash from operations</w:t>
            </w:r>
          </w:p>
        </w:tc>
        <w:tc>
          <w:tcPr>
            <w:tcW w:type="dxa" w:w="1026"/>
          </w:tcPr>
          <w:p>
            <w:pPr>
              <w:jc w:val="right"/>
            </w:pPr>
            <w:r/>
            <w:r>
              <w:rPr>
                <w:color w:val="1A1D21"/>
                <w:sz w:val="17"/>
              </w:rPr>
              <w:t>-3,797</w:t>
            </w:r>
          </w:p>
        </w:tc>
        <w:tc>
          <w:tcPr>
            <w:tcW w:type="dxa" w:w="1026"/>
          </w:tcPr>
          <w:p>
            <w:pPr>
              <w:jc w:val="right"/>
            </w:pPr>
            <w:r/>
            <w:r>
              <w:rPr>
                <w:color w:val="1A1D21"/>
                <w:sz w:val="17"/>
              </w:rPr>
              <w:t>-15,237</w:t>
            </w:r>
          </w:p>
        </w:tc>
        <w:tc>
          <w:tcPr>
            <w:tcW w:type="dxa" w:w="1026"/>
          </w:tcPr>
          <w:p>
            <w:pPr>
              <w:jc w:val="right"/>
            </w:pPr>
            <w:r/>
            <w:r>
              <w:rPr>
                <w:color w:val="1A1D21"/>
                <w:sz w:val="17"/>
              </w:rPr>
              <w:t>-14,717</w:t>
            </w:r>
          </w:p>
        </w:tc>
        <w:tc>
          <w:tcPr>
            <w:tcW w:type="dxa" w:w="1026"/>
          </w:tcPr>
          <w:p>
            <w:pPr>
              <w:jc w:val="right"/>
            </w:pPr>
            <w:r/>
            <w:r>
              <w:rPr>
                <w:color w:val="1A1D21"/>
                <w:sz w:val="17"/>
              </w:rPr>
              <w:t>-14,237</w:t>
            </w:r>
          </w:p>
        </w:tc>
        <w:tc>
          <w:tcPr>
            <w:tcW w:type="dxa" w:w="1026"/>
          </w:tcPr>
          <w:p>
            <w:pPr>
              <w:jc w:val="right"/>
            </w:pPr>
            <w:r/>
            <w:r>
              <w:rPr>
                <w:color w:val="1A1D21"/>
                <w:sz w:val="17"/>
              </w:rPr>
              <w:t>-13,973</w:t>
            </w:r>
          </w:p>
        </w:tc>
        <w:tc>
          <w:tcPr>
            <w:tcW w:type="dxa" w:w="1026"/>
          </w:tcPr>
          <w:p>
            <w:pPr>
              <w:jc w:val="right"/>
            </w:pPr>
            <w:r/>
            <w:r>
              <w:rPr>
                <w:color w:val="1A1D21"/>
                <w:sz w:val="17"/>
              </w:rPr>
              <w:t>-5,809</w:t>
            </w:r>
          </w:p>
        </w:tc>
        <w:tc>
          <w:tcPr>
            <w:tcW w:type="dxa" w:w="1026"/>
          </w:tcPr>
          <w:p>
            <w:pPr>
              <w:jc w:val="right"/>
            </w:pPr>
            <w:r/>
            <w:r>
              <w:rPr>
                <w:color w:val="1A1D21"/>
                <w:sz w:val="17"/>
              </w:rPr>
              <w:t>4,231</w:t>
            </w:r>
          </w:p>
        </w:tc>
      </w:tr>
      <w:tr>
        <w:trPr>
          <w:cantSplit/>
        </w:trPr>
        <w:tc>
          <w:tcPr>
            <w:tcW w:type="dxa" w:w="1984"/>
          </w:tcPr>
          <w:p>
            <w:r/>
            <w:r>
              <w:rPr>
                <w:color w:val="1A1D21"/>
                <w:sz w:val="17"/>
              </w:rPr>
              <w:t xml:space="preserve">  as a share of revenue</w:t>
            </w:r>
          </w:p>
        </w:tc>
        <w:tc>
          <w:tcPr>
            <w:tcW w:type="dxa" w:w="1026"/>
          </w:tcPr>
          <w:p>
            <w:pPr>
              <w:jc w:val="right"/>
            </w:pPr>
            <w:r/>
            <w:r>
              <w:rPr>
                <w:color w:val="1A1D21"/>
                <w:sz w:val="17"/>
              </w:rPr>
              <w:t>-9.5%</w:t>
            </w:r>
          </w:p>
        </w:tc>
        <w:tc>
          <w:tcPr>
            <w:tcW w:type="dxa" w:w="1026"/>
          </w:tcPr>
          <w:p>
            <w:pPr>
              <w:jc w:val="right"/>
            </w:pPr>
            <w:r/>
            <w:r>
              <w:rPr>
                <w:color w:val="1A1D21"/>
                <w:sz w:val="17"/>
              </w:rPr>
              <w:t>-29.5%</w:t>
            </w:r>
          </w:p>
        </w:tc>
        <w:tc>
          <w:tcPr>
            <w:tcW w:type="dxa" w:w="1026"/>
          </w:tcPr>
          <w:p>
            <w:pPr>
              <w:jc w:val="right"/>
            </w:pPr>
            <w:r/>
            <w:r>
              <w:rPr>
                <w:color w:val="1A1D21"/>
                <w:sz w:val="17"/>
              </w:rPr>
              <w:t>-23.0%</w:t>
            </w:r>
          </w:p>
        </w:tc>
        <w:tc>
          <w:tcPr>
            <w:tcW w:type="dxa" w:w="1026"/>
          </w:tcPr>
          <w:p>
            <w:pPr>
              <w:jc w:val="right"/>
            </w:pPr>
            <w:r/>
            <w:r>
              <w:rPr>
                <w:color w:val="1A1D21"/>
                <w:sz w:val="17"/>
              </w:rPr>
              <w:t>-18.5%</w:t>
            </w:r>
          </w:p>
        </w:tc>
        <w:tc>
          <w:tcPr>
            <w:tcW w:type="dxa" w:w="1026"/>
          </w:tcPr>
          <w:p>
            <w:pPr>
              <w:jc w:val="right"/>
            </w:pPr>
            <w:r/>
            <w:r>
              <w:rPr>
                <w:color w:val="1A1D21"/>
                <w:sz w:val="17"/>
              </w:rPr>
              <w:t>-15.3%</w:t>
            </w:r>
          </w:p>
        </w:tc>
        <w:tc>
          <w:tcPr>
            <w:tcW w:type="dxa" w:w="1026"/>
          </w:tcPr>
          <w:p>
            <w:pPr>
              <w:jc w:val="right"/>
            </w:pPr>
            <w:r/>
            <w:r>
              <w:rPr>
                <w:color w:val="1A1D21"/>
                <w:sz w:val="17"/>
              </w:rPr>
              <w:t>-3.4%</w:t>
            </w:r>
          </w:p>
        </w:tc>
        <w:tc>
          <w:tcPr>
            <w:tcW w:type="dxa" w:w="1026"/>
          </w:tcPr>
          <w:p>
            <w:pPr>
              <w:jc w:val="right"/>
            </w:pPr>
            <w:r/>
            <w:r>
              <w:rPr>
                <w:color w:val="1A1D21"/>
                <w:sz w:val="17"/>
              </w:rPr>
              <w:t>1.7%</w:t>
            </w:r>
          </w:p>
        </w:tc>
      </w:tr>
      <w:tr>
        <w:trPr>
          <w:cantSplit/>
        </w:trPr>
        <w:tc>
          <w:tcPr>
            <w:tcW w:type="dxa" w:w="1984"/>
          </w:tcPr>
          <w:p>
            <w:r/>
            <w:r>
              <w:rPr>
                <w:color w:val="1A1D21"/>
                <w:sz w:val="17"/>
              </w:rPr>
              <w:t>Capital expenditure</w:t>
            </w:r>
          </w:p>
        </w:tc>
        <w:tc>
          <w:tcPr>
            <w:tcW w:type="dxa" w:w="1026"/>
          </w:tcPr>
          <w:p>
            <w:pPr>
              <w:jc w:val="right"/>
            </w:pPr>
            <w:r/>
            <w:r>
              <w:rPr>
                <w:color w:val="1A1D21"/>
                <w:sz w:val="17"/>
              </w:rPr>
              <w:t>-401</w:t>
            </w:r>
          </w:p>
        </w:tc>
        <w:tc>
          <w:tcPr>
            <w:tcW w:type="dxa" w:w="1026"/>
          </w:tcPr>
          <w:p>
            <w:pPr>
              <w:jc w:val="right"/>
            </w:pPr>
            <w:r/>
            <w:r>
              <w:rPr>
                <w:color w:val="1A1D21"/>
                <w:sz w:val="17"/>
              </w:rPr>
              <w:t>-517</w:t>
            </w:r>
          </w:p>
        </w:tc>
        <w:tc>
          <w:tcPr>
            <w:tcW w:type="dxa" w:w="1026"/>
          </w:tcPr>
          <w:p>
            <w:pPr>
              <w:jc w:val="right"/>
            </w:pPr>
            <w:r/>
            <w:r>
              <w:rPr>
                <w:color w:val="1A1D21"/>
                <w:sz w:val="17"/>
              </w:rPr>
              <w:t>-640</w:t>
            </w:r>
          </w:p>
        </w:tc>
        <w:tc>
          <w:tcPr>
            <w:tcW w:type="dxa" w:w="1026"/>
          </w:tcPr>
          <w:p>
            <w:pPr>
              <w:jc w:val="right"/>
            </w:pPr>
            <w:r/>
            <w:r>
              <w:rPr>
                <w:color w:val="1A1D21"/>
                <w:sz w:val="17"/>
              </w:rPr>
              <w:t>-770</w:t>
            </w:r>
          </w:p>
        </w:tc>
        <w:tc>
          <w:tcPr>
            <w:tcW w:type="dxa" w:w="1026"/>
          </w:tcPr>
          <w:p>
            <w:pPr>
              <w:jc w:val="right"/>
            </w:pPr>
            <w:r/>
            <w:r>
              <w:rPr>
                <w:color w:val="1A1D21"/>
                <w:sz w:val="17"/>
              </w:rPr>
              <w:t>-911</w:t>
            </w:r>
          </w:p>
        </w:tc>
        <w:tc>
          <w:tcPr>
            <w:tcW w:type="dxa" w:w="1026"/>
          </w:tcPr>
          <w:p>
            <w:pPr>
              <w:jc w:val="right"/>
            </w:pPr>
            <w:r/>
            <w:r>
              <w:rPr>
                <w:color w:val="1A1D21"/>
                <w:sz w:val="17"/>
              </w:rPr>
              <w:t>-1,708</w:t>
            </w:r>
          </w:p>
        </w:tc>
        <w:tc>
          <w:tcPr>
            <w:tcW w:type="dxa" w:w="1026"/>
          </w:tcPr>
          <w:p>
            <w:pPr>
              <w:jc w:val="right"/>
            </w:pPr>
            <w:r/>
            <w:r>
              <w:rPr>
                <w:color w:val="1A1D21"/>
                <w:sz w:val="17"/>
              </w:rPr>
              <w:t>-2,431</w:t>
            </w:r>
          </w:p>
        </w:tc>
      </w:tr>
      <w:tr>
        <w:trPr>
          <w:cantSplit/>
        </w:trPr>
        <w:tc>
          <w:tcPr>
            <w:tcW w:type="dxa" w:w="1984"/>
          </w:tcPr>
          <w:p>
            <w:r/>
            <w:r>
              <w:rPr>
                <w:color w:val="1A1D21"/>
                <w:sz w:val="17"/>
              </w:rPr>
              <w:t>New borrowing drawn</w:t>
            </w:r>
          </w:p>
        </w:tc>
        <w:tc>
          <w:tcPr>
            <w:tcW w:type="dxa" w:w="1026"/>
          </w:tcPr>
          <w:p>
            <w:pPr>
              <w:jc w:val="right"/>
            </w:pPr>
            <w:r/>
            <w:r>
              <w:rPr>
                <w:color w:val="1A1D21"/>
                <w:sz w:val="17"/>
              </w:rPr>
              <w:t>0</w:t>
            </w:r>
          </w:p>
        </w:tc>
        <w:tc>
          <w:tcPr>
            <w:tcW w:type="dxa" w:w="1026"/>
          </w:tcPr>
          <w:p>
            <w:pPr>
              <w:jc w:val="right"/>
            </w:pPr>
            <w:r/>
            <w:r>
              <w:rPr>
                <w:color w:val="1A1D21"/>
                <w:sz w:val="17"/>
              </w:rPr>
              <w:t>12,888</w:t>
            </w:r>
          </w:p>
        </w:tc>
        <w:tc>
          <w:tcPr>
            <w:tcW w:type="dxa" w:w="1026"/>
          </w:tcPr>
          <w:p>
            <w:pPr>
              <w:jc w:val="right"/>
            </w:pPr>
            <w:r/>
            <w:r>
              <w:rPr>
                <w:color w:val="1A1D21"/>
                <w:sz w:val="17"/>
              </w:rPr>
              <w:t>15,357</w:t>
            </w:r>
          </w:p>
        </w:tc>
        <w:tc>
          <w:tcPr>
            <w:tcW w:type="dxa" w:w="1026"/>
          </w:tcPr>
          <w:p>
            <w:pPr>
              <w:jc w:val="right"/>
            </w:pPr>
            <w:r/>
            <w:r>
              <w:rPr>
                <w:color w:val="1A1D21"/>
                <w:sz w:val="17"/>
              </w:rPr>
              <w:t>15,007</w:t>
            </w:r>
          </w:p>
        </w:tc>
        <w:tc>
          <w:tcPr>
            <w:tcW w:type="dxa" w:w="1026"/>
          </w:tcPr>
          <w:p>
            <w:pPr>
              <w:jc w:val="right"/>
            </w:pPr>
            <w:r/>
            <w:r>
              <w:rPr>
                <w:color w:val="1A1D21"/>
                <w:sz w:val="17"/>
              </w:rPr>
              <w:t>14,884</w:t>
            </w:r>
          </w:p>
        </w:tc>
        <w:tc>
          <w:tcPr>
            <w:tcW w:type="dxa" w:w="1026"/>
          </w:tcPr>
          <w:p>
            <w:pPr>
              <w:jc w:val="right"/>
            </w:pPr>
            <w:r/>
            <w:r>
              <w:rPr>
                <w:color w:val="1A1D21"/>
                <w:sz w:val="17"/>
              </w:rPr>
              <w:t>7,517</w:t>
            </w:r>
          </w:p>
        </w:tc>
        <w:tc>
          <w:tcPr>
            <w:tcW w:type="dxa" w:w="1026"/>
          </w:tcPr>
          <w:p>
            <w:pPr>
              <w:jc w:val="right"/>
            </w:pPr>
            <w:r/>
            <w:r>
              <w:rPr>
                <w:color w:val="1A1D21"/>
                <w:sz w:val="17"/>
              </w:rPr>
              <w:t>0</w:t>
            </w:r>
          </w:p>
        </w:tc>
      </w:tr>
      <w:tr>
        <w:trPr>
          <w:cantSplit/>
        </w:trPr>
        <w:tc>
          <w:tcPr>
            <w:tcW w:type="dxa" w:w="1984"/>
          </w:tcPr>
          <w:p>
            <w:r/>
            <w:r>
              <w:rPr>
                <w:color w:val="1A1D21"/>
                <w:sz w:val="17"/>
              </w:rPr>
              <w:t>Closing cash</w:t>
            </w:r>
          </w:p>
        </w:tc>
        <w:tc>
          <w:tcPr>
            <w:tcW w:type="dxa" w:w="1026"/>
          </w:tcPr>
          <w:p>
            <w:pPr>
              <w:jc w:val="right"/>
            </w:pPr>
            <w:r/>
            <w:r>
              <w:rPr>
                <w:color w:val="1A1D21"/>
                <w:sz w:val="17"/>
              </w:rPr>
              <w:t>5,221</w:t>
            </w:r>
          </w:p>
        </w:tc>
        <w:tc>
          <w:tcPr>
            <w:tcW w:type="dxa" w:w="1026"/>
          </w:tcPr>
          <w:p>
            <w:pPr>
              <w:jc w:val="right"/>
            </w:pPr>
            <w:r/>
            <w:r>
              <w:rPr>
                <w:color w:val="1A1D21"/>
                <w:sz w:val="17"/>
              </w:rPr>
              <w:t>2,355</w:t>
            </w:r>
          </w:p>
        </w:tc>
        <w:tc>
          <w:tcPr>
            <w:tcW w:type="dxa" w:w="1026"/>
          </w:tcPr>
          <w:p>
            <w:pPr>
              <w:jc w:val="right"/>
            </w:pPr>
            <w:r/>
            <w:r>
              <w:rPr>
                <w:color w:val="1A1D21"/>
                <w:sz w:val="17"/>
              </w:rPr>
              <w:t>2,355</w:t>
            </w:r>
          </w:p>
        </w:tc>
        <w:tc>
          <w:tcPr>
            <w:tcW w:type="dxa" w:w="1026"/>
          </w:tcPr>
          <w:p>
            <w:pPr>
              <w:jc w:val="right"/>
            </w:pPr>
            <w:r/>
            <w:r>
              <w:rPr>
                <w:color w:val="1A1D21"/>
                <w:sz w:val="17"/>
              </w:rPr>
              <w:t>2,355</w:t>
            </w:r>
          </w:p>
        </w:tc>
        <w:tc>
          <w:tcPr>
            <w:tcW w:type="dxa" w:w="1026"/>
          </w:tcPr>
          <w:p>
            <w:pPr>
              <w:jc w:val="right"/>
            </w:pPr>
            <w:r/>
            <w:r>
              <w:rPr>
                <w:color w:val="1A1D21"/>
                <w:sz w:val="17"/>
              </w:rPr>
              <w:t>2,355</w:t>
            </w:r>
          </w:p>
        </w:tc>
        <w:tc>
          <w:tcPr>
            <w:tcW w:type="dxa" w:w="1026"/>
          </w:tcPr>
          <w:p>
            <w:pPr>
              <w:jc w:val="right"/>
            </w:pPr>
            <w:r/>
            <w:r>
              <w:rPr>
                <w:color w:val="1A1D21"/>
                <w:sz w:val="17"/>
              </w:rPr>
              <w:t>2,355</w:t>
            </w:r>
          </w:p>
        </w:tc>
        <w:tc>
          <w:tcPr>
            <w:tcW w:type="dxa" w:w="1026"/>
          </w:tcPr>
          <w:p>
            <w:pPr>
              <w:jc w:val="right"/>
            </w:pPr>
            <w:r/>
            <w:r>
              <w:rPr>
                <w:color w:val="1A1D21"/>
                <w:sz w:val="17"/>
              </w:rPr>
              <w:t>7,905</w:t>
            </w:r>
          </w:p>
        </w:tc>
      </w:tr>
    </w:tbl>
    <w:p>
      <w:pPr>
        <w:spacing w:after="80"/>
      </w:pPr>
      <w:r>
        <w:rPr>
          <w:b w:val="0"/>
          <w:i w:val="0"/>
          <w:color w:val="1A1D21"/>
          <w:sz w:val="8"/>
        </w:rPr>
      </w:r>
    </w:p>
    <w:tbl>
      <w:tblPr>
        <w:tblStyle w:val="TableGrid"/>
        <w:tblW w:type="auto" w:w="0"/>
        <w:jc w:val="center"/>
        <w:tblLayout w:type="fixed"/>
        <w:tblLook w:firstColumn="1" w:firstRow="1" w:lastColumn="0" w:lastRow="0" w:noHBand="0" w:noVBand="1" w:val="04A0"/>
        <w:tblLayout w:type="fixed"/>
      </w:tblPr>
      <w:tblGrid>
        <w:gridCol w:w="1984"/>
        <w:gridCol w:w="1026"/>
        <w:gridCol w:w="1026"/>
        <w:gridCol w:w="1026"/>
        <w:gridCol w:w="1026"/>
        <w:gridCol w:w="1026"/>
        <w:gridCol w:w="1026"/>
        <w:gridCol w:w="1026"/>
      </w:tblGrid>
      <w:tr>
        <w:trPr>
          <w:tblHeader w:val="true"/>
        </w:trPr>
        <w:tc>
          <w:tcPr>
            <w:tcW w:type="dxa" w:w="1984"/>
          </w:tcPr>
          <w:p>
            <w:r/>
            <w:r>
              <w:rPr>
                <w:b/>
                <w:color w:val="5B6570"/>
                <w:sz w:val="17"/>
              </w:rPr>
              <w:t>The cycle this implies</w:t>
            </w:r>
          </w:p>
        </w:tc>
        <w:tc>
          <w:tcPr>
            <w:tcW w:type="dxa" w:w="1026"/>
          </w:tcPr>
          <w:p>
            <w:r/>
            <w:r>
              <w:rPr>
                <w:b/>
                <w:color w:val="5B6570"/>
                <w:sz w:val="17"/>
              </w:rPr>
              <w:t>2026</w:t>
            </w:r>
          </w:p>
        </w:tc>
        <w:tc>
          <w:tcPr>
            <w:tcW w:type="dxa" w:w="1026"/>
          </w:tcPr>
          <w:p>
            <w:r/>
            <w:r>
              <w:rPr>
                <w:b/>
                <w:color w:val="5B6570"/>
                <w:sz w:val="17"/>
              </w:rPr>
              <w:t>2027</w:t>
            </w:r>
          </w:p>
        </w:tc>
        <w:tc>
          <w:tcPr>
            <w:tcW w:type="dxa" w:w="1026"/>
          </w:tcPr>
          <w:p>
            <w:r/>
            <w:r>
              <w:rPr>
                <w:b/>
                <w:color w:val="5B6570"/>
                <w:sz w:val="17"/>
              </w:rPr>
              <w:t>2028</w:t>
            </w:r>
          </w:p>
        </w:tc>
        <w:tc>
          <w:tcPr>
            <w:tcW w:type="dxa" w:w="1026"/>
          </w:tcPr>
          <w:p>
            <w:r/>
            <w:r>
              <w:rPr>
                <w:b/>
                <w:color w:val="5B6570"/>
                <w:sz w:val="17"/>
              </w:rPr>
              <w:t>2029</w:t>
            </w:r>
          </w:p>
        </w:tc>
        <w:tc>
          <w:tcPr>
            <w:tcW w:type="dxa" w:w="1026"/>
          </w:tcPr>
          <w:p>
            <w:r/>
            <w:r>
              <w:rPr>
                <w:b/>
                <w:color w:val="5B6570"/>
                <w:sz w:val="17"/>
              </w:rPr>
              <w:t>2030</w:t>
            </w:r>
          </w:p>
        </w:tc>
        <w:tc>
          <w:tcPr>
            <w:tcW w:type="dxa" w:w="1026"/>
          </w:tcPr>
          <w:p>
            <w:r/>
            <w:r>
              <w:rPr>
                <w:b/>
                <w:color w:val="5B6570"/>
                <w:sz w:val="17"/>
              </w:rPr>
              <w:t>2035</w:t>
            </w:r>
          </w:p>
        </w:tc>
        <w:tc>
          <w:tcPr>
            <w:tcW w:type="dxa" w:w="1026"/>
          </w:tcPr>
          <w:p>
            <w:r/>
            <w:r>
              <w:rPr>
                <w:b/>
                <w:color w:val="5B6570"/>
                <w:sz w:val="17"/>
              </w:rPr>
              <w:t>2040</w:t>
            </w:r>
          </w:p>
        </w:tc>
      </w:tr>
      <w:tr>
        <w:trPr>
          <w:cantSplit/>
        </w:trPr>
        <w:tc>
          <w:tcPr>
            <w:tcW w:type="dxa" w:w="1984"/>
          </w:tcPr>
          <w:p>
            <w:r/>
            <w:r>
              <w:rPr>
                <w:color w:val="1A1D21"/>
                <w:sz w:val="17"/>
              </w:rPr>
              <w:t>Collection period, days</w:t>
            </w:r>
          </w:p>
        </w:tc>
        <w:tc>
          <w:tcPr>
            <w:tcW w:type="dxa" w:w="1026"/>
          </w:tcPr>
          <w:p>
            <w:pPr>
              <w:jc w:val="right"/>
            </w:pPr>
            <w:r/>
            <w:r>
              <w:rPr>
                <w:color w:val="1A1D21"/>
                <w:sz w:val="17"/>
              </w:rPr>
              <w:t>1045</w:t>
            </w:r>
          </w:p>
        </w:tc>
        <w:tc>
          <w:tcPr>
            <w:tcW w:type="dxa" w:w="1026"/>
          </w:tcPr>
          <w:p>
            <w:pPr>
              <w:jc w:val="right"/>
            </w:pPr>
            <w:r/>
            <w:r>
              <w:rPr>
                <w:color w:val="1A1D21"/>
                <w:sz w:val="17"/>
              </w:rPr>
              <w:t>1045</w:t>
            </w:r>
          </w:p>
        </w:tc>
        <w:tc>
          <w:tcPr>
            <w:tcW w:type="dxa" w:w="1026"/>
          </w:tcPr>
          <w:p>
            <w:pPr>
              <w:jc w:val="right"/>
            </w:pPr>
            <w:r/>
            <w:r>
              <w:rPr>
                <w:color w:val="1A1D21"/>
                <w:sz w:val="17"/>
              </w:rPr>
              <w:t>1045</w:t>
            </w:r>
          </w:p>
        </w:tc>
        <w:tc>
          <w:tcPr>
            <w:tcW w:type="dxa" w:w="1026"/>
          </w:tcPr>
          <w:p>
            <w:pPr>
              <w:jc w:val="right"/>
            </w:pPr>
            <w:r/>
            <w:r>
              <w:rPr>
                <w:color w:val="1A1D21"/>
                <w:sz w:val="17"/>
              </w:rPr>
              <w:t>1045</w:t>
            </w:r>
          </w:p>
        </w:tc>
        <w:tc>
          <w:tcPr>
            <w:tcW w:type="dxa" w:w="1026"/>
          </w:tcPr>
          <w:p>
            <w:pPr>
              <w:jc w:val="right"/>
            </w:pPr>
            <w:r/>
            <w:r>
              <w:rPr>
                <w:color w:val="1A1D21"/>
                <w:sz w:val="17"/>
              </w:rPr>
              <w:t>1045</w:t>
            </w:r>
          </w:p>
        </w:tc>
        <w:tc>
          <w:tcPr>
            <w:tcW w:type="dxa" w:w="1026"/>
          </w:tcPr>
          <w:p>
            <w:pPr>
              <w:jc w:val="right"/>
            </w:pPr>
            <w:r/>
            <w:r>
              <w:rPr>
                <w:color w:val="1A1D21"/>
                <w:sz w:val="17"/>
              </w:rPr>
              <w:t>1045</w:t>
            </w:r>
          </w:p>
        </w:tc>
        <w:tc>
          <w:tcPr>
            <w:tcW w:type="dxa" w:w="1026"/>
          </w:tcPr>
          <w:p>
            <w:pPr>
              <w:jc w:val="right"/>
            </w:pPr>
            <w:r/>
            <w:r>
              <w:rPr>
                <w:color w:val="1A1D21"/>
                <w:sz w:val="17"/>
              </w:rPr>
              <w:t>1045</w:t>
            </w:r>
          </w:p>
        </w:tc>
      </w:tr>
      <w:tr>
        <w:trPr>
          <w:cantSplit/>
        </w:trPr>
        <w:tc>
          <w:tcPr>
            <w:tcW w:type="dxa" w:w="1984"/>
          </w:tcPr>
          <w:p>
            <w:r/>
            <w:r>
              <w:rPr>
                <w:color w:val="1A1D21"/>
                <w:sz w:val="17"/>
              </w:rPr>
              <w:t>Work in progress, days of cost</w:t>
            </w:r>
          </w:p>
        </w:tc>
        <w:tc>
          <w:tcPr>
            <w:tcW w:type="dxa" w:w="1026"/>
          </w:tcPr>
          <w:p>
            <w:pPr>
              <w:jc w:val="right"/>
            </w:pPr>
            <w:r/>
            <w:r>
              <w:rPr>
                <w:color w:val="1A1D21"/>
                <w:sz w:val="17"/>
              </w:rPr>
              <w:t>275</w:t>
            </w:r>
          </w:p>
        </w:tc>
        <w:tc>
          <w:tcPr>
            <w:tcW w:type="dxa" w:w="1026"/>
          </w:tcPr>
          <w:p>
            <w:pPr>
              <w:jc w:val="right"/>
            </w:pPr>
            <w:r/>
            <w:r>
              <w:rPr>
                <w:color w:val="1A1D21"/>
                <w:sz w:val="17"/>
              </w:rPr>
              <w:t>275</w:t>
            </w:r>
          </w:p>
        </w:tc>
        <w:tc>
          <w:tcPr>
            <w:tcW w:type="dxa" w:w="1026"/>
          </w:tcPr>
          <w:p>
            <w:pPr>
              <w:jc w:val="right"/>
            </w:pPr>
            <w:r/>
            <w:r>
              <w:rPr>
                <w:color w:val="1A1D21"/>
                <w:sz w:val="17"/>
              </w:rPr>
              <w:t>275</w:t>
            </w:r>
          </w:p>
        </w:tc>
        <w:tc>
          <w:tcPr>
            <w:tcW w:type="dxa" w:w="1026"/>
          </w:tcPr>
          <w:p>
            <w:pPr>
              <w:jc w:val="right"/>
            </w:pPr>
            <w:r/>
            <w:r>
              <w:rPr>
                <w:color w:val="1A1D21"/>
                <w:sz w:val="17"/>
              </w:rPr>
              <w:t>275</w:t>
            </w:r>
          </w:p>
        </w:tc>
        <w:tc>
          <w:tcPr>
            <w:tcW w:type="dxa" w:w="1026"/>
          </w:tcPr>
          <w:p>
            <w:pPr>
              <w:jc w:val="right"/>
            </w:pPr>
            <w:r/>
            <w:r>
              <w:rPr>
                <w:color w:val="1A1D21"/>
                <w:sz w:val="17"/>
              </w:rPr>
              <w:t>275</w:t>
            </w:r>
          </w:p>
        </w:tc>
        <w:tc>
          <w:tcPr>
            <w:tcW w:type="dxa" w:w="1026"/>
          </w:tcPr>
          <w:p>
            <w:pPr>
              <w:jc w:val="right"/>
            </w:pPr>
            <w:r/>
            <w:r>
              <w:rPr>
                <w:color w:val="1A1D21"/>
                <w:sz w:val="17"/>
              </w:rPr>
              <w:t>275</w:t>
            </w:r>
          </w:p>
        </w:tc>
        <w:tc>
          <w:tcPr>
            <w:tcW w:type="dxa" w:w="1026"/>
          </w:tcPr>
          <w:p>
            <w:pPr>
              <w:jc w:val="right"/>
            </w:pPr>
            <w:r/>
            <w:r>
              <w:rPr>
                <w:color w:val="1A1D21"/>
                <w:sz w:val="17"/>
              </w:rPr>
              <w:t>275</w:t>
            </w:r>
          </w:p>
        </w:tc>
      </w:tr>
      <w:tr>
        <w:trPr>
          <w:cantSplit/>
        </w:trPr>
        <w:tc>
          <w:tcPr>
            <w:tcW w:type="dxa" w:w="1984"/>
          </w:tcPr>
          <w:p>
            <w:r/>
            <w:r>
              <w:rPr>
                <w:color w:val="1A1D21"/>
                <w:sz w:val="17"/>
              </w:rPr>
              <w:t>Suppliers, days of cost</w:t>
            </w:r>
          </w:p>
        </w:tc>
        <w:tc>
          <w:tcPr>
            <w:tcW w:type="dxa" w:w="1026"/>
          </w:tcPr>
          <w:p>
            <w:pPr>
              <w:jc w:val="right"/>
            </w:pPr>
            <w:r/>
            <w:r>
              <w:rPr>
                <w:color w:val="1A1D21"/>
                <w:sz w:val="17"/>
              </w:rPr>
              <w:t>60</w:t>
            </w:r>
          </w:p>
        </w:tc>
        <w:tc>
          <w:tcPr>
            <w:tcW w:type="dxa" w:w="1026"/>
          </w:tcPr>
          <w:p>
            <w:pPr>
              <w:jc w:val="right"/>
            </w:pPr>
            <w:r/>
            <w:r>
              <w:rPr>
                <w:color w:val="1A1D21"/>
                <w:sz w:val="17"/>
              </w:rPr>
              <w:t>60</w:t>
            </w:r>
          </w:p>
        </w:tc>
        <w:tc>
          <w:tcPr>
            <w:tcW w:type="dxa" w:w="1026"/>
          </w:tcPr>
          <w:p>
            <w:pPr>
              <w:jc w:val="right"/>
            </w:pPr>
            <w:r/>
            <w:r>
              <w:rPr>
                <w:color w:val="1A1D21"/>
                <w:sz w:val="17"/>
              </w:rPr>
              <w:t>60</w:t>
            </w:r>
          </w:p>
        </w:tc>
        <w:tc>
          <w:tcPr>
            <w:tcW w:type="dxa" w:w="1026"/>
          </w:tcPr>
          <w:p>
            <w:pPr>
              <w:jc w:val="right"/>
            </w:pPr>
            <w:r/>
            <w:r>
              <w:rPr>
                <w:color w:val="1A1D21"/>
                <w:sz w:val="17"/>
              </w:rPr>
              <w:t>60</w:t>
            </w:r>
          </w:p>
        </w:tc>
        <w:tc>
          <w:tcPr>
            <w:tcW w:type="dxa" w:w="1026"/>
          </w:tcPr>
          <w:p>
            <w:pPr>
              <w:jc w:val="right"/>
            </w:pPr>
            <w:r/>
            <w:r>
              <w:rPr>
                <w:color w:val="1A1D21"/>
                <w:sz w:val="17"/>
              </w:rPr>
              <w:t>60</w:t>
            </w:r>
          </w:p>
        </w:tc>
        <w:tc>
          <w:tcPr>
            <w:tcW w:type="dxa" w:w="1026"/>
          </w:tcPr>
          <w:p>
            <w:pPr>
              <w:jc w:val="right"/>
            </w:pPr>
            <w:r/>
            <w:r>
              <w:rPr>
                <w:color w:val="1A1D21"/>
                <w:sz w:val="17"/>
              </w:rPr>
              <w:t>60</w:t>
            </w:r>
          </w:p>
        </w:tc>
        <w:tc>
          <w:tcPr>
            <w:tcW w:type="dxa" w:w="1026"/>
          </w:tcPr>
          <w:p>
            <w:pPr>
              <w:jc w:val="right"/>
            </w:pPr>
            <w:r/>
            <w:r>
              <w:rPr>
                <w:color w:val="1A1D21"/>
                <w:sz w:val="17"/>
              </w:rPr>
              <w:t>60</w:t>
            </w:r>
          </w:p>
        </w:tc>
      </w:tr>
      <w:tr>
        <w:trPr>
          <w:cantSplit/>
        </w:trPr>
        <w:tc>
          <w:tcPr>
            <w:tcW w:type="dxa" w:w="1984"/>
          </w:tcPr>
          <w:p>
            <w:r/>
            <w:r>
              <w:rPr>
                <w:color w:val="1A1D21"/>
                <w:sz w:val="17"/>
              </w:rPr>
              <w:t>Customer advances, share of the order book</w:t>
            </w:r>
          </w:p>
        </w:tc>
        <w:tc>
          <w:tcPr>
            <w:tcW w:type="dxa" w:w="1026"/>
          </w:tcPr>
          <w:p>
            <w:pPr>
              <w:jc w:val="right"/>
            </w:pPr>
            <w:r/>
            <w:r>
              <w:rPr>
                <w:color w:val="1A1D21"/>
                <w:sz w:val="17"/>
              </w:rPr>
              <w:t>21.8%</w:t>
            </w:r>
          </w:p>
        </w:tc>
        <w:tc>
          <w:tcPr>
            <w:tcW w:type="dxa" w:w="1026"/>
          </w:tcPr>
          <w:p>
            <w:pPr>
              <w:jc w:val="right"/>
            </w:pPr>
            <w:r/>
            <w:r>
              <w:rPr>
                <w:color w:val="1A1D21"/>
                <w:sz w:val="17"/>
              </w:rPr>
              <w:t>22.2%</w:t>
            </w:r>
          </w:p>
        </w:tc>
        <w:tc>
          <w:tcPr>
            <w:tcW w:type="dxa" w:w="1026"/>
          </w:tcPr>
          <w:p>
            <w:pPr>
              <w:jc w:val="right"/>
            </w:pPr>
            <w:r/>
            <w:r>
              <w:rPr>
                <w:color w:val="1A1D21"/>
                <w:sz w:val="17"/>
              </w:rPr>
              <w:t>22.7%</w:t>
            </w:r>
          </w:p>
        </w:tc>
        <w:tc>
          <w:tcPr>
            <w:tcW w:type="dxa" w:w="1026"/>
          </w:tcPr>
          <w:p>
            <w:pPr>
              <w:jc w:val="right"/>
            </w:pPr>
            <w:r/>
            <w:r>
              <w:rPr>
                <w:color w:val="1A1D21"/>
                <w:sz w:val="17"/>
              </w:rPr>
              <w:t>23.3%</w:t>
            </w:r>
          </w:p>
        </w:tc>
        <w:tc>
          <w:tcPr>
            <w:tcW w:type="dxa" w:w="1026"/>
          </w:tcPr>
          <w:p>
            <w:pPr>
              <w:jc w:val="right"/>
            </w:pPr>
            <w:r/>
            <w:r>
              <w:rPr>
                <w:color w:val="1A1D21"/>
                <w:sz w:val="17"/>
              </w:rPr>
              <w:t>24.1%</w:t>
            </w:r>
          </w:p>
        </w:tc>
        <w:tc>
          <w:tcPr>
            <w:tcW w:type="dxa" w:w="1026"/>
          </w:tcPr>
          <w:p>
            <w:pPr>
              <w:jc w:val="right"/>
            </w:pPr>
            <w:r/>
            <w:r>
              <w:rPr>
                <w:color w:val="1A1D21"/>
                <w:sz w:val="17"/>
              </w:rPr>
              <w:t>28.4%</w:t>
            </w:r>
          </w:p>
        </w:tc>
        <w:tc>
          <w:tcPr>
            <w:tcW w:type="dxa" w:w="1026"/>
          </w:tcPr>
          <w:p>
            <w:pPr>
              <w:jc w:val="right"/>
            </w:pPr>
            <w:r/>
            <w:r>
              <w:rPr>
                <w:color w:val="1A1D21"/>
                <w:sz w:val="17"/>
              </w:rPr>
              <w:t>28.1%</w:t>
            </w:r>
          </w:p>
        </w:tc>
      </w:tr>
      <w:tr>
        <w:trPr>
          <w:cantSplit/>
        </w:trPr>
        <w:tc>
          <w:tcPr>
            <w:tcW w:type="dxa" w:w="1984"/>
          </w:tcPr>
          <w:p>
            <w:r/>
            <w:r>
              <w:rPr>
                <w:color w:val="1A1D21"/>
                <w:sz w:val="17"/>
              </w:rPr>
              <w:t>Net working capital</w:t>
            </w:r>
          </w:p>
        </w:tc>
        <w:tc>
          <w:tcPr>
            <w:tcW w:type="dxa" w:w="1026"/>
          </w:tcPr>
          <w:p>
            <w:pPr>
              <w:jc w:val="right"/>
            </w:pPr>
            <w:r/>
            <w:r>
              <w:rPr>
                <w:color w:val="1A1D21"/>
                <w:sz w:val="17"/>
              </w:rPr>
              <w:t>69,179</w:t>
            </w:r>
          </w:p>
        </w:tc>
        <w:tc>
          <w:tcPr>
            <w:tcW w:type="dxa" w:w="1026"/>
          </w:tcPr>
          <w:p>
            <w:pPr>
              <w:jc w:val="right"/>
            </w:pPr>
            <w:r/>
            <w:r>
              <w:rPr>
                <w:color w:val="1A1D21"/>
                <w:sz w:val="17"/>
              </w:rPr>
              <w:t>89,103</w:t>
            </w:r>
          </w:p>
        </w:tc>
        <w:tc>
          <w:tcPr>
            <w:tcW w:type="dxa" w:w="1026"/>
          </w:tcPr>
          <w:p>
            <w:pPr>
              <w:jc w:val="right"/>
            </w:pPr>
            <w:r/>
            <w:r>
              <w:rPr>
                <w:color w:val="1A1D21"/>
                <w:sz w:val="17"/>
              </w:rPr>
              <w:t>110,233</w:t>
            </w:r>
          </w:p>
        </w:tc>
        <w:tc>
          <w:tcPr>
            <w:tcW w:type="dxa" w:w="1026"/>
          </w:tcPr>
          <w:p>
            <w:pPr>
              <w:jc w:val="right"/>
            </w:pPr>
            <w:r/>
            <w:r>
              <w:rPr>
                <w:color w:val="1A1D21"/>
                <w:sz w:val="17"/>
              </w:rPr>
              <w:t>132,721</w:t>
            </w:r>
          </w:p>
        </w:tc>
        <w:tc>
          <w:tcPr>
            <w:tcW w:type="dxa" w:w="1026"/>
          </w:tcPr>
          <w:p>
            <w:pPr>
              <w:jc w:val="right"/>
            </w:pPr>
            <w:r/>
            <w:r>
              <w:rPr>
                <w:color w:val="1A1D21"/>
                <w:sz w:val="17"/>
              </w:rPr>
              <w:t>156,923</w:t>
            </w:r>
          </w:p>
        </w:tc>
        <w:tc>
          <w:tcPr>
            <w:tcW w:type="dxa" w:w="1026"/>
          </w:tcPr>
          <w:p>
            <w:pPr>
              <w:jc w:val="right"/>
            </w:pPr>
            <w:r/>
            <w:r>
              <w:rPr>
                <w:color w:val="1A1D21"/>
                <w:sz w:val="17"/>
              </w:rPr>
              <w:t>294,238</w:t>
            </w:r>
          </w:p>
        </w:tc>
        <w:tc>
          <w:tcPr>
            <w:tcW w:type="dxa" w:w="1026"/>
          </w:tcPr>
          <w:p>
            <w:pPr>
              <w:jc w:val="right"/>
            </w:pPr>
            <w:r/>
            <w:r>
              <w:rPr>
                <w:color w:val="1A1D21"/>
                <w:sz w:val="17"/>
              </w:rPr>
              <w:t>418,874</w:t>
            </w:r>
          </w:p>
        </w:tc>
      </w:tr>
      <w:tr>
        <w:trPr>
          <w:cantSplit/>
        </w:trPr>
        <w:tc>
          <w:tcPr>
            <w:tcW w:type="dxa" w:w="1984"/>
          </w:tcPr>
          <w:p>
            <w:r/>
            <w:r>
              <w:rPr>
                <w:color w:val="1A1D21"/>
                <w:sz w:val="17"/>
              </w:rPr>
              <w:t xml:space="preserve">  as a multiple of revenue</w:t>
            </w:r>
          </w:p>
        </w:tc>
        <w:tc>
          <w:tcPr>
            <w:tcW w:type="dxa" w:w="1026"/>
          </w:tcPr>
          <w:p>
            <w:pPr>
              <w:jc w:val="right"/>
            </w:pPr>
            <w:r/>
            <w:r>
              <w:rPr>
                <w:color w:val="1A1D21"/>
                <w:sz w:val="17"/>
              </w:rPr>
              <w:t>1.72</w:t>
            </w:r>
          </w:p>
        </w:tc>
        <w:tc>
          <w:tcPr>
            <w:tcW w:type="dxa" w:w="1026"/>
          </w:tcPr>
          <w:p>
            <w:pPr>
              <w:jc w:val="right"/>
            </w:pPr>
            <w:r/>
            <w:r>
              <w:rPr>
                <w:color w:val="1A1D21"/>
                <w:sz w:val="17"/>
              </w:rPr>
              <w:t>1.72</w:t>
            </w:r>
          </w:p>
        </w:tc>
        <w:tc>
          <w:tcPr>
            <w:tcW w:type="dxa" w:w="1026"/>
          </w:tcPr>
          <w:p>
            <w:pPr>
              <w:jc w:val="right"/>
            </w:pPr>
            <w:r/>
            <w:r>
              <w:rPr>
                <w:color w:val="1A1D21"/>
                <w:sz w:val="17"/>
              </w:rPr>
              <w:t>1.72</w:t>
            </w:r>
          </w:p>
        </w:tc>
        <w:tc>
          <w:tcPr>
            <w:tcW w:type="dxa" w:w="1026"/>
          </w:tcPr>
          <w:p>
            <w:pPr>
              <w:jc w:val="right"/>
            </w:pPr>
            <w:r/>
            <w:r>
              <w:rPr>
                <w:color w:val="1A1D21"/>
                <w:sz w:val="17"/>
              </w:rPr>
              <w:t>1.72</w:t>
            </w:r>
          </w:p>
        </w:tc>
        <w:tc>
          <w:tcPr>
            <w:tcW w:type="dxa" w:w="1026"/>
          </w:tcPr>
          <w:p>
            <w:pPr>
              <w:jc w:val="right"/>
            </w:pPr>
            <w:r/>
            <w:r>
              <w:rPr>
                <w:color w:val="1A1D21"/>
                <w:sz w:val="17"/>
              </w:rPr>
              <w:t>1.72</w:t>
            </w:r>
          </w:p>
        </w:tc>
        <w:tc>
          <w:tcPr>
            <w:tcW w:type="dxa" w:w="1026"/>
          </w:tcPr>
          <w:p>
            <w:pPr>
              <w:jc w:val="right"/>
            </w:pPr>
            <w:r/>
            <w:r>
              <w:rPr>
                <w:color w:val="1A1D21"/>
                <w:sz w:val="17"/>
              </w:rPr>
              <w:t>1.72</w:t>
            </w:r>
          </w:p>
        </w:tc>
        <w:tc>
          <w:tcPr>
            <w:tcW w:type="dxa" w:w="1026"/>
          </w:tcPr>
          <w:p>
            <w:pPr>
              <w:jc w:val="right"/>
            </w:pPr>
            <w:r/>
            <w:r>
              <w:rPr>
                <w:color w:val="1A1D21"/>
                <w:sz w:val="17"/>
              </w:rPr>
              <w:t>1.72</w:t>
            </w:r>
          </w:p>
        </w:tc>
      </w:tr>
    </w:tbl>
    <w:p>
      <w:pPr>
        <w:spacing w:after="200"/>
      </w:pPr>
      <w:r>
        <w:rPr>
          <w:b w:val="0"/>
          <w:i/>
          <w:color w:val="5B6570"/>
          <w:sz w:val="16"/>
        </w:rPr>
        <w:t>Every ratio is held where 2025 left it, by construction. The customer-advance share rises only because the order book grows more slowly than revenue on this path.</w:t>
      </w:r>
    </w:p>
    <w:p>
      <w:pPr>
        <w:spacing w:after="140"/>
      </w:pPr>
      <w:r>
        <w:rPr>
          <w:b w:val="0"/>
          <w:i w:val="0"/>
          <w:color w:val="1A1D21"/>
          <w:sz w:val="20"/>
        </w:rPr>
        <w:t>This reading does not produce a value per share, and the reason is worth stating plainly rather than burying. Free cash flow is negative in every one of the five years and reaches minus EGP 4,395 million in 2030. A terminal value taken on a negative flow returns a large negative number that looks like a valuation and is not one: it asserts the company burns cash for ever at a compounding rate, which is not a forecast anybody made. So none is taken. What this reading measures instead is the funding the growth would need.</w:t>
      </w:r>
    </w:p>
    <w:tbl>
      <w:tblPr>
        <w:tblStyle w:val="TableGrid"/>
        <w:tblW w:type="auto" w:w="0"/>
        <w:jc w:val="center"/>
        <w:tblLayout w:type="fixed"/>
        <w:tblLook w:firstColumn="1" w:firstRow="1" w:lastColumn="0" w:lastRow="0" w:noHBand="0" w:noVBand="1" w:val="04A0"/>
        <w:tblLayout w:type="fixed"/>
      </w:tblPr>
      <w:tblGrid>
        <w:gridCol w:w="6010"/>
        <w:gridCol w:w="3175"/>
      </w:tblGrid>
      <w:tr>
        <w:trPr>
          <w:tblHeader w:val="true"/>
        </w:trPr>
        <w:tc>
          <w:tcPr>
            <w:tcW w:type="dxa" w:w="6009"/>
          </w:tcPr>
          <w:p>
            <w:r/>
            <w:r>
              <w:rPr>
                <w:b/>
                <w:color w:val="5B6570"/>
                <w:sz w:val="17"/>
              </w:rPr>
              <w:t>If the cycle holds, what the growth costs</w:t>
            </w:r>
          </w:p>
        </w:tc>
        <w:tc>
          <w:tcPr>
            <w:tcW w:type="dxa" w:w="3175"/>
          </w:tcPr>
          <w:p>
            <w:r/>
            <w:r>
              <w:rPr>
                <w:b/>
                <w:color w:val="5B6570"/>
                <w:sz w:val="17"/>
              </w:rPr>
              <w:t>EGP mn</w:t>
            </w:r>
          </w:p>
        </w:tc>
      </w:tr>
      <w:tr>
        <w:trPr>
          <w:cantSplit/>
        </w:trPr>
        <w:tc>
          <w:tcPr>
            <w:tcW w:type="dxa" w:w="6009"/>
          </w:tcPr>
          <w:p>
            <w:r/>
            <w:r>
              <w:rPr>
                <w:color w:val="1A1D21"/>
                <w:sz w:val="17"/>
              </w:rPr>
              <w:t>Present value of the five forecast years</w:t>
            </w:r>
          </w:p>
        </w:tc>
        <w:tc>
          <w:tcPr>
            <w:tcW w:type="dxa" w:w="3175"/>
          </w:tcPr>
          <w:p>
            <w:pPr>
              <w:jc w:val="right"/>
            </w:pPr>
            <w:r/>
            <w:r>
              <w:rPr>
                <w:color w:val="1A1D21"/>
                <w:sz w:val="17"/>
              </w:rPr>
              <w:t>-39,965</w:t>
            </w:r>
          </w:p>
        </w:tc>
      </w:tr>
      <w:tr>
        <w:trPr>
          <w:cantSplit/>
        </w:trPr>
        <w:tc>
          <w:tcPr>
            <w:tcW w:type="dxa" w:w="6009"/>
          </w:tcPr>
          <w:p>
            <w:r/>
            <w:r>
              <w:rPr>
                <w:color w:val="1A1D21"/>
                <w:sz w:val="17"/>
              </w:rPr>
              <w:t>New borrowing required by 2030</w:t>
            </w:r>
          </w:p>
        </w:tc>
        <w:tc>
          <w:tcPr>
            <w:tcW w:type="dxa" w:w="3175"/>
          </w:tcPr>
          <w:p>
            <w:pPr>
              <w:jc w:val="right"/>
            </w:pPr>
            <w:r/>
            <w:r>
              <w:rPr>
                <w:color w:val="1A1D21"/>
                <w:sz w:val="17"/>
              </w:rPr>
              <w:t>121,474</w:t>
            </w:r>
          </w:p>
        </w:tc>
      </w:tr>
      <w:tr>
        <w:trPr>
          <w:cantSplit/>
        </w:trPr>
        <w:tc>
          <w:tcPr>
            <w:tcW w:type="dxa" w:w="6009"/>
          </w:tcPr>
          <w:p>
            <w:r/>
            <w:r>
              <w:rPr>
                <w:color w:val="1A1D21"/>
                <w:sz w:val="17"/>
              </w:rPr>
              <w:t>Its annual interest by 2030, at 25.50 per cent</w:t>
            </w:r>
          </w:p>
        </w:tc>
        <w:tc>
          <w:tcPr>
            <w:tcW w:type="dxa" w:w="3175"/>
          </w:tcPr>
          <w:p>
            <w:pPr>
              <w:jc w:val="right"/>
            </w:pPr>
            <w:r/>
            <w:r>
              <w:rPr>
                <w:color w:val="1A1D21"/>
                <w:sz w:val="17"/>
              </w:rPr>
              <w:t>30,976</w:t>
            </w:r>
          </w:p>
        </w:tc>
      </w:tr>
      <w:tr>
        <w:trPr>
          <w:cantSplit/>
        </w:trPr>
        <w:tc>
          <w:tcPr>
            <w:tcW w:type="dxa" w:w="6009"/>
          </w:tcPr>
          <w:p>
            <w:r/>
            <w:r>
              <w:rPr>
                <w:color w:val="1A1D21"/>
                <w:sz w:val="17"/>
              </w:rPr>
              <w:t>That interest as a share of 2030 operating profit</w:t>
            </w:r>
          </w:p>
        </w:tc>
        <w:tc>
          <w:tcPr>
            <w:tcW w:type="dxa" w:w="3175"/>
          </w:tcPr>
          <w:p>
            <w:pPr>
              <w:jc w:val="right"/>
            </w:pPr>
            <w:r/>
            <w:r>
              <w:rPr>
                <w:color w:val="1A1D21"/>
                <w:sz w:val="17"/>
              </w:rPr>
              <w:t>75%</w:t>
            </w:r>
          </w:p>
        </w:tc>
      </w:tr>
    </w:tbl>
    <w:p>
      <w:pPr>
        <w:spacing w:after="200"/>
      </w:pPr>
      <w:r>
        <w:rPr>
          <w:b w:val="0"/>
          <w:i/>
          <w:color w:val="5B6570"/>
          <w:sz w:val="16"/>
        </w:rPr>
        <w:t>The interest on that borrowing is not in the profit forecast above, and by 2030 it would exceed operating profit outright. The collection cycle and this growth path cannot both hold — which is the finding, not a defect in the arithmetic.</w:t>
      </w:r>
    </w:p>
    <w:p>
      <w:r>
        <w:br w:type="page"/>
      </w:r>
    </w:p>
    <w:p>
      <w:pPr>
        <w:pStyle w:val="Heading1"/>
      </w:pPr>
      <w:r>
        <w:t>Appendix B  Peer frame, risk register and research register</w:t>
      </w:r>
    </w:p>
    <w:p>
      <w:pPr>
        <w:pStyle w:val="Heading2"/>
      </w:pPr>
      <w:r>
        <w:t>B.1  The Egyptian listed developers</w:t>
      </w:r>
    </w:p>
    <w:tbl>
      <w:tblPr>
        <w:tblStyle w:val="TableGrid"/>
        <w:tblW w:type="auto" w:w="0"/>
        <w:jc w:val="center"/>
        <w:tblLayout w:type="fixed"/>
        <w:tblLook w:firstColumn="1" w:firstRow="1" w:lastColumn="0" w:lastRow="0" w:noHBand="0" w:noVBand="1" w:val="04A0"/>
        <w:tblLayout w:type="fixed"/>
      </w:tblPr>
      <w:tblGrid>
        <w:gridCol w:w="964"/>
        <w:gridCol w:w="2495"/>
        <w:gridCol w:w="1134"/>
        <w:gridCol w:w="1247"/>
        <w:gridCol w:w="1134"/>
        <w:gridCol w:w="1134"/>
        <w:gridCol w:w="1134"/>
      </w:tblGrid>
      <w:tr>
        <w:trPr>
          <w:tblHeader w:val="true"/>
        </w:trPr>
        <w:tc>
          <w:tcPr>
            <w:tcW w:type="dxa" w:w="964"/>
          </w:tcPr>
          <w:p>
            <w:r/>
            <w:r>
              <w:rPr>
                <w:b/>
                <w:color w:val="5B6570"/>
                <w:sz w:val="17"/>
              </w:rPr>
              <w:t>Code</w:t>
            </w:r>
          </w:p>
        </w:tc>
        <w:tc>
          <w:tcPr>
            <w:tcW w:type="dxa" w:w="2494"/>
          </w:tcPr>
          <w:p>
            <w:r/>
            <w:r>
              <w:rPr>
                <w:b/>
                <w:color w:val="5B6570"/>
                <w:sz w:val="17"/>
              </w:rPr>
              <w:t>Company</w:t>
            </w:r>
          </w:p>
        </w:tc>
        <w:tc>
          <w:tcPr>
            <w:tcW w:type="dxa" w:w="1134"/>
          </w:tcPr>
          <w:p>
            <w:r/>
            <w:r>
              <w:rPr>
                <w:b/>
                <w:color w:val="5B6570"/>
                <w:sz w:val="17"/>
              </w:rPr>
              <w:t>Beta</w:t>
            </w:r>
          </w:p>
        </w:tc>
        <w:tc>
          <w:tcPr>
            <w:tcW w:type="dxa" w:w="1247"/>
          </w:tcPr>
          <w:p>
            <w:r/>
            <w:r>
              <w:rPr>
                <w:b/>
                <w:color w:val="5B6570"/>
                <w:sz w:val="17"/>
              </w:rPr>
              <w:t>R-squared</w:t>
            </w:r>
          </w:p>
        </w:tc>
        <w:tc>
          <w:tcPr>
            <w:tcW w:type="dxa" w:w="1134"/>
          </w:tcPr>
          <w:p>
            <w:r/>
            <w:r>
              <w:rPr>
                <w:b/>
                <w:color w:val="5B6570"/>
                <w:sz w:val="17"/>
              </w:rPr>
              <w:t>Std error</w:t>
            </w:r>
          </w:p>
        </w:tc>
        <w:tc>
          <w:tcPr>
            <w:tcW w:type="dxa" w:w="1134"/>
          </w:tcPr>
          <w:p>
            <w:r/>
            <w:r>
              <w:rPr>
                <w:b/>
                <w:color w:val="5B6570"/>
                <w:sz w:val="17"/>
              </w:rPr>
              <w:t>Volatility</w:t>
            </w:r>
          </w:p>
        </w:tc>
        <w:tc>
          <w:tcPr>
            <w:tcW w:type="dxa" w:w="1134"/>
          </w:tcPr>
          <w:p>
            <w:r/>
            <w:r>
              <w:rPr>
                <w:b/>
                <w:color w:val="5B6570"/>
                <w:sz w:val="17"/>
              </w:rPr>
              <w:t>Worst fall</w:t>
            </w:r>
          </w:p>
        </w:tc>
      </w:tr>
      <w:tr>
        <w:trPr>
          <w:cantSplit/>
        </w:trPr>
        <w:tc>
          <w:tcPr>
            <w:tcW w:type="dxa" w:w="964"/>
          </w:tcPr>
          <w:p>
            <w:r/>
            <w:r>
              <w:rPr>
                <w:color w:val="1A1D21"/>
                <w:sz w:val="17"/>
              </w:rPr>
              <w:t>TMGH</w:t>
            </w:r>
          </w:p>
        </w:tc>
        <w:tc>
          <w:tcPr>
            <w:tcW w:type="dxa" w:w="2494"/>
          </w:tcPr>
          <w:p>
            <w:r/>
            <w:r>
              <w:rPr>
                <w:color w:val="1A1D21"/>
                <w:sz w:val="17"/>
              </w:rPr>
              <w:t>Talaat Moustafa Group Holding</w:t>
            </w:r>
          </w:p>
        </w:tc>
        <w:tc>
          <w:tcPr>
            <w:tcW w:type="dxa" w:w="1134"/>
          </w:tcPr>
          <w:p>
            <w:pPr>
              <w:jc w:val="right"/>
            </w:pPr>
            <w:r/>
            <w:r>
              <w:rPr>
                <w:color w:val="1A1D21"/>
                <w:sz w:val="17"/>
              </w:rPr>
              <w:t>1.4687</w:t>
            </w:r>
          </w:p>
        </w:tc>
        <w:tc>
          <w:tcPr>
            <w:tcW w:type="dxa" w:w="1247"/>
          </w:tcPr>
          <w:p>
            <w:pPr>
              <w:jc w:val="right"/>
            </w:pPr>
            <w:r/>
            <w:r>
              <w:rPr>
                <w:color w:val="1A1D21"/>
                <w:sz w:val="17"/>
              </w:rPr>
              <w:t>32.5%</w:t>
            </w:r>
          </w:p>
        </w:tc>
        <w:tc>
          <w:tcPr>
            <w:tcW w:type="dxa" w:w="1134"/>
          </w:tcPr>
          <w:p>
            <w:pPr>
              <w:jc w:val="right"/>
            </w:pPr>
            <w:r/>
            <w:r>
              <w:rPr>
                <w:color w:val="1A1D21"/>
                <w:sz w:val="17"/>
              </w:rPr>
              <w:t>0.183</w:t>
            </w:r>
          </w:p>
        </w:tc>
        <w:tc>
          <w:tcPr>
            <w:tcW w:type="dxa" w:w="1134"/>
          </w:tcPr>
          <w:p>
            <w:pPr>
              <w:jc w:val="right"/>
            </w:pPr>
            <w:r/>
            <w:r>
              <w:rPr>
                <w:color w:val="1A1D21"/>
                <w:sz w:val="17"/>
              </w:rPr>
              <w:t>43.9%</w:t>
            </w:r>
          </w:p>
        </w:tc>
        <w:tc>
          <w:tcPr>
            <w:tcW w:type="dxa" w:w="1134"/>
          </w:tcPr>
          <w:p>
            <w:pPr>
              <w:jc w:val="right"/>
            </w:pPr>
            <w:r/>
            <w:r>
              <w:rPr>
                <w:color w:val="1A1D21"/>
                <w:sz w:val="17"/>
              </w:rPr>
              <w:t>-44.2%</w:t>
            </w:r>
          </w:p>
        </w:tc>
      </w:tr>
      <w:tr>
        <w:trPr>
          <w:cantSplit/>
        </w:trPr>
        <w:tc>
          <w:tcPr>
            <w:tcW w:type="dxa" w:w="964"/>
          </w:tcPr>
          <w:p>
            <w:r/>
            <w:r>
              <w:rPr>
                <w:color w:val="1A1D21"/>
                <w:sz w:val="17"/>
              </w:rPr>
              <w:t>PHDC</w:t>
            </w:r>
          </w:p>
        </w:tc>
        <w:tc>
          <w:tcPr>
            <w:tcW w:type="dxa" w:w="2494"/>
          </w:tcPr>
          <w:p>
            <w:r/>
            <w:r>
              <w:rPr>
                <w:color w:val="1A1D21"/>
                <w:sz w:val="17"/>
              </w:rPr>
              <w:t>Palm Hills Developments</w:t>
            </w:r>
          </w:p>
        </w:tc>
        <w:tc>
          <w:tcPr>
            <w:tcW w:type="dxa" w:w="1134"/>
          </w:tcPr>
          <w:p>
            <w:pPr>
              <w:jc w:val="right"/>
            </w:pPr>
            <w:r/>
            <w:r>
              <w:rPr>
                <w:color w:val="1A1D21"/>
                <w:sz w:val="17"/>
              </w:rPr>
              <w:t>1.0481</w:t>
            </w:r>
          </w:p>
        </w:tc>
        <w:tc>
          <w:tcPr>
            <w:tcW w:type="dxa" w:w="1247"/>
          </w:tcPr>
          <w:p>
            <w:pPr>
              <w:jc w:val="right"/>
            </w:pPr>
            <w:r/>
            <w:r>
              <w:rPr>
                <w:color w:val="1A1D21"/>
                <w:sz w:val="17"/>
              </w:rPr>
              <w:t>30.0%</w:t>
            </w:r>
          </w:p>
        </w:tc>
        <w:tc>
          <w:tcPr>
            <w:tcW w:type="dxa" w:w="1134"/>
          </w:tcPr>
          <w:p>
            <w:pPr>
              <w:jc w:val="right"/>
            </w:pPr>
            <w:r/>
            <w:r>
              <w:rPr>
                <w:color w:val="1A1D21"/>
                <w:sz w:val="17"/>
              </w:rPr>
              <w:t>0.181</w:t>
            </w:r>
          </w:p>
        </w:tc>
        <w:tc>
          <w:tcPr>
            <w:tcW w:type="dxa" w:w="1134"/>
          </w:tcPr>
          <w:p>
            <w:pPr>
              <w:jc w:val="right"/>
            </w:pPr>
            <w:r/>
            <w:r>
              <w:rPr>
                <w:color w:val="1A1D21"/>
                <w:sz w:val="17"/>
              </w:rPr>
              <w:t>43.9%</w:t>
            </w:r>
          </w:p>
        </w:tc>
        <w:tc>
          <w:tcPr>
            <w:tcW w:type="dxa" w:w="1134"/>
          </w:tcPr>
          <w:p>
            <w:pPr>
              <w:jc w:val="right"/>
            </w:pPr>
            <w:r/>
            <w:r>
              <w:rPr>
                <w:color w:val="1A1D21"/>
                <w:sz w:val="17"/>
              </w:rPr>
              <w:t>-48.7%</w:t>
            </w:r>
          </w:p>
        </w:tc>
      </w:tr>
      <w:tr>
        <w:trPr>
          <w:cantSplit/>
        </w:trPr>
        <w:tc>
          <w:tcPr>
            <w:tcW w:type="dxa" w:w="964"/>
          </w:tcPr>
          <w:p>
            <w:r/>
            <w:r>
              <w:rPr>
                <w:color w:val="1A1D21"/>
                <w:sz w:val="17"/>
              </w:rPr>
              <w:t>ORHD</w:t>
            </w:r>
          </w:p>
        </w:tc>
        <w:tc>
          <w:tcPr>
            <w:tcW w:type="dxa" w:w="2494"/>
          </w:tcPr>
          <w:p>
            <w:r/>
            <w:r>
              <w:rPr>
                <w:color w:val="1A1D21"/>
                <w:sz w:val="17"/>
              </w:rPr>
              <w:t>Orascom Development Egypt</w:t>
            </w:r>
          </w:p>
        </w:tc>
        <w:tc>
          <w:tcPr>
            <w:tcW w:type="dxa" w:w="1134"/>
          </w:tcPr>
          <w:p>
            <w:pPr>
              <w:jc w:val="right"/>
            </w:pPr>
            <w:r/>
            <w:r>
              <w:rPr>
                <w:color w:val="1A1D21"/>
                <w:sz w:val="17"/>
              </w:rPr>
              <w:t>0.8817</w:t>
            </w:r>
          </w:p>
        </w:tc>
        <w:tc>
          <w:tcPr>
            <w:tcW w:type="dxa" w:w="1247"/>
          </w:tcPr>
          <w:p>
            <w:pPr>
              <w:jc w:val="right"/>
            </w:pPr>
            <w:r/>
            <w:r>
              <w:rPr>
                <w:color w:val="1A1D21"/>
                <w:sz w:val="17"/>
              </w:rPr>
              <w:t>32.5%</w:t>
            </w:r>
          </w:p>
        </w:tc>
        <w:tc>
          <w:tcPr>
            <w:tcW w:type="dxa" w:w="1134"/>
          </w:tcPr>
          <w:p>
            <w:pPr>
              <w:jc w:val="right"/>
            </w:pPr>
            <w:r/>
            <w:r>
              <w:rPr>
                <w:color w:val="1A1D21"/>
                <w:sz w:val="17"/>
              </w:rPr>
              <w:t>0.173</w:t>
            </w:r>
          </w:p>
        </w:tc>
        <w:tc>
          <w:tcPr>
            <w:tcW w:type="dxa" w:w="1134"/>
          </w:tcPr>
          <w:p>
            <w:pPr>
              <w:jc w:val="right"/>
            </w:pPr>
            <w:r/>
            <w:r>
              <w:rPr>
                <w:color w:val="1A1D21"/>
                <w:sz w:val="17"/>
              </w:rPr>
              <w:t>46.2%</w:t>
            </w:r>
          </w:p>
        </w:tc>
        <w:tc>
          <w:tcPr>
            <w:tcW w:type="dxa" w:w="1134"/>
          </w:tcPr>
          <w:p>
            <w:pPr>
              <w:jc w:val="right"/>
            </w:pPr>
            <w:r/>
            <w:r>
              <w:rPr>
                <w:color w:val="1A1D21"/>
                <w:sz w:val="17"/>
              </w:rPr>
              <w:t>-42.9%</w:t>
            </w:r>
          </w:p>
        </w:tc>
      </w:tr>
      <w:tr>
        <w:trPr>
          <w:cantSplit/>
        </w:trPr>
        <w:tc>
          <w:tcPr>
            <w:tcW w:type="dxa" w:w="964"/>
          </w:tcPr>
          <w:p>
            <w:r/>
            <w:r>
              <w:rPr>
                <w:color w:val="1A1D21"/>
                <w:sz w:val="17"/>
              </w:rPr>
              <w:t>HELI</w:t>
            </w:r>
          </w:p>
        </w:tc>
        <w:tc>
          <w:tcPr>
            <w:tcW w:type="dxa" w:w="2494"/>
          </w:tcPr>
          <w:p>
            <w:r/>
            <w:r>
              <w:rPr>
                <w:color w:val="1A1D21"/>
                <w:sz w:val="17"/>
              </w:rPr>
              <w:t>Heliopolis Housing and Develop</w:t>
            </w:r>
          </w:p>
        </w:tc>
        <w:tc>
          <w:tcPr>
            <w:tcW w:type="dxa" w:w="1134"/>
          </w:tcPr>
          <w:p>
            <w:pPr>
              <w:jc w:val="right"/>
            </w:pPr>
            <w:r/>
            <w:r>
              <w:rPr>
                <w:color w:val="1A1D21"/>
                <w:sz w:val="17"/>
              </w:rPr>
              <w:t>0.7648</w:t>
            </w:r>
          </w:p>
        </w:tc>
        <w:tc>
          <w:tcPr>
            <w:tcW w:type="dxa" w:w="1247"/>
          </w:tcPr>
          <w:p>
            <w:pPr>
              <w:jc w:val="right"/>
            </w:pPr>
            <w:r/>
            <w:r>
              <w:rPr>
                <w:color w:val="1A1D21"/>
                <w:sz w:val="17"/>
              </w:rPr>
              <w:t>28.7%</w:t>
            </w:r>
          </w:p>
        </w:tc>
        <w:tc>
          <w:tcPr>
            <w:tcW w:type="dxa" w:w="1134"/>
          </w:tcPr>
          <w:p>
            <w:pPr>
              <w:jc w:val="right"/>
            </w:pPr>
            <w:r/>
            <w:r>
              <w:rPr>
                <w:color w:val="1A1D21"/>
                <w:sz w:val="17"/>
              </w:rPr>
              <w:t>0.180</w:t>
            </w:r>
          </w:p>
        </w:tc>
        <w:tc>
          <w:tcPr>
            <w:tcW w:type="dxa" w:w="1134"/>
          </w:tcPr>
          <w:p>
            <w:pPr>
              <w:jc w:val="right"/>
            </w:pPr>
            <w:r/>
            <w:r>
              <w:rPr>
                <w:color w:val="1A1D21"/>
                <w:sz w:val="17"/>
              </w:rPr>
              <w:t>44.4%</w:t>
            </w:r>
          </w:p>
        </w:tc>
        <w:tc>
          <w:tcPr>
            <w:tcW w:type="dxa" w:w="1134"/>
          </w:tcPr>
          <w:p>
            <w:pPr>
              <w:jc w:val="right"/>
            </w:pPr>
            <w:r/>
            <w:r>
              <w:rPr>
                <w:color w:val="1A1D21"/>
                <w:sz w:val="17"/>
              </w:rPr>
              <w:t>-39.6%</w:t>
            </w:r>
          </w:p>
        </w:tc>
      </w:tr>
      <w:tr>
        <w:trPr>
          <w:cantSplit/>
        </w:trPr>
        <w:tc>
          <w:tcPr>
            <w:tcW w:type="dxa" w:w="964"/>
          </w:tcPr>
          <w:p>
            <w:r/>
            <w:r>
              <w:rPr>
                <w:color w:val="1A1D21"/>
                <w:sz w:val="17"/>
              </w:rPr>
              <w:t>EMFD</w:t>
            </w:r>
          </w:p>
        </w:tc>
        <w:tc>
          <w:tcPr>
            <w:tcW w:type="dxa" w:w="2494"/>
          </w:tcPr>
          <w:p>
            <w:r/>
            <w:r>
              <w:rPr>
                <w:color w:val="1A1D21"/>
                <w:sz w:val="17"/>
              </w:rPr>
              <w:t>Emaar Misr for Development</w:t>
            </w:r>
          </w:p>
        </w:tc>
        <w:tc>
          <w:tcPr>
            <w:tcW w:type="dxa" w:w="1134"/>
          </w:tcPr>
          <w:p>
            <w:pPr>
              <w:jc w:val="right"/>
            </w:pPr>
            <w:r/>
            <w:r>
              <w:rPr>
                <w:color w:val="1A1D21"/>
                <w:sz w:val="17"/>
              </w:rPr>
              <w:t>0.7349</w:t>
            </w:r>
          </w:p>
        </w:tc>
        <w:tc>
          <w:tcPr>
            <w:tcW w:type="dxa" w:w="1247"/>
          </w:tcPr>
          <w:p>
            <w:pPr>
              <w:jc w:val="right"/>
            </w:pPr>
            <w:r/>
            <w:r>
              <w:rPr>
                <w:color w:val="1A1D21"/>
                <w:sz w:val="17"/>
              </w:rPr>
              <w:t>24.2%</w:t>
            </w:r>
          </w:p>
        </w:tc>
        <w:tc>
          <w:tcPr>
            <w:tcW w:type="dxa" w:w="1134"/>
          </w:tcPr>
          <w:p>
            <w:pPr>
              <w:jc w:val="right"/>
            </w:pPr>
            <w:r/>
            <w:r>
              <w:rPr>
                <w:color w:val="1A1D21"/>
                <w:sz w:val="17"/>
              </w:rPr>
              <w:t>0.169</w:t>
            </w:r>
          </w:p>
        </w:tc>
        <w:tc>
          <w:tcPr>
            <w:tcW w:type="dxa" w:w="1134"/>
          </w:tcPr>
          <w:p>
            <w:pPr>
              <w:jc w:val="right"/>
            </w:pPr>
            <w:r/>
            <w:r>
              <w:rPr>
                <w:color w:val="1A1D21"/>
                <w:sz w:val="17"/>
              </w:rPr>
              <w:t>41.2%</w:t>
            </w:r>
          </w:p>
        </w:tc>
        <w:tc>
          <w:tcPr>
            <w:tcW w:type="dxa" w:w="1134"/>
          </w:tcPr>
          <w:p>
            <w:pPr>
              <w:jc w:val="right"/>
            </w:pPr>
            <w:r/>
            <w:r>
              <w:rPr>
                <w:color w:val="1A1D21"/>
                <w:sz w:val="17"/>
              </w:rPr>
              <w:t>-47.1%</w:t>
            </w:r>
          </w:p>
        </w:tc>
      </w:tr>
      <w:tr>
        <w:trPr>
          <w:cantSplit/>
        </w:trPr>
        <w:tc>
          <w:tcPr>
            <w:tcW w:type="dxa" w:w="964"/>
          </w:tcPr>
          <w:p>
            <w:r/>
            <w:r>
              <w:rPr>
                <w:color w:val="1A1D21"/>
                <w:sz w:val="17"/>
              </w:rPr>
              <w:t>PRDC</w:t>
            </w:r>
          </w:p>
        </w:tc>
        <w:tc>
          <w:tcPr>
            <w:tcW w:type="dxa" w:w="2494"/>
          </w:tcPr>
          <w:p>
            <w:r/>
            <w:r>
              <w:rPr>
                <w:color w:val="1A1D21"/>
                <w:sz w:val="17"/>
              </w:rPr>
              <w:t xml:space="preserve">Pioneers Properties for Urban </w:t>
            </w:r>
          </w:p>
        </w:tc>
        <w:tc>
          <w:tcPr>
            <w:tcW w:type="dxa" w:w="1134"/>
          </w:tcPr>
          <w:p>
            <w:pPr>
              <w:jc w:val="right"/>
            </w:pPr>
            <w:r/>
            <w:r>
              <w:rPr>
                <w:color w:val="1A1D21"/>
                <w:sz w:val="17"/>
              </w:rPr>
              <w:t>0.7006</w:t>
            </w:r>
          </w:p>
        </w:tc>
        <w:tc>
          <w:tcPr>
            <w:tcW w:type="dxa" w:w="1247"/>
          </w:tcPr>
          <w:p>
            <w:pPr>
              <w:jc w:val="right"/>
            </w:pPr>
            <w:r/>
            <w:r>
              <w:rPr>
                <w:color w:val="1A1D21"/>
                <w:sz w:val="17"/>
              </w:rPr>
              <w:t>25.6%</w:t>
            </w:r>
          </w:p>
        </w:tc>
        <w:tc>
          <w:tcPr>
            <w:tcW w:type="dxa" w:w="1134"/>
          </w:tcPr>
          <w:p>
            <w:pPr>
              <w:jc w:val="right"/>
            </w:pPr>
            <w:r/>
            <w:r>
              <w:rPr>
                <w:color w:val="1A1D21"/>
                <w:sz w:val="17"/>
              </w:rPr>
              <w:t>0.185</w:t>
            </w:r>
          </w:p>
        </w:tc>
        <w:tc>
          <w:tcPr>
            <w:tcW w:type="dxa" w:w="1134"/>
          </w:tcPr>
          <w:p>
            <w:pPr>
              <w:jc w:val="right"/>
            </w:pPr>
            <w:r/>
            <w:r>
              <w:rPr>
                <w:color w:val="1A1D21"/>
                <w:sz w:val="17"/>
              </w:rPr>
              <w:t>42.2%</w:t>
            </w:r>
          </w:p>
        </w:tc>
        <w:tc>
          <w:tcPr>
            <w:tcW w:type="dxa" w:w="1134"/>
          </w:tcPr>
          <w:p>
            <w:pPr>
              <w:jc w:val="right"/>
            </w:pPr>
            <w:r/>
            <w:r>
              <w:rPr>
                <w:color w:val="1A1D21"/>
                <w:sz w:val="17"/>
              </w:rPr>
              <w:t>-52.0%</w:t>
            </w:r>
          </w:p>
        </w:tc>
      </w:tr>
      <w:tr>
        <w:trPr>
          <w:cantSplit/>
        </w:trPr>
        <w:tc>
          <w:tcPr>
            <w:tcW w:type="dxa" w:w="964"/>
          </w:tcPr>
          <w:p>
            <w:r/>
            <w:r>
              <w:rPr>
                <w:color w:val="1A1D21"/>
                <w:sz w:val="17"/>
              </w:rPr>
              <w:t>OCDI</w:t>
            </w:r>
          </w:p>
        </w:tc>
        <w:tc>
          <w:tcPr>
            <w:tcW w:type="dxa" w:w="2494"/>
          </w:tcPr>
          <w:p>
            <w:r/>
            <w:r>
              <w:rPr>
                <w:color w:val="1A1D21"/>
                <w:sz w:val="17"/>
              </w:rPr>
              <w:t>Sixth of October Development &amp;</w:t>
            </w:r>
          </w:p>
        </w:tc>
        <w:tc>
          <w:tcPr>
            <w:tcW w:type="dxa" w:w="1134"/>
          </w:tcPr>
          <w:p>
            <w:pPr>
              <w:jc w:val="right"/>
            </w:pPr>
            <w:r/>
            <w:r>
              <w:rPr>
                <w:color w:val="1A1D21"/>
                <w:sz w:val="17"/>
              </w:rPr>
              <w:t>0.4949</w:t>
            </w:r>
          </w:p>
        </w:tc>
        <w:tc>
          <w:tcPr>
            <w:tcW w:type="dxa" w:w="1247"/>
          </w:tcPr>
          <w:p>
            <w:pPr>
              <w:jc w:val="right"/>
            </w:pPr>
            <w:r/>
            <w:r>
              <w:rPr>
                <w:color w:val="1A1D21"/>
                <w:sz w:val="17"/>
              </w:rPr>
              <w:t>10.2%</w:t>
            </w:r>
          </w:p>
        </w:tc>
        <w:tc>
          <w:tcPr>
            <w:tcW w:type="dxa" w:w="1134"/>
          </w:tcPr>
          <w:p>
            <w:pPr>
              <w:jc w:val="right"/>
            </w:pPr>
            <w:r/>
            <w:r>
              <w:rPr>
                <w:color w:val="1A1D21"/>
                <w:sz w:val="17"/>
              </w:rPr>
              <w:t>0.227</w:t>
            </w:r>
          </w:p>
        </w:tc>
        <w:tc>
          <w:tcPr>
            <w:tcW w:type="dxa" w:w="1134"/>
          </w:tcPr>
          <w:p>
            <w:pPr>
              <w:jc w:val="right"/>
            </w:pPr>
            <w:r/>
            <w:r>
              <w:rPr>
                <w:color w:val="1A1D21"/>
                <w:sz w:val="17"/>
              </w:rPr>
              <w:t>47.6%</w:t>
            </w:r>
          </w:p>
        </w:tc>
        <w:tc>
          <w:tcPr>
            <w:tcW w:type="dxa" w:w="1134"/>
          </w:tcPr>
          <w:p>
            <w:pPr>
              <w:jc w:val="right"/>
            </w:pPr>
            <w:r/>
            <w:r>
              <w:rPr>
                <w:color w:val="1A1D21"/>
                <w:sz w:val="17"/>
              </w:rPr>
              <w:t>-46.6%</w:t>
            </w:r>
          </w:p>
        </w:tc>
      </w:tr>
    </w:tbl>
    <w:p>
      <w:pPr>
        <w:spacing w:after="200"/>
      </w:pPr>
      <w:r>
        <w:rPr>
          <w:b w:val="0"/>
          <w:i/>
          <w:color w:val="5B6570"/>
          <w:sz w:val="16"/>
        </w:rPr>
        <w:t>Every measure computed on the same five-year window, through the same cleaning, against the same index. Volatility is annualised from weekly returns; worst fall is the deepest peak-to-trough decline over five years.</w:t>
      </w:r>
    </w:p>
    <w:p>
      <w:pPr>
        <w:jc w:val="center"/>
      </w:pPr>
      <w:r>
        <w:drawing>
          <wp:inline xmlns:a="http://schemas.openxmlformats.org/drawingml/2006/main" xmlns:pic="http://schemas.openxmlformats.org/drawingml/2006/picture">
            <wp:extent cx="5832000" cy="2468495"/>
            <wp:docPr id="4" name="Picture 4"/>
            <wp:cNvGraphicFramePr>
              <a:graphicFrameLocks noChangeAspect="1"/>
            </wp:cNvGraphicFramePr>
            <a:graphic>
              <a:graphicData uri="http://schemas.openxmlformats.org/drawingml/2006/picture">
                <pic:pic>
                  <pic:nvPicPr>
                    <pic:cNvPr id="0" name="fig4_peers.png"/>
                    <pic:cNvPicPr/>
                  </pic:nvPicPr>
                  <pic:blipFill>
                    <a:blip r:embed="rId12"/>
                    <a:stretch>
                      <a:fillRect/>
                    </a:stretch>
                  </pic:blipFill>
                  <pic:spPr>
                    <a:xfrm>
                      <a:off x="0" y="0"/>
                      <a:ext cx="5832000" cy="2468495"/>
                    </a:xfrm>
                    <a:prstGeom prst="rect"/>
                  </pic:spPr>
                </pic:pic>
              </a:graphicData>
            </a:graphic>
          </wp:inline>
        </w:drawing>
      </w:r>
    </w:p>
    <w:p>
      <w:pPr>
        <w:spacing w:after="240"/>
        <w:jc w:val="center"/>
      </w:pPr>
      <w:r>
        <w:rPr>
          <w:b w:val="0"/>
          <w:i/>
          <w:color w:val="5B6570"/>
          <w:sz w:val="16"/>
        </w:rPr>
        <w:t>Figure 4 — the same betas with their standard errors. Palm Hills sits mid-sector: more market-sensitive than most of its peers, materially less so than the largest.</w:t>
      </w:r>
    </w:p>
    <w:p>
      <w:pPr>
        <w:spacing w:after="140"/>
      </w:pPr>
      <w:r>
        <w:rPr>
          <w:b w:val="0"/>
          <w:i w:val="0"/>
          <w:color w:val="1A1D21"/>
          <w:sz w:val="20"/>
        </w:rPr>
        <w:t>Earnings and book multiples for the peer group are not published in this study. No peer discloses financial statements this study can obtain on a consistent basis, and a multiple built from inconsistent inputs would carry more authority than it deserves. What is measured here is measured the same way for every name.</w:t>
      </w:r>
    </w:p>
    <w:p>
      <w:pPr>
        <w:pStyle w:val="Heading2"/>
      </w:pPr>
      <w:r>
        <w:t>B.2  Risk register</w:t>
      </w:r>
    </w:p>
    <w:tbl>
      <w:tblPr>
        <w:tblStyle w:val="TableGrid"/>
        <w:tblW w:type="auto" w:w="0"/>
        <w:jc w:val="center"/>
        <w:tblLayout w:type="fixed"/>
        <w:tblLook w:firstColumn="1" w:firstRow="1" w:lastColumn="0" w:lastRow="0" w:noHBand="0" w:noVBand="1" w:val="04A0"/>
        <w:tblLayout w:type="fixed"/>
      </w:tblPr>
      <w:tblGrid>
        <w:gridCol w:w="2608"/>
        <w:gridCol w:w="3175"/>
        <w:gridCol w:w="3402"/>
      </w:tblGrid>
      <w:tr>
        <w:trPr>
          <w:tblHeader w:val="true"/>
        </w:trPr>
        <w:tc>
          <w:tcPr>
            <w:tcW w:type="dxa" w:w="2608"/>
          </w:tcPr>
          <w:p>
            <w:r/>
            <w:r>
              <w:rPr>
                <w:b/>
                <w:color w:val="5B6570"/>
                <w:sz w:val="17"/>
              </w:rPr>
              <w:t>Risk</w:t>
            </w:r>
          </w:p>
        </w:tc>
        <w:tc>
          <w:tcPr>
            <w:tcW w:type="dxa" w:w="3175"/>
          </w:tcPr>
          <w:p>
            <w:r/>
            <w:r>
              <w:rPr>
                <w:b/>
                <w:color w:val="5B6570"/>
                <w:sz w:val="17"/>
              </w:rPr>
              <w:t>How it would show up</w:t>
            </w:r>
          </w:p>
        </w:tc>
        <w:tc>
          <w:tcPr>
            <w:tcW w:type="dxa" w:w="3402"/>
          </w:tcPr>
          <w:p>
            <w:r/>
            <w:r>
              <w:rPr>
                <w:b/>
                <w:color w:val="5B6570"/>
                <w:sz w:val="17"/>
              </w:rPr>
              <w:t>Where it is priced</w:t>
            </w:r>
          </w:p>
        </w:tc>
      </w:tr>
      <w:tr>
        <w:trPr>
          <w:cantSplit/>
        </w:trPr>
        <w:tc>
          <w:tcPr>
            <w:tcW w:type="dxa" w:w="2608"/>
          </w:tcPr>
          <w:p>
            <w:r/>
            <w:r>
              <w:rPr>
                <w:color w:val="1A1D21"/>
                <w:sz w:val="17"/>
              </w:rPr>
              <w:t>Cash conversion stays at the 2023 and 2025 rate</w:t>
            </w:r>
          </w:p>
        </w:tc>
        <w:tc>
          <w:tcPr>
            <w:tcW w:type="dxa" w:w="3175"/>
          </w:tcPr>
          <w:p>
            <w:r/>
            <w:r>
              <w:rPr>
                <w:color w:val="1A1D21"/>
                <w:sz w:val="17"/>
              </w:rPr>
              <w:t>operating cash near 3.9% of revenue</w:t>
            </w:r>
          </w:p>
        </w:tc>
        <w:tc>
          <w:tcPr>
            <w:tcW w:type="dxa" w:w="3402"/>
          </w:tcPr>
          <w:p>
            <w:r/>
            <w:r>
              <w:rPr>
                <w:color w:val="1A1D21"/>
                <w:sz w:val="17"/>
              </w:rPr>
              <w:t>bottom row of the table in section 1.9</w:t>
            </w:r>
          </w:p>
        </w:tc>
      </w:tr>
      <w:tr>
        <w:trPr>
          <w:cantSplit/>
        </w:trPr>
        <w:tc>
          <w:tcPr>
            <w:tcW w:type="dxa" w:w="2608"/>
          </w:tcPr>
          <w:p>
            <w:r/>
            <w:r>
              <w:rPr>
                <w:color w:val="1A1D21"/>
                <w:sz w:val="17"/>
              </w:rPr>
              <w:t>Egyptian rates stay high or rise</w:t>
            </w:r>
          </w:p>
        </w:tc>
        <w:tc>
          <w:tcPr>
            <w:tcW w:type="dxa" w:w="3175"/>
          </w:tcPr>
          <w:p>
            <w:r/>
            <w:r>
              <w:rPr>
                <w:color w:val="1A1D21"/>
                <w:sz w:val="17"/>
              </w:rPr>
              <w:t>cost of capital above 24.96%</w:t>
            </w:r>
          </w:p>
        </w:tc>
        <w:tc>
          <w:tcPr>
            <w:tcW w:type="dxa" w:w="3402"/>
          </w:tcPr>
          <w:p>
            <w:r/>
            <w:r>
              <w:rPr>
                <w:color w:val="1A1D21"/>
                <w:sz w:val="17"/>
              </w:rPr>
              <w:t>right-hand columns of the same table</w:t>
            </w:r>
          </w:p>
        </w:tc>
      </w:tr>
      <w:tr>
        <w:trPr>
          <w:cantSplit/>
        </w:trPr>
        <w:tc>
          <w:tcPr>
            <w:tcW w:type="dxa" w:w="2608"/>
          </w:tcPr>
          <w:p>
            <w:r/>
            <w:r>
              <w:rPr>
                <w:color w:val="1A1D21"/>
                <w:sz w:val="17"/>
              </w:rPr>
              <w:t>Order book converts more slowly than delivery history implies</w:t>
            </w:r>
          </w:p>
        </w:tc>
        <w:tc>
          <w:tcPr>
            <w:tcW w:type="dxa" w:w="3175"/>
          </w:tcPr>
          <w:p>
            <w:r/>
            <w:r>
              <w:rPr>
                <w:color w:val="1A1D21"/>
                <w:sz w:val="17"/>
              </w:rPr>
              <w:t>the order book keeps rising as a multiple of revenue</w:t>
            </w:r>
          </w:p>
        </w:tc>
        <w:tc>
          <w:tcPr>
            <w:tcW w:type="dxa" w:w="3402"/>
          </w:tcPr>
          <w:p>
            <w:r/>
            <w:r>
              <w:rPr>
                <w:color w:val="1A1D21"/>
                <w:sz w:val="17"/>
              </w:rPr>
              <w:t>section 7, fourth bullet</w:t>
            </w:r>
          </w:p>
        </w:tc>
      </w:tr>
      <w:tr>
        <w:trPr>
          <w:cantSplit/>
        </w:trPr>
        <w:tc>
          <w:tcPr>
            <w:tcW w:type="dxa" w:w="2608"/>
          </w:tcPr>
          <w:p>
            <w:r/>
            <w:r>
              <w:rPr>
                <w:color w:val="1A1D21"/>
                <w:sz w:val="17"/>
              </w:rPr>
              <w:t>Currency devaluation</w:t>
            </w:r>
          </w:p>
        </w:tc>
        <w:tc>
          <w:tcPr>
            <w:tcW w:type="dxa" w:w="3175"/>
          </w:tcPr>
          <w:p>
            <w:r/>
            <w:r>
              <w:rPr>
                <w:color w:val="1A1D21"/>
                <w:sz w:val="17"/>
              </w:rPr>
              <w:t>nominal figures rise, real value does not</w:t>
            </w:r>
          </w:p>
        </w:tc>
        <w:tc>
          <w:tcPr>
            <w:tcW w:type="dxa" w:w="3402"/>
          </w:tcPr>
          <w:p>
            <w:r/>
            <w:r>
              <w:rPr>
                <w:color w:val="1A1D21"/>
                <w:sz w:val="17"/>
              </w:rPr>
              <w:t>the whole study is in nominal pounds; a devaluation moves the denominator too</w:t>
            </w:r>
          </w:p>
        </w:tc>
      </w:tr>
      <w:tr>
        <w:trPr>
          <w:cantSplit/>
        </w:trPr>
        <w:tc>
          <w:tcPr>
            <w:tcW w:type="dxa" w:w="2608"/>
          </w:tcPr>
          <w:p>
            <w:r/>
            <w:r>
              <w:rPr>
                <w:color w:val="1A1D21"/>
                <w:sz w:val="17"/>
              </w:rPr>
              <w:t>Cost of debt above the assumed spread</w:t>
            </w:r>
          </w:p>
        </w:tc>
        <w:tc>
          <w:tcPr>
            <w:tcW w:type="dxa" w:w="3175"/>
          </w:tcPr>
          <w:p>
            <w:r/>
            <w:r>
              <w:rPr>
                <w:color w:val="1A1D21"/>
                <w:sz w:val="17"/>
              </w:rPr>
              <w:t>finance cost above the modelled level</w:t>
            </w:r>
          </w:p>
        </w:tc>
        <w:tc>
          <w:tcPr>
            <w:tcW w:type="dxa" w:w="3402"/>
          </w:tcPr>
          <w:p>
            <w:r/>
            <w:r>
              <w:rPr>
                <w:color w:val="1A1D21"/>
                <w:sz w:val="17"/>
              </w:rPr>
              <w:t>section 1.8; the spread is the one unsourced input</w:t>
            </w:r>
          </w:p>
        </w:tc>
      </w:tr>
    </w:tbl>
    <w:p>
      <w:pPr>
        <w:spacing w:after="80"/>
      </w:pPr>
      <w:r>
        <w:rPr>
          <w:b w:val="0"/>
          <w:i w:val="0"/>
          <w:color w:val="1A1D21"/>
          <w:sz w:val="8"/>
        </w:rPr>
      </w:r>
    </w:p>
    <w:p>
      <w:pPr>
        <w:pStyle w:val="Heading2"/>
      </w:pPr>
      <w:r>
        <w:t>B.3  Research register</w:t>
      </w:r>
    </w:p>
    <w:p>
      <w:pPr>
        <w:spacing w:after="140"/>
      </w:pPr>
      <w:r>
        <w:rPr>
          <w:b w:val="0"/>
          <w:i w:val="0"/>
          <w:color w:val="1A1D21"/>
          <w:sz w:val="20"/>
        </w:rPr>
        <w:t>This study is built on 123 sourced inputs. Every reported historical comes from the company's own audited statements or its own results releases. The only third-party inputs are the exogenous macroeconomic series and the market price. A full register, with the value, source, date and provenance of each input, is published in the accompanying bibliography.</w:t>
      </w:r>
    </w:p>
    <w:p>
      <w:r>
        <w:br w:type="page"/>
      </w:r>
    </w:p>
    <w:p>
      <w:pPr>
        <w:pStyle w:val="Heading1"/>
      </w:pPr>
      <w:r>
        <w:t>Appendix C  Expert panel</w:t>
      </w:r>
    </w:p>
    <w:p>
      <w:pPr>
        <w:spacing w:after="140"/>
      </w:pPr>
      <w:r>
        <w:rPr>
          <w:b w:val="0"/>
          <w:i/>
          <w:color w:val="5B6570"/>
          <w:sz w:val="20"/>
        </w:rPr>
        <w:t>Three readings of the same company by three different methods. The experts are identified by method, not by name.</w:t>
      </w:r>
    </w:p>
    <w:p>
      <w:pPr>
        <w:pStyle w:val="Heading2"/>
      </w:pPr>
      <w:r>
        <w:t>C.1  Expert 1 — the discounted cash-flow analyst</w:t>
      </w:r>
    </w:p>
    <w:p>
      <w:pPr>
        <w:spacing w:after="140"/>
      </w:pPr>
      <w:r>
        <w:rPr>
          <w:b w:val="0"/>
          <w:i w:val="0"/>
          <w:color w:val="1A1D21"/>
          <w:sz w:val="20"/>
        </w:rPr>
        <w:t>Worldview: a company is worth the cash it will hand its owners, discounted at what that cash costs. When it works: businesses with stable conversion of profit to cash. When it fails: businesses where that conversion is the unknown — which is exactly this one.</w:t>
      </w:r>
    </w:p>
    <w:tbl>
      <w:tblPr>
        <w:tblStyle w:val="TableGrid"/>
        <w:tblW w:type="auto" w:w="0"/>
        <w:jc w:val="center"/>
        <w:tblLayout w:type="fixed"/>
        <w:tblLook w:firstColumn="1" w:firstRow="1" w:lastColumn="0" w:lastRow="0" w:noHBand="0" w:noVBand="1" w:val="04A0"/>
        <w:tblLayout w:type="fixed"/>
      </w:tblPr>
      <w:tblGrid>
        <w:gridCol w:w="5103"/>
        <w:gridCol w:w="2835"/>
      </w:tblGrid>
      <w:tr>
        <w:trPr>
          <w:tblHeader w:val="true"/>
        </w:trPr>
        <w:tc>
          <w:tcPr>
            <w:tcW w:type="dxa" w:w="5102"/>
          </w:tcPr>
          <w:p>
            <w:r/>
            <w:r>
              <w:rPr>
                <w:b/>
                <w:color w:val="5B6570"/>
                <w:sz w:val="17"/>
              </w:rPr>
              <w:t>Working</w:t>
            </w:r>
          </w:p>
        </w:tc>
        <w:tc>
          <w:tcPr>
            <w:tcW w:type="dxa" w:w="2835"/>
          </w:tcPr>
          <w:p>
            <w:r/>
            <w:r>
              <w:rPr>
                <w:b/>
                <w:color w:val="5B6570"/>
                <w:sz w:val="17"/>
              </w:rPr>
              <w:t>EGP mn</w:t>
            </w:r>
          </w:p>
        </w:tc>
      </w:tr>
      <w:tr>
        <w:trPr>
          <w:cantSplit/>
        </w:trPr>
        <w:tc>
          <w:tcPr>
            <w:tcW w:type="dxa" w:w="5102"/>
          </w:tcPr>
          <w:p>
            <w:r/>
            <w:r>
              <w:rPr>
                <w:color w:val="1A1D21"/>
                <w:sz w:val="17"/>
              </w:rPr>
              <w:t>Present value of five explicit years</w:t>
            </w:r>
          </w:p>
        </w:tc>
        <w:tc>
          <w:tcPr>
            <w:tcW w:type="dxa" w:w="2835"/>
          </w:tcPr>
          <w:p>
            <w:pPr>
              <w:jc w:val="right"/>
            </w:pPr>
            <w:r/>
            <w:r>
              <w:rPr>
                <w:color w:val="1A1D21"/>
                <w:sz w:val="17"/>
              </w:rPr>
              <w:t>52,182</w:t>
            </w:r>
          </w:p>
        </w:tc>
      </w:tr>
      <w:tr>
        <w:trPr>
          <w:cantSplit/>
        </w:trPr>
        <w:tc>
          <w:tcPr>
            <w:tcW w:type="dxa" w:w="5102"/>
          </w:tcPr>
          <w:p>
            <w:r/>
            <w:r>
              <w:rPr>
                <w:color w:val="1A1D21"/>
                <w:sz w:val="17"/>
              </w:rPr>
              <w:t>Present value beyond year five</w:t>
            </w:r>
          </w:p>
        </w:tc>
        <w:tc>
          <w:tcPr>
            <w:tcW w:type="dxa" w:w="2835"/>
          </w:tcPr>
          <w:p>
            <w:pPr>
              <w:jc w:val="right"/>
            </w:pPr>
            <w:r/>
            <w:r>
              <w:rPr>
                <w:color w:val="1A1D21"/>
                <w:sz w:val="17"/>
              </w:rPr>
              <w:t>29,482</w:t>
            </w:r>
          </w:p>
        </w:tc>
      </w:tr>
      <w:tr>
        <w:trPr>
          <w:cantSplit/>
        </w:trPr>
        <w:tc>
          <w:tcPr>
            <w:tcW w:type="dxa" w:w="5102"/>
          </w:tcPr>
          <w:p>
            <w:r/>
            <w:r>
              <w:rPr>
                <w:color w:val="1A1D21"/>
                <w:sz w:val="17"/>
              </w:rPr>
              <w:t>Enterprise value</w:t>
            </w:r>
          </w:p>
        </w:tc>
        <w:tc>
          <w:tcPr>
            <w:tcW w:type="dxa" w:w="2835"/>
          </w:tcPr>
          <w:p>
            <w:pPr>
              <w:jc w:val="right"/>
            </w:pPr>
            <w:r/>
            <w:r>
              <w:rPr>
                <w:color w:val="1A1D21"/>
                <w:sz w:val="17"/>
              </w:rPr>
              <w:t>81,664</w:t>
            </w:r>
          </w:p>
        </w:tc>
      </w:tr>
      <w:tr>
        <w:trPr>
          <w:cantSplit/>
        </w:trPr>
        <w:tc>
          <w:tcPr>
            <w:tcW w:type="dxa" w:w="5102"/>
          </w:tcPr>
          <w:p>
            <w:r/>
            <w:r>
              <w:rPr>
                <w:color w:val="1A1D21"/>
                <w:sz w:val="17"/>
              </w:rPr>
              <w:t>less net debt, 31 March 2026</w:t>
            </w:r>
          </w:p>
        </w:tc>
        <w:tc>
          <w:tcPr>
            <w:tcW w:type="dxa" w:w="2835"/>
          </w:tcPr>
          <w:p>
            <w:pPr>
              <w:jc w:val="right"/>
            </w:pPr>
            <w:r/>
            <w:r>
              <w:rPr>
                <w:color w:val="1A1D21"/>
                <w:sz w:val="17"/>
              </w:rPr>
              <w:t>(23,245)</w:t>
            </w:r>
          </w:p>
        </w:tc>
      </w:tr>
      <w:tr>
        <w:trPr>
          <w:cantSplit/>
        </w:trPr>
        <w:tc>
          <w:tcPr>
            <w:tcW w:type="dxa" w:w="5102"/>
          </w:tcPr>
          <w:p>
            <w:r/>
            <w:r>
              <w:rPr>
                <w:color w:val="1A1D21"/>
                <w:sz w:val="17"/>
              </w:rPr>
              <w:t>plus associates and investment property, 31 March 2026</w:t>
            </w:r>
          </w:p>
        </w:tc>
        <w:tc>
          <w:tcPr>
            <w:tcW w:type="dxa" w:w="2835"/>
          </w:tcPr>
          <w:p>
            <w:pPr>
              <w:jc w:val="right"/>
            </w:pPr>
            <w:r/>
            <w:r>
              <w:rPr>
                <w:color w:val="1A1D21"/>
                <w:sz w:val="17"/>
              </w:rPr>
              <w:t>4,859</w:t>
            </w:r>
          </w:p>
        </w:tc>
      </w:tr>
      <w:tr>
        <w:trPr>
          <w:cantSplit/>
        </w:trPr>
        <w:tc>
          <w:tcPr>
            <w:tcW w:type="dxa" w:w="5102"/>
          </w:tcPr>
          <w:p>
            <w:r/>
            <w:r>
              <w:rPr>
                <w:color w:val="1A1D21"/>
                <w:sz w:val="17"/>
              </w:rPr>
              <w:t>Equity before minority interests</w:t>
            </w:r>
          </w:p>
        </w:tc>
        <w:tc>
          <w:tcPr>
            <w:tcW w:type="dxa" w:w="2835"/>
          </w:tcPr>
          <w:p>
            <w:pPr>
              <w:jc w:val="right"/>
            </w:pPr>
            <w:r/>
            <w:r>
              <w:rPr>
                <w:color w:val="1A1D21"/>
                <w:sz w:val="17"/>
              </w:rPr>
              <w:t>63,279</w:t>
            </w:r>
          </w:p>
        </w:tc>
      </w:tr>
      <w:tr>
        <w:trPr>
          <w:cantSplit/>
        </w:trPr>
        <w:tc>
          <w:tcPr>
            <w:tcW w:type="dxa" w:w="5102"/>
          </w:tcPr>
          <w:p>
            <w:r/>
            <w:r>
              <w:rPr>
                <w:color w:val="1A1D21"/>
                <w:sz w:val="17"/>
              </w:rPr>
              <w:t>less minority interests at their share of value</w:t>
            </w:r>
          </w:p>
        </w:tc>
        <w:tc>
          <w:tcPr>
            <w:tcW w:type="dxa" w:w="2835"/>
          </w:tcPr>
          <w:p>
            <w:pPr>
              <w:jc w:val="right"/>
            </w:pPr>
            <w:r/>
            <w:r>
              <w:rPr>
                <w:color w:val="1A1D21"/>
                <w:sz w:val="17"/>
              </w:rPr>
              <w:t>(2,964)</w:t>
            </w:r>
          </w:p>
        </w:tc>
      </w:tr>
      <w:tr>
        <w:trPr>
          <w:cantSplit/>
        </w:trPr>
        <w:tc>
          <w:tcPr>
            <w:tcW w:type="dxa" w:w="5102"/>
          </w:tcPr>
          <w:p>
            <w:r/>
            <w:r>
              <w:rPr>
                <w:color w:val="1A1D21"/>
                <w:sz w:val="17"/>
              </w:rPr>
              <w:t>Equity attributable to shareholders</w:t>
            </w:r>
          </w:p>
        </w:tc>
        <w:tc>
          <w:tcPr>
            <w:tcW w:type="dxa" w:w="2835"/>
          </w:tcPr>
          <w:p>
            <w:pPr>
              <w:jc w:val="right"/>
            </w:pPr>
            <w:r/>
            <w:r>
              <w:rPr>
                <w:color w:val="1A1D21"/>
                <w:sz w:val="17"/>
              </w:rPr>
              <w:t>60,315</w:t>
            </w:r>
          </w:p>
        </w:tc>
      </w:tr>
      <w:tr>
        <w:trPr>
          <w:cantSplit/>
        </w:trPr>
        <w:tc>
          <w:tcPr>
            <w:tcW w:type="dxa" w:w="5102"/>
          </w:tcPr>
          <w:p>
            <w:r/>
            <w:r>
              <w:rPr>
                <w:color w:val="1A1D21"/>
                <w:sz w:val="17"/>
              </w:rPr>
              <w:t>Per share (EGP)</w:t>
            </w:r>
          </w:p>
        </w:tc>
        <w:tc>
          <w:tcPr>
            <w:tcW w:type="dxa" w:w="2835"/>
          </w:tcPr>
          <w:p>
            <w:pPr>
              <w:jc w:val="right"/>
            </w:pPr>
            <w:r/>
            <w:r>
              <w:rPr>
                <w:color w:val="1A1D21"/>
                <w:sz w:val="17"/>
              </w:rPr>
              <w:t>21.09</w:t>
            </w:r>
          </w:p>
        </w:tc>
      </w:tr>
    </w:tbl>
    <w:p>
      <w:pPr>
        <w:spacing w:after="80"/>
      </w:pPr>
      <w:r>
        <w:rPr>
          <w:b w:val="0"/>
          <w:i w:val="0"/>
          <w:color w:val="1A1D21"/>
          <w:sz w:val="8"/>
        </w:rPr>
      </w:r>
    </w:p>
    <w:p>
      <w:pPr>
        <w:spacing w:after="140"/>
      </w:pPr>
      <w:r>
        <w:rPr>
          <w:b w:val="0"/>
          <w:i w:val="0"/>
          <w:color w:val="1A1D21"/>
          <w:sz w:val="20"/>
        </w:rPr>
        <w:t>Named sensitivity: a move in cash conversion from 3.9% to 17.9% takes the answer from EGP 7.65 to EGP 46.85. Falsifier stated in advance: if the 2026 and 2027 cash-flow statements show conversion inside two percentage points of 8.7%, this reading is right and the range should collapse toward its centre; if they straddle the full observed spread again, the method should be abandoned for this company.</w:t>
      </w:r>
    </w:p>
    <w:p>
      <w:pPr>
        <w:pStyle w:val="Heading2"/>
      </w:pPr>
      <w:r>
        <w:t>C.2  Expert 2 — the asset-based analyst</w:t>
      </w:r>
    </w:p>
    <w:p>
      <w:pPr>
        <w:spacing w:after="140"/>
      </w:pPr>
      <w:r>
        <w:rPr>
          <w:b w:val="0"/>
          <w:i w:val="0"/>
          <w:color w:val="1A1D21"/>
          <w:sz w:val="20"/>
        </w:rPr>
        <w:t>Worldview: a developer is a pile of land, work in progress and receivables, less what it owes. Earnings are an accident of timing. When it works: asset-heavy businesses in distress or in wind-down. When it fails: going concerns whose value is in execution.</w:t>
      </w:r>
    </w:p>
    <w:tbl>
      <w:tblPr>
        <w:tblStyle w:val="TableGrid"/>
        <w:tblW w:type="auto" w:w="0"/>
        <w:jc w:val="center"/>
        <w:tblLayout w:type="fixed"/>
        <w:tblLook w:firstColumn="1" w:firstRow="1" w:lastColumn="0" w:lastRow="0" w:noHBand="0" w:noVBand="1" w:val="04A0"/>
        <w:tblLayout w:type="fixed"/>
      </w:tblPr>
      <w:tblGrid>
        <w:gridCol w:w="5103"/>
        <w:gridCol w:w="2835"/>
      </w:tblGrid>
      <w:tr>
        <w:trPr>
          <w:tblHeader w:val="true"/>
        </w:trPr>
        <w:tc>
          <w:tcPr>
            <w:tcW w:type="dxa" w:w="5102"/>
          </w:tcPr>
          <w:p>
            <w:r/>
            <w:r>
              <w:rPr>
                <w:b/>
                <w:color w:val="5B6570"/>
                <w:sz w:val="17"/>
              </w:rPr>
              <w:t>Working, on the reviewed balance sheet of 31 March 2026</w:t>
            </w:r>
          </w:p>
        </w:tc>
        <w:tc>
          <w:tcPr>
            <w:tcW w:type="dxa" w:w="2835"/>
          </w:tcPr>
          <w:p>
            <w:r/>
            <w:r>
              <w:rPr>
                <w:b/>
                <w:color w:val="5B6570"/>
                <w:sz w:val="17"/>
              </w:rPr>
              <w:t>EGP mn</w:t>
            </w:r>
          </w:p>
        </w:tc>
      </w:tr>
      <w:tr>
        <w:trPr>
          <w:cantSplit/>
        </w:trPr>
        <w:tc>
          <w:tcPr>
            <w:tcW w:type="dxa" w:w="5102"/>
          </w:tcPr>
          <w:p>
            <w:r/>
            <w:r>
              <w:rPr>
                <w:color w:val="1A1D21"/>
                <w:sz w:val="17"/>
              </w:rPr>
              <w:t>Work in progress</w:t>
            </w:r>
          </w:p>
        </w:tc>
        <w:tc>
          <w:tcPr>
            <w:tcW w:type="dxa" w:w="2835"/>
          </w:tcPr>
          <w:p>
            <w:pPr>
              <w:jc w:val="right"/>
            </w:pPr>
            <w:r/>
            <w:r>
              <w:rPr>
                <w:color w:val="1A1D21"/>
                <w:sz w:val="17"/>
              </w:rPr>
              <w:t>21,338</w:t>
            </w:r>
          </w:p>
        </w:tc>
      </w:tr>
      <w:tr>
        <w:trPr>
          <w:cantSplit/>
        </w:trPr>
        <w:tc>
          <w:tcPr>
            <w:tcW w:type="dxa" w:w="5102"/>
          </w:tcPr>
          <w:p>
            <w:r/>
            <w:r>
              <w:rPr>
                <w:color w:val="1A1D21"/>
                <w:sz w:val="17"/>
              </w:rPr>
              <w:t>Receivables, trade and instalment</w:t>
            </w:r>
          </w:p>
        </w:tc>
        <w:tc>
          <w:tcPr>
            <w:tcW w:type="dxa" w:w="2835"/>
          </w:tcPr>
          <w:p>
            <w:pPr>
              <w:jc w:val="right"/>
            </w:pPr>
            <w:r/>
            <w:r>
              <w:rPr>
                <w:color w:val="1A1D21"/>
                <w:sz w:val="17"/>
              </w:rPr>
              <w:t>101,457</w:t>
            </w:r>
          </w:p>
        </w:tc>
      </w:tr>
      <w:tr>
        <w:trPr>
          <w:cantSplit/>
        </w:trPr>
        <w:tc>
          <w:tcPr>
            <w:tcW w:type="dxa" w:w="5102"/>
          </w:tcPr>
          <w:p>
            <w:r/>
            <w:r>
              <w:rPr>
                <w:color w:val="1A1D21"/>
                <w:sz w:val="17"/>
              </w:rPr>
              <w:t>Cash</w:t>
            </w:r>
          </w:p>
        </w:tc>
        <w:tc>
          <w:tcPr>
            <w:tcW w:type="dxa" w:w="2835"/>
          </w:tcPr>
          <w:p>
            <w:pPr>
              <w:jc w:val="right"/>
            </w:pPr>
            <w:r/>
            <w:r>
              <w:rPr>
                <w:color w:val="1A1D21"/>
                <w:sz w:val="17"/>
              </w:rPr>
              <w:t>9,125</w:t>
            </w:r>
          </w:p>
        </w:tc>
      </w:tr>
      <w:tr>
        <w:trPr>
          <w:cantSplit/>
        </w:trPr>
        <w:tc>
          <w:tcPr>
            <w:tcW w:type="dxa" w:w="5102"/>
          </w:tcPr>
          <w:p>
            <w:r/>
            <w:r>
              <w:rPr>
                <w:color w:val="1A1D21"/>
                <w:sz w:val="17"/>
              </w:rPr>
              <w:t>Investments and investment property</w:t>
            </w:r>
          </w:p>
        </w:tc>
        <w:tc>
          <w:tcPr>
            <w:tcW w:type="dxa" w:w="2835"/>
          </w:tcPr>
          <w:p>
            <w:pPr>
              <w:jc w:val="right"/>
            </w:pPr>
            <w:r/>
            <w:r>
              <w:rPr>
                <w:color w:val="1A1D21"/>
                <w:sz w:val="17"/>
              </w:rPr>
              <w:t>4,859</w:t>
            </w:r>
          </w:p>
        </w:tc>
      </w:tr>
      <w:tr>
        <w:trPr>
          <w:cantSplit/>
        </w:trPr>
        <w:tc>
          <w:tcPr>
            <w:tcW w:type="dxa" w:w="5102"/>
          </w:tcPr>
          <w:p>
            <w:r/>
            <w:r>
              <w:rPr>
                <w:color w:val="1A1D21"/>
                <w:sz w:val="17"/>
              </w:rPr>
              <w:t>less advances from customers</w:t>
            </w:r>
          </w:p>
        </w:tc>
        <w:tc>
          <w:tcPr>
            <w:tcW w:type="dxa" w:w="2835"/>
          </w:tcPr>
          <w:p>
            <w:pPr>
              <w:jc w:val="right"/>
            </w:pPr>
            <w:r/>
            <w:r>
              <w:rPr>
                <w:color w:val="1A1D21"/>
                <w:sz w:val="17"/>
              </w:rPr>
              <w:t>(72,868)</w:t>
            </w:r>
          </w:p>
        </w:tc>
      </w:tr>
      <w:tr>
        <w:trPr>
          <w:cantSplit/>
        </w:trPr>
        <w:tc>
          <w:tcPr>
            <w:tcW w:type="dxa" w:w="5102"/>
          </w:tcPr>
          <w:p>
            <w:r/>
            <w:r>
              <w:rPr>
                <w:color w:val="1A1D21"/>
                <w:sz w:val="17"/>
              </w:rPr>
              <w:t>less gross borrowings</w:t>
            </w:r>
          </w:p>
        </w:tc>
        <w:tc>
          <w:tcPr>
            <w:tcW w:type="dxa" w:w="2835"/>
          </w:tcPr>
          <w:p>
            <w:pPr>
              <w:jc w:val="right"/>
            </w:pPr>
            <w:r/>
            <w:r>
              <w:rPr>
                <w:color w:val="1A1D21"/>
                <w:sz w:val="17"/>
              </w:rPr>
              <w:t>(32,369.8)</w:t>
            </w:r>
          </w:p>
        </w:tc>
      </w:tr>
      <w:tr>
        <w:trPr>
          <w:cantSplit/>
        </w:trPr>
        <w:tc>
          <w:tcPr>
            <w:tcW w:type="dxa" w:w="5102"/>
          </w:tcPr>
          <w:p>
            <w:r/>
            <w:r>
              <w:rPr>
                <w:color w:val="1A1D21"/>
                <w:sz w:val="17"/>
              </w:rPr>
              <w:t>less other liabilities, balancing</w:t>
            </w:r>
          </w:p>
        </w:tc>
        <w:tc>
          <w:tcPr>
            <w:tcW w:type="dxa" w:w="2835"/>
          </w:tcPr>
          <w:p>
            <w:pPr>
              <w:jc w:val="right"/>
            </w:pPr>
            <w:r/>
            <w:r>
              <w:rPr>
                <w:color w:val="1A1D21"/>
                <w:sz w:val="17"/>
              </w:rPr>
              <w:t>(52,352.9)</w:t>
            </w:r>
          </w:p>
        </w:tc>
      </w:tr>
      <w:tr>
        <w:trPr>
          <w:cantSplit/>
        </w:trPr>
        <w:tc>
          <w:tcPr>
            <w:tcW w:type="dxa" w:w="5102"/>
          </w:tcPr>
          <w:p>
            <w:r/>
            <w:r>
              <w:rPr>
                <w:color w:val="1A1D21"/>
                <w:sz w:val="17"/>
              </w:rPr>
              <w:t>Shareholders' funds as reported</w:t>
            </w:r>
          </w:p>
        </w:tc>
        <w:tc>
          <w:tcPr>
            <w:tcW w:type="dxa" w:w="2835"/>
          </w:tcPr>
          <w:p>
            <w:pPr>
              <w:jc w:val="right"/>
            </w:pPr>
            <w:r/>
            <w:r>
              <w:rPr>
                <w:color w:val="1A1D21"/>
                <w:sz w:val="17"/>
              </w:rPr>
              <w:t>20,388</w:t>
            </w:r>
          </w:p>
        </w:tc>
      </w:tr>
      <w:tr>
        <w:trPr>
          <w:cantSplit/>
        </w:trPr>
        <w:tc>
          <w:tcPr>
            <w:tcW w:type="dxa" w:w="5102"/>
          </w:tcPr>
          <w:p>
            <w:r/>
            <w:r>
              <w:rPr>
                <w:color w:val="1A1D21"/>
                <w:sz w:val="17"/>
              </w:rPr>
              <w:t xml:space="preserve">  of which attributable to the parent</w:t>
            </w:r>
          </w:p>
        </w:tc>
        <w:tc>
          <w:tcPr>
            <w:tcW w:type="dxa" w:w="2835"/>
          </w:tcPr>
          <w:p>
            <w:pPr>
              <w:jc w:val="right"/>
            </w:pPr>
            <w:r/>
            <w:r>
              <w:rPr>
                <w:color w:val="1A1D21"/>
                <w:sz w:val="17"/>
              </w:rPr>
              <w:t>18,956</w:t>
            </w:r>
          </w:p>
        </w:tc>
      </w:tr>
      <w:tr>
        <w:trPr>
          <w:cantSplit/>
        </w:trPr>
        <w:tc>
          <w:tcPr>
            <w:tcW w:type="dxa" w:w="5102"/>
          </w:tcPr>
          <w:p>
            <w:r/>
            <w:r>
              <w:rPr>
                <w:color w:val="1A1D21"/>
                <w:sz w:val="17"/>
              </w:rPr>
              <w:t>Per share, parent (EGP)</w:t>
            </w:r>
          </w:p>
        </w:tc>
        <w:tc>
          <w:tcPr>
            <w:tcW w:type="dxa" w:w="2835"/>
          </w:tcPr>
          <w:p>
            <w:pPr>
              <w:jc w:val="right"/>
            </w:pPr>
            <w:r/>
            <w:r>
              <w:rPr>
                <w:color w:val="1A1D21"/>
                <w:sz w:val="17"/>
              </w:rPr>
              <w:t>6.63</w:t>
            </w:r>
          </w:p>
        </w:tc>
      </w:tr>
    </w:tbl>
    <w:p>
      <w:pPr>
        <w:spacing w:after="80"/>
      </w:pPr>
      <w:r>
        <w:rPr>
          <w:b w:val="0"/>
          <w:i w:val="0"/>
          <w:color w:val="1A1D21"/>
          <w:sz w:val="8"/>
        </w:rPr>
      </w:r>
    </w:p>
    <w:p>
      <w:pPr>
        <w:spacing w:after="140"/>
      </w:pPr>
      <w:r>
        <w:rPr>
          <w:b w:val="0"/>
          <w:i w:val="0"/>
          <w:color w:val="1A1D21"/>
          <w:sz w:val="20"/>
        </w:rPr>
        <w:t>Named sensitivity: the instalment receivable book is carried at face value less unwinding discount. A 10 per cent write-down of that book would remove roughly EGP 9,923 million, about EGP 3.47 a share. Falsifier: evidence of material cancellations or receivable impairment would confirm this reading and invalidate the cash-flow one.</w:t>
      </w:r>
    </w:p>
    <w:p>
      <w:pPr>
        <w:pStyle w:val="Heading2"/>
      </w:pPr>
      <w:r>
        <w:t>C.3  Expert 3 — the market-implied analyst</w:t>
      </w:r>
    </w:p>
    <w:p>
      <w:pPr>
        <w:spacing w:after="140"/>
      </w:pPr>
      <w:r>
        <w:rPr>
          <w:b w:val="0"/>
          <w:i w:val="0"/>
          <w:color w:val="1A1D21"/>
          <w:sz w:val="20"/>
        </w:rPr>
        <w:t>Worldview: do not value the company; ask what the price already assumes, then judge whether that assumption is reasonable. When it works: where a single variable dominates. When it fails: where the market is wrong about many things at once.</w:t>
      </w:r>
    </w:p>
    <w:p>
      <w:pPr>
        <w:spacing w:after="140"/>
      </w:pPr>
      <w:r>
        <w:rPr>
          <w:b w:val="0"/>
          <w:i w:val="0"/>
          <w:color w:val="1A1D21"/>
          <w:sz w:val="20"/>
        </w:rPr>
        <w:t>Working: holding the cost of capital at 24.96% and every other input at the audited 2025 base, the closing price of EGP 14.40 implies cash conversion of 6.3%. The company achieved 4.3% in 2023, 17.9% in 2024 and 3.9% in 2025. Named sensitivity: at a 25.83% cost of capital the implied rate would be lower still. Falsifier: if 2026 conversion prints above 6.3%, the price was too low.</w:t>
      </w:r>
    </w:p>
    <w:p>
      <w:pPr>
        <w:pStyle w:val="Heading2"/>
      </w:pPr>
      <w:r>
        <w:t>C.4  Cross-examination</w:t>
      </w:r>
    </w:p>
    <w:p>
      <w:pPr>
        <w:pStyle w:val="ListBullet"/>
        <w:spacing w:after="60"/>
      </w:pPr>
      <w:r>
        <w:rPr>
          <w:color w:val="1A1D21"/>
          <w:sz w:val="20"/>
        </w:rPr>
        <w:t>Expert 2 to Expert 1: your terminal value is 36% of your answer, so you are mostly valuing years you cannot see. CONCEDED — it is why no single figure is published.</w:t>
      </w:r>
    </w:p>
    <w:p>
      <w:pPr>
        <w:pStyle w:val="ListBullet"/>
        <w:spacing w:after="60"/>
      </w:pPr>
      <w:r>
        <w:rPr>
          <w:color w:val="1A1D21"/>
          <w:sz w:val="20"/>
        </w:rPr>
        <w:t>Expert 1 to Expert 2: book value ignores that the company sells at roughly 41.2% gross margin, so its inventory is worth more than cost. CONCEDED — book is a floor, not a value.</w:t>
      </w:r>
    </w:p>
    <w:p>
      <w:pPr>
        <w:pStyle w:val="ListBullet"/>
        <w:spacing w:after="60"/>
      </w:pPr>
      <w:r>
        <w:rPr>
          <w:color w:val="1A1D21"/>
          <w:sz w:val="20"/>
        </w:rPr>
        <w:t>Expert 3 to both: you disagree by a factor of four and the market sits between you, so neither of you is adding information. REJECTED — the range is the information; a false point estimate would not be.</w:t>
      </w:r>
    </w:p>
    <w:p>
      <w:pPr>
        <w:pStyle w:val="ListBullet"/>
        <w:spacing w:after="60"/>
      </w:pPr>
      <w:r>
        <w:rPr>
          <w:color w:val="1A1D21"/>
          <w:sz w:val="20"/>
        </w:rPr>
        <w:t>Expert 2 to Expert 3: the price also reflects Egyptian equity risk appetite, not just this company's conversion rate. CONCEDED — the implied figure is a single-variable solve and is labelled as one.</w:t>
      </w:r>
    </w:p>
    <w:p>
      <w:pPr>
        <w:pStyle w:val="Heading2"/>
      </w:pPr>
      <w:r>
        <w:t>C.5  The three in one room</w:t>
      </w:r>
    </w:p>
    <w:p>
      <w:pPr>
        <w:spacing w:after="140"/>
      </w:pPr>
      <w:r>
        <w:rPr>
          <w:b w:val="0"/>
          <w:i w:val="0"/>
          <w:color w:val="1A1D21"/>
          <w:sz w:val="20"/>
        </w:rPr>
        <w:t>They agree on the facts and disagree on one number. All three accept the audited 2025 base, the 24.96% cost of capital and the order book. Expert 1 needs a conversion rate to produce an answer; Expert 2 refuses to forecast one and prices the assets instead; Expert 3 asks what rate is already in the price. The room's joint position is that Palm Hills is worth between EGP 7.65 and EGP 46.85, that the price of EGP 14.40 sits in the lower half of that range, and that the width is a property of the disclosure rather than of the analysis.</w:t>
      </w:r>
    </w:p>
    <w:p>
      <w:pPr>
        <w:pStyle w:val="Heading2"/>
      </w:pPr>
      <w:r>
        <w:t>C.6  Reading the divergence</w:t>
      </w:r>
    </w:p>
    <w:tbl>
      <w:tblPr>
        <w:tblStyle w:val="TableGrid"/>
        <w:tblW w:type="auto" w:w="0"/>
        <w:jc w:val="center"/>
        <w:tblLayout w:type="fixed"/>
        <w:tblLook w:firstColumn="1" w:firstRow="1" w:lastColumn="0" w:lastRow="0" w:noHBand="0" w:noVBand="1" w:val="04A0"/>
        <w:tblLayout w:type="fixed"/>
      </w:tblPr>
      <w:tblGrid>
        <w:gridCol w:w="1928"/>
        <w:gridCol w:w="1928"/>
        <w:gridCol w:w="1701"/>
        <w:gridCol w:w="1814"/>
        <w:gridCol w:w="1928"/>
      </w:tblGrid>
      <w:tr>
        <w:trPr>
          <w:tblHeader w:val="true"/>
        </w:trPr>
        <w:tc>
          <w:tcPr>
            <w:tcW w:type="dxa" w:w="1928"/>
          </w:tcPr>
          <w:p>
            <w:r/>
            <w:r>
              <w:rPr>
                <w:b/>
                <w:color w:val="5B6570"/>
                <w:sz w:val="17"/>
              </w:rPr>
              <w:t>Assumption</w:t>
            </w:r>
          </w:p>
        </w:tc>
        <w:tc>
          <w:tcPr>
            <w:tcW w:type="dxa" w:w="1928"/>
          </w:tcPr>
          <w:p>
            <w:r/>
            <w:r>
              <w:rPr>
                <w:b/>
                <w:color w:val="5B6570"/>
                <w:sz w:val="17"/>
              </w:rPr>
              <w:t>Expert 1</w:t>
            </w:r>
          </w:p>
        </w:tc>
        <w:tc>
          <w:tcPr>
            <w:tcW w:type="dxa" w:w="1701"/>
          </w:tcPr>
          <w:p>
            <w:r/>
            <w:r>
              <w:rPr>
                <w:b/>
                <w:color w:val="5B6570"/>
                <w:sz w:val="17"/>
              </w:rPr>
              <w:t>Expert 2</w:t>
            </w:r>
          </w:p>
        </w:tc>
        <w:tc>
          <w:tcPr>
            <w:tcW w:type="dxa" w:w="1814"/>
          </w:tcPr>
          <w:p>
            <w:r/>
            <w:r>
              <w:rPr>
                <w:b/>
                <w:color w:val="5B6570"/>
                <w:sz w:val="17"/>
              </w:rPr>
              <w:t>Expert 3</w:t>
            </w:r>
          </w:p>
        </w:tc>
        <w:tc>
          <w:tcPr>
            <w:tcW w:type="dxa" w:w="1928"/>
          </w:tcPr>
          <w:p>
            <w:r/>
            <w:r>
              <w:rPr>
                <w:b/>
                <w:color w:val="5B6570"/>
                <w:sz w:val="17"/>
              </w:rPr>
              <w:t>Drives the gap?</w:t>
            </w:r>
          </w:p>
        </w:tc>
      </w:tr>
      <w:tr>
        <w:trPr>
          <w:cantSplit/>
        </w:trPr>
        <w:tc>
          <w:tcPr>
            <w:tcW w:type="dxa" w:w="1928"/>
          </w:tcPr>
          <w:p>
            <w:r/>
            <w:r>
              <w:rPr>
                <w:color w:val="1A1D21"/>
                <w:sz w:val="17"/>
              </w:rPr>
              <w:t>Cash conversion</w:t>
            </w:r>
          </w:p>
        </w:tc>
        <w:tc>
          <w:tcPr>
            <w:tcW w:type="dxa" w:w="1928"/>
          </w:tcPr>
          <w:p>
            <w:r/>
            <w:r>
              <w:rPr>
                <w:color w:val="1A1D21"/>
                <w:sz w:val="17"/>
              </w:rPr>
              <w:t>3.9% to 17.9%</w:t>
            </w:r>
          </w:p>
        </w:tc>
        <w:tc>
          <w:tcPr>
            <w:tcW w:type="dxa" w:w="1701"/>
          </w:tcPr>
          <w:p>
            <w:r/>
            <w:r>
              <w:rPr>
                <w:color w:val="1A1D21"/>
                <w:sz w:val="17"/>
              </w:rPr>
              <w:t>not forecast</w:t>
            </w:r>
          </w:p>
        </w:tc>
        <w:tc>
          <w:tcPr>
            <w:tcW w:type="dxa" w:w="1814"/>
          </w:tcPr>
          <w:p>
            <w:r/>
            <w:r>
              <w:rPr>
                <w:color w:val="1A1D21"/>
                <w:sz w:val="17"/>
              </w:rPr>
              <w:t>6.3% implied</w:t>
            </w:r>
          </w:p>
        </w:tc>
        <w:tc>
          <w:tcPr>
            <w:tcW w:type="dxa" w:w="1928"/>
          </w:tcPr>
          <w:p>
            <w:r/>
            <w:r>
              <w:rPr>
                <w:color w:val="1A1D21"/>
                <w:sz w:val="17"/>
              </w:rPr>
              <w:t>YES — this is the whole gap</w:t>
            </w:r>
          </w:p>
        </w:tc>
      </w:tr>
      <w:tr>
        <w:trPr>
          <w:cantSplit/>
        </w:trPr>
        <w:tc>
          <w:tcPr>
            <w:tcW w:type="dxa" w:w="1928"/>
          </w:tcPr>
          <w:p>
            <w:r/>
            <w:r>
              <w:rPr>
                <w:color w:val="1A1D21"/>
                <w:sz w:val="17"/>
              </w:rPr>
              <w:t>Cost of capital</w:t>
            </w:r>
          </w:p>
        </w:tc>
        <w:tc>
          <w:tcPr>
            <w:tcW w:type="dxa" w:w="1928"/>
          </w:tcPr>
          <w:p>
            <w:pPr>
              <w:jc w:val="right"/>
            </w:pPr>
            <w:r/>
            <w:r>
              <w:rPr>
                <w:color w:val="1A1D21"/>
                <w:sz w:val="17"/>
              </w:rPr>
              <w:t>24.96%</w:t>
            </w:r>
          </w:p>
        </w:tc>
        <w:tc>
          <w:tcPr>
            <w:tcW w:type="dxa" w:w="1701"/>
          </w:tcPr>
          <w:p>
            <w:r/>
            <w:r>
              <w:rPr>
                <w:color w:val="1A1D21"/>
                <w:sz w:val="17"/>
              </w:rPr>
              <w:t>not used</w:t>
            </w:r>
          </w:p>
        </w:tc>
        <w:tc>
          <w:tcPr>
            <w:tcW w:type="dxa" w:w="1814"/>
          </w:tcPr>
          <w:p>
            <w:pPr>
              <w:jc w:val="right"/>
            </w:pPr>
            <w:r/>
            <w:r>
              <w:rPr>
                <w:color w:val="1A1D21"/>
                <w:sz w:val="17"/>
              </w:rPr>
              <w:t>24.96%</w:t>
            </w:r>
          </w:p>
        </w:tc>
        <w:tc>
          <w:tcPr>
            <w:tcW w:type="dxa" w:w="1928"/>
          </w:tcPr>
          <w:p>
            <w:r/>
            <w:r>
              <w:rPr>
                <w:color w:val="1A1D21"/>
                <w:sz w:val="17"/>
              </w:rPr>
              <w:t>no — shared</w:t>
            </w:r>
          </w:p>
        </w:tc>
      </w:tr>
      <w:tr>
        <w:trPr>
          <w:cantSplit/>
        </w:trPr>
        <w:tc>
          <w:tcPr>
            <w:tcW w:type="dxa" w:w="1928"/>
          </w:tcPr>
          <w:p>
            <w:r/>
            <w:r>
              <w:rPr>
                <w:color w:val="1A1D21"/>
                <w:sz w:val="17"/>
              </w:rPr>
              <w:t>Receivable book</w:t>
            </w:r>
          </w:p>
        </w:tc>
        <w:tc>
          <w:tcPr>
            <w:tcW w:type="dxa" w:w="1928"/>
          </w:tcPr>
          <w:p>
            <w:r/>
            <w:r>
              <w:rPr>
                <w:color w:val="1A1D21"/>
                <w:sz w:val="17"/>
              </w:rPr>
              <w:t>collected on schedule</w:t>
            </w:r>
          </w:p>
        </w:tc>
        <w:tc>
          <w:tcPr>
            <w:tcW w:type="dxa" w:w="1701"/>
          </w:tcPr>
          <w:p>
            <w:r/>
            <w:r>
              <w:rPr>
                <w:color w:val="1A1D21"/>
                <w:sz w:val="17"/>
              </w:rPr>
              <w:t>at carrying value</w:t>
            </w:r>
          </w:p>
        </w:tc>
        <w:tc>
          <w:tcPr>
            <w:tcW w:type="dxa" w:w="1814"/>
          </w:tcPr>
          <w:p>
            <w:r/>
            <w:r>
              <w:rPr>
                <w:color w:val="1A1D21"/>
                <w:sz w:val="17"/>
              </w:rPr>
              <w:t>as the market judges</w:t>
            </w:r>
          </w:p>
        </w:tc>
        <w:tc>
          <w:tcPr>
            <w:tcW w:type="dxa" w:w="1928"/>
          </w:tcPr>
          <w:p>
            <w:r/>
            <w:r>
              <w:rPr>
                <w:color w:val="1A1D21"/>
                <w:sz w:val="17"/>
              </w:rPr>
              <w:t>partly</w:t>
            </w:r>
          </w:p>
        </w:tc>
      </w:tr>
      <w:tr>
        <w:trPr>
          <w:cantSplit/>
        </w:trPr>
        <w:tc>
          <w:tcPr>
            <w:tcW w:type="dxa" w:w="1928"/>
          </w:tcPr>
          <w:p>
            <w:r/>
            <w:r>
              <w:rPr>
                <w:color w:val="1A1D21"/>
                <w:sz w:val="17"/>
              </w:rPr>
              <w:t>Terminal value</w:t>
            </w:r>
          </w:p>
        </w:tc>
        <w:tc>
          <w:tcPr>
            <w:tcW w:type="dxa" w:w="1928"/>
          </w:tcPr>
          <w:p>
            <w:r/>
            <w:r>
              <w:rPr>
                <w:color w:val="1A1D21"/>
                <w:sz w:val="17"/>
              </w:rPr>
              <w:t>36% of the answer</w:t>
            </w:r>
          </w:p>
        </w:tc>
        <w:tc>
          <w:tcPr>
            <w:tcW w:type="dxa" w:w="1701"/>
          </w:tcPr>
          <w:p>
            <w:r/>
            <w:r>
              <w:rPr>
                <w:color w:val="1A1D21"/>
                <w:sz w:val="17"/>
              </w:rPr>
              <w:t>none</w:t>
            </w:r>
          </w:p>
        </w:tc>
        <w:tc>
          <w:tcPr>
            <w:tcW w:type="dxa" w:w="1814"/>
          </w:tcPr>
          <w:p>
            <w:r/>
            <w:r>
              <w:rPr>
                <w:color w:val="1A1D21"/>
                <w:sz w:val="17"/>
              </w:rPr>
              <w:t>none</w:t>
            </w:r>
          </w:p>
        </w:tc>
        <w:tc>
          <w:tcPr>
            <w:tcW w:type="dxa" w:w="1928"/>
          </w:tcPr>
          <w:p>
            <w:r/>
            <w:r>
              <w:rPr>
                <w:color w:val="1A1D21"/>
                <w:sz w:val="17"/>
              </w:rPr>
              <w:t>yes for Expert 1 alone</w:t>
            </w:r>
          </w:p>
        </w:tc>
      </w:tr>
    </w:tbl>
    <w:p>
      <w:pPr>
        <w:spacing w:after="200"/>
      </w:pPr>
      <w:r>
        <w:rPr>
          <w:b w:val="0"/>
          <w:i/>
          <w:color w:val="5B6570"/>
          <w:sz w:val="16"/>
        </w:rPr>
        <w:t>One assumption explains almost all of the divergence, which is the clearest evidence that section 1.7 has identified the right crux.</w:t>
      </w:r>
    </w:p>
    <w:p>
      <w:r>
        <w:br w:type="page"/>
      </w:r>
    </w:p>
    <w:p>
      <w:pPr>
        <w:pStyle w:val="Heading1"/>
      </w:pPr>
      <w:r>
        <w:t>About this series</w:t>
      </w:r>
    </w:p>
    <w:p>
      <w:pPr>
        <w:spacing w:after="140"/>
      </w:pPr>
      <w:r>
        <w:rPr>
          <w:b w:val="0"/>
          <w:i w:val="0"/>
          <w:color w:val="1A1D21"/>
          <w:sz w:val="20"/>
        </w:rPr>
        <w:t>These studies value a company from its own disclosures, publish the reasoning alongside the answer, and record what the method has historically got right and wrong on that company. They carry no rating and no price target. Where a company does not disclose something the valuation needs, the study says so and prices the consequence rather than filling the gap.</w:t>
      </w:r>
    </w:p>
    <w:p>
      <w:pPr>
        <w:pStyle w:val="Heading1"/>
      </w:pPr>
      <w:r>
        <w:t>Disclosure and disclaimer</w:t>
      </w:r>
    </w:p>
    <w:p>
      <w:pPr>
        <w:spacing w:after="140"/>
      </w:pPr>
      <w:r>
        <w:rPr>
          <w:b w:val="0"/>
          <w:i w:val="0"/>
          <w:color w:val="5B6570"/>
          <w:sz w:val="17"/>
        </w:rPr>
        <w:t>This document is for information and education. It is not investment advice, not a recommendation, and not an offer or solicitation to buy or sell any security. It contains no rating and no price target. Figures are drawn from the company's published financial statements and results releases and from the named third-party sources; they may contain errors and are not warranted. Valuations are estimates that depend on assumptions stated in the text, and small changes in those assumptions produce large changes in the result, as section 1.9 shows directly. Past price behaviour does not predict future returns. Readers must reach their own conclusions and should take professional advice before acting. Edition of 10 September 2026; information set ends at the company's first-quarter 2026 results.</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Georgia" w:hAnsi="Georgia"/>
      <w:color w:val="1A1D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b/>
      <w:bCs/>
      <w:color w:val="1D6FA3"/>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Georgia" w:hAnsi="Georgia"/>
      <w:b/>
      <w:bCs/>
      <w:color w:val="1A1D21"/>
      <w:sz w:val="25"/>
      <w:szCs w:val="26"/>
    </w:rPr>
  </w:style>
  <w:style w:type="paragraph" w:styleId="Heading3">
    <w:name w:val="heading 3"/>
    <w:basedOn w:val="Normal"/>
    <w:next w:val="Normal"/>
    <w:link w:val="Heading3Char"/>
    <w:uiPriority w:val="9"/>
    <w:unhideWhenUsed/>
    <w:qFormat/>
    <w:rsid w:val="00FC693F"/>
    <w:pPr>
      <w:keepNext/>
      <w:keepLines/>
      <w:spacing w:before="280" w:after="100"/>
      <w:outlineLvl w:val="2"/>
    </w:pPr>
    <w:rPr>
      <w:rFonts w:asciiTheme="majorHAnsi" w:eastAsiaTheme="majorEastAsia" w:hAnsiTheme="majorHAnsi" w:cstheme="majorBidi" w:ascii="Georgia" w:hAnsi="Georgia"/>
      <w:b/>
      <w:bCs/>
      <w:color w:val="1A1D2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