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04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161</w:t>
            </w:r>
          </w:p>
        </w:tc>
      </w:tr>
      <w:tr>
        <w:tc>
          <w:tcPr>
            <w:tcW w:type="dxa" w:w="6236"/>
          </w:tcPr>
          <w:p>
            <w:r/>
            <w:r>
              <w:rPr>
                <w:color w:val="1A1D21"/>
                <w:sz w:val="18"/>
              </w:rPr>
              <w:t>Bind on a class of company (CLASS)</w:t>
            </w:r>
          </w:p>
        </w:tc>
        <w:tc>
          <w:tcPr>
            <w:tcW w:type="dxa" w:w="2721"/>
          </w:tcPr>
          <w:p>
            <w:r/>
            <w:r>
              <w:rPr>
                <w:color w:val="1A1D21"/>
                <w:sz w:val="18"/>
              </w:rPr>
              <w:t>20</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188</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39</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20</w:t>
            </w:r>
          </w:p>
        </w:tc>
      </w:tr>
      <w:tr>
        <w:tc>
          <w:tcPr>
            <w:tcW w:type="dxa" w:w="6236"/>
          </w:tcPr>
          <w:p>
            <w:r/>
            <w:r>
              <w:rPr>
                <w:color w:val="1A1D21"/>
                <w:sz w:val="18"/>
              </w:rPr>
              <w:t>Found while building</w:t>
            </w:r>
          </w:p>
        </w:tc>
        <w:tc>
          <w:tcPr>
            <w:tcW w:type="dxa" w:w="2721"/>
          </w:tcPr>
          <w:p>
            <w:r/>
            <w:r>
              <w:rPr>
                <w:color w:val="1A1D21"/>
                <w:sz w:val="18"/>
              </w:rPr>
              <w:t>113</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(41):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pPr>
        <w:keepNext/>
        <w:spacing w:before="240" w:after="60"/>
      </w:pPr>
      <w:r>
        <w:rPr>
          <w:b/>
          <w:color w:val="1A1D21"/>
          <w:sz w:val="22"/>
        </w:rPr>
        <w:t>L-228  RUN A NEW INSTRUMENT OVER THE WHOLE BOOK BEFORE BELIEVING ITS FIRST FINDING. Most of what a fresh check reports is the check being wrong about how the work is shaped.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gate written from one study's defects encodes that study's table conventions. The book carries several more, each of them ordinary, and each looks like a defect until somebody looks at it.</w:t>
      </w:r>
    </w:p>
    <w:p>
      <w:pPr>
        <w:spacing w:after="60"/>
        <w:ind w:left="283"/>
      </w:pPr>
      <w:r>
        <w:rPr>
          <w:b w:val="0"/>
          <w:i w:val="0"/>
          <w:color w:val="5B6570"/>
          <w:sz w:val="19"/>
        </w:rPr>
        <w:t>How we know.  Pointed at the five rebuilt studies the gate reported 38 unreconciled totals. FOUR were the instrument, not the book, and all four were fixed rather than declared: a date column parsed as numeric because 'Jan 2026' yields 2026 under any reader that tolerates a prefix; a TOTAL row that is a SUM in one column and a WEIGHTED MEAN in another, which the first draft tried only for labels containing the word 'weighted'; a weighted mean whose band ignored the ROUNDING OF ITS OWN WEIGHT COLUMN, condemning a product table by five units on a band of four; and an 'OF WHICH' breakdown, whose indented sub-items were counted alongside the parent line they decompose, condemning a balance sheet that foots exactly. Each fix made the instrument more right rather than more permissive, and the negative control held at 14/14 through all four.</w:t>
      </w:r>
    </w:p>
    <w:p>
      <w:pPr>
        <w:spacing w:after="160"/>
        <w:ind w:left="283"/>
      </w:pPr>
      <w:r>
        <w:rPr>
          <w:b w:val="0"/>
          <w:i w:val="0"/>
          <w:color w:val="5B6570"/>
          <w:sz w:val="19"/>
        </w:rPr>
        <w:t>What would overturn it.  A first run whose findings are all real, which would mean the instrument was written from a wide enough sample to begin with.</w:t>
      </w:r>
    </w:p>
    <w:p>
      <w:pPr>
        <w:keepNext/>
        <w:spacing w:before="240" w:after="60"/>
      </w:pPr>
      <w:r>
        <w:rPr>
          <w:b/>
          <w:color w:val="1A1D21"/>
          <w:sz w:val="22"/>
        </w:rPr>
        <w:t>L-229  A RATCHET ENTRY IS EARNED BY A NAMED FINDING, NOT BY SILENCE. Where a study cannot clear a check, write down what it failed on and keep it listed.</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The temptation on a stubborn red is to declare the exception and move on; a declaration with a reason that is really 'this one is awkward' is the rubber stamp the whole mechanism exists to prevent.</w:t>
      </w:r>
    </w:p>
    <w:p>
      <w:pPr>
        <w:spacing w:after="60"/>
        <w:ind w:left="283"/>
      </w:pPr>
      <w:r>
        <w:rPr>
          <w:b w:val="0"/>
          <w:i w:val="0"/>
          <w:color w:val="5B6570"/>
          <w:sz w:val="19"/>
        </w:rPr>
        <w:t>How we know.  Four studies were given footing declarations in one pass. Three came off the ratchet with every exception naming a real structural fact — an input register keyed by name, a transposed cost-of-capital table, a blend across products whose weights live in another table, disclosed line items in a summary. The fourth did not: TMGH's as-reported balance sheet is 748 SHORT in its non-current block and 24 short in its current block against the rows it prints, so either the statement carries lines the table omits or the totals are wrong. That is the reader's problem either way, it was not resolved, and the study stays listed with that as its recorded reason.</w:t>
      </w:r>
    </w:p>
    <w:p>
      <w:pPr>
        <w:spacing w:after="160"/>
        <w:ind w:left="283"/>
      </w:pPr>
      <w:r>
        <w:rPr>
          <w:b w:val="0"/>
          <w:i w:val="0"/>
          <w:color w:val="5B6570"/>
          <w:sz w:val="19"/>
        </w:rPr>
        <w:t>What would overturn it.  A book where every red resolves to a legitimate structural exception, which would mean the instrument is measuring nothing.</w:t>
      </w:r>
    </w:p>
    <w:p>
      <w:pPr>
        <w:keepNext/>
        <w:spacing w:before="240" w:after="60"/>
      </w:pPr>
      <w:r>
        <w:rPr>
          <w:b/>
          <w:color w:val="1A1D21"/>
          <w:sz w:val="22"/>
        </w:rPr>
        <w:t>L-230  A STATEMENT THAT CLOSES AT THE TOP CAN STILL FAIL A READER IN EVERY BLOCK BELOW IT. Check the sub-totals, not only the identity.</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Total assets equalling equity plus liabilities is the check every model already runs on itself, and it passes whether or not the printed components of each block add up to their own sub-total. The reader adds the column, not the identity.</w:t>
      </w:r>
    </w:p>
    <w:p>
      <w:pPr>
        <w:spacing w:after="60"/>
        <w:ind w:left="283"/>
      </w:pPr>
      <w:r>
        <w:rPr>
          <w:b w:val="0"/>
          <w:i w:val="0"/>
          <w:color w:val="5B6570"/>
          <w:sz w:val="19"/>
        </w:rPr>
        <w:t>How we know.  TMGH's as-reported balance sheet closed PERFECTLY at the top — non-current plus current is total assets to the pound, and equity plus liabilities is the same figure — so every check that reconciles a model to itself passed it. Below that, the five printed non-current lines came out EGP 748mn short of their own sub-total and the seven current lines EGP 24mn short. The study was not wrong: it HELD every missing figure as a registered input and simply did not print them — intangibles 84.6 plus right-of-use 481.4 plus deferred tax 182.0 is 748.0 to the last hundred thousand, and work in progress is 23.6. A reader adding a column had no way to tell a missing line from a wrong total.</w:t>
      </w:r>
    </w:p>
    <w:p>
      <w:pPr>
        <w:spacing w:after="160"/>
        <w:ind w:left="283"/>
      </w:pPr>
      <w:r>
        <w:rPr>
          <w:b w:val="0"/>
          <w:i w:val="0"/>
          <w:color w:val="5B6570"/>
          <w:sz w:val="19"/>
        </w:rPr>
        <w:t>What would overturn it.  A presentation that deliberately shows principal lines only and SAYS so, where the residual is labelled rather than absent.</w:t>
      </w:r>
    </w:p>
    <w:p>
      <w:pPr>
        <w:keepNext/>
        <w:spacing w:before="240" w:after="60"/>
      </w:pPr>
      <w:r>
        <w:rPr>
          <w:b/>
          <w:color w:val="1A1D21"/>
          <w:sz w:val="22"/>
        </w:rPr>
        <w:t>L-231  TRIAGE A GATE'S BACKLOG BY HOW CLOSE THE ARITHMETIC COMES, NOT BY THE LABEL. A block that ALMOST foots is a missing line; one that is wildly off is a different kind of row altogether.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Both arrive as the same complaint — a total that does not follow from the rows above it — and reading eighty-seven of them one at a time is how a backlog becomes permanent. The distance separates them in a single pass.</w:t>
      </w:r>
    </w:p>
    <w:p>
      <w:pPr>
        <w:spacing w:after="60"/>
        <w:ind w:left="283"/>
      </w:pPr>
      <w:r>
        <w:rPr>
          <w:b w:val="0"/>
          <w:i w:val="0"/>
          <w:color w:val="5B6570"/>
          <w:sz w:val="19"/>
        </w:rPr>
        <w:t>How we know.  Run across the nineteen studies carrying no footing check, the gate reported 87 unreconciled totals. Sorting each by how close its nearest printed block comes to the stated total split them cleanly: 21 land within six per cent, and every one inspected is the TMGH signature — a summary statement omitting small lines it already holds as registered inputs, closing perfectly at the top and short by half a point to two points in each block below (ADNOCDRILL, AMR, EMPOWER, RIYADHCABLE, EIPICO). The other 66 are far off and are structural: a disclosed line item among its peers, a transposed cost-of-capital table whose weights are a row, a blend across a dimension the column does not carry. Recorded in footing_findings.json rather than resolved, because recording a finding is what stops a backlog from silently becoming a declaration.</w:t>
      </w:r>
    </w:p>
    <w:p>
      <w:pPr>
        <w:spacing w:after="160"/>
        <w:ind w:left="283"/>
      </w:pPr>
      <w:r>
        <w:rPr>
          <w:b w:val="0"/>
          <w:i w:val="0"/>
          <w:color w:val="5B6570"/>
          <w:sz w:val="19"/>
        </w:rPr>
        <w:t>What would overturn it.  A backlog where the two classes overlap in distance, which would mean the triage is measuring the wrong thing and each case must be read individually.</w:t>
      </w:r>
    </w:p>
    <w:p>
      <w:pPr>
        <w:keepNext/>
        <w:spacing w:before="240" w:after="60"/>
      </w:pPr>
      <w:r>
        <w:rPr>
          <w:b/>
          <w:color w:val="1A1D21"/>
          <w:sz w:val="22"/>
        </w:rPr>
        <w:t>L-232  WHEN A RULE KEEPS BREAKING, SUSPECT THE INSTRUMENT BEFORE THE WILL. Ask what mechanism is behind it and whether that mechanism can physically do the job.</w:t>
      </w:r>
    </w:p>
    <w:p>
      <w:pPr>
        <w:keepNext/>
        <w:spacing w:after="100"/>
      </w:pPr>
      <w:r>
        <w:rPr>
          <w:b/>
          <w:color w:val="1D6FA3"/>
          <w:sz w:val="16"/>
        </w:rPr>
        <w:t>EVERY STUDY</w:t>
      </w:r>
      <w:r>
        <w:rPr>
          <w:color w:val="5B6570"/>
          <w:sz w:val="16"/>
        </w:rPr>
        <w:t xml:space="preserve">   applies to every study   ·   learned from a found while building, the continuation routine, 03-Sep-2026</w:t>
      </w:r>
    </w:p>
    <w:p>
      <w:pPr>
        <w:spacing w:after="100"/>
      </w:pPr>
      <w:r>
        <w:rPr>
          <w:b w:val="0"/>
          <w:i w:val="0"/>
          <w:color w:val="1A1D21"/>
          <w:sz w:val="21"/>
        </w:rPr>
        <w:t>A rule that has been restated three times and broken three times is not a rule anyone disagrees with. Restating it a fourth time is the cheapest response and the one least likely to work; asking what enforces it is the expensive one.</w:t>
      </w:r>
    </w:p>
    <w:p>
      <w:pPr>
        <w:spacing w:after="60"/>
        <w:ind w:left="283"/>
      </w:pPr>
      <w:r>
        <w:rPr>
          <w:b w:val="0"/>
          <w:i w:val="0"/>
          <w:color w:val="5B6570"/>
          <w:sz w:val="19"/>
        </w:rPr>
        <w:t>How we know.  "Do not stop" was adopted, written into the operating protocol, and broken twice in one afternoon, each time by ending a turn on a progress report. The machinery behind it was an hourly cron, and a cron has three properties that make it unable to do this job: it CANNOT FIRE INTO A TURN THAT IS ALREADY RUNNING, so it shortens the gap after a stop and can never prevent one; its floor is SIXTY MINUTES, tested and refused below that; and nothing inside a turn forces a next action. Its own prompt admitted the first — "so that stopping costs an hour rather than half a day" — which describes a backstop. The replacement is SELF-RE-INVOCATION: the last act of a turn that ends with work remaining launches a background task whose EXIT re-invokes the session, caused by the stop rather than by a clock, inside the turn's own control, and costing a minute. The cron is demoted to the archived-session case it can actually serve.</w:t>
      </w:r>
    </w:p>
    <w:p>
      <w:pPr>
        <w:spacing w:after="160"/>
        <w:ind w:left="283"/>
      </w:pPr>
      <w:r>
        <w:rPr>
          <w:b w:val="0"/>
          <w:i w:val="0"/>
          <w:color w:val="5B6570"/>
          <w:sz w:val="19"/>
        </w:rPr>
        <w:t>What would overturn it.  A rule that keeps breaking while its mechanism demonstrably can do the job, which would mean the diagnosis really is about will and the remedy is elsewhere.</w:t>
      </w:r>
    </w:p>
    <w:p>
      <w:pPr>
        <w:keepNext/>
        <w:spacing w:before="240" w:after="60"/>
      </w:pPr>
      <w:r>
        <w:rPr>
          <w:b/>
          <w:color w:val="1A1D21"/>
          <w:sz w:val="22"/>
        </w:rPr>
        <w:t>L-233  WHERE A TABLE DOES NOT ADD AND THE MISSING LINES ARE NOT HELD, PRINT A LABELLED RESIDUAL. It is not inventing data — it is arithmetic on two figures the study already has — and it is strictly better than a column that does not add.</w:t>
      </w:r>
    </w:p>
    <w:p>
      <w:pPr>
        <w:keepNext/>
        <w:spacing w:after="100"/>
      </w:pPr>
      <w:r>
        <w:rPr>
          <w:b/>
          <w:color w:val="1D6FA3"/>
          <w:sz w:val="16"/>
        </w:rPr>
        <w:t>EVERY STUDY</w:t>
      </w:r>
      <w:r>
        <w:rPr>
          <w:color w:val="5B6570"/>
          <w:sz w:val="16"/>
        </w:rPr>
        <w:t xml:space="preserve">   applies to every study   ·   learned from a found while building, the footing port, 03-Sep-2026</w:t>
      </w:r>
    </w:p>
    <w:p>
      <w:pPr>
        <w:spacing w:after="100"/>
      </w:pPr>
      <w:r>
        <w:rPr>
          <w:b w:val="0"/>
          <w:i w:val="0"/>
          <w:color w:val="1A1D21"/>
          <w:sz w:val="21"/>
        </w:rPr>
        <w:t>The instinct on finding a gap that cannot be closed from the sources to hand is to leave it, because naming the missing lines would be an invention. That is right about the naming and wrong about the leaving: a reader facing a column that does not add cannot tell a missing line from a wrong total, and the residual tells them which.</w:t>
      </w:r>
    </w:p>
    <w:p>
      <w:pPr>
        <w:spacing w:after="60"/>
        <w:ind w:left="283"/>
      </w:pPr>
      <w:r>
        <w:rPr>
          <w:b w:val="0"/>
          <w:i w:val="0"/>
          <w:color w:val="5B6570"/>
          <w:sz w:val="19"/>
        </w:rPr>
        <w:t>How we know.  Five studies came out short against their own disclosed totals. TMGH, ADNOCDRILL and EMPOWER HELD every missing figure as a registered input and were fixed by printing the lines — EMPOWER's eleven of them, with the builder asserting that each residual IS the sum of the specific lines it names, because a residual computed as total-less-printed foots BY CONSTRUCTION and proves nothing. AMR and RIYADHCABLE did NOT hold them, and were fixed by a row labelled 'Other assets, not broken out in this table (residual)' with a caption saying why it is not named. RIYADHCABLE's residual then became a finding in its own right: SAR 146, 147 and 430mn, so something outside the four broken-out lines grew by SAR 283mn in one year, which that table cannot explain and the next edition should.</w:t>
      </w:r>
    </w:p>
    <w:p>
      <w:pPr>
        <w:spacing w:after="160"/>
        <w:ind w:left="283"/>
      </w:pPr>
      <w:r>
        <w:rPr>
          <w:b w:val="0"/>
          <w:i w:val="0"/>
          <w:color w:val="5B6570"/>
          <w:sz w:val="19"/>
        </w:rPr>
        <w:t>What would overturn it.  A residual so large that labelling it is a way of not investigating it, where the honest answer is to obtain the statements instead.</w:t>
      </w:r>
    </w:p>
    <w:p>
      <w:pPr>
        <w:keepNext/>
        <w:spacing w:before="240" w:after="60"/>
      </w:pPr>
      <w:r>
        <w:rPr>
          <w:b/>
          <w:color w:val="1A1D21"/>
          <w:sz w:val="22"/>
        </w:rPr>
        <w:t>L-234  A NEW GATE'S FALSE-POSITIVE RATE IS A PROPERTY OF THE GATE, AND IT FALLS AS THE GATE LEARNS THE WORK. Measure it, fix the instrument, measure again — never widen a bound to make a number look better.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The first run of any check over an existing book reports mostly its own ignorance of how that book is shaped. Treating that number as a defect rate leads to loosening; treating it as a to-do list of things the instrument does not yet understand leads to a sharper check.</w:t>
      </w:r>
    </w:p>
    <w:p>
      <w:pPr>
        <w:spacing w:after="60"/>
        <w:ind w:left="283"/>
      </w:pPr>
      <w:r>
        <w:rPr>
          <w:b w:val="0"/>
          <w:i w:val="0"/>
          <w:color w:val="5B6570"/>
          <w:sz w:val="19"/>
        </w:rPr>
        <w:t>How we know.  The book-wide advisory fell 22.3% -&gt; 10.5% across SEVEN instrument fixes in one session, and not one of them loosened a tolerance: a balance sheet foots over its SUBTOTALS; a row labelled Total assets HEADING a summary is a line item with nothing above it; a date column parses as numeric because 'Jan 2026' yields 2026; a TOTAL row is a sum in one column and a WEIGHTED MEAN in another; a weighted mean's band must carry the rounding of its own WEIGHT column; an 'OF WHICH' row is a breakdown of the line above and not a peer; a DASH in a total cell is 'not shown' rather than a claim of zero, while a dash in a component is zero; a PERCENTAGE is not a component of a currency total; and an EMPTY cell in a row that carries values elsewhere means 'does not apply here' rather than the end of the block. The negative control held at 14/14 through every one, which is what made the fixes safe to make quickly.</w:t>
      </w:r>
    </w:p>
    <w:p>
      <w:pPr>
        <w:spacing w:after="160"/>
        <w:ind w:left="283"/>
      </w:pPr>
      <w:r>
        <w:rPr>
          <w:b w:val="0"/>
          <w:i w:val="0"/>
          <w:color w:val="5B6570"/>
          <w:sz w:val="19"/>
        </w:rPr>
        <w:t>What would overturn it.  A fix that lowers the rate by relaxing what counts as reproducible rather than by correcting what the instrument believes about tables.</w:t>
      </w:r>
    </w:p>
    <w:p>
      <w:pPr>
        <w:keepNext/>
        <w:spacing w:before="240" w:after="60"/>
      </w:pPr>
      <w:r>
        <w:rPr>
          <w:b/>
          <w:color w:val="1A1D21"/>
          <w:sz w:val="22"/>
        </w:rPr>
        <w:t>L-235  A CHECK'S POPULATION PREDICATE IS PART OF THE CHECK, AND KEYING IT ON A WORD RATHER THAN ON THE QUANTITY PUTS INNOCENT WORK ON THE RATCHET — WHERE IT WILL LATER EXCUSE THE REAL THING.</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A ratchet entry is an allowance. An allowance standing over a file that never committed the offence is not merely untidy: it is a standing permission that activates the day that file does commit it, silently, because the gate will read the name off the list and move on.</w:t>
      </w:r>
    </w:p>
    <w:p>
      <w:pPr>
        <w:spacing w:after="60"/>
        <w:ind w:left="283"/>
      </w:pPr>
      <w:r>
        <w:rPr>
          <w:b w:val="0"/>
          <w:i w:val="0"/>
          <w:color w:val="5B6570"/>
          <w:sz w:val="19"/>
        </w:rPr>
        <w:t>How we know.  The gate for [R-ENF-03] keyed its population on the STRING 'data.js' appearing anywhere in a file, and three of the thirteen files it ratcheted never open the file at all: two carry the word inside an external-reader SCRUB WORD LIST — the internal vocabulary a delivered document may not contain — and one names the path in a prose comment, while each separately uses a regular expression for something else entirely. Re-pointed at a PATH CONSTRUCTION per [R-COC-01], the population fell 44 -&gt; 31 and the ratchet 13 -&gt; 10, and the negative control gained the distinction that matters: green-because-EXCLUDED is not green-because-compliant, and an exit code cannot tell them apart, so the population COUNT is compared with and without each file.</w:t>
      </w:r>
    </w:p>
    <w:p>
      <w:pPr>
        <w:spacing w:after="160"/>
        <w:ind w:left="283"/>
      </w:pPr>
      <w:r>
        <w:rPr>
          <w:b w:val="0"/>
          <w:i w:val="0"/>
          <w:color w:val="5B6570"/>
          <w:sz w:val="19"/>
        </w:rPr>
        <w:t>What would overturn it.  A population predicate that is broader than the rule and where the extra members are shown to be harmless — which would mean the ratchet's allowances cost nothing.</w:t>
      </w:r>
    </w:p>
    <w:p>
      <w:pPr>
        <w:keepNext/>
        <w:spacing w:before="240" w:after="60"/>
      </w:pPr>
      <w:r>
        <w:rPr>
          <w:b/>
          <w:color w:val="1A1D21"/>
          <w:sz w:val="22"/>
        </w:rPr>
        <w:t>L-236  A SYNTAX CHECK IS NOT A SEMANTIC CHECK, AND THE GAP BETWEEN THEM IS EXACTLY WHERE A DUPLICATED KEY LIVES.</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parses' feels like verification and is a much weaker claim than it sounds. A file can be perfectly well-formed and still not mean what its author wrote, and the form most likely to survive every check is the one that is legal in the language.</w:t>
      </w:r>
    </w:p>
    <w:p>
      <w:pPr>
        <w:spacing w:after="60"/>
        <w:ind w:left="283"/>
      </w:pPr>
      <w:r>
        <w:rPr>
          <w:b w:val="0"/>
          <w:i w:val="0"/>
          <w:color w:val="5B6570"/>
          <w:sz w:val="19"/>
        </w:rPr>
        <w:t>How we know.  Every tool that writes assets/data.js edits it as TEXT — correctly, since a JSON round-trip would destroy the file's formatting and its prose comments — and each verified with `node --check`. Demonstrated on a real copy of the file rather than asserted: plant a second `levels` key on one entry and `node --check` PASSES, the parser returns the SECOND, and a regular expression returns the FIRST. That is not a hypothetical shape; it is the exact defect [R-ENF-03] was adopted on, a ticker page publishing a support ABOVE its own close while both gates read the half the reader never saw. The write path could have produced that file again and nothing would have said so.</w:t>
      </w:r>
    </w:p>
    <w:p>
      <w:pPr>
        <w:spacing w:after="160"/>
        <w:ind w:left="283"/>
      </w:pPr>
      <w:r>
        <w:rPr>
          <w:b w:val="0"/>
          <w:i w:val="0"/>
          <w:color w:val="5B6570"/>
          <w:sz w:val="19"/>
        </w:rPr>
        <w:t>What would overturn it.  A writer whose post-write verification is shown to catch a shadowed field without loading the file — which would mean the syntax check was sufficient after all.</w:t>
      </w:r>
    </w:p>
    <w:p>
      <w:pPr>
        <w:keepNext/>
        <w:spacing w:before="240" w:after="60"/>
      </w:pPr>
      <w:r>
        <w:rPr>
          <w:b/>
          <w:color w:val="1A1D21"/>
          <w:sz w:val="22"/>
        </w:rPr>
        <w:t>L-237  A READER AND A WRITER OWE DIFFERENT THINGS TO THE SAME RULE, AND HOLDING ONE TO THE OTHER'S OBLIGATION MANUFACTURES A DEBT THAT CAN NEVER BE PAID.</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A ratchet entry that cannot in principle be cleared is a permanently-red check [R-ENF-02] forbids, wearing a different hat — and it is worse than an obviously red one, because it looks like a backlog somebody will get to.</w:t>
      </w:r>
    </w:p>
    <w:p>
      <w:pPr>
        <w:spacing w:after="60"/>
        <w:ind w:left="283"/>
      </w:pPr>
      <w:r>
        <w:rPr>
          <w:b w:val="0"/>
          <w:i w:val="0"/>
          <w:color w:val="5B6570"/>
          <w:sz w:val="19"/>
        </w:rPr>
        <w:t>How we know.  Three files WRITE data.js by string surgery, which is the only sound way to preserve its formatting, so 'read it through a parse' forbids the job rather than the defect. Re-pointed at what a writer actually owes — proof that the PARSER agrees with what it wrote — the clause immediately surfaced FOUR MORE writers the string predicate had never counted, one of them a CONE writer with no post-write check of any kind, not even `node --check`; two more counted their records against a known total and never looked at a VALUE, which a block emitted twice leaves identical either way. The ratchet went 13 -&gt; 0.</w:t>
      </w:r>
    </w:p>
    <w:p>
      <w:pPr>
        <w:spacing w:after="160"/>
        <w:ind w:left="283"/>
      </w:pPr>
      <w:r>
        <w:rPr>
          <w:b w:val="0"/>
          <w:i w:val="0"/>
          <w:color w:val="5B6570"/>
          <w:sz w:val="19"/>
        </w:rPr>
        <w:t>What would overturn it.  A writer for which no verification is expressible, which would mean the obligation is unmeetable rather than merely different.</w:t>
      </w:r>
    </w:p>
    <w:p>
      <w:pPr>
        <w:keepNext/>
        <w:spacing w:before="240" w:after="60"/>
      </w:pPr>
      <w:r>
        <w:rPr>
          <w:b/>
          <w:color w:val="1A1D21"/>
          <w:sz w:val="22"/>
        </w:rPr>
        <w:t>L-238  AN EXEMPTION WIDER THAN ITS OWN REASON IS THE SAFEST HIDING PLACE THERE IS.</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Nobody is lying, the reason survives review, and the work simply happens where the check no longer reaches. This is [R-MACRO-01]'s finding — a TRUE exemption on the WRONG OBJECT — arriving again in a different area within a day, which is what makes it a house rule rather than an anecdote.</w:t>
      </w:r>
    </w:p>
    <w:p>
      <w:pPr>
        <w:spacing w:after="60"/>
        <w:ind w:left="283"/>
      </w:pPr>
      <w:r>
        <w:rPr>
          <w:b w:val="0"/>
          <w:i w:val="0"/>
          <w:color w:val="5B6570"/>
          <w:sz w:val="19"/>
        </w:rPr>
        <w:t>How we know.  A negative control plants a broken data.js on purpose, so requiring it to verify that the file it deliberately corrupted parses to what it meant is incoherent — a real exemption with a real reason. The first draft implemented it by skipping *_negative_control.py ENTIRELY, which also stopped checking whether a control READS data.js by regular expression, where nothing excuses it, and shrank the population from 31 to 26 for a reason that had nothing to do with reading. Scoped to the writer clause it was written for, and asserted in BOTH directions: a control that writes without verifying passes, a control that reads by regex still fails.</w:t>
      </w:r>
    </w:p>
    <w:p>
      <w:pPr>
        <w:spacing w:after="160"/>
        <w:ind w:left="283"/>
      </w:pPr>
      <w:r>
        <w:rPr>
          <w:b w:val="0"/>
          <w:i w:val="0"/>
          <w:color w:val="5B6570"/>
          <w:sz w:val="19"/>
        </w:rPr>
        <w:t>What would overturn it.  An exemption whose scope cannot be narrowed to its reason without losing the reason — which would mean the two genuinely coincide.</w:t>
      </w:r>
    </w:p>
    <w:p>
      <w:pPr>
        <w:keepNext/>
        <w:spacing w:before="240" w:after="60"/>
      </w:pPr>
      <w:r>
        <w:rPr>
          <w:b/>
          <w:color w:val="1A1D21"/>
          <w:sz w:val="22"/>
        </w:rPr>
        <w:t>L-239  A RULE OF THE FORM 'AFTER ANY X, ASSERT Y' BINDS NOTHING UNTIL SOMETHING THAT DOES X CALLS Y.</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is the most convincing kind of dead rule, because it names its own trigger and therefore reads as though it executes. The place to look is not the rule but the code that performs X.</w:t>
      </w:r>
    </w:p>
    <w:p>
      <w:pPr>
        <w:spacing w:after="60"/>
        <w:ind w:left="283"/>
      </w:pPr>
      <w:r>
        <w:rPr>
          <w:b w:val="0"/>
          <w:i w:val="0"/>
          <w:color w:val="5B6570"/>
          <w:sz w:val="19"/>
        </w:rPr>
        <w:t>How we know.  'After ANY ledger write, assert the lifecycle invariant' has been standing since 29-Jul-2026. NEITHER writer that appends ledger rows checked it; it lived in the protocol and in whatever the operator remembered. Measured before it was asserted, per [R-ENF-02]: 0 violations across 187 (instrument, horizon) pairs, so it passes today rather than arriving red. And the invariant is NOT 'one open row per name' — steady state is four, because a fresh three-month strike demotes the prior cone to an aging tail; 114 pairs carry one open row and 73 carry two and every one is correct. What may never happen is two open rows sharing the LATEST anchor.</w:t>
      </w:r>
    </w:p>
    <w:p>
      <w:pPr>
        <w:spacing w:after="160"/>
        <w:ind w:left="283"/>
      </w:pPr>
      <w:r>
        <w:rPr>
          <w:b w:val="0"/>
          <w:i w:val="0"/>
          <w:color w:val="5B6570"/>
          <w:sz w:val="19"/>
        </w:rPr>
        <w:t>What would overturn it.  A written trigger of this shape that turns out to be executed by every performer of X without anyone having wired it — which would mean prose triggers do bind.</w:t>
      </w:r>
    </w:p>
    <w:p>
      <w:pPr>
        <w:keepNext/>
        <w:spacing w:before="240" w:after="60"/>
      </w:pPr>
      <w:r>
        <w:rPr>
          <w:b/>
          <w:color w:val="1A1D21"/>
          <w:sz w:val="22"/>
        </w:rPr>
        <w:t>L-240  THE BASE A RATE IS APPLIED TO IS AS MUCH A SPECIFICATION AS THE RATE, AND A BASE BUILT FROM WHATEVER THE BALANCE SHEET HAPPENS TO CARRY IS NOT A SPECIFICATION AT ALL.</w:t>
      </w:r>
    </w:p>
    <w:p>
      <w:pPr>
        <w:keepNext/>
        <w:spacing w:after="100"/>
      </w:pPr>
      <w:r>
        <w:rPr>
          <w:b/>
          <w:color w:val="1D6FA3"/>
          <w:sz w:val="16"/>
        </w:rPr>
        <w:t>EVERY STUDY</w:t>
      </w:r>
      <w:r>
        <w:rPr>
          <w:color w:val="5B6570"/>
          <w:sz w:val="16"/>
        </w:rPr>
        <w:t xml:space="preserve">   applies to every study   ·   learned from a found while building, the ADNOCLS terminal, measured 03-Sep-2026</w:t>
      </w:r>
    </w:p>
    <w:p>
      <w:pPr>
        <w:spacing w:after="100"/>
      </w:pPr>
      <w:r>
        <w:rPr>
          <w:b w:val="0"/>
          <w:i w:val="0"/>
          <w:color w:val="1A1D21"/>
          <w:sz w:val="21"/>
        </w:rPr>
        <w:t>A reinvestment or maintenance charge is rate x base. Every argument this house has had about terminals has been about the RATE — the implied asset life, the growth assumption — while the base went unexamined because it looked like arithmetic somebody had already done.</w:t>
      </w:r>
    </w:p>
    <w:p>
      <w:pPr>
        <w:spacing w:after="60"/>
        <w:ind w:left="283"/>
      </w:pPr>
      <w:r>
        <w:rPr>
          <w:b w:val="0"/>
          <w:i w:val="0"/>
          <w:color w:val="5B6570"/>
          <w:sz w:val="19"/>
        </w:rPr>
        <w:t>How we know.  THE MODEL REPORT — the document every other study is written against — computes its terminal invested capital as NET BOOK property, plant and equipment plus working capital plus intangibles plus goodwill, and divides the growth rate into it. Two of those three additions are not replaced by capital expenditure at all: a maintenance programme does not buy back goodwill, and working capital is charged separately as inflation x working capital in the corrected construction, so including it in the base charges for it twice. The first is NET BOOK rather than replacement cost, which is the very distinction the corrected terminal exists to draw. Measured: the model levies 228,793 a year for ever; book depreciation on the same assets alone is 612,111, which is 2.7x the charge and is itself struck on historical cost; on the disclosed 25-year life applied to gross cost the charge should be 3.1x to 3.7x what is levied. The shared terminal module REFUSES these inputs outright — implied payout 120.2% of terminal profit — and that refusal is the module reporting that the BASE is wrong rather than the life.</w:t>
      </w:r>
    </w:p>
    <w:p>
      <w:pPr>
        <w:spacing w:after="160"/>
        <w:ind w:left="283"/>
      </w:pPr>
      <w:r>
        <w:rPr>
          <w:b w:val="0"/>
          <w:i w:val="0"/>
          <w:color w:val="5B6570"/>
          <w:sz w:val="19"/>
        </w:rPr>
        <w:t>What would overturn it.  A study whose invested-capital base is demonstrably at replacement cost and still produces a maintenance charge far below its own book depreciation.</w:t>
      </w:r>
    </w:p>
    <w:p>
      <w:pPr>
        <w:keepNext/>
        <w:spacing w:before="240" w:after="60"/>
      </w:pPr>
      <w:r>
        <w:rPr>
          <w:b/>
          <w:color w:val="1A1D21"/>
          <w:sz w:val="22"/>
        </w:rPr>
        <w:t>L-241  AN IDENTITY IS WRITTEN FOR THE CASE IN FRONT OF YOU AND THEN RUNS ON EVERY CASE AFTER IT. GUARD IT BY THE CONDITION IT ASSUMES, NOT BY THE MARKET IT WAS WRITTEN FOR.</w:t>
      </w:r>
    </w:p>
    <w:p>
      <w:pPr>
        <w:keepNext/>
        <w:spacing w:after="100"/>
      </w:pPr>
      <w:r>
        <w:rPr>
          <w:b/>
          <w:color w:val="1D6FA3"/>
          <w:sz w:val="16"/>
        </w:rPr>
        <w:t>EVERY STUDY</w:t>
      </w:r>
      <w:r>
        <w:rPr>
          <w:color w:val="5B6570"/>
          <w:sz w:val="16"/>
        </w:rPr>
        <w:t xml:space="preserve">   applies to every study   ·   learned from a found while building, sourcing six house macro paths, 03-Sep-2026</w:t>
      </w:r>
    </w:p>
    <w:p>
      <w:pPr>
        <w:spacing w:after="100"/>
      </w:pPr>
      <w:r>
        <w:rPr>
          <w:b w:val="0"/>
          <w:i w:val="0"/>
          <w:color w:val="1A1D21"/>
          <w:sz w:val="21"/>
        </w:rPr>
        <w:t>An identity carries its assumptions silently — that is what makes it an identity — so when the assumption stops holding there is no error, only a plausible number. It will not announce itself and no gate about provenance, arithmetic or sourcing can see it, because nothing about it is unsourced or miscalculated.</w:t>
      </w:r>
    </w:p>
    <w:p>
      <w:pPr>
        <w:spacing w:after="60"/>
        <w:ind w:left="283"/>
      </w:pPr>
      <w:r>
        <w:rPr>
          <w:b w:val="0"/>
          <w:i w:val="0"/>
          <w:color w:val="5B6570"/>
          <w:sz w:val="19"/>
        </w:rPr>
        <w:t>How we know.  Relative purchasing-power parity was written for Egypt, the first market sourced, and ran unconditionally on every market added after. On a HARD PEG it manufactures exactly the drift the peg forbids: the first UAE print returned a dirham sliding 3.6725 to 3.65 over five years off a 0.5pp inflation differential that a fixed nominal rate absorbs as a REAL appreciation. A study reading it would have escalated dollar revenue against a depreciating dirham and called it derived — a claim that the peg breaks, made silently, by arithmetic. The same relation on the UNITED STATES path compared the dollar with itself and returned a 0.98% depreciation of the dollar against the dollar. Both were found by PRINTING a newly sourced path, not by any gate. Both are now guarded by regime and by numeraire and pinned in the negative control on all seven markets in both directions.</w:t>
      </w:r>
    </w:p>
    <w:p>
      <w:pPr>
        <w:spacing w:after="160"/>
        <w:ind w:left="283"/>
      </w:pPr>
      <w:r>
        <w:rPr>
          <w:b w:val="0"/>
          <w:i w:val="0"/>
          <w:color w:val="5B6570"/>
          <w:sz w:val="19"/>
        </w:rPr>
        <w:t>What would overturn it.  A currency identity that produces the right answer under a regime it does not assume — which would mean the guard is unnecessary rather than merely quiet.</w:t>
      </w:r>
    </w:p>
    <w:p>
      <w:pPr>
        <w:keepNext/>
        <w:spacing w:before="240" w:after="60"/>
      </w:pPr>
      <w:r>
        <w:rPr>
          <w:b/>
          <w:color w:val="1A1D21"/>
          <w:sz w:val="22"/>
        </w:rPr>
        <w:t>L-242  A GATE THAT NOTHING RUNS IS A FILE. WIRING IT IN IS PART OF WRITING IT, NOT A FOLLOW-UP.</w:t>
      </w:r>
    </w:p>
    <w:p>
      <w:pPr>
        <w:keepNext/>
        <w:spacing w:after="100"/>
      </w:pPr>
      <w:r>
        <w:rPr>
          <w:b/>
          <w:color w:val="1D6FA3"/>
          <w:sz w:val="16"/>
        </w:rPr>
        <w:t>EVERY STUDY</w:t>
      </w:r>
      <w:r>
        <w:rPr>
          <w:color w:val="5B6570"/>
          <w:sz w:val="16"/>
        </w:rPr>
        <w:t xml:space="preserve">   applies to every study   ·   learned from a found while building, the legacy-assets gate, found unwired 03-Sep-2026</w:t>
      </w:r>
    </w:p>
    <w:p>
      <w:pPr>
        <w:spacing w:after="100"/>
      </w:pPr>
      <w:r>
        <w:rPr>
          <w:b w:val="0"/>
          <w:i w:val="0"/>
          <w:color w:val="1A1D21"/>
          <w:sz w:val="21"/>
        </w:rPr>
        <w:t>A written gate feels finished — it has a docstring, a negative control, a name somebody can cite — and every property that makes it convincing is present whether or not anything ever executes it. It is [R-CAL-03]'s decorative test in a sharper form: not a check that never rejects anything, but a check that never RUNS.</w:t>
      </w:r>
    </w:p>
    <w:p>
      <w:pPr>
        <w:spacing w:after="60"/>
        <w:ind w:left="283"/>
      </w:pPr>
      <w:r>
        <w:rPr>
          <w:b w:val="0"/>
          <w:i w:val="0"/>
          <w:color w:val="5B6570"/>
          <w:sz w:val="19"/>
        </w:rPr>
        <w:t>How we know.  scripts/check_legacy_assets_sync.py was written on 30-Aug-2026 for a real shipped defect and was invoked by NO workflow. Run by hand four days later it went RED, and what it found was live: on 1 September the AMOC fair value was reverted in assets/data.js to its pre-calibration figure, because the standing instruction is that nothing from the calibration campaign goes live one name at a time. The revert reached assets/ and not the legacy mirror — and legacy/ holds the ONLY working copies of the ledger, picker, trade and portfolio pages, which read their own data.js. For two days testahil.com served 5.53/8.64/12.48 on /legacy/ and 4.09/5.95/8.52 on the new information architecture: TWO DIFFERENT FAIR VALUES FOR ONE COMPANY ON ONE DAY, with the public ledger showing the campaign number that was not supposed to be there. Confirmed by fetching both URLs from the live site before fixing it, rather than inferred from the repository. Separately measured the same hour: TWENTY-ONE of seventy-one gates were in no workflow's TRIGGER list, so editing a gate ran nothing — the one file whose correctness every other check depends on was the one file CI did not watch.</w:t>
      </w:r>
    </w:p>
    <w:p>
      <w:pPr>
        <w:spacing w:after="160"/>
        <w:ind w:left="283"/>
      </w:pPr>
      <w:r>
        <w:rPr>
          <w:b w:val="0"/>
          <w:i w:val="0"/>
          <w:color w:val="5B6570"/>
          <w:sz w:val="19"/>
        </w:rPr>
        <w:t>What would overturn it.  A gate whose value does not depend on being run — which would mean it is documentation, and should be filed as such.</w:t>
      </w:r>
    </w:p>
    <w:p>
      <w:pPr>
        <w:keepNext/>
        <w:spacing w:before="240" w:after="60"/>
      </w:pPr>
      <w:r>
        <w:rPr>
          <w:b/>
          <w:color w:val="1A1D21"/>
          <w:sz w:val="22"/>
        </w:rPr>
        <w:t>L-243  WHEN A MEASUREMENT ON ONE NAME EXPLAINS EVERYTHING, THAT IS THE MOMENT TO POOL IT, NOT THE MOMENT TO CONCLUDE.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A single name that answers the question cleanly is more persuasive than a pooled figure that answers it partly, and it is persuasive in the wrong direction: the cleanliness is what should make it suspect. This is [R-LESSON-01]'s one-observation rule turned on a finding ABOUT the findings, where it is easiest to forget.</w:t>
      </w:r>
    </w:p>
    <w:p>
      <w:pPr>
        <w:spacing w:after="60"/>
        <w:ind w:left="283"/>
      </w:pPr>
      <w:r>
        <w:rPr>
          <w:b w:val="0"/>
          <w:i w:val="0"/>
          <w:color w:val="5B6570"/>
          <w:sz w:val="19"/>
        </w:rPr>
        <w:t>How we know.  The driver census shows a bias that COMPOUNDS with the horizon — an intercept near zero with a large slope, the signature of a rate error. [R-FCAL-01] already requires every origin to be re-run on PERFECT FORESIGHT of the inflation path, so the explicit window's own escalator can be tested directly. On AMOC it answered completely: net sales 89.2% macro, raw materials 97.6%, cost of sales 97.3% — the revenue error collapsing from 0.5701 to 0.0617 and the cost error from 0.6273 to 0.0153 once the model is told the true path. That is a whole diagnosis from one name, and it is wrong as a general claim. Pooled across five names and 64 drivers carrying an inflation term the median macro share is 19.9%, the inflation path is most of the error on 10 of 64, and the total falls only 64.88 to 57.78 — 11%. EGCH goes the OTHER WAY: perfect foresight of inflation makes its forecast 13% WORSE, because its revenue is dollar tonnes at dollar prices and its errors are not in the pound at all. The pooled figure is now printed by the census beside the per-name ones so the one-name reading cannot be the one that gets read.</w:t>
      </w:r>
    </w:p>
    <w:p>
      <w:pPr>
        <w:spacing w:after="160"/>
        <w:ind w:left="283"/>
      </w:pPr>
      <w:r>
        <w:rPr>
          <w:b w:val="0"/>
          <w:i w:val="0"/>
          <w:color w:val="5B6570"/>
          <w:sz w:val="19"/>
        </w:rPr>
        <w:t>What would overturn it.  A pooled macro share that rises toward AMOC's as more names are run — which would make the inflation path a general explanation after all.</w:t>
      </w:r>
    </w:p>
    <w:p>
      <w:pPr>
        <w:keepNext/>
        <w:spacing w:before="240" w:after="60"/>
      </w:pPr>
      <w:r>
        <w:rPr>
          <w:b/>
          <w:color w:val="1A1D21"/>
          <w:sz w:val="22"/>
        </w:rPr>
        <w:t>L-244  A RATE ERROR THAT SURVIVES PERFECT FORESIGHT OF THE RATE IS SOMEWHERE ELSE.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Where a bias compounds with the horizon there is usually more than one rate it could live in, and the candidates are rarely tested against each other — the first plausible one gets the blame. Ruling one out is worth as much as finding one.</w:t>
      </w:r>
    </w:p>
    <w:p>
      <w:pPr>
        <w:spacing w:after="60"/>
        <w:ind w:left="283"/>
      </w:pPr>
      <w:r>
        <w:rPr>
          <w:b w:val="0"/>
          <w:i w:val="0"/>
          <w:color w:val="5B6570"/>
          <w:sz w:val="19"/>
        </w:rPr>
        <w:t>How we know.  Two rates could carry a compounding scale error: the inflation path the explicit window escalates on, and the terminal construction. Handing the model the true inflation path at every origin removes 11% of the pooled driver error and leaves 89% standing, which RULES THE EXPLICIT WINDOW'S ESCALATOR OUT as the general cause and is evidence FOR the terminal attribution rather than against it. What the inflation path does explain is concentrated and legible: pound-denominated cost and revenue lines on names whose currency moved a long way, which is a fact about one economy and two companies rather than a property of the method.</w:t>
      </w:r>
    </w:p>
    <w:p>
      <w:pPr>
        <w:spacing w:after="160"/>
        <w:ind w:left="283"/>
      </w:pPr>
      <w:r>
        <w:rPr>
          <w:b w:val="0"/>
          <w:i w:val="0"/>
          <w:color w:val="5B6570"/>
          <w:sz w:val="19"/>
        </w:rPr>
        <w:t>What would overturn it.  A third rate — a demand path, a margin glide — that removes more of the residual than the terminal construction does when it is tested the same way.</w:t>
      </w:r>
    </w:p>
    <w:p>
      <w:pPr>
        <w:keepNext/>
        <w:spacing w:before="240" w:after="60"/>
      </w:pPr>
      <w:r>
        <w:rPr>
          <w:b/>
          <w:color w:val="1A1D21"/>
          <w:sz w:val="22"/>
        </w:rPr>
        <w:t>L-245  TWO CORRECTIONS TO ONE FORMULA ARE NOT TWO INDEPENDENT CORRECTIONS WHEN THEY SIT ON DIFFERENT BASES. Pricing one with the other left at its old value gives a number that is neither construction, and it looks perfectly reasonable.</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The temptation is strong precisely where one half is cheap and the other is not: the cheap half gets priced, the expensive half gets deferred, and the interim figure is quoted as a lower bound when it is not a bound at all.</w:t>
      </w:r>
    </w:p>
    <w:p>
      <w:pPr>
        <w:spacing w:after="60"/>
        <w:ind w:left="283"/>
      </w:pPr>
      <w:r>
        <w:rPr>
          <w:b w:val="0"/>
          <w:i w:val="0"/>
          <w:color w:val="5B6570"/>
          <w:sz w:val="19"/>
        </w:rPr>
        <w:t>How we know.  [R-TERM-01] names two errors in the retired terminal: the charge, whose implied replacement cycle is 1/g rather than a fact about the asset, and a terminal that never adds book depreciation back though NOPAT is already net of it. Correcting the first needs a life sourced from each company's own accounting-policies note — real research, one name at a time. The second appears to need nothing, so a first draft priced it alone across thirteen terminals and reported the pooled terminal rising 69.6%. IT IS WRONG. g x IC is a NET investment figure — the new capital needed to grow at g — so a construction charging it has already netted depreciation, and adding book D&amp;A on top double-counts; the corrected construction charges maintenance GROSS at replacement cost, which is exactly why it must add book D&amp;A back first. Checked against the one worked case rather than reasoned about: on ARCC the add-back-alone gives 2,445.3 against the module's own 3,310.1, 26% short. What the census prints instead is the one inference that needs no sourced life AND ONLY RUNS ONE WAY — a terminal charging less than its own book depreciation cannot be maintaining the asset base, because book depreciation is struck on historical cost and replacement costs more.</w:t>
      </w:r>
    </w:p>
    <w:p>
      <w:pPr>
        <w:spacing w:after="160"/>
        <w:ind w:left="283"/>
      </w:pPr>
      <w:r>
        <w:rPr>
          <w:b w:val="0"/>
          <w:i w:val="0"/>
          <w:color w:val="5B6570"/>
          <w:sz w:val="19"/>
        </w:rPr>
        <w:t>What would overturn it.  A decomposition of the terminal into two charges that are on the same basis, where each half can be priced with the other held.</w:t>
      </w:r>
    </w:p>
    <w:p>
      <w:pPr>
        <w:keepNext/>
        <w:spacing w:before="240" w:after="60"/>
      </w:pPr>
      <w:r>
        <w:rPr>
          <w:b/>
          <w:color w:val="1A1D21"/>
          <w:sz w:val="22"/>
        </w:rPr>
        <w:t>L-246  THE TERMINAL DEFECT IS PESSIMISTIC IN EGYPT AND OPTIMISTIC IN THE GULF, AND THE SIGN IS SET BY THE CURRENCY RATHER THAN BY THE COMPANY.</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A defect with a single name — 'the model is too pessimistic' — invites a correction with a single sign, and a correction with a single sign applied to a book that splits both ways makes half of it worse. The evidence for the diagnosis came almost entirely from Egyptian names, where the sign happens to be negative.</w:t>
      </w:r>
    </w:p>
    <w:p>
      <w:pPr>
        <w:spacing w:after="60"/>
        <w:ind w:left="283"/>
      </w:pPr>
      <w:r>
        <w:rPr>
          <w:b w:val="0"/>
          <w:i w:val="0"/>
          <w:color w:val="5B6570"/>
          <w:sz w:val="19"/>
        </w:rPr>
        <w:t>How we know.  The retired charge is g x IC, so the implied replacement cycle is 1/g — 14.3 years at a 7% terminal inflation and 66.7 at 1.5%. THE SAME PLANT IS CHARGED FOUR AND A HALF TIMES AS HARD FOR BEING IN EGYPT RATHER THAN THE EMIRATES. Measured across the readable book: SEVEN OF THIRTEEN terminals charge LESS than their own book depreciation — AMR 0.12x, DU 0.14x, SAVOLA 0.21x, AIRARABIA 0.23x, FERTIGLOBE 0.26x, ADNOCDIST 0.31x, ADNOCLS 0.32x — and every one of them is in a pegged low-inflation market. Those terminals are OVER-valued, not under. The six charging more than book depreciation are AMOC, ARCC, MODON, SCEM, RIYADHCABLE and SWDY, and the worked correction on ARCC raised its value while the measured correction on ADNOCLS would LOWER it. Since 44 of the 90 covered names are Gulf, the defect is optimistic on most of the book.</w:t>
      </w:r>
    </w:p>
    <w:p>
      <w:pPr>
        <w:spacing w:after="160"/>
        <w:ind w:left="283"/>
      </w:pPr>
      <w:r>
        <w:rPr>
          <w:b w:val="0"/>
          <w:i w:val="0"/>
          <w:color w:val="5B6570"/>
          <w:sz w:val="19"/>
        </w:rPr>
        <w:t>What would overturn it.  A pegged-market name whose disclosed useful life turns out to exceed 1/g — which would mean the under-charge is not general to low-inflation markets.</w:t>
      </w:r>
    </w:p>
    <w:p>
      <w:pPr>
        <w:keepNext/>
        <w:spacing w:before="240" w:after="60"/>
      </w:pPr>
      <w:r>
        <w:rPr>
          <w:b/>
          <w:color w:val="1A1D21"/>
          <w:sz w:val="22"/>
        </w:rPr>
        <w:t>L-247  A DATE IS A FIGURE A READER SEES, AND THE RULE THAT A FIGURE MUST BE COMPUTED RATHER THAN TYPED APPLIES TO IT.</w:t>
      </w:r>
    </w:p>
    <w:p>
      <w:pPr>
        <w:keepNext/>
        <w:spacing w:after="100"/>
      </w:pPr>
      <w:r>
        <w:rPr>
          <w:b/>
          <w:color w:val="1D6FA3"/>
          <w:sz w:val="16"/>
        </w:rPr>
        <w:t>EVERY STUDY</w:t>
      </w:r>
      <w:r>
        <w:rPr>
          <w:color w:val="5B6570"/>
          <w:sz w:val="16"/>
        </w:rPr>
        <w:t xml:space="preserve">   applies to every study   ·   learned from a found while building, reading PHDC's rendered pages, 03-Sep-2026</w:t>
      </w:r>
    </w:p>
    <w:p>
      <w:pPr>
        <w:spacing w:after="100"/>
      </w:pPr>
      <w:r>
        <w:rPr>
          <w:b w:val="0"/>
          <w:i w:val="0"/>
          <w:color w:val="1A1D21"/>
          <w:sz w:val="21"/>
        </w:rPr>
        <w:t>Dates escape the numeric-traceability discipline because they do not look like numbers: no gate that reconciles figures against a model inspects them, no recalculation touches them, and a stale one reads as a fact rather than as an error. They are also typed in several places at once, which guarantees they will disagree.</w:t>
      </w:r>
    </w:p>
    <w:p>
      <w:pPr>
        <w:spacing w:after="60"/>
        <w:ind w:left="283"/>
      </w:pPr>
      <w:r>
        <w:rPr>
          <w:b w:val="0"/>
          <w:i w:val="0"/>
          <w:color w:val="5B6570"/>
          <w:sz w:val="19"/>
        </w:rPr>
        <w:t>How we know.  ARCC shipped a masthead a day stale and it was recorded as one study's defect. Reading PHDC's pages the same way found the identical thing — a 3 September edition whose masthead reads 'edition of 2 September 2026' — which made it a CLASS, and closing the class rather than the instance is what [R-ENF-01] requires. Measured across 31 delivered valuation studies, SEVEN do not carry their own edition date in their masthead, in three shapes: stated and WRONG (PHDC, TMGH, both a day stale), stated NOWHERE IN THE DOCUMENT AT ALL (ADNOCLS and SAVOLA — and ADNOCLS is THE MODEL REPORT, so a reader receives the exemplar every other study is written against with nothing on it saying when it was struck), and buried in the body (DU at paragraph 74 inside a licence sentence, GBCO at 167 in an expert-log note, RIYADHCABLE at 119 in the disclaimer). THE ROOT CAUSE WAS TYPING: PHDC's builder carried the date in THREE separate string literals — masthead, disclosure, output filename — and two of the three said 2 September while the file said 3 September; TMGH's carried two that disagreed. Both now derive it from the file the document ships as, so they cannot disagree, and the rebuilds changed two paragraphs and one paragraph respectively — nothing but the date moved.</w:t>
      </w:r>
    </w:p>
    <w:p>
      <w:pPr>
        <w:spacing w:after="160"/>
        <w:ind w:left="283"/>
      </w:pPr>
      <w:r>
        <w:rPr>
          <w:b w:val="0"/>
          <w:i w:val="0"/>
          <w:color w:val="5B6570"/>
          <w:sz w:val="19"/>
        </w:rPr>
        <w:t>What would overturn it.  A delivered document whose date is derived from one source and is still wrong — which would mean the derivation, not the typing, is the defect.</w:t>
      </w:r>
    </w:p>
    <w:p>
      <w:pPr>
        <w:keepNext/>
        <w:spacing w:before="240" w:after="60"/>
      </w:pPr>
      <w:r>
        <w:rPr>
          <w:b/>
          <w:color w:val="1A1D21"/>
          <w:sz w:val="22"/>
        </w:rPr>
        <w:t>L-248  A SCRIPT THAT RUNS CLEAN AND WRITES NOTHING IS THE MOST CONVINCING FALSE CONFIRMATION THERE IS, BECAUSE IT LOOKS EXACTLY LIKE THE WORK SUCCEEDING.</w:t>
      </w:r>
    </w:p>
    <w:p>
      <w:pPr>
        <w:keepNext/>
        <w:spacing w:after="100"/>
      </w:pPr>
      <w:r>
        <w:rPr>
          <w:b/>
          <w:color w:val="1D6FA3"/>
          <w:sz w:val="16"/>
        </w:rPr>
        <w:t>EVERY STUDY</w:t>
      </w:r>
      <w:r>
        <w:rPr>
          <w:color w:val="5B6570"/>
          <w:sz w:val="16"/>
        </w:rPr>
        <w:t xml:space="preserve">   applies to every study   ·   learned from a found while building, correcting a figure label, 03-Sep-2026</w:t>
      </w:r>
    </w:p>
    <w:p>
      <w:pPr>
        <w:spacing w:after="100"/>
      </w:pPr>
      <w:r>
        <w:rPr>
          <w:b w:val="0"/>
          <w:i w:val="0"/>
          <w:color w:val="1A1D21"/>
          <w:sz w:val="21"/>
        </w:rPr>
        <w:t>An exit code of zero is not evidence that anything happened. This is [R-ENF-04]'s empty-result rule pointed at your own hands rather than at a gate: the check that the fix landed has to be the ARTEFACT, not the command.</w:t>
      </w:r>
    </w:p>
    <w:p>
      <w:pPr>
        <w:spacing w:after="60"/>
        <w:ind w:left="283"/>
      </w:pPr>
      <w:r>
        <w:rPr>
          <w:b w:val="0"/>
          <w:i w:val="0"/>
          <w:color w:val="5B6570"/>
          <w:sz w:val="19"/>
        </w:rPr>
        <w:t>How we know.  A study's figure label typed a date beside a computed price and got it eleven days wrong. The fix went into figures.py, figures.py was run, it exited 0 and printed nothing — and the fix had not landed, because that module defines drawing functions and has NO main block, so running it as a script does nothing at all. The images are built by a separate build_figures.py that calls those functions, and the document embeds the images by filename without rebuilding them, so a change to the drawing code reaches a reader through TWO steps that nothing enforces. It was caught only by rendering the page again and looking at it, where the old date was still printed. The delivered document had been rebuilt in between and reported CLEAN by its own scrub and column audit, because both inspect text and the defect was inside a PNG.</w:t>
      </w:r>
    </w:p>
    <w:p>
      <w:pPr>
        <w:spacing w:after="160"/>
        <w:ind w:left="283"/>
      </w:pPr>
      <w:r>
        <w:rPr>
          <w:b w:val="0"/>
          <w:i w:val="0"/>
          <w:color w:val="5B6570"/>
          <w:sz w:val="19"/>
        </w:rPr>
        <w:t>What would overturn it.  A pipeline where the delivered document rebuilds its own figures, so a change to the drawing code cannot fail to reach the page.</w:t>
      </w:r>
    </w:p>
    <w:p>
      <w:pPr>
        <w:keepNext/>
        <w:spacing w:before="240" w:after="60"/>
      </w:pPr>
      <w:r>
        <w:rPr>
          <w:b/>
          <w:color w:val="1A1D21"/>
          <w:sz w:val="22"/>
        </w:rPr>
        <w:t>L-249  AN INCOME STATEMENT'S SUBTOTALS ARE ROLL-UPS A READER ADDS UP, AND NOT ONE OF THEM IS LABELLED AS A TOTAL.</w:t>
      </w:r>
    </w:p>
    <w:p>
      <w:pPr>
        <w:keepNext/>
        <w:spacing w:after="100"/>
      </w:pPr>
      <w:r>
        <w:rPr>
          <w:b/>
          <w:color w:val="1D6FA3"/>
          <w:sz w:val="16"/>
        </w:rPr>
        <w:t>EVERY STUDY</w:t>
      </w:r>
      <w:r>
        <w:rPr>
          <w:color w:val="5B6570"/>
          <w:sz w:val="16"/>
        </w:rPr>
        <w:t xml:space="preserve">   applies to every study   ·   learned from a found while building, reading PHDC's rendered page 4, 03-Sep-2026</w:t>
      </w:r>
    </w:p>
    <w:p>
      <w:pPr>
        <w:spacing w:after="100"/>
      </w:pPr>
      <w:r>
        <w:rPr>
          <w:b w:val="0"/>
          <w:i w:val="0"/>
          <w:color w:val="1A1D21"/>
          <w:sz w:val="21"/>
        </w:rPr>
        <w:t>A footing check keyed on the word 'total' is blind to the commonest table in this house. Gross profit, operating profit, profit before tax and profit for the year are every bit as much sums of the rows above them as a balance-sheet total is, and a reader adds them up the same way — they just never say so.</w:t>
      </w:r>
    </w:p>
    <w:p>
      <w:pPr>
        <w:spacing w:after="60"/>
        <w:ind w:left="283"/>
      </w:pPr>
      <w:r>
        <w:rPr>
          <w:b w:val="0"/>
          <w:i w:val="0"/>
          <w:color w:val="5B6570"/>
          <w:sz w:val="19"/>
        </w:rPr>
        <w:t>How we know.  PHDC's forecast income statement printed Revenue, Cost of revenue, Gross profit, Overheads and Operating profit, and gross less overheads came out EGP 393mn ABOVE the printed operating profit in 2026, rising to 1,039mn by 2031. The model computes EBIT as gross less overheads less DEPRECIATION and the table never printed the depreciation row. Every figure in it was individually correct and the defect lived in the RELATIONSHIP between them — the same shape as ARCC's Table 3, which deducted provisions and credit losses and never printed the line. TWO STUDIES, ONE DEFECT, FOUND BOTH TIMES BY A PERSON READING. A chain check was built and MEASURED across 1,051 tables and 277 subtotal rows: 53% did not reproduce against revenue, 27% against the previous subtotal — an income statement is a CHAIN, and re-pointing it halved the rate without touching a tolerance. It was still one table in four, which is the permanently-red check [R-ENF-02] forbids, so IT WAS NOT ADOPTED and the measurement is recorded so the next attempt starts from it.</w:t>
      </w:r>
    </w:p>
    <w:p>
      <w:pPr>
        <w:spacing w:after="160"/>
        <w:ind w:left="283"/>
      </w:pPr>
      <w:r>
        <w:rPr>
          <w:b w:val="0"/>
          <w:i w:val="0"/>
          <w:color w:val="5B6570"/>
          <w:sz w:val="19"/>
        </w:rPr>
        <w:t>What would overturn it.  A discriminator that tells a currency component from a volume or per-unit row without relying on label words — which is what the residue of that measurement turns on.</w:t>
      </w:r>
    </w:p>
    <w:p>
      <w:pPr>
        <w:keepNext/>
        <w:spacing w:before="240" w:after="60"/>
      </w:pPr>
      <w:r>
        <w:rPr>
          <w:b/>
          <w:color w:val="1A1D21"/>
          <w:sz w:val="22"/>
        </w:rPr>
        <w:t>L-250  A COMPARATIVE CLAIM IS A CLAIM ABOUT THE TABLE BENEATH IT, AND IT IS THE ONE KIND OF SENTENCE A READER CAN FALSIFY WITHOUT LEAVING THE PAGE.</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'X moves the answer more than Y' reads as a summary rather than as an assertion, so nobody checks it — and every number it depends on is printed directly below. A figure check reconciles each cell against the model and never asks whether the sentence above them is true of the cells together.</w:t>
      </w:r>
    </w:p>
    <w:p>
      <w:pPr>
        <w:spacing w:after="60"/>
        <w:ind w:left="283"/>
      </w:pPr>
      <w:r>
        <w:rPr>
          <w:b w:val="0"/>
          <w:i w:val="0"/>
          <w:color w:val="5B6570"/>
          <w:sz w:val="19"/>
        </w:rPr>
        <w:t>How we know.  The sensitivity section said 'moving the discount rate by the whole 800 basis points of the 11 June 2026 edition's error changes value by LESS than moving cash conversion from one observed year to another', immediately above the grid that refutes it: 800bp on the three-year-mean row runs 37.40 to 10.24, a move of EGP 27.16 a share, against 11.71 for conversion from 2023-25 to the mean and 22.44 from the mean to 2024. Wrong in the direction stated. Replaced with a sentence COMPUTED from the grid, which also says something truer and more useful — the crux is the conversion rate, but only across its whole observed spread (34.15); one year to the next moves value less than the discount rate does.</w:t>
      </w:r>
    </w:p>
    <w:p>
      <w:pPr>
        <w:spacing w:after="160"/>
        <w:ind w:left="283"/>
      </w:pPr>
      <w:r>
        <w:rPr>
          <w:b w:val="0"/>
          <w:i w:val="0"/>
          <w:color w:val="5B6570"/>
          <w:sz w:val="19"/>
        </w:rPr>
        <w:t>What would overturn it.  A comparative claim that survives being recomputed from the table it describes — which is what computing it rather than typing it now guarantees.</w:t>
      </w:r>
    </w:p>
    <w:p>
      <w:pPr>
        <w:keepNext/>
        <w:spacing w:before="240" w:after="60"/>
      </w:pPr>
      <w:r>
        <w:rPr>
          <w:b/>
          <w:color w:val="1A1D21"/>
          <w:sz w:val="22"/>
        </w:rPr>
        <w:t>L-251  A CAPTION THAT NAMES A RULE IS ASSERTING THE PICTURE FOLLOWS IT, AND A PICTURE IS WHERE A FREE PARAMETER HIDES BEST.</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Nothing reconciles a caption against the code that drew the figure. A threshold chosen to make a chart look right is invisible to every gate this house has, because no number it produces is ever printed.</w:t>
      </w:r>
    </w:p>
    <w:p>
      <w:pPr>
        <w:spacing w:after="60"/>
        <w:ind w:left="283"/>
      </w:pPr>
      <w:r>
        <w:rPr>
          <w:b w:val="0"/>
          <w:i w:val="0"/>
          <w:color w:val="5B6570"/>
          <w:sz w:val="19"/>
        </w:rPr>
        <w:t>How we know.  The heatmap title read 'bold where the cell BRACKETS the EGP 14.40 close' and the code marked any cell within EGP 1.20 of it — a different rule, and a free parameter with nothing behind it. A single cell cannot bracket a value; a PAIR does. The two rules disagreed visibly on this very grid: the 6.0% row straddles 14.40 between 16.10 and 11.20 and NEITHER cell is within 1.20, so the row a reader most wants marked was left plain, while the 12.0% row — whose whole span sits above the close and brackets nothing — carried a bold cell. Same family as the ARCC heatmap whose title promised bold cells that did not exist. Now the straddling PAIR is bolded, which is what the word means, needs no threshold, and is checkable.</w:t>
      </w:r>
    </w:p>
    <w:p>
      <w:pPr>
        <w:spacing w:after="160"/>
        <w:ind w:left="283"/>
      </w:pPr>
      <w:r>
        <w:rPr>
          <w:b w:val="0"/>
          <w:i w:val="0"/>
          <w:color w:val="5B6570"/>
          <w:sz w:val="19"/>
        </w:rPr>
        <w:t>What would overturn it.  A figure whose caption names a rule the drawing code does not implement, where the rule as written cannot be made parameter-free.</w:t>
      </w:r>
    </w:p>
    <w:p>
      <w:pPr>
        <w:keepNext/>
        <w:spacing w:before="240" w:after="60"/>
      </w:pPr>
      <w:r>
        <w:rPr>
          <w:b/>
          <w:color w:val="1A1D21"/>
          <w:sz w:val="22"/>
        </w:rPr>
        <w:t>L-252  A COUNT SPELLED OUT IN WORDS ESCAPES EVERY CHECK THIS HOUSE HAS, AND EVERY STUDY IS FULL OF THEM.</w:t>
      </w:r>
    </w:p>
    <w:p>
      <w:pPr>
        <w:keepNext/>
        <w:spacing w:after="100"/>
      </w:pPr>
      <w:r>
        <w:rPr>
          <w:b/>
          <w:color w:val="1D6FA3"/>
          <w:sz w:val="16"/>
        </w:rPr>
        <w:t>EVERY STUDY</w:t>
      </w:r>
      <w:r>
        <w:rPr>
          <w:color w:val="5B6570"/>
          <w:sz w:val="16"/>
        </w:rPr>
        <w:t xml:space="preserve">   applies to every study   ·   learned from a found while building, reading PHDC's rendered page 13, 03-Sep-2026</w:t>
      </w:r>
    </w:p>
    <w:p>
      <w:pPr>
        <w:spacing w:after="100"/>
      </w:pPr>
      <w:r>
        <w:rPr>
          <w:b w:val="0"/>
          <w:i w:val="0"/>
          <w:color w:val="1A1D21"/>
          <w:sz w:val="21"/>
        </w:rPr>
        <w:t>The numeric-traceability rule matches NUMERALS. 'Five' is a word, so a count written that way is invisible to it — and a count is the easiest figure of all to leave behind, because it changes when a list changes and nothing connects the two.</w:t>
      </w:r>
    </w:p>
    <w:p>
      <w:pPr>
        <w:spacing w:after="60"/>
        <w:ind w:left="283"/>
      </w:pPr>
      <w:r>
        <w:rPr>
          <w:b w:val="0"/>
          <w:i w:val="0"/>
          <w:color w:val="5B6570"/>
          <w:sz w:val="19"/>
        </w:rPr>
        <w:t>How we know.  PHDC's section 7 opened 'Five things are not disclosed by the company' while the READ FIRST twelve pages earlier COMPUTED the same count from the model and said SIX — the study contradicting itself in the sentence that introduces the list a reader is about to count. A sixth gap had been registered and the typed word stayed. Both now come from one helper. Measured across all 31 delivered studies: 775 spelled-out counts qualifying a noun, in every study. A general gate was attempted and DECLINED — of 92 that looked mappable to a committed collection, 74 disagreed and almost every one was the instrument being wrong (a lenses object holding the central and two beta-alternates beside the four actual lenses; 'two lenses' inside a sentence about a subset). A count word means something only against a collection somebody has NAMED, so this needs the per-study declaration prose_figures and footing_check already use.</w:t>
      </w:r>
    </w:p>
    <w:p>
      <w:pPr>
        <w:spacing w:after="160"/>
        <w:ind w:left="283"/>
      </w:pPr>
      <w:r>
        <w:rPr>
          <w:b w:val="0"/>
          <w:i w:val="0"/>
          <w:color w:val="5B6570"/>
          <w:sz w:val="19"/>
        </w:rPr>
        <w:t>What would overturn it.  A rule that maps a count noun in prose to a committed collection without a per-study declaration — which would make the general gate tractable after all.</w:t>
      </w:r>
    </w:p>
    <w:p>
      <w:pPr>
        <w:keepNext/>
        <w:spacing w:before="240" w:after="60"/>
      </w:pPr>
      <w:r>
        <w:rPr>
          <w:b/>
          <w:color w:val="1A1D21"/>
          <w:sz w:val="22"/>
        </w:rPr>
        <w:t>L-253  A COLUMN AUDIT CANNOT SEE ONE ROW, BECAUSE AN AVERAGE CANNOT: A SINGLE CELL ONE CHARACTER TOO WIDE WRAPS AFTER ITS MINUS SIGN AND PRINTS A NEGATIVE NUMBER AS A POSITIVE ONE.</w:t>
      </w:r>
    </w:p>
    <w:p>
      <w:pPr>
        <w:keepNext/>
        <w:spacing w:after="100"/>
      </w:pPr>
      <w:r>
        <w:rPr>
          <w:b/>
          <w:color w:val="1D6FA3"/>
          <w:sz w:val="16"/>
        </w:rPr>
        <w:t>EVERY STUDY</w:t>
      </w:r>
      <w:r>
        <w:rPr>
          <w:color w:val="5B6570"/>
          <w:sz w:val="16"/>
        </w:rPr>
        <w:t xml:space="preserve">   applies to every study   ·   learned from a found while building, reading PHDC's rendered appendix, 03-Sep-2026</w:t>
      </w:r>
    </w:p>
    <w:p>
      <w:pPr>
        <w:spacing w:after="100"/>
      </w:pPr>
      <w:r>
        <w:rPr>
          <w:b w:val="0"/>
          <w:i w:val="0"/>
          <w:color w:val="1A1D21"/>
          <w:sz w:val="21"/>
        </w:rPr>
        <w:t>Table-discipline checks measure whether a column is starved or bloated, which is a property of the column as a whole. The defect here is a property of ONE CELL, and it changes a figure's SIGN as a reader reads it — the worst possible outcome from a purely typographic cause.</w:t>
      </w:r>
    </w:p>
    <w:p>
      <w:pPr>
        <w:spacing w:after="60"/>
        <w:ind w:left="283"/>
      </w:pPr>
      <w:r>
        <w:rPr>
          <w:b w:val="0"/>
          <w:i w:val="0"/>
          <w:color w:val="5B6570"/>
          <w:sz w:val="19"/>
        </w:rPr>
        <w:t>How we know.  The label column took 4.6cm of 16.2cm, leaving 1.66cm for each of seven years, and '-110,168' is eight characters — one too many. Word breaks a line after a hyphen, so the 2035 and 2040 cost-of-revenue cells rendered as a BARE DASH with 110,168 on the line beneath, which a reader takes for a positive number or for a dash meaning 'not applicable'. The column audit reported the table CLEAN and was right by its own lights: the column is not starved on average, and one row is a single character wider than every other. THE FIRST FIX MADE IT WORSE AND THAT IS THE USEFUL PART — U+2212 MINUS SIGN is typographically correct and does not offer a break, but it is WIDER than a hyphen, so every cell in the row then wrapped mid-number. The character was never the problem. Per [R-COC-01], when a fix makes the thing worse the diagnosis was wrong: the column was too narrow for its content, and the fix is to widen it.</w:t>
      </w:r>
    </w:p>
    <w:p>
      <w:pPr>
        <w:spacing w:after="160"/>
        <w:ind w:left="283"/>
      </w:pPr>
      <w:r>
        <w:rPr>
          <w:b w:val="0"/>
          <w:i w:val="0"/>
          <w:color w:val="5B6570"/>
          <w:sz w:val="19"/>
        </w:rPr>
        <w:t>What would overturn it.  A wrapped cell whose cause is genuinely the character rather than the width — which would mean the substitution was right and the measurement of it was wrong.</w:t>
      </w:r>
    </w:p>
    <w:p>
      <w:pPr>
        <w:keepNext/>
        <w:spacing w:before="240" w:after="60"/>
      </w:pPr>
      <w:r>
        <w:rPr>
          <w:b/>
          <w:color w:val="1A1D21"/>
          <w:sz w:val="22"/>
        </w:rPr>
        <w:t>L-254  WHERE A STUDY COMPUTES A QUANTITY ON SEVERAL BASES AND ADOPTS ONE, EVERY PUBLISHED FIGURE MUST BE ASSERTED TO COME FROM THE ADOPTED ONE: THE WRONG KEY IS SILENT, REPRODUCES PERFECTLY, AND READS AS CORRECT.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study that offers a reader two or three ways of measuring the same thing has to pick one to answer with. Nothing in the code marks which key is the answer, so a display that reaches for a neighbouring one produces a number that is individually right, recalculates to the last cell, and is not the study's answer.</w:t>
      </w:r>
    </w:p>
    <w:p>
      <w:pPr>
        <w:spacing w:after="60"/>
        <w:ind w:left="283"/>
      </w:pPr>
      <w:r>
        <w:rPr>
          <w:b w:val="0"/>
          <w:i w:val="0"/>
          <w:color w:val="5B6570"/>
          <w:sz w:val="19"/>
        </w:rPr>
        <w:t>How we know.  TMGH deducts the minority at its share of value — its summary table says so, its headline range is stated on it, and [R-BRIDGE-01] requires it — and FIVE separate displays published the BOOK basis instead: the enterprise-to-equity bridge, whose lines summed to EGP 244,183mn and whose last row printed 113.24 where 244,183 / 2,060.7 is 118.50; the crux table, whose own caption states 'with the minority deducted at its share of value' beside numbers that were not; the discount-rate sensitivity grid, which did not carry the adopted basis at all; the reverse read, which solved what the traded price implies against a per-share the study does not publish; and the comparison of the lenses. NOTHING STATED A REASON ANYWHERE — it was the key that got written first and copied. Every figure passed the numeric-traceability gate, the recalculation gate and the prose-figure check, because each was computed and correct; what was wrong was WHICH of the three it was. The bridge case is the sharpest: [R-BRIDGE-01] already required the equity to divide to the stated per share, and the assertion existed in the rule and in no code.</w:t>
      </w:r>
    </w:p>
    <w:p>
      <w:pPr>
        <w:spacing w:after="160"/>
        <w:ind w:left="283"/>
      </w:pPr>
      <w:r>
        <w:rPr>
          <w:b w:val="0"/>
          <w:i w:val="0"/>
          <w:color w:val="5B6570"/>
          <w:sz w:val="19"/>
        </w:rPr>
        <w:t>What would overturn it.  A study where the several bases are genuinely interchangeable for the purpose in hand, so that reading a neighbouring key changes nothing a reader would act on.</w:t>
      </w:r>
    </w:p>
    <w:p>
      <w:pPr>
        <w:keepNext/>
        <w:spacing w:before="240" w:after="60"/>
      </w:pPr>
      <w:r>
        <w:rPr>
          <w:b/>
          <w:color w:val="1A1D21"/>
          <w:sz w:val="22"/>
        </w:rPr>
        <w:t>L-255  A LOOKUP THAT MATCHES NOTHING BUILDS A TABLE WITH HEADERS AND NO ROWS, AND NOTHING RAISES, BECAUSE AN EMPTY COLLECTION IS A VALID TABLE.</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Code that filters a record into display rows returns an empty list when the record's keys have moved. The build succeeds, the document is written, and the page carries a heading, a table frame and a caption with nothing between them.</w:t>
      </w:r>
    </w:p>
    <w:p>
      <w:pPr>
        <w:spacing w:after="60"/>
        <w:ind w:left="283"/>
      </w:pPr>
      <w:r>
        <w:rPr>
          <w:b w:val="0"/>
          <w:i w:val="0"/>
          <w:color w:val="5B6570"/>
          <w:sz w:val="19"/>
        </w:rPr>
        <w:t>How we know.  TMGH's walk-forward results table asked for keys shaped 'asknown|&lt;driver&gt;|all' against a scores record whose keys are plain driver names — a schema borrowed from another study's file — matched nothing, and produced an empty list. The delivered page carried the table's headers and its caption under prose reading 'each driver scored against what the company actually reported. The results decided which of the model's habits were corrected'. The record was fine: fifteen drivers, thirty to forty observations each. The same silence had emptied the record itself one level up, where the numbers builder iterated the file's TOP-LEVEL keys looking for the same shape. [R-ENF-04] names this exactly — an empty result is not a clean result — and here the emptiness reached a reader. The fix is an assertion on the row count, not a corrected key: the corrected key would work until the schema moves again.</w:t>
      </w:r>
    </w:p>
    <w:p>
      <w:pPr>
        <w:spacing w:after="160"/>
        <w:ind w:left="283"/>
      </w:pPr>
      <w:r>
        <w:rPr>
          <w:b w:val="0"/>
          <w:i w:val="0"/>
          <w:color w:val="5B6570"/>
          <w:sz w:val="19"/>
        </w:rPr>
        <w:t>What would overturn it.  A table legitimately empty on some editions, where a floor on the row count would be the false claim instead.</w:t>
      </w:r>
    </w:p>
    <w:p>
      <w:pPr>
        <w:keepNext/>
        <w:spacing w:before="240" w:after="60"/>
      </w:pPr>
      <w:r>
        <w:rPr>
          <w:b/>
          <w:color w:val="1A1D21"/>
          <w:sz w:val="22"/>
        </w:rPr>
        <w:t>L-256  A RATIO QUOTED IN PROSE MUST DIVIDE A NUMERATOR BY A DENOMINATOR OF THE SAME PERIOD, AND A PARAGRAPH CAN MAKE THE MISTAKE IT IS WARNING ABOUT.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Where a sentence gives a reader both operands and the result, the three have to agree. Where they do not, the sentence refutes itself in front of the reader.</w:t>
      </w:r>
    </w:p>
    <w:p>
      <w:pPr>
        <w:spacing w:after="60"/>
        <w:ind w:left="283"/>
      </w:pPr>
      <w:r>
        <w:rPr>
          <w:b w:val="0"/>
          <w:i w:val="0"/>
          <w:color w:val="5B6570"/>
          <w:sz w:val="19"/>
        </w:rPr>
        <w:t>How we know.  The paragraph explaining why a finance-cost correction was REFUSED — on the ground that the reported charge and the borrowings describe different things — divided the FY2025 charge by the borrowings on the 30-JUNE-2026 balance sheet and reported 'about 44%'. That figure reconciles against neither pairing: 3,936.5 over the 16,493 the same sentence quotes is 23.9%, which is BELOW the policy peak it was being contrasted with, so the argument as printed refuted itself; and against the borrowings of the year that BORE the charge it is 33.4%. The correct figure supports the argument and the printed one destroyed it. This is [R-FCAL-01] trap (i) — the interest denominator — occurring in a paragraph written to explain that very trap.</w:t>
      </w:r>
    </w:p>
    <w:p>
      <w:pPr>
        <w:spacing w:after="160"/>
        <w:ind w:left="283"/>
      </w:pPr>
      <w:r>
        <w:rPr>
          <w:b w:val="0"/>
          <w:i w:val="0"/>
          <w:color w:val="5B6570"/>
          <w:sz w:val="19"/>
        </w:rPr>
        <w:t>What would overturn it.  A ratio whose operands genuinely belong to different periods for a stated reason, with the mismatch named rather than silent.</w:t>
      </w:r>
    </w:p>
    <w:p>
      <w:pPr>
        <w:keepNext/>
        <w:spacing w:before="240" w:after="60"/>
      </w:pPr>
      <w:r>
        <w:rPr>
          <w:b/>
          <w:color w:val="1A1D21"/>
          <w:sz w:val="22"/>
        </w:rPr>
        <w:t>L-257  A FILE SOMETHING WRITES AND NOTHING READS IS A NUMBER FROZEN AT THE MOMENT SOMEBODY LAST RAN THE SCRIPT — THE MIRROR OF [R-ENF-06], AND IT HAS NO VINTAGE TO CHECK.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[R-ENF-06] asks what WRITES a file that a builder reads. The same question the other way round is worth asking: a file with no consumer has nobody to notice when it goes stale, and it sits in the study directory looking exactly like a computed record.</w:t>
      </w:r>
    </w:p>
    <w:p>
      <w:pPr>
        <w:spacing w:after="60"/>
        <w:ind w:left="283"/>
      </w:pPr>
      <w:r>
        <w:rPr>
          <w:b w:val="0"/>
          <w:i w:val="0"/>
          <w:color w:val="5B6570"/>
          <w:sz w:val="19"/>
        </w:rPr>
        <w:t>How we know.  TMGH's statements.json was written by its statements module's main() and read by nothing — the numbers builder imports the module and calls build(), so the live path never touches the file. It sat two days stale, giving 2030 development revenue of 76,350 against the 102,747 the delivered document prints, a 35% divergence. IT WAS NOT HARMLESS: sizing a table column needed the widest cell in that row, the first attempt read this file, got 76,350, concluded the column was wide enough, and was wrong — the page had been printing '102,74' with a lone '7' beneath it for two days. The cheapest fix for a file with no consumer is not to declare its vintage; it is not to write it.</w:t>
      </w:r>
    </w:p>
    <w:p>
      <w:pPr>
        <w:spacing w:after="160"/>
        <w:ind w:left="283"/>
      </w:pPr>
      <w:r>
        <w:rPr>
          <w:b w:val="0"/>
          <w:i w:val="0"/>
          <w:color w:val="5B6570"/>
          <w:sz w:val="19"/>
        </w:rPr>
        <w:t>What would overturn it.  A written-and-unread file that is genuinely an evidence record rather than a derived one — a critique register or a raw download, where freezing is the point.</w:t>
      </w:r>
    </w:p>
    <w:p>
      <w:pPr>
        <w:keepNext/>
        <w:spacing w:before="240" w:after="60"/>
      </w:pPr>
      <w:r>
        <w:rPr>
          <w:b/>
          <w:color w:val="1A1D21"/>
          <w:sz w:val="22"/>
        </w:rPr>
        <w:t>L-258  A COLUMN MUST CLEAR ITS WIDEST TOKEN, HEADER INCLUDED, AND A HEADER IS BOLD, WHICH IS TWELVE PER CENT WIDER ON THE INK.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L-253 established that a column must clear its widest cell. Two further things were learned by getting it wrong twice more inside ten minutes: the widest cell is frequently the HEADER, and the header is set bold, which no plain-text measurement sees.</w:t>
      </w:r>
    </w:p>
    <w:p>
      <w:pPr>
        <w:spacing w:after="60"/>
        <w:ind w:left="283"/>
      </w:pPr>
      <w:r>
        <w:rPr>
          <w:b w:val="0"/>
          <w:i w:val="0"/>
          <w:color w:val="5B6570"/>
          <w:sz w:val="19"/>
        </w:rPr>
        <w:t>How we know.  A 'Discount rate' header rendered 'Discou nt rate' at 1.7cm. A hand fix widened that column and narrowed 'Case' to 3.0cm, which needs 3.61 for 'Credit-default-swap' — the same error again, minutes later. The column was then sized from measured per-character widths and STILL printed 'Discoun', because the measurement had been taken on plain cells: bold needs 1.077x to 1.121x the ink of the same token plain, measured on seven tokens. The model was right about the string and wrong about the FACE IT IS SET IN. The shared width module now holds both measurements and asserts its constants still clear them at import; a percent sign is 0.30cm, which is why an entire ten-cell cost-of-capital row printed '32.4' with a bare '%' beneath it while the orphan detector — which scans for a stray DIGIT — reported the document clean.</w:t>
      </w:r>
    </w:p>
    <w:p>
      <w:pPr>
        <w:spacing w:after="160"/>
        <w:ind w:left="283"/>
      </w:pPr>
      <w:r>
        <w:rPr>
          <w:b w:val="0"/>
          <w:i w:val="0"/>
          <w:color w:val="5B6570"/>
          <w:sz w:val="19"/>
        </w:rPr>
        <w:t>What would overturn it.  A renderer whose metrics differ enough from the measured ones that the constants stop clearing their own experiment, which the module's import assertion would say.</w:t>
      </w:r>
    </w:p>
    <w:p>
      <w:pPr>
        <w:keepNext/>
        <w:spacing w:before="240" w:after="60"/>
      </w:pPr>
      <w:r>
        <w:rPr>
          <w:b/>
          <w:color w:val="1A1D21"/>
          <w:sz w:val="22"/>
        </w:rPr>
        <w:t>L-259  A RELATIVE GLOB RUN FROM THE WRONG DIRECTORY MATCHES NOTHING AND REPORTS CLEAN, AND IT IS THE COMMONEST WAY [R-ENF-04]'s FAILURE ACTUALLY HAPPENS HERE.</w:t>
      </w:r>
    </w:p>
    <w:p>
      <w:pPr>
        <w:keepNext/>
        <w:spacing w:after="100"/>
      </w:pPr>
      <w:r>
        <w:rPr>
          <w:b/>
          <w:color w:val="1D6FA3"/>
          <w:sz w:val="16"/>
        </w:rPr>
        <w:t>EVERY STUDY</w:t>
      </w:r>
      <w:r>
        <w:rPr>
          <w:color w:val="5B6570"/>
          <w:sz w:val="16"/>
        </w:rPr>
        <w:t xml:space="preserve">   applies to every study   ·   learned from a found while building, sweeping for stale peer prices, 03-Sep-2026</w:t>
      </w:r>
    </w:p>
    <w:p>
      <w:pPr>
        <w:spacing w:after="100"/>
      </w:pPr>
      <w:r>
        <w:rPr>
          <w:b w:val="0"/>
          <w:i w:val="0"/>
          <w:color w:val="1A1D21"/>
          <w:sz w:val="21"/>
        </w:rPr>
        <w:t>A sweep written as engine/*_study/*.json is correct from the repository root and matches nothing from anywhere else. The result is not an error: it is a confident zero, printed in the same words a genuinely clean run would print.</w:t>
      </w:r>
    </w:p>
    <w:p>
      <w:pPr>
        <w:spacing w:after="60"/>
        <w:ind w:left="283"/>
      </w:pPr>
      <w:r>
        <w:rPr>
          <w:b w:val="0"/>
          <w:i w:val="0"/>
          <w:color w:val="5B6570"/>
          <w:sz w:val="19"/>
        </w:rPr>
        <w:t>How we know.  A sweep for artefacts older than the repository's own price libraries reported '0 stale' and was believed. Counting what it had EXAMINED returned zero rows across zero studies: the working directory was inside a study, so the glob resolved under that directory and matched no file at all. Re-run from the root it examined 25 rows and found the real case. THIS HAPPENED WITHIN THE HOUR OF REGISTERING L-255, which is the same failure one level up, and twice more in the same session on other commands. The habit that catches it is cheap and is the only thing that does: ASSERT THE POPULATION BEFORE READING THE RESULT — a sweep prints what it examined, and zero examined is a failure rather than a finding. Absolute paths help and are not sufficient, because the next probe will be written in a hurry too.</w:t>
      </w:r>
    </w:p>
    <w:p>
      <w:pPr>
        <w:spacing w:after="160"/>
        <w:ind w:left="283"/>
      </w:pPr>
      <w:r>
        <w:rPr>
          <w:b w:val="0"/>
          <w:i w:val="0"/>
          <w:color w:val="5B6570"/>
          <w:sz w:val="19"/>
        </w:rPr>
        <w:t>What would overturn it.  A sweep whose population is genuinely empty for a stated reason, where the assertion would be the false claim instead.</w:t>
      </w:r>
    </w:p>
    <w:p>
      <w:pPr>
        <w:keepNext/>
        <w:spacing w:before="240" w:after="60"/>
      </w:pPr>
      <w:r>
        <w:rPr>
          <w:b/>
          <w:color w:val="1A1D21"/>
          <w:sz w:val="22"/>
        </w:rPr>
        <w:t>L-260  AN ARTEFACT BUILT FROM A COMMITTED LIBRARY GOES STALE SILENTLY, BECAUSE THE LIBRARY MOVES BY THE CALENDAR AND THE ARTEFACT MOVES ONLY WHEN SOMEBODY RE-RUNS IT.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file that reads a price library and writes a summary is correct on the day it is written and drifts every day after. Nothing about it looks stale: it carries dates, sources and tiers, and every figure in it was right when it was taken.</w:t>
      </w:r>
    </w:p>
    <w:p>
      <w:pPr>
        <w:spacing w:after="60"/>
        <w:ind w:left="283"/>
      </w:pPr>
      <w:r>
        <w:rPr>
          <w:b w:val="0"/>
          <w:i w:val="0"/>
          <w:color w:val="5B6570"/>
          <w:sz w:val="19"/>
        </w:rPr>
        <w:t>How we know.  TMGH's delivered peer table published Emaar Misr at 11.53 as at 28 July, SODIC at 27.48 as at 27 July and Orascom at 40.16 as at 27 July, while THIS REPOSITORY'S OWN committed libraries held 13.70, 31.01 and 41.50 at 1 September — the first 18.8% higher. The generator does nothing but read the last row of each library and had simply not been re-run. No valuation number moves, because this study deliberately tabulates no peer multiples; what moves is a table of prices a reader takes as current. It is [R-ENF-06]'s shape with the staleness on the INPUT side, and the standing library-staleness rule's shape too: a fact that moves by the calendar must not be remembered by something that moves only when edited.</w:t>
      </w:r>
    </w:p>
    <w:p>
      <w:pPr>
        <w:spacing w:after="160"/>
        <w:ind w:left="283"/>
      </w:pPr>
      <w:r>
        <w:rPr>
          <w:b w:val="0"/>
          <w:i w:val="0"/>
          <w:color w:val="5B6570"/>
          <w:sz w:val="19"/>
        </w:rPr>
        <w:t>What would overturn it.  A peer table deliberately frozen at a stated date for a stated reason, which the document would then have to say.</w:t>
      </w:r>
    </w:p>
    <w:p>
      <w:pPr>
        <w:keepNext/>
        <w:spacing w:before="240" w:after="60"/>
      </w:pPr>
      <w:r>
        <w:rPr>
          <w:b/>
          <w:color w:val="1A1D21"/>
          <w:sz w:val="22"/>
        </w:rPr>
        <w:t>L-261  A FILE SOMETHING WRITES, WHEN NOTHING MAKES IT RUN, IS AS FROZEN AS ONE NOTHING WRITES AT ALL — AND HARDER TO SEE, BECAUSE IT HAS A GENERATOR.</w:t>
      </w:r>
    </w:p>
    <w:p>
      <w:pPr>
        <w:keepNext/>
        <w:spacing w:after="100"/>
      </w:pPr>
      <w:r>
        <w:rPr>
          <w:b/>
          <w:color w:val="1D6FA3"/>
          <w:sz w:val="16"/>
        </w:rPr>
        <w:t>EVERY STUDY</w:t>
      </w:r>
      <w:r>
        <w:rPr>
          <w:color w:val="5B6570"/>
          <w:sz w:val="16"/>
        </w:rPr>
        <w:t xml:space="preserve">   applies to every study   ·   learned from a found while building, rebuilding TMGH, 03-Sep-2026</w:t>
      </w:r>
    </w:p>
    <w:p>
      <w:pPr>
        <w:spacing w:after="100"/>
      </w:pPr>
      <w:r>
        <w:rPr>
          <w:b w:val="0"/>
          <w:i w:val="0"/>
          <w:color w:val="1A1D21"/>
          <w:sz w:val="21"/>
        </w:rPr>
        <w:t>[R-ENF-06] asks what writes an artefact a builder reads, and a reassuring answer closes the question. But a generator that exists and is not run produces exactly the same stale number, and the study looks better arranged while it happens.</w:t>
      </w:r>
    </w:p>
    <w:p>
      <w:pPr>
        <w:spacing w:after="60"/>
        <w:ind w:left="283"/>
      </w:pPr>
      <w:r>
        <w:rPr>
          <w:b w:val="0"/>
          <w:i w:val="0"/>
          <w:color w:val="5B6570"/>
          <w:sz w:val="19"/>
        </w:rPr>
        <w:t>How we know.  Four artefacts went stale in one afternoon on a study already conforming to [R-ENF-06]: statements.json two days behind the model, peers.json five weeks behind THIS REPOSITORY'S OWN price libraries, experts.json quoting a reverse read that had since been corrected, and a note added to a generator that never reached the page because the script writing its file was not re-run after the edit. None was carelessness about a number; each was the ordinary consequence of a pipeline whose steps a person has to remember. MEASURED ACROSS THE BOOK, 2 OF 24 STUDIES HAVE A SINGLE BUILD ENTRY POINT, and the other twenty-two carry 7 to 32 scripts each that must be run in the right order from memory. The fix is not to remember harder: an entry point declares the dependency order explicitly and ends with the checks, so a build that produced a stale artefact cannot also report clean.</w:t>
      </w:r>
    </w:p>
    <w:p>
      <w:pPr>
        <w:spacing w:after="160"/>
        <w:ind w:left="283"/>
      </w:pPr>
      <w:r>
        <w:rPr>
          <w:b w:val="0"/>
          <w:i w:val="0"/>
          <w:color w:val="5B6570"/>
          <w:sz w:val="19"/>
        </w:rPr>
        <w:t>What would overturn it.  A study whose scripts are genuinely independent, where an order does not exist to be got wrong.</w:t>
      </w:r>
    </w:p>
    <w:p>
      <w:pPr>
        <w:keepNext/>
        <w:spacing w:before="240" w:after="60"/>
      </w:pPr>
      <w:r>
        <w:rPr>
          <w:b/>
          <w:color w:val="1A1D21"/>
          <w:sz w:val="22"/>
        </w:rPr>
        <w:t>L-262  A PRICED ALTERNATIVE THAT RE-RUNS THE BASE CASE SCORES ZERO BY CONSTRUCTION, AND A ZERO DELTA IS THE ONE ANSWER NOBODY CHECKS.</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A table that prices each contested choice by re-running the model with that choice moved is only as good as the move. Where the alternative is set to what the base case already uses, the re-run returns the base case, the delta is exactly zero, and the row reports that the choice does not matter.</w:t>
      </w:r>
    </w:p>
    <w:p>
      <w:pPr>
        <w:spacing w:after="60"/>
        <w:ind w:left="283"/>
      </w:pPr>
      <w:r>
        <w:rPr>
          <w:b w:val="0"/>
          <w:i w:val="0"/>
          <w:color w:val="5B6570"/>
          <w:sz w:val="19"/>
        </w:rPr>
        <w:t>How we know.  The FIRST row of EGCH's contested-constructions table priced 'country risk off the sovereign's credit rating' against the traded default swap and scored +0.00. The study's base case already uses the swap basis — rf_star_spot IS rf_star_cds and the published rate IS wacc_cds — so the alternative re-ran the base case. The labels were reversed with it: the study CHOOSES the swap basis and the alternative is the rating basis. Priced correctly the choice is worth EGP 1.26 against a base of 2.31, a delta of −1.05 and the THIRD largest of the ten, in a table whose entire purpose is to show what each choice is worth. Nothing could catch it: the figure was computed, the model re-ran, the arithmetic was exact. A NON-ZERO delta invites a reader to check it; a zero one says there is nothing to look at.</w:t>
      </w:r>
    </w:p>
    <w:p>
      <w:pPr>
        <w:spacing w:after="160"/>
        <w:ind w:left="283"/>
      </w:pPr>
      <w:r>
        <w:rPr>
          <w:b w:val="0"/>
          <w:i w:val="0"/>
          <w:color w:val="5B6570"/>
          <w:sz w:val="19"/>
        </w:rPr>
        <w:t>What would overturn it.  An alternative that genuinely coincides with the base case for a stated reason, where the row would have to say so rather than print a bare zero.</w:t>
      </w:r>
    </w:p>
    <w:p>
      <w:pPr>
        <w:keepNext/>
        <w:spacing w:before="240" w:after="60"/>
      </w:pPr>
      <w:r>
        <w:rPr>
          <w:b/>
          <w:color w:val="1A1D21"/>
          <w:sz w:val="22"/>
        </w:rPr>
        <w:t>L-263  A TABLE WITH TWO BASIS COLUMNS MUST PRODUCE TWO ANSWERS, AND A DERIVED ROW IDENTICAL IN BOTH WHILE ITS INPUTS DIFFER IS READING ONE COLUMN TWICE.</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Where a table sets out the same construction on two bases side by side, the rows that are INPUTS may legitimately be identical — a beta, a cost of debt, a set of weights — but a row DERIVED from rows that differ cannot be.</w:t>
      </w:r>
    </w:p>
    <w:p>
      <w:pPr>
        <w:spacing w:after="60"/>
        <w:ind w:left="283"/>
      </w:pPr>
      <w:r>
        <w:rPr>
          <w:b w:val="0"/>
          <w:i w:val="0"/>
          <w:color w:val="5B6570"/>
          <w:sz w:val="19"/>
        </w:rPr>
        <w:t>How we know.  EGCH's cost-of-capital table set out the rating and swap bases in two columns whose costs of equity differ (30.99% against 29.28%), and printed 25.76% for the cost of capital in BOTH — because the rating cell read wacc_path[0], which IS the published rate and IS the swap basis. The rating figure reproduces from its own rows as 66.2% x 30.99% + 33.8% x 18.86% = 26.88%, and the printed one does not. The note beneath compounded it, saying the rating basis was carried 'as the more conservative' when the study carries the swap basis and that basis is 113 basis points LOWER. The table-footing instrument could not see it: the row is a weighted mean whose weights are a ROW formatted as a combined string, not a column it can read.</w:t>
      </w:r>
    </w:p>
    <w:p>
      <w:pPr>
        <w:spacing w:after="160"/>
        <w:ind w:left="283"/>
      </w:pPr>
      <w:r>
        <w:rPr>
          <w:b w:val="0"/>
          <w:i w:val="0"/>
          <w:color w:val="5B6570"/>
          <w:sz w:val="19"/>
        </w:rPr>
        <w:t>What would overturn it.  A derived row that genuinely coincides across two bases, which would need saying.</w:t>
      </w:r>
    </w:p>
    <w:p>
      <w:pPr>
        <w:keepNext/>
        <w:spacing w:before="240" w:after="60"/>
      </w:pPr>
      <w:r>
        <w:rPr>
          <w:b/>
          <w:color w:val="1A1D21"/>
          <w:sz w:val="22"/>
        </w:rPr>
        <w:t>L-264  A TABLE THAT NAMES ITS OPERATIONS IN WORDS IS GIVING A READER INSTRUCTIONS, AND FOLLOWING THEM MUST ARRIVE WHERE THE PAGE SAYS.</w:t>
      </w:r>
    </w:p>
    <w:p>
      <w:pPr>
        <w:keepNext/>
        <w:spacing w:after="100"/>
      </w:pPr>
      <w:r>
        <w:rPr>
          <w:b/>
          <w:color w:val="1D6FA3"/>
          <w:sz w:val="16"/>
        </w:rPr>
        <w:t>EVERY STUDY</w:t>
      </w:r>
      <w:r>
        <w:rPr>
          <w:color w:val="5B6570"/>
          <w:sz w:val="16"/>
        </w:rPr>
        <w:t xml:space="preserve">   applies to every study   ·   learned from a found while building, reading SCEM's rendered pages, 04-Sep-2026</w:t>
      </w:r>
    </w:p>
    <w:p>
      <w:pPr>
        <w:spacing w:after="100"/>
      </w:pPr>
      <w:r>
        <w:rPr>
          <w:b w:val="0"/>
          <w:i w:val="0"/>
          <w:color w:val="1A1D21"/>
          <w:sz w:val="21"/>
        </w:rPr>
        <w:t>"Plus net cash", "Less depreciation and amortisation", "Add back the impairment" are instructions, not labels. A reader will carry them out. Where a line the model uses is not printed, the reader arrives somewhere the page does not — and nothing about the page looks wrong, because every figure on it is correct.</w:t>
      </w:r>
    </w:p>
    <w:p>
      <w:pPr>
        <w:spacing w:after="60"/>
        <w:ind w:left="283"/>
      </w:pPr>
      <w:r>
        <w:rPr>
          <w:b w:val="0"/>
          <w:i w:val="0"/>
          <w:color w:val="5B6570"/>
          <w:sz w:val="19"/>
        </w:rPr>
        <w:t>How we know.  Five tables in one study, in a document that had passed table_footing, prose_figures, the recalculation gate, the scrub and the column audit. The enterprise-to-equity bridge printed "Enterprise value 6,617", "Plus net cash 4,930", "Equity value 11,426" while deducting EGP 120mn of minority in the model and printing no line for it. The cash-flow waterfall printed depreciation, capital expenditure and working capital between NOPAT and free cash flow — three lines that feed only the balance-sheet projection — while the model builds free cash flow as NOPAT less reinvestment, so a reader adding the column reached 1,829 in year one against a printed 799. Three lenses jumped from an enterprise figure straight to value per share: dividing the printed earnings by the printed share count gives 39.66 against a printed 58.10.</w:t>
      </w:r>
    </w:p>
    <w:p>
      <w:pPr>
        <w:spacing w:after="160"/>
        <w:ind w:left="283"/>
      </w:pPr>
      <w:r>
        <w:rPr>
          <w:b w:val="0"/>
          <w:i w:val="0"/>
          <w:color w:val="5B6570"/>
          <w:sz w:val="19"/>
        </w:rPr>
        <w:t>What would overturn it.  A delivered waterfall whose printed rows reach its printed answer while a line the model uses is still missing, which would mean the arithmetic closes by coincidence.</w:t>
      </w:r>
    </w:p>
    <w:p>
      <w:pPr>
        <w:keepNext/>
        <w:spacing w:before="240" w:after="60"/>
      </w:pPr>
      <w:r>
        <w:rPr>
          <w:b/>
          <w:color w:val="1A1D21"/>
          <w:sz w:val="22"/>
        </w:rPr>
        <w:t>L-265  WHERE A PAGE CANNOT SAY ENOUGH FOR A CHECK TO BE SOUND, MOVE THE CHECK TO WHOEVER KNOWS — DO NOT WEAKEN IT UNTIL IT PASSES.</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A check firing on work that is right has three possible answers and only one is honest. Widening its tolerance is a free parameter. Changing the work to satisfy it corrupts what is being measured. The third is to ask what the check is actually measuring, and point it at something that can be reproduced.</w:t>
      </w:r>
    </w:p>
    <w:p>
      <w:pPr>
        <w:spacing w:after="60"/>
        <w:ind w:left="283"/>
      </w:pPr>
      <w:r>
        <w:rPr>
          <w:b w:val="0"/>
          <w:i w:val="0"/>
          <w:color w:val="5B6570"/>
          <w:sz w:val="19"/>
        </w:rPr>
        <w:t>How we know.  The page-side reading of a waterfall was built first and measured twice over the whole book: 42.4% of all 979 tables on the first design, whose matches were coincidence against a pool of several thousand committed numbers, and 30.7% of the 127 tables carrying an operator row on the second, after two further re-pointings that were each the instrument being wrong about how tables work. The residue is irreducible because a statement mixes labelled and unlabelled steps: an income statement runs Revenue, EBITDA, margin, depreciation, "Plus other operating income", EBIT, and EBIT is EBITDA LESS that depreciation PLUS that income — the page performs the subtraction and never says so. The check moved to the builder, which knows the anchor because it put it there.</w:t>
      </w:r>
    </w:p>
    <w:p>
      <w:pPr>
        <w:spacing w:after="160"/>
        <w:ind w:left="283"/>
      </w:pPr>
      <w:r>
        <w:rPr>
          <w:b w:val="0"/>
          <w:i w:val="0"/>
          <w:color w:val="5B6570"/>
          <w:sz w:val="19"/>
        </w:rPr>
        <w:t>What would overturn it.  A page-side reading that reaches an honest rate on this book, which would mean the ambiguity is in the implementation rather than in what a page can state.</w:t>
      </w:r>
    </w:p>
    <w:p>
      <w:pPr>
        <w:keepNext/>
        <w:spacing w:before="240" w:after="60"/>
      </w:pPr>
      <w:r>
        <w:rPr>
          <w:b/>
          <w:color w:val="1A1D21"/>
          <w:sz w:val="22"/>
        </w:rPr>
        <w:t>L-266  AN EXCEPTION TO A CHECK IS DECLARED WITH A REASON OR IT IS THE CHECK SWITCHED OFF.</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Every instrument in this house lets a study declare a legitimate exception. The reason is not decoration on the declaration — it IS the declaration, because an exception with no reason is indistinguishable from a defect somebody waved through, and nobody can tell the two apart afterwards.</w:t>
      </w:r>
    </w:p>
    <w:p>
      <w:pPr>
        <w:spacing w:after="60"/>
        <w:ind w:left="283"/>
      </w:pPr>
      <w:r>
        <w:rPr>
          <w:b w:val="0"/>
          <w:i w:val="0"/>
          <w:color w:val="5B6570"/>
          <w:sz w:val="19"/>
        </w:rPr>
        <w:t>How we know.  waterfall() accepts a figure the table does not print and REFUSES when no reason is supplied with it, which is [R-COC-01 AMENDED]'s closed-mechanism clause and table_footing's own declaration rule arriving at the same place from three directions. Its first use is the one line in the study that a reader genuinely cannot add up — a first forecast year scaled to the part of the year still unearned at the valuation date — which the caption already named and which is now declared to the instrument in the same words.</w:t>
      </w:r>
    </w:p>
    <w:p>
      <w:pPr>
        <w:spacing w:after="160"/>
        <w:ind w:left="283"/>
      </w:pPr>
      <w:r>
        <w:rPr>
          <w:b w:val="0"/>
          <w:i w:val="0"/>
          <w:color w:val="5B6570"/>
          <w:sz w:val="19"/>
        </w:rPr>
        <w:t>What would overturn it.  An exception class where the reason is genuinely mechanical and stating it adds nothing, which would need to be shown rather than asserted.</w:t>
      </w:r>
    </w:p>
    <w:p>
      <w:pPr>
        <w:keepNext/>
        <w:spacing w:before="240" w:after="60"/>
      </w:pPr>
      <w:r>
        <w:rPr>
          <w:b/>
          <w:color w:val="1A1D21"/>
          <w:sz w:val="22"/>
        </w:rPr>
        <w:t>L-267  A TABLE USES ONE SIGN CONVENTION FOR ITS DEDUCTIONS, AND A LABEL SAYING "LESS" OVER A FIGURE THE MODEL ADDS IS WRONG WHATEVER THE ARITHMETIC DOES.</w:t>
      </w:r>
    </w:p>
    <w:p>
      <w:pPr>
        <w:keepNext/>
        <w:spacing w:after="100"/>
      </w:pPr>
      <w:r>
        <w:rPr>
          <w:b/>
          <w:color w:val="1D6FA3"/>
          <w:sz w:val="16"/>
        </w:rPr>
        <w:t>EVERY STUDY</w:t>
      </w:r>
      <w:r>
        <w:rPr>
          <w:color w:val="5B6570"/>
          <w:sz w:val="16"/>
        </w:rPr>
        <w:t xml:space="preserve">   applies to every study   ·   learned from a found while building, measuring the delivered documents, 04-Sep-2026</w:t>
      </w:r>
    </w:p>
    <w:p>
      <w:pPr>
        <w:spacing w:after="100"/>
      </w:pPr>
      <w:r>
        <w:rPr>
          <w:b w:val="0"/>
          <w:i w:val="0"/>
          <w:color w:val="1A1D21"/>
          <w:sz w:val="21"/>
        </w:rPr>
        <w:t>A deduction can be printed in parentheses, as a signed negative, or as a bare magnitude. Any one of the three is clear. Two of them in one table means a reader does not know whether to take the magnitude off or add the sign — and the same row printing 855 in one year and -4,550 in the next, under one label, is something nobody can read correctly.</w:t>
      </w:r>
    </w:p>
    <w:p>
      <w:pPr>
        <w:spacing w:after="60"/>
        <w:ind w:left="283"/>
      </w:pPr>
      <w:r>
        <w:rPr>
          <w:b w:val="0"/>
          <w:i w:val="0"/>
          <w:color w:val="5B6570"/>
          <w:sz w:val="19"/>
        </w:rPr>
        <w:t>How we know.  Nine of the 100 tables in the book that carry a deduction row print two conventions at once, and in every one of the nine the row breaking the convention is a working-capital line the model ADDS while its label says "Less". One prints "(2,650)", "(360)", "(792)", "(1,012)" and then "440", so a reader following the labels reaches 3,488 against a printed 4,368 — twenty per cent of that year's cash flow. Three of the nine switch convention between adjacent years in a single row. The semantic defect beneath it is the real one: "Less INCREASE in working capital" over a release states the opposite of what happened.</w:t>
      </w:r>
    </w:p>
    <w:p>
      <w:pPr>
        <w:spacing w:after="160"/>
        <w:ind w:left="283"/>
      </w:pPr>
      <w:r>
        <w:rPr>
          <w:b w:val="0"/>
          <w:i w:val="0"/>
          <w:color w:val="5B6570"/>
          <w:sz w:val="19"/>
        </w:rPr>
        <w:t>What would overturn it.  A table whose two conventions are two different quantities rather than two readings of one — a rate beside its amount, which the check already distinguishes and which is why it distinguishes them.</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