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so holding that exit flat through 2026 would by itself produce a full-year average 7.2% higher. THE STEP THIS FORECAST ACTUALLY CARRIES IS 16.5%, not the 8.0% growth index alone: the model calibrates its FY2026 channel prices to the reviewed half before growing them, and the calibration and the index both sit in that number. It is 9.3% above the flat-exit path rather than under a point above it, and the earlier editions of this paragraph quoted the index and left the calibration out — which understated the step by about half while claiming the forecast was conservative on exactly that ground. The honest statement is narrower: the price path grows BELOW cost inflation in every forecast year, which is where the margin discipline in this study actually sits, and the first-year level is set by a filed half rather than by a view.</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1.45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-63.0%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every one of this study's 3 valuation lenses sits BELOW the market, the nearest at -13.6%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of that day to a discount of -13.6%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 TWO FURTHER FACTORS COME OUT OF THE SAME HALF AND ARE STATED HERE RATHER THAN LEFT TO THE MODEL: the export price is scaled 0.871 times, because export sales of goods FELL over the same half, and the whole cash-cost stack is scaled 0.976 times, because the half's own cost of sales and administrative expenses gross up to EGP 8,056mn against what the uncalibrated model would have charged. The cost factor is not an adjustment to the answer and it is the one that keeps the margin honest: calibrating price to a filed half WITHOUT calibrating cost to the same half would manufacture a margin out of the calibration itself, which is precisely what this study forbids elsewhere. The three move in different directions because that is what the half reports — local price up, export price down, cost down — and all three come from one document.</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10.52%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the same page gives local 53.9Mt, exports 18.6Mt and a total of 72.6Mt — the two components add to 72.5Mt at the one decimal each is published to, and the total is the disclosed figure rather than their sum.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of the three audited years this study holds, by a wide margin. (An earlier edition called it the best year the Egyptian INDUSTRY had had in over a decade, which is a claim about the industry that nothing in this study measures.)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The return on replacement-cost capital is 10.52% against a terminal cost of capital of 18.34% — short of it by 782 basis points — so moving terminal growth from 3% to 7% takes the value from EGP 70.79 DOWN to EGP 66.53, -6.0%, about 1.07 a share for each point of growth, and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