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36"/>
        </w:rPr>
        <w:t>PALM HILLS DEVELOPMENTS</w:t>
      </w:r>
    </w:p>
    <w:p>
      <w:pPr>
        <w:spacing w:after="280"/>
      </w:pPr>
      <w:r>
        <w:rPr>
          <w:b w:val="0"/>
          <w:i w:val="0"/>
          <w:color w:val="5B6570"/>
          <w:sz w:val="21"/>
        </w:rPr>
        <w:t>Sources, inputs and judgements · edition of 2 September 2026</w:t>
      </w:r>
    </w:p>
    <w:p>
      <w:pPr>
        <w:spacing w:after="140"/>
      </w:pPr>
      <w:r>
        <w:rPr>
          <w:b w:val="0"/>
          <w:i w:val="0"/>
          <w:color w:val="1A1D21"/>
          <w:sz w:val="20"/>
        </w:rPr>
        <w:t>This document accompanies the valuation study. It lists every document the study was built on, every input with its value, its date and how it was constructed, every judgement with what would overturn it, and everything that was tried and rejected. It exists so that a reader can check the study rather than trust it.</w:t>
      </w:r>
    </w:p>
    <w:p>
      <w:pPr>
        <w:pStyle w:val="Heading1"/>
      </w:pPr>
      <w:r>
        <w:t>1  Primary documents</w:t>
      </w:r>
    </w:p>
    <w:tbl>
      <w:tblPr>
        <w:tblStyle w:val="TableGrid"/>
        <w:tblW w:type="auto" w:w="0"/>
        <w:jc w:val="center"/>
        <w:tblLayout w:type="fixed"/>
        <w:tblLook w:firstColumn="1" w:firstRow="1" w:lastColumn="0" w:lastRow="0" w:noHBand="0" w:noVBand="1" w:val="04A0"/>
        <w:tblLayout w:type="fixed"/>
      </w:tblPr>
      <w:tblGrid>
        <w:gridCol w:w="2495"/>
        <w:gridCol w:w="1814"/>
        <w:gridCol w:w="2041"/>
        <w:gridCol w:w="3062"/>
      </w:tblGrid>
      <w:tr>
        <w:trPr>
          <w:tblHeader w:val="true"/>
        </w:trPr>
        <w:tc>
          <w:tcPr>
            <w:tcW w:type="dxa" w:w="2494"/>
          </w:tcPr>
          <w:p>
            <w:r/>
            <w:r>
              <w:rPr>
                <w:b/>
                <w:color w:val="5B6570"/>
                <w:sz w:val="17"/>
              </w:rPr>
              <w:t>Document</w:t>
            </w:r>
          </w:p>
        </w:tc>
        <w:tc>
          <w:tcPr>
            <w:tcW w:type="dxa" w:w="1814"/>
          </w:tcPr>
          <w:p>
            <w:r/>
            <w:r>
              <w:rPr>
                <w:b/>
                <w:color w:val="5B6570"/>
                <w:sz w:val="17"/>
              </w:rPr>
              <w:t>Period</w:t>
            </w:r>
          </w:p>
        </w:tc>
        <w:tc>
          <w:tcPr>
            <w:tcW w:type="dxa" w:w="2041"/>
          </w:tcPr>
          <w:p>
            <w:r/>
            <w:r>
              <w:rPr>
                <w:b/>
                <w:color w:val="5B6570"/>
                <w:sz w:val="17"/>
              </w:rPr>
              <w:t>Publisher</w:t>
            </w:r>
          </w:p>
        </w:tc>
        <w:tc>
          <w:tcPr>
            <w:tcW w:type="dxa" w:w="3061"/>
          </w:tcPr>
          <w:p>
            <w:r/>
            <w:r>
              <w:rPr>
                <w:b/>
                <w:color w:val="5B6570"/>
                <w:sz w:val="17"/>
              </w:rPr>
              <w:t>Used for</w:t>
            </w:r>
          </w:p>
        </w:tc>
      </w:tr>
      <w:tr>
        <w:trPr>
          <w:cantSplit/>
        </w:trPr>
        <w:tc>
          <w:tcPr>
            <w:tcW w:type="dxa" w:w="2494"/>
          </w:tcPr>
          <w:p>
            <w:r/>
            <w:r>
              <w:rPr>
                <w:color w:val="1A1D21"/>
                <w:sz w:val="17"/>
              </w:rPr>
              <w:t>Consolidated financial statements</w:t>
            </w:r>
          </w:p>
        </w:tc>
        <w:tc>
          <w:tcPr>
            <w:tcW w:type="dxa" w:w="1814"/>
          </w:tcPr>
          <w:p>
            <w:r/>
            <w:r>
              <w:rPr>
                <w:color w:val="1A1D21"/>
                <w:sz w:val="17"/>
              </w:rPr>
              <w:t>FY2025</w:t>
            </w:r>
          </w:p>
        </w:tc>
        <w:tc>
          <w:tcPr>
            <w:tcW w:type="dxa" w:w="2041"/>
          </w:tcPr>
          <w:p>
            <w:r/>
            <w:r>
              <w:rPr>
                <w:color w:val="1A1D21"/>
                <w:sz w:val="17"/>
              </w:rPr>
              <w:t>Palm Hills Developments</w:t>
            </w:r>
          </w:p>
        </w:tc>
        <w:tc>
          <w:tcPr>
            <w:tcW w:type="dxa" w:w="3061"/>
          </w:tcPr>
          <w:p>
            <w:r/>
            <w:r>
              <w:rPr>
                <w:color w:val="1A1D21"/>
                <w:sz w:val="17"/>
              </w:rPr>
              <w:t>the entire reported base: income statement, balance sheet and cash-flow statement</w:t>
            </w:r>
          </w:p>
        </w:tc>
      </w:tr>
      <w:tr>
        <w:trPr>
          <w:cantSplit/>
        </w:trPr>
        <w:tc>
          <w:tcPr>
            <w:tcW w:type="dxa" w:w="2494"/>
          </w:tcPr>
          <w:p>
            <w:r/>
            <w:r>
              <w:rPr>
                <w:color w:val="1A1D21"/>
                <w:sz w:val="17"/>
              </w:rPr>
              <w:t>Consolidated financial statements</w:t>
            </w:r>
          </w:p>
        </w:tc>
        <w:tc>
          <w:tcPr>
            <w:tcW w:type="dxa" w:w="1814"/>
          </w:tcPr>
          <w:p>
            <w:r/>
            <w:r>
              <w:rPr>
                <w:color w:val="1A1D21"/>
                <w:sz w:val="17"/>
              </w:rPr>
              <w:t>FY2024 (comparative column)</w:t>
            </w:r>
          </w:p>
        </w:tc>
        <w:tc>
          <w:tcPr>
            <w:tcW w:type="dxa" w:w="2041"/>
          </w:tcPr>
          <w:p>
            <w:r/>
            <w:r>
              <w:rPr>
                <w:color w:val="1A1D21"/>
                <w:sz w:val="17"/>
              </w:rPr>
              <w:t>Palm Hills Developments</w:t>
            </w:r>
          </w:p>
        </w:tc>
        <w:tc>
          <w:tcPr>
            <w:tcW w:type="dxa" w:w="3061"/>
          </w:tcPr>
          <w:p>
            <w:r/>
            <w:r>
              <w:rPr>
                <w:color w:val="1A1D21"/>
                <w:sz w:val="17"/>
              </w:rPr>
              <w:t>prior-year balance sheet and cash flow</w:t>
            </w:r>
          </w:p>
        </w:tc>
      </w:tr>
      <w:tr>
        <w:trPr>
          <w:cantSplit/>
        </w:trPr>
        <w:tc>
          <w:tcPr>
            <w:tcW w:type="dxa" w:w="2494"/>
          </w:tcPr>
          <w:p>
            <w:r/>
            <w:r>
              <w:rPr>
                <w:color w:val="1A1D21"/>
                <w:sz w:val="17"/>
              </w:rPr>
              <w:t>Consolidated financial statements</w:t>
            </w:r>
          </w:p>
        </w:tc>
        <w:tc>
          <w:tcPr>
            <w:tcW w:type="dxa" w:w="1814"/>
          </w:tcPr>
          <w:p>
            <w:r/>
            <w:r>
              <w:rPr>
                <w:color w:val="1A1D21"/>
                <w:sz w:val="17"/>
              </w:rPr>
              <w:t>FY2023</w:t>
            </w:r>
          </w:p>
        </w:tc>
        <w:tc>
          <w:tcPr>
            <w:tcW w:type="dxa" w:w="2041"/>
          </w:tcPr>
          <w:p>
            <w:r/>
            <w:r>
              <w:rPr>
                <w:color w:val="1A1D21"/>
                <w:sz w:val="17"/>
              </w:rPr>
              <w:t>Palm Hills Developments</w:t>
            </w:r>
          </w:p>
        </w:tc>
        <w:tc>
          <w:tcPr>
            <w:tcW w:type="dxa" w:w="3061"/>
          </w:tcPr>
          <w:p>
            <w:r/>
            <w:r>
              <w:rPr>
                <w:color w:val="1A1D21"/>
                <w:sz w:val="17"/>
              </w:rPr>
              <w:t>revenue and gross profit</w:t>
            </w:r>
          </w:p>
        </w:tc>
      </w:tr>
      <w:tr>
        <w:trPr>
          <w:cantSplit/>
        </w:trPr>
        <w:tc>
          <w:tcPr>
            <w:tcW w:type="dxa" w:w="2494"/>
          </w:tcPr>
          <w:p>
            <w:r/>
            <w:r>
              <w:rPr>
                <w:color w:val="1A1D21"/>
                <w:sz w:val="17"/>
              </w:rPr>
              <w:t>Consolidated financial statements (reviewed)</w:t>
            </w:r>
          </w:p>
        </w:tc>
        <w:tc>
          <w:tcPr>
            <w:tcW w:type="dxa" w:w="1814"/>
          </w:tcPr>
          <w:p>
            <w:r/>
            <w:r>
              <w:rPr>
                <w:color w:val="1A1D21"/>
                <w:sz w:val="17"/>
              </w:rPr>
              <w:t>1Q2026 — 31 March 2026</w:t>
            </w:r>
          </w:p>
        </w:tc>
        <w:tc>
          <w:tcPr>
            <w:tcW w:type="dxa" w:w="2041"/>
          </w:tcPr>
          <w:p>
            <w:r/>
            <w:r>
              <w:rPr>
                <w:color w:val="1A1D21"/>
                <w:sz w:val="17"/>
              </w:rPr>
              <w:t>Palm Hills Developments</w:t>
            </w:r>
          </w:p>
        </w:tc>
        <w:tc>
          <w:tcPr>
            <w:tcW w:type="dxa" w:w="3061"/>
          </w:tcPr>
          <w:p>
            <w:r/>
            <w:r>
              <w:rPr>
                <w:color w:val="1A1D21"/>
                <w:sz w:val="17"/>
              </w:rPr>
              <w:t>the most recent reported quarter, and the balance sheet the bridge, the book value and the borrowings stand on (a scan; figures read off the rendered pages and held to the statement's own subtotals)</w:t>
            </w:r>
          </w:p>
        </w:tc>
      </w:tr>
      <w:tr>
        <w:trPr>
          <w:cantSplit/>
        </w:trPr>
        <w:tc>
          <w:tcPr>
            <w:tcW w:type="dxa" w:w="2494"/>
          </w:tcPr>
          <w:p>
            <w:r/>
            <w:r>
              <w:rPr>
                <w:color w:val="1A1D21"/>
                <w:sz w:val="17"/>
              </w:rPr>
              <w:t>Results release</w:t>
            </w:r>
          </w:p>
        </w:tc>
        <w:tc>
          <w:tcPr>
            <w:tcW w:type="dxa" w:w="1814"/>
          </w:tcPr>
          <w:p>
            <w:r/>
            <w:r>
              <w:rPr>
                <w:color w:val="1A1D21"/>
                <w:sz w:val="17"/>
              </w:rPr>
              <w:t>1Q2026</w:t>
            </w:r>
          </w:p>
        </w:tc>
        <w:tc>
          <w:tcPr>
            <w:tcW w:type="dxa" w:w="2041"/>
          </w:tcPr>
          <w:p>
            <w:r/>
            <w:r>
              <w:rPr>
                <w:color w:val="1A1D21"/>
                <w:sz w:val="17"/>
              </w:rPr>
              <w:t>Palm Hills Developments</w:t>
            </w:r>
          </w:p>
        </w:tc>
        <w:tc>
          <w:tcPr>
            <w:tcW w:type="dxa" w:w="3061"/>
          </w:tcPr>
          <w:p>
            <w:r/>
            <w:r>
              <w:rPr>
                <w:color w:val="1A1D21"/>
                <w:sz w:val="17"/>
              </w:rPr>
              <w:t>order book, new sales, the land-plot launch</w:t>
            </w:r>
          </w:p>
        </w:tc>
      </w:tr>
      <w:tr>
        <w:trPr>
          <w:cantSplit/>
        </w:trPr>
        <w:tc>
          <w:tcPr>
            <w:tcW w:type="dxa" w:w="2494"/>
          </w:tcPr>
          <w:p>
            <w:r/>
            <w:r>
              <w:rPr>
                <w:color w:val="1A1D21"/>
                <w:sz w:val="17"/>
              </w:rPr>
              <w:t>Results release</w:t>
            </w:r>
          </w:p>
        </w:tc>
        <w:tc>
          <w:tcPr>
            <w:tcW w:type="dxa" w:w="1814"/>
          </w:tcPr>
          <w:p>
            <w:r/>
            <w:r>
              <w:rPr>
                <w:color w:val="1A1D21"/>
                <w:sz w:val="17"/>
              </w:rPr>
              <w:t>FY2024</w:t>
            </w:r>
          </w:p>
        </w:tc>
        <w:tc>
          <w:tcPr>
            <w:tcW w:type="dxa" w:w="2041"/>
          </w:tcPr>
          <w:p>
            <w:r/>
            <w:r>
              <w:rPr>
                <w:color w:val="1A1D21"/>
                <w:sz w:val="17"/>
              </w:rPr>
              <w:t>Palm Hills Developments</w:t>
            </w:r>
          </w:p>
        </w:tc>
        <w:tc>
          <w:tcPr>
            <w:tcW w:type="dxa" w:w="3061"/>
          </w:tcPr>
          <w:p>
            <w:r/>
            <w:r>
              <w:rPr>
                <w:color w:val="1A1D21"/>
                <w:sz w:val="17"/>
              </w:rPr>
              <w:t>units, new sales, deliveries, construction spend, land bank</w:t>
            </w:r>
          </w:p>
        </w:tc>
      </w:tr>
      <w:tr>
        <w:trPr>
          <w:cantSplit/>
        </w:trPr>
        <w:tc>
          <w:tcPr>
            <w:tcW w:type="dxa" w:w="2494"/>
          </w:tcPr>
          <w:p>
            <w:r/>
            <w:r>
              <w:rPr>
                <w:color w:val="1A1D21"/>
                <w:sz w:val="17"/>
              </w:rPr>
              <w:t>Results release</w:t>
            </w:r>
          </w:p>
        </w:tc>
        <w:tc>
          <w:tcPr>
            <w:tcW w:type="dxa" w:w="1814"/>
          </w:tcPr>
          <w:p>
            <w:r/>
            <w:r>
              <w:rPr>
                <w:color w:val="1A1D21"/>
                <w:sz w:val="17"/>
              </w:rPr>
              <w:t>FY2023</w:t>
            </w:r>
          </w:p>
        </w:tc>
        <w:tc>
          <w:tcPr>
            <w:tcW w:type="dxa" w:w="2041"/>
          </w:tcPr>
          <w:p>
            <w:r/>
            <w:r>
              <w:rPr>
                <w:color w:val="1A1D21"/>
                <w:sz w:val="17"/>
              </w:rPr>
              <w:t>Palm Hills Developments</w:t>
            </w:r>
          </w:p>
        </w:tc>
        <w:tc>
          <w:tcPr>
            <w:tcW w:type="dxa" w:w="3061"/>
          </w:tcPr>
          <w:p>
            <w:r/>
            <w:r>
              <w:rPr>
                <w:color w:val="1A1D21"/>
                <w:sz w:val="17"/>
              </w:rPr>
              <w:t>units, cash from operations, construction spend</w:t>
            </w:r>
          </w:p>
        </w:tc>
      </w:tr>
      <w:tr>
        <w:trPr>
          <w:cantSplit/>
        </w:trPr>
        <w:tc>
          <w:tcPr>
            <w:tcW w:type="dxa" w:w="2494"/>
          </w:tcPr>
          <w:p>
            <w:r/>
            <w:r>
              <w:rPr>
                <w:color w:val="1A1D21"/>
                <w:sz w:val="17"/>
              </w:rPr>
              <w:t>Country risk premium file</w:t>
            </w:r>
          </w:p>
        </w:tc>
        <w:tc>
          <w:tcPr>
            <w:tcW w:type="dxa" w:w="1814"/>
          </w:tcPr>
          <w:p>
            <w:r/>
            <w:r>
              <w:rPr>
                <w:color w:val="1A1D21"/>
                <w:sz w:val="17"/>
              </w:rPr>
              <w:t>read 30 Aug 2026</w:t>
            </w:r>
          </w:p>
        </w:tc>
        <w:tc>
          <w:tcPr>
            <w:tcW w:type="dxa" w:w="2041"/>
          </w:tcPr>
          <w:p>
            <w:r/>
            <w:r>
              <w:rPr>
                <w:color w:val="1A1D21"/>
                <w:sz w:val="17"/>
              </w:rPr>
              <w:t>Damodaran, NYU Stern</w:t>
            </w:r>
          </w:p>
        </w:tc>
        <w:tc>
          <w:tcPr>
            <w:tcW w:type="dxa" w:w="3061"/>
          </w:tcPr>
          <w:p>
            <w:r/>
            <w:r>
              <w:rPr>
                <w:color w:val="1A1D21"/>
                <w:sz w:val="17"/>
              </w:rPr>
              <w:t>Egypt equity risk premium and sovereign default spread, both bases</w:t>
            </w:r>
          </w:p>
        </w:tc>
      </w:tr>
      <w:tr>
        <w:trPr>
          <w:cantSplit/>
        </w:trPr>
        <w:tc>
          <w:tcPr>
            <w:tcW w:type="dxa" w:w="2494"/>
          </w:tcPr>
          <w:p>
            <w:r/>
            <w:r>
              <w:rPr>
                <w:color w:val="1A1D21"/>
                <w:sz w:val="17"/>
              </w:rPr>
              <w:t>EGX30 index series</w:t>
            </w:r>
          </w:p>
        </w:tc>
        <w:tc>
          <w:tcPr>
            <w:tcW w:type="dxa" w:w="1814"/>
          </w:tcPr>
          <w:p>
            <w:r/>
            <w:r>
              <w:rPr>
                <w:color w:val="1A1D21"/>
                <w:sz w:val="17"/>
              </w:rPr>
              <w:t>to 22 Jul 2026</w:t>
            </w:r>
          </w:p>
        </w:tc>
        <w:tc>
          <w:tcPr>
            <w:tcW w:type="dxa" w:w="2041"/>
          </w:tcPr>
          <w:p>
            <w:r/>
            <w:r>
              <w:rPr>
                <w:color w:val="1A1D21"/>
                <w:sz w:val="17"/>
              </w:rPr>
              <w:t>Egyptian Exchange</w:t>
            </w:r>
          </w:p>
        </w:tc>
        <w:tc>
          <w:tcPr>
            <w:tcW w:type="dxa" w:w="3061"/>
          </w:tcPr>
          <w:p>
            <w:r/>
            <w:r>
              <w:rPr>
                <w:color w:val="1A1D21"/>
                <w:sz w:val="17"/>
              </w:rPr>
              <w:t>the regressor for the beta</w:t>
            </w:r>
          </w:p>
        </w:tc>
      </w:tr>
      <w:tr>
        <w:trPr>
          <w:cantSplit/>
        </w:trPr>
        <w:tc>
          <w:tcPr>
            <w:tcW w:type="dxa" w:w="2494"/>
          </w:tcPr>
          <w:p>
            <w:r/>
            <w:r>
              <w:rPr>
                <w:color w:val="1A1D21"/>
                <w:sz w:val="17"/>
              </w:rPr>
              <w:t>World Development Indicators</w:t>
            </w:r>
          </w:p>
        </w:tc>
        <w:tc>
          <w:tcPr>
            <w:tcW w:type="dxa" w:w="1814"/>
          </w:tcPr>
          <w:p>
            <w:r/>
            <w:r>
              <w:rPr>
                <w:color w:val="1A1D21"/>
                <w:sz w:val="17"/>
              </w:rPr>
              <w:t>read 30 Aug 2026</w:t>
            </w:r>
          </w:p>
        </w:tc>
        <w:tc>
          <w:tcPr>
            <w:tcW w:type="dxa" w:w="2041"/>
          </w:tcPr>
          <w:p>
            <w:r/>
            <w:r>
              <w:rPr>
                <w:color w:val="1A1D21"/>
                <w:sz w:val="17"/>
              </w:rPr>
              <w:t>World Bank</w:t>
            </w:r>
          </w:p>
        </w:tc>
        <w:tc>
          <w:tcPr>
            <w:tcW w:type="dxa" w:w="3061"/>
          </w:tcPr>
          <w:p>
            <w:r/>
            <w:r>
              <w:rPr>
                <w:color w:val="1A1D21"/>
                <w:sz w:val="17"/>
              </w:rPr>
              <w:t>Egyptian inflation, exchange rate and urban population</w:t>
            </w:r>
          </w:p>
        </w:tc>
      </w:tr>
    </w:tbl>
    <w:p>
      <w:pPr>
        <w:spacing w:after="200"/>
      </w:pPr>
      <w:r>
        <w:rPr>
          <w:b w:val="0"/>
          <w:i/>
          <w:color w:val="5B6570"/>
          <w:sz w:val="16"/>
        </w:rPr>
        <w:t>All company documents were obtained from the company's own investor relations result centre.</w:t>
      </w:r>
    </w:p>
    <w:p>
      <w:pPr>
        <w:pStyle w:val="Heading1"/>
      </w:pPr>
      <w:r>
        <w:t>2  Full input register</w:t>
      </w:r>
    </w:p>
    <w:p>
      <w:pPr>
        <w:spacing w:after="140"/>
      </w:pPr>
      <w:r>
        <w:rPr>
          <w:b w:val="0"/>
          <w:i w:val="0"/>
          <w:color w:val="1A1D21"/>
          <w:sz w:val="20"/>
        </w:rPr>
        <w:t>Every input in the study, grouped by research layer. Provenance A is the company's own audited statements or its own results releases; B is an exchange or regulator source; C is a credible third party. No reported historical in this study is below A.</w:t>
      </w:r>
    </w:p>
    <w:p>
      <w:pPr>
        <w:pStyle w:val="Heading3"/>
      </w:pPr>
      <w:r>
        <w:t>Company — balance sheet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accounts receivable</w:t>
            </w:r>
          </w:p>
        </w:tc>
        <w:tc>
          <w:tcPr>
            <w:tcW w:type="dxa" w:w="1191"/>
          </w:tcPr>
          <w:p>
            <w:pPr>
              <w:jc w:val="right"/>
            </w:pPr>
            <w:r/>
            <w:r>
              <w:rPr>
                <w:color w:val="1A1D21"/>
                <w:sz w:val="15"/>
              </w:rPr>
              <w:t>28,118.1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advances customers</w:t>
            </w:r>
          </w:p>
        </w:tc>
        <w:tc>
          <w:tcPr>
            <w:tcW w:type="dxa" w:w="1191"/>
          </w:tcPr>
          <w:p>
            <w:pPr>
              <w:jc w:val="right"/>
            </w:pPr>
            <w:r/>
            <w:r>
              <w:rPr>
                <w:color w:val="1A1D21"/>
                <w:sz w:val="15"/>
              </w:rPr>
              <w:t>69,354.1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cash</w:t>
            </w:r>
          </w:p>
        </w:tc>
        <w:tc>
          <w:tcPr>
            <w:tcW w:type="dxa" w:w="1191"/>
          </w:tcPr>
          <w:p>
            <w:pPr>
              <w:jc w:val="right"/>
            </w:pPr>
            <w:r/>
            <w:r>
              <w:rPr>
                <w:color w:val="1A1D21"/>
                <w:sz w:val="15"/>
              </w:rPr>
              <w:t>9,419.5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checks undelivered</w:t>
            </w:r>
          </w:p>
        </w:tc>
        <w:tc>
          <w:tcPr>
            <w:tcW w:type="dxa" w:w="1191"/>
          </w:tcPr>
          <w:p>
            <w:pPr>
              <w:jc w:val="right"/>
            </w:pPr>
            <w:r/>
            <w:r>
              <w:rPr>
                <w:color w:val="1A1D21"/>
                <w:sz w:val="15"/>
              </w:rPr>
              <w:t>2,453.7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creditors other</w:t>
            </w:r>
          </w:p>
        </w:tc>
        <w:tc>
          <w:tcPr>
            <w:tcW w:type="dxa" w:w="1191"/>
          </w:tcPr>
          <w:p>
            <w:pPr>
              <w:jc w:val="right"/>
            </w:pPr>
            <w:r/>
            <w:r>
              <w:rPr>
                <w:color w:val="1A1D21"/>
                <w:sz w:val="15"/>
              </w:rPr>
              <w:t>5,121.7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debtors other</w:t>
            </w:r>
          </w:p>
        </w:tc>
        <w:tc>
          <w:tcPr>
            <w:tcW w:type="dxa" w:w="1191"/>
          </w:tcPr>
          <w:p>
            <w:pPr>
              <w:jc w:val="right"/>
            </w:pPr>
            <w:r/>
            <w:r>
              <w:rPr>
                <w:color w:val="1A1D21"/>
                <w:sz w:val="15"/>
              </w:rPr>
              <w:t>12,922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deferred revenue</w:t>
            </w:r>
          </w:p>
        </w:tc>
        <w:tc>
          <w:tcPr>
            <w:tcW w:type="dxa" w:w="1191"/>
          </w:tcPr>
          <w:p>
            <w:pPr>
              <w:jc w:val="right"/>
            </w:pPr>
            <w:r/>
            <w:r>
              <w:rPr>
                <w:color w:val="1A1D21"/>
                <w:sz w:val="15"/>
              </w:rPr>
              <w:t>731.2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due from related</w:t>
            </w:r>
          </w:p>
        </w:tc>
        <w:tc>
          <w:tcPr>
            <w:tcW w:type="dxa" w:w="1191"/>
          </w:tcPr>
          <w:p>
            <w:pPr>
              <w:jc w:val="right"/>
            </w:pPr>
            <w:r/>
            <w:r>
              <w:rPr>
                <w:color w:val="1A1D21"/>
                <w:sz w:val="15"/>
              </w:rPr>
              <w:t>335.7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equity parent</w:t>
            </w:r>
          </w:p>
        </w:tc>
        <w:tc>
          <w:tcPr>
            <w:tcW w:type="dxa" w:w="1191"/>
          </w:tcPr>
          <w:p>
            <w:pPr>
              <w:jc w:val="right"/>
            </w:pPr>
            <w:r/>
            <w:r>
              <w:rPr>
                <w:color w:val="1A1D21"/>
                <w:sz w:val="15"/>
              </w:rPr>
              <w:t>17,431.4</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fin inv amortised</w:t>
            </w:r>
          </w:p>
        </w:tc>
        <w:tc>
          <w:tcPr>
            <w:tcW w:type="dxa" w:w="1191"/>
          </w:tcPr>
          <w:p>
            <w:pPr>
              <w:jc w:val="right"/>
            </w:pPr>
            <w:r/>
            <w:r>
              <w:rPr>
                <w:color w:val="1A1D21"/>
                <w:sz w:val="15"/>
              </w:rPr>
              <w:t>9,581.5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fixed assets</w:t>
            </w:r>
          </w:p>
        </w:tc>
        <w:tc>
          <w:tcPr>
            <w:tcW w:type="dxa" w:w="1191"/>
          </w:tcPr>
          <w:p>
            <w:pPr>
              <w:jc w:val="right"/>
            </w:pPr>
            <w:r/>
            <w:r>
              <w:rPr>
                <w:color w:val="1A1D21"/>
                <w:sz w:val="15"/>
              </w:rPr>
              <w:t>4,522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 fair value</w:t>
            </w:r>
          </w:p>
        </w:tc>
        <w:tc>
          <w:tcPr>
            <w:tcW w:type="dxa" w:w="1191"/>
          </w:tcPr>
          <w:p>
            <w:pPr>
              <w:jc w:val="right"/>
            </w:pPr>
            <w:r/>
            <w:r>
              <w:rPr>
                <w:color w:val="1A1D21"/>
                <w:sz w:val="15"/>
              </w:rPr>
              <w:t>152.7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investment property</w:t>
            </w:r>
          </w:p>
        </w:tc>
        <w:tc>
          <w:tcPr>
            <w:tcW w:type="dxa" w:w="1191"/>
          </w:tcPr>
          <w:p>
            <w:pPr>
              <w:jc w:val="right"/>
            </w:pPr>
            <w:r/>
            <w:r>
              <w:rPr>
                <w:color w:val="1A1D21"/>
                <w:sz w:val="15"/>
              </w:rPr>
              <w:t>1,032.5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investments assoc</w:t>
            </w:r>
          </w:p>
        </w:tc>
        <w:tc>
          <w:tcPr>
            <w:tcW w:type="dxa" w:w="1191"/>
          </w:tcPr>
          <w:p>
            <w:pPr>
              <w:jc w:val="right"/>
            </w:pPr>
            <w:r/>
            <w:r>
              <w:rPr>
                <w:color w:val="1A1D21"/>
                <w:sz w:val="15"/>
              </w:rPr>
              <w:t>3,611.6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nci equity</w:t>
            </w:r>
          </w:p>
        </w:tc>
        <w:tc>
          <w:tcPr>
            <w:tcW w:type="dxa" w:w="1191"/>
          </w:tcPr>
          <w:p>
            <w:pPr>
              <w:jc w:val="right"/>
            </w:pPr>
            <w:r/>
            <w:r>
              <w:rPr>
                <w:color w:val="1A1D21"/>
                <w:sz w:val="15"/>
              </w:rPr>
              <w:t>1,334.3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lt</w:t>
            </w:r>
          </w:p>
        </w:tc>
        <w:tc>
          <w:tcPr>
            <w:tcW w:type="dxa" w:w="1191"/>
          </w:tcPr>
          <w:p>
            <w:pPr>
              <w:jc w:val="right"/>
            </w:pPr>
            <w:r/>
            <w:r>
              <w:rPr>
                <w:color w:val="1A1D21"/>
                <w:sz w:val="15"/>
              </w:rPr>
              <w:t>54,801.3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lt undel</w:t>
            </w:r>
          </w:p>
        </w:tc>
        <w:tc>
          <w:tcPr>
            <w:tcW w:type="dxa" w:w="1191"/>
          </w:tcPr>
          <w:p>
            <w:pPr>
              <w:jc w:val="right"/>
            </w:pPr>
            <w:r/>
            <w:r>
              <w:rPr>
                <w:color w:val="1A1D21"/>
                <w:sz w:val="15"/>
              </w:rPr>
              <w:t>1,518.5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st</w:t>
            </w:r>
          </w:p>
        </w:tc>
        <w:tc>
          <w:tcPr>
            <w:tcW w:type="dxa" w:w="1191"/>
          </w:tcPr>
          <w:p>
            <w:pPr>
              <w:jc w:val="right"/>
            </w:pPr>
            <w:r/>
            <w:r>
              <w:rPr>
                <w:color w:val="1A1D21"/>
                <w:sz w:val="15"/>
              </w:rPr>
              <w:t>18,137.7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st undel</w:t>
            </w:r>
          </w:p>
        </w:tc>
        <w:tc>
          <w:tcPr>
            <w:tcW w:type="dxa" w:w="1191"/>
          </w:tcPr>
          <w:p>
            <w:pPr>
              <w:jc w:val="right"/>
            </w:pPr>
            <w:r/>
            <w:r>
              <w:rPr>
                <w:color w:val="1A1D21"/>
                <w:sz w:val="15"/>
              </w:rPr>
              <w:t>935.3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suppliers</w:t>
            </w:r>
          </w:p>
        </w:tc>
        <w:tc>
          <w:tcPr>
            <w:tcW w:type="dxa" w:w="1191"/>
          </w:tcPr>
          <w:p>
            <w:pPr>
              <w:jc w:val="right"/>
            </w:pPr>
            <w:r/>
            <w:r>
              <w:rPr>
                <w:color w:val="1A1D21"/>
                <w:sz w:val="15"/>
              </w:rPr>
              <w:t>3,807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suppliers advances</w:t>
            </w:r>
          </w:p>
        </w:tc>
        <w:tc>
          <w:tcPr>
            <w:tcW w:type="dxa" w:w="1191"/>
          </w:tcPr>
          <w:p>
            <w:pPr>
              <w:jc w:val="right"/>
            </w:pPr>
            <w:r/>
            <w:r>
              <w:rPr>
                <w:color w:val="1A1D21"/>
                <w:sz w:val="15"/>
              </w:rPr>
              <w:t>9,056.2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assets</w:t>
            </w:r>
          </w:p>
        </w:tc>
        <w:tc>
          <w:tcPr>
            <w:tcW w:type="dxa" w:w="1191"/>
          </w:tcPr>
          <w:p>
            <w:pPr>
              <w:jc w:val="right"/>
            </w:pPr>
            <w:r/>
            <w:r>
              <w:rPr>
                <w:color w:val="1A1D21"/>
                <w:sz w:val="15"/>
              </w:rPr>
              <w:t>172,129.8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current assets</w:t>
            </w:r>
          </w:p>
        </w:tc>
        <w:tc>
          <w:tcPr>
            <w:tcW w:type="dxa" w:w="1191"/>
          </w:tcPr>
          <w:p>
            <w:pPr>
              <w:jc w:val="right"/>
            </w:pPr>
            <w:r/>
            <w:r>
              <w:rPr>
                <w:color w:val="1A1D21"/>
                <w:sz w:val="15"/>
              </w:rPr>
              <w:t>106,229.6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equity</w:t>
            </w:r>
          </w:p>
        </w:tc>
        <w:tc>
          <w:tcPr>
            <w:tcW w:type="dxa" w:w="1191"/>
          </w:tcPr>
          <w:p>
            <w:pPr>
              <w:jc w:val="right"/>
            </w:pPr>
            <w:r/>
            <w:r>
              <w:rPr>
                <w:color w:val="1A1D21"/>
                <w:sz w:val="15"/>
              </w:rPr>
              <w:t>18,765.8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liabilities</w:t>
            </w:r>
          </w:p>
        </w:tc>
        <w:tc>
          <w:tcPr>
            <w:tcW w:type="dxa" w:w="1191"/>
          </w:tcPr>
          <w:p>
            <w:pPr>
              <w:jc w:val="right"/>
            </w:pPr>
            <w:r/>
            <w:r>
              <w:rPr>
                <w:color w:val="1A1D21"/>
                <w:sz w:val="15"/>
              </w:rPr>
              <w:t>153,364.1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noncurrent assets</w:t>
            </w:r>
          </w:p>
        </w:tc>
        <w:tc>
          <w:tcPr>
            <w:tcW w:type="dxa" w:w="1191"/>
          </w:tcPr>
          <w:p>
            <w:pPr>
              <w:jc w:val="right"/>
            </w:pPr>
            <w:r/>
            <w:r>
              <w:rPr>
                <w:color w:val="1A1D21"/>
                <w:sz w:val="15"/>
              </w:rPr>
              <w:t>65,900.2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work in progress</w:t>
            </w:r>
          </w:p>
        </w:tc>
        <w:tc>
          <w:tcPr>
            <w:tcW w:type="dxa" w:w="1191"/>
          </w:tcPr>
          <w:p>
            <w:pPr>
              <w:jc w:val="right"/>
            </w:pPr>
            <w:r/>
            <w:r>
              <w:rPr>
                <w:color w:val="1A1D21"/>
                <w:sz w:val="15"/>
              </w:rPr>
              <w:t>17,570.9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balance sheet, 31 March 2026 (reviewed)</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accounts receivable 1q26</w:t>
            </w:r>
          </w:p>
        </w:tc>
        <w:tc>
          <w:tcPr>
            <w:tcW w:type="dxa" w:w="1191"/>
          </w:tcPr>
          <w:p>
            <w:pPr>
              <w:jc w:val="right"/>
            </w:pPr>
            <w:r/>
            <w:r>
              <w:rPr>
                <w:color w:val="1A1D21"/>
                <w:sz w:val="15"/>
              </w:rPr>
              <w:t>30,481.0103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advance pmts investments 1q26</w:t>
            </w:r>
          </w:p>
        </w:tc>
        <w:tc>
          <w:tcPr>
            <w:tcW w:type="dxa" w:w="1191"/>
          </w:tcPr>
          <w:p>
            <w:pPr>
              <w:jc w:val="right"/>
            </w:pPr>
            <w:r/>
            <w:r>
              <w:rPr>
                <w:color w:val="1A1D21"/>
                <w:sz w:val="15"/>
              </w:rPr>
              <w:t>26.8649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advances customers 1q26</w:t>
            </w:r>
          </w:p>
        </w:tc>
        <w:tc>
          <w:tcPr>
            <w:tcW w:type="dxa" w:w="1191"/>
          </w:tcPr>
          <w:p>
            <w:pPr>
              <w:jc w:val="right"/>
            </w:pPr>
            <w:r/>
            <w:r>
              <w:rPr>
                <w:color w:val="1A1D21"/>
                <w:sz w:val="15"/>
              </w:rPr>
              <w:t>72,867.8316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banks credit balances 1q26</w:t>
            </w:r>
          </w:p>
        </w:tc>
        <w:tc>
          <w:tcPr>
            <w:tcW w:type="dxa" w:w="1191"/>
          </w:tcPr>
          <w:p>
            <w:pPr>
              <w:jc w:val="right"/>
            </w:pPr>
            <w:r/>
            <w:r>
              <w:rPr>
                <w:color w:val="1A1D21"/>
                <w:sz w:val="15"/>
              </w:rPr>
              <w:t>1,205.9107</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cash 1q26</w:t>
            </w:r>
          </w:p>
        </w:tc>
        <w:tc>
          <w:tcPr>
            <w:tcW w:type="dxa" w:w="1191"/>
          </w:tcPr>
          <w:p>
            <w:pPr>
              <w:jc w:val="right"/>
            </w:pPr>
            <w:r/>
            <w:r>
              <w:rPr>
                <w:color w:val="1A1D21"/>
                <w:sz w:val="15"/>
              </w:rPr>
              <w:t>9,125.1282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checks undelivered 1q26</w:t>
            </w:r>
          </w:p>
        </w:tc>
        <w:tc>
          <w:tcPr>
            <w:tcW w:type="dxa" w:w="1191"/>
          </w:tcPr>
          <w:p>
            <w:pPr>
              <w:jc w:val="right"/>
            </w:pPr>
            <w:r/>
            <w:r>
              <w:rPr>
                <w:color w:val="1A1D21"/>
                <w:sz w:val="15"/>
              </w:rPr>
              <w:t>2,230.7542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credit facilities 1q26</w:t>
            </w:r>
          </w:p>
        </w:tc>
        <w:tc>
          <w:tcPr>
            <w:tcW w:type="dxa" w:w="1191"/>
          </w:tcPr>
          <w:p>
            <w:pPr>
              <w:jc w:val="right"/>
            </w:pPr>
            <w:r/>
            <w:r>
              <w:rPr>
                <w:color w:val="1A1D21"/>
                <w:sz w:val="15"/>
              </w:rPr>
              <w:t>11,938.7072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creditors other 1q26</w:t>
            </w:r>
          </w:p>
        </w:tc>
        <w:tc>
          <w:tcPr>
            <w:tcW w:type="dxa" w:w="1191"/>
          </w:tcPr>
          <w:p>
            <w:pPr>
              <w:jc w:val="right"/>
            </w:pPr>
            <w:r/>
            <w:r>
              <w:rPr>
                <w:color w:val="1A1D21"/>
                <w:sz w:val="15"/>
              </w:rPr>
              <w:t>4,650.0674</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current portion st loans 1q26</w:t>
            </w:r>
          </w:p>
        </w:tc>
        <w:tc>
          <w:tcPr>
            <w:tcW w:type="dxa" w:w="1191"/>
          </w:tcPr>
          <w:p>
            <w:pPr>
              <w:jc w:val="right"/>
            </w:pPr>
            <w:r/>
            <w:r>
              <w:rPr>
                <w:color w:val="1A1D21"/>
                <w:sz w:val="15"/>
              </w:rPr>
              <w:t>686.9303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debtors other 1q26</w:t>
            </w:r>
          </w:p>
        </w:tc>
        <w:tc>
          <w:tcPr>
            <w:tcW w:type="dxa" w:w="1191"/>
          </w:tcPr>
          <w:p>
            <w:pPr>
              <w:jc w:val="right"/>
            </w:pPr>
            <w:r/>
            <w:r>
              <w:rPr>
                <w:color w:val="1A1D21"/>
                <w:sz w:val="15"/>
              </w:rPr>
              <w:t>13,969.6259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deferred revenue 1q26</w:t>
            </w:r>
          </w:p>
        </w:tc>
        <w:tc>
          <w:tcPr>
            <w:tcW w:type="dxa" w:w="1191"/>
          </w:tcPr>
          <w:p>
            <w:pPr>
              <w:jc w:val="right"/>
            </w:pPr>
            <w:r/>
            <w:r>
              <w:rPr>
                <w:color w:val="1A1D21"/>
                <w:sz w:val="15"/>
              </w:rPr>
              <w:t>345.8485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deferred tax asset 1q26</w:t>
            </w:r>
          </w:p>
        </w:tc>
        <w:tc>
          <w:tcPr>
            <w:tcW w:type="dxa" w:w="1191"/>
          </w:tcPr>
          <w:p>
            <w:pPr>
              <w:jc w:val="right"/>
            </w:pPr>
            <w:r/>
            <w:r>
              <w:rPr>
                <w:color w:val="1A1D21"/>
                <w:sz w:val="15"/>
              </w:rPr>
              <w:t>101.5389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deferred tax liab 1q26</w:t>
            </w:r>
          </w:p>
        </w:tc>
        <w:tc>
          <w:tcPr>
            <w:tcW w:type="dxa" w:w="1191"/>
          </w:tcPr>
          <w:p>
            <w:pPr>
              <w:jc w:val="right"/>
            </w:pPr>
            <w:r/>
            <w:r>
              <w:rPr>
                <w:color w:val="1A1D21"/>
                <w:sz w:val="15"/>
              </w:rPr>
              <w:t>41.7101</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due from related 1q26</w:t>
            </w:r>
          </w:p>
        </w:tc>
        <w:tc>
          <w:tcPr>
            <w:tcW w:type="dxa" w:w="1191"/>
          </w:tcPr>
          <w:p>
            <w:pPr>
              <w:jc w:val="right"/>
            </w:pPr>
            <w:r/>
            <w:r>
              <w:rPr>
                <w:color w:val="1A1D21"/>
                <w:sz w:val="15"/>
              </w:rPr>
              <w:t>341.6759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due to related 1q26</w:t>
            </w:r>
          </w:p>
        </w:tc>
        <w:tc>
          <w:tcPr>
            <w:tcW w:type="dxa" w:w="1191"/>
          </w:tcPr>
          <w:p>
            <w:pPr>
              <w:jc w:val="right"/>
            </w:pPr>
            <w:r/>
            <w:r>
              <w:rPr>
                <w:color w:val="1A1D21"/>
                <w:sz w:val="15"/>
              </w:rPr>
              <w:t>29.9197</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equity parent 1q26</w:t>
            </w:r>
          </w:p>
        </w:tc>
        <w:tc>
          <w:tcPr>
            <w:tcW w:type="dxa" w:w="1191"/>
          </w:tcPr>
          <w:p>
            <w:pPr>
              <w:jc w:val="right"/>
            </w:pPr>
            <w:r/>
            <w:r>
              <w:rPr>
                <w:color w:val="1A1D21"/>
                <w:sz w:val="15"/>
              </w:rPr>
              <w:t>18,955.743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fin inv amortised 1q26</w:t>
            </w:r>
          </w:p>
        </w:tc>
        <w:tc>
          <w:tcPr>
            <w:tcW w:type="dxa" w:w="1191"/>
          </w:tcPr>
          <w:p>
            <w:pPr>
              <w:jc w:val="right"/>
            </w:pPr>
            <w:r/>
            <w:r>
              <w:rPr>
                <w:color w:val="1A1D21"/>
                <w:sz w:val="15"/>
              </w:rPr>
              <w:t>11,369.1828</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fixed assets 1q26</w:t>
            </w:r>
          </w:p>
        </w:tc>
        <w:tc>
          <w:tcPr>
            <w:tcW w:type="dxa" w:w="1191"/>
          </w:tcPr>
          <w:p>
            <w:pPr>
              <w:jc w:val="right"/>
            </w:pPr>
            <w:r/>
            <w:r>
              <w:rPr>
                <w:color w:val="1A1D21"/>
                <w:sz w:val="15"/>
              </w:rPr>
              <w:t>4,529.1936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income tax payable 1q26</w:t>
            </w:r>
          </w:p>
        </w:tc>
        <w:tc>
          <w:tcPr>
            <w:tcW w:type="dxa" w:w="1191"/>
          </w:tcPr>
          <w:p>
            <w:pPr>
              <w:jc w:val="right"/>
            </w:pPr>
            <w:r/>
            <w:r>
              <w:rPr>
                <w:color w:val="1A1D21"/>
                <w:sz w:val="15"/>
              </w:rPr>
              <w:t>2,319.1549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inv fair value 1q26</w:t>
            </w:r>
          </w:p>
        </w:tc>
        <w:tc>
          <w:tcPr>
            <w:tcW w:type="dxa" w:w="1191"/>
          </w:tcPr>
          <w:p>
            <w:pPr>
              <w:jc w:val="right"/>
            </w:pPr>
            <w:r/>
            <w:r>
              <w:rPr>
                <w:color w:val="1A1D21"/>
                <w:sz w:val="15"/>
              </w:rPr>
              <w:t>182.0325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investment property 1q26</w:t>
            </w:r>
          </w:p>
        </w:tc>
        <w:tc>
          <w:tcPr>
            <w:tcW w:type="dxa" w:w="1191"/>
          </w:tcPr>
          <w:p>
            <w:pPr>
              <w:jc w:val="right"/>
            </w:pPr>
            <w:r/>
            <w:r>
              <w:rPr>
                <w:color w:val="1A1D21"/>
                <w:sz w:val="15"/>
              </w:rPr>
              <w:t>1,020.4749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investments assoc 1q26</w:t>
            </w:r>
          </w:p>
        </w:tc>
        <w:tc>
          <w:tcPr>
            <w:tcW w:type="dxa" w:w="1191"/>
          </w:tcPr>
          <w:p>
            <w:pPr>
              <w:jc w:val="right"/>
            </w:pPr>
            <w:r/>
            <w:r>
              <w:rPr>
                <w:color w:val="1A1D21"/>
                <w:sz w:val="15"/>
              </w:rPr>
              <w:t>3,838.6972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investments purchase liab 1q26</w:t>
            </w:r>
          </w:p>
        </w:tc>
        <w:tc>
          <w:tcPr>
            <w:tcW w:type="dxa" w:w="1191"/>
          </w:tcPr>
          <w:p>
            <w:pPr>
              <w:jc w:val="right"/>
            </w:pPr>
            <w:r/>
            <w:r>
              <w:rPr>
                <w:color w:val="1A1D21"/>
                <w:sz w:val="15"/>
              </w:rPr>
              <w:t>20.7176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joint shares lt 1q26</w:t>
            </w:r>
          </w:p>
        </w:tc>
        <w:tc>
          <w:tcPr>
            <w:tcW w:type="dxa" w:w="1191"/>
          </w:tcPr>
          <w:p>
            <w:pPr>
              <w:jc w:val="right"/>
            </w:pPr>
            <w:r/>
            <w:r>
              <w:rPr>
                <w:color w:val="1A1D21"/>
                <w:sz w:val="15"/>
              </w:rPr>
              <w:t>3,509.7351</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joint shares st 1q26</w:t>
            </w:r>
          </w:p>
        </w:tc>
        <w:tc>
          <w:tcPr>
            <w:tcW w:type="dxa" w:w="1191"/>
          </w:tcPr>
          <w:p>
            <w:pPr>
              <w:jc w:val="right"/>
            </w:pPr>
            <w:r/>
            <w:r>
              <w:rPr>
                <w:color w:val="1A1D21"/>
                <w:sz w:val="15"/>
              </w:rPr>
              <w:t>2,765.6798</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land purchase liab lt 1q26</w:t>
            </w:r>
          </w:p>
        </w:tc>
        <w:tc>
          <w:tcPr>
            <w:tcW w:type="dxa" w:w="1191"/>
          </w:tcPr>
          <w:p>
            <w:pPr>
              <w:jc w:val="right"/>
            </w:pPr>
            <w:r/>
            <w:r>
              <w:rPr>
                <w:color w:val="1A1D21"/>
                <w:sz w:val="15"/>
              </w:rPr>
              <w:t>47.1347</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land purchase liab st 1q26</w:t>
            </w:r>
          </w:p>
        </w:tc>
        <w:tc>
          <w:tcPr>
            <w:tcW w:type="dxa" w:w="1191"/>
          </w:tcPr>
          <w:p>
            <w:pPr>
              <w:jc w:val="right"/>
            </w:pPr>
            <w:r/>
            <w:r>
              <w:rPr>
                <w:color w:val="1A1D21"/>
                <w:sz w:val="15"/>
              </w:rPr>
              <w:t>29.6125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lease liabilities lt 1q26</w:t>
            </w:r>
          </w:p>
        </w:tc>
        <w:tc>
          <w:tcPr>
            <w:tcW w:type="dxa" w:w="1191"/>
          </w:tcPr>
          <w:p>
            <w:pPr>
              <w:jc w:val="right"/>
            </w:pPr>
            <w:r/>
            <w:r>
              <w:rPr>
                <w:color w:val="1A1D21"/>
                <w:sz w:val="15"/>
              </w:rPr>
              <w:t>104.4625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lease liabilities st 1q26</w:t>
            </w:r>
          </w:p>
        </w:tc>
        <w:tc>
          <w:tcPr>
            <w:tcW w:type="dxa" w:w="1191"/>
          </w:tcPr>
          <w:p>
            <w:pPr>
              <w:jc w:val="right"/>
            </w:pPr>
            <w:r/>
            <w:r>
              <w:rPr>
                <w:color w:val="1A1D21"/>
                <w:sz w:val="15"/>
              </w:rPr>
              <w:t>63.9459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loans long term 1q26</w:t>
            </w:r>
          </w:p>
        </w:tc>
        <w:tc>
          <w:tcPr>
            <w:tcW w:type="dxa" w:w="1191"/>
          </w:tcPr>
          <w:p>
            <w:pPr>
              <w:jc w:val="right"/>
            </w:pPr>
            <w:r/>
            <w:r>
              <w:rPr>
                <w:color w:val="1A1D21"/>
                <w:sz w:val="15"/>
              </w:rPr>
              <w:t>10,198.9596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nci equity 1q26</w:t>
            </w:r>
          </w:p>
        </w:tc>
        <w:tc>
          <w:tcPr>
            <w:tcW w:type="dxa" w:w="1191"/>
          </w:tcPr>
          <w:p>
            <w:pPr>
              <w:jc w:val="right"/>
            </w:pPr>
            <w:r/>
            <w:r>
              <w:rPr>
                <w:color w:val="1A1D21"/>
                <w:sz w:val="15"/>
              </w:rPr>
              <w:t>1,432.6705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net profit 3m 1q26</w:t>
            </w:r>
          </w:p>
        </w:tc>
        <w:tc>
          <w:tcPr>
            <w:tcW w:type="dxa" w:w="1191"/>
          </w:tcPr>
          <w:p>
            <w:pPr>
              <w:jc w:val="right"/>
            </w:pPr>
            <w:r/>
            <w:r>
              <w:rPr>
                <w:color w:val="1A1D21"/>
                <w:sz w:val="15"/>
              </w:rPr>
              <w:t>1,205.2531</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payable long term 1q26</w:t>
            </w:r>
          </w:p>
        </w:tc>
        <w:tc>
          <w:tcPr>
            <w:tcW w:type="dxa" w:w="1191"/>
          </w:tcPr>
          <w:p>
            <w:pPr>
              <w:jc w:val="right"/>
            </w:pPr>
            <w:r/>
            <w:r>
              <w:rPr>
                <w:color w:val="1A1D21"/>
                <w:sz w:val="15"/>
              </w:rPr>
              <w:t>4,752.4615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payable short term 1q26</w:t>
            </w:r>
          </w:p>
        </w:tc>
        <w:tc>
          <w:tcPr>
            <w:tcW w:type="dxa" w:w="1191"/>
          </w:tcPr>
          <w:p>
            <w:pPr>
              <w:jc w:val="right"/>
            </w:pPr>
            <w:r/>
            <w:r>
              <w:rPr>
                <w:color w:val="1A1D21"/>
                <w:sz w:val="15"/>
              </w:rPr>
              <w:t>3,418.4693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recv lt 1q26</w:t>
            </w:r>
          </w:p>
        </w:tc>
        <w:tc>
          <w:tcPr>
            <w:tcW w:type="dxa" w:w="1191"/>
          </w:tcPr>
          <w:p>
            <w:pPr>
              <w:jc w:val="right"/>
            </w:pPr>
            <w:r/>
            <w:r>
              <w:rPr>
                <w:color w:val="1A1D21"/>
                <w:sz w:val="15"/>
              </w:rPr>
              <w:t>51,821.9996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recv lt undel 1q26</w:t>
            </w:r>
          </w:p>
        </w:tc>
        <w:tc>
          <w:tcPr>
            <w:tcW w:type="dxa" w:w="1191"/>
          </w:tcPr>
          <w:p>
            <w:pPr>
              <w:jc w:val="right"/>
            </w:pPr>
            <w:r/>
            <w:r>
              <w:rPr>
                <w:color w:val="1A1D21"/>
                <w:sz w:val="15"/>
              </w:rPr>
              <w:t>1,365.9325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recv st 1q26</w:t>
            </w:r>
          </w:p>
        </w:tc>
        <w:tc>
          <w:tcPr>
            <w:tcW w:type="dxa" w:w="1191"/>
          </w:tcPr>
          <w:p>
            <w:pPr>
              <w:jc w:val="right"/>
            </w:pPr>
            <w:r/>
            <w:r>
              <w:rPr>
                <w:color w:val="1A1D21"/>
                <w:sz w:val="15"/>
              </w:rPr>
              <w:t>16,923.4195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notes recv st undel 1q26</w:t>
            </w:r>
          </w:p>
        </w:tc>
        <w:tc>
          <w:tcPr>
            <w:tcW w:type="dxa" w:w="1191"/>
          </w:tcPr>
          <w:p>
            <w:pPr>
              <w:jc w:val="right"/>
            </w:pPr>
            <w:r/>
            <w:r>
              <w:rPr>
                <w:color w:val="1A1D21"/>
                <w:sz w:val="15"/>
              </w:rPr>
              <w:t>864.8217</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projects under construction 1q26</w:t>
            </w:r>
          </w:p>
        </w:tc>
        <w:tc>
          <w:tcPr>
            <w:tcW w:type="dxa" w:w="1191"/>
          </w:tcPr>
          <w:p>
            <w:pPr>
              <w:jc w:val="right"/>
            </w:pPr>
            <w:r/>
            <w:r>
              <w:rPr>
                <w:color w:val="1A1D21"/>
                <w:sz w:val="15"/>
              </w:rPr>
              <w:t>199.4029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provisions 1q26</w:t>
            </w:r>
          </w:p>
        </w:tc>
        <w:tc>
          <w:tcPr>
            <w:tcW w:type="dxa" w:w="1191"/>
          </w:tcPr>
          <w:p>
            <w:pPr>
              <w:jc w:val="right"/>
            </w:pPr>
            <w:r/>
            <w:r>
              <w:rPr>
                <w:color w:val="1A1D21"/>
                <w:sz w:val="15"/>
              </w:rPr>
              <w:t>179.5402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residents association lt 1q26</w:t>
            </w:r>
          </w:p>
        </w:tc>
        <w:tc>
          <w:tcPr>
            <w:tcW w:type="dxa" w:w="1191"/>
          </w:tcPr>
          <w:p>
            <w:pPr>
              <w:jc w:val="right"/>
            </w:pPr>
            <w:r/>
            <w:r>
              <w:rPr>
                <w:color w:val="1A1D21"/>
                <w:sz w:val="15"/>
              </w:rPr>
              <w:t>30,842.9585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right of use assets 1q26</w:t>
            </w:r>
          </w:p>
        </w:tc>
        <w:tc>
          <w:tcPr>
            <w:tcW w:type="dxa" w:w="1191"/>
          </w:tcPr>
          <w:p>
            <w:pPr>
              <w:jc w:val="right"/>
            </w:pPr>
            <w:r/>
            <w:r>
              <w:rPr>
                <w:color w:val="1A1D21"/>
                <w:sz w:val="15"/>
              </w:rPr>
              <w:t>176.6313</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subordinated loan assoc 1q26</w:t>
            </w:r>
          </w:p>
        </w:tc>
        <w:tc>
          <w:tcPr>
            <w:tcW w:type="dxa" w:w="1191"/>
          </w:tcPr>
          <w:p>
            <w:pPr>
              <w:jc w:val="right"/>
            </w:pPr>
            <w:r/>
            <w:r>
              <w:rPr>
                <w:color w:val="1A1D21"/>
                <w:sz w:val="15"/>
              </w:rPr>
              <w:t>34.3335</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suppliers 1q26</w:t>
            </w:r>
          </w:p>
        </w:tc>
        <w:tc>
          <w:tcPr>
            <w:tcW w:type="dxa" w:w="1191"/>
          </w:tcPr>
          <w:p>
            <w:pPr>
              <w:jc w:val="right"/>
            </w:pPr>
            <w:r/>
            <w:r>
              <w:rPr>
                <w:color w:val="1A1D21"/>
                <w:sz w:val="15"/>
              </w:rPr>
              <w:t>5,340.0902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suppliers advances 1q26</w:t>
            </w:r>
          </w:p>
        </w:tc>
        <w:tc>
          <w:tcPr>
            <w:tcW w:type="dxa" w:w="1191"/>
          </w:tcPr>
          <w:p>
            <w:pPr>
              <w:jc w:val="right"/>
            </w:pPr>
            <w:r/>
            <w:r>
              <w:rPr>
                <w:color w:val="1A1D21"/>
                <w:sz w:val="15"/>
              </w:rPr>
              <w:t>10,269.246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assets 1q26</w:t>
            </w:r>
          </w:p>
        </w:tc>
        <w:tc>
          <w:tcPr>
            <w:tcW w:type="dxa" w:w="1191"/>
          </w:tcPr>
          <w:p>
            <w:pPr>
              <w:jc w:val="right"/>
            </w:pPr>
            <w:r/>
            <w:r>
              <w:rPr>
                <w:color w:val="1A1D21"/>
                <w:sz w:val="15"/>
              </w:rPr>
              <w:t>177,979.0154</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current assets 1q26</w:t>
            </w:r>
          </w:p>
        </w:tc>
        <w:tc>
          <w:tcPr>
            <w:tcW w:type="dxa" w:w="1191"/>
          </w:tcPr>
          <w:p>
            <w:pPr>
              <w:jc w:val="right"/>
            </w:pPr>
            <w:r/>
            <w:r>
              <w:rPr>
                <w:color w:val="1A1D21"/>
                <w:sz w:val="15"/>
              </w:rPr>
              <w:t>114,863.9462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current liabs 1q26</w:t>
            </w:r>
          </w:p>
        </w:tc>
        <w:tc>
          <w:tcPr>
            <w:tcW w:type="dxa" w:w="1191"/>
          </w:tcPr>
          <w:p>
            <w:pPr>
              <w:jc w:val="right"/>
            </w:pPr>
            <w:r/>
            <w:r>
              <w:rPr>
                <w:color w:val="1A1D21"/>
                <w:sz w:val="15"/>
              </w:rPr>
              <w:t>108,093.1799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equity 1q26</w:t>
            </w:r>
          </w:p>
        </w:tc>
        <w:tc>
          <w:tcPr>
            <w:tcW w:type="dxa" w:w="1191"/>
          </w:tcPr>
          <w:p>
            <w:pPr>
              <w:jc w:val="right"/>
            </w:pPr>
            <w:r/>
            <w:r>
              <w:rPr>
                <w:color w:val="1A1D21"/>
                <w:sz w:val="15"/>
              </w:rPr>
              <w:t>20,388.4136</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liabilities 1q26</w:t>
            </w:r>
          </w:p>
        </w:tc>
        <w:tc>
          <w:tcPr>
            <w:tcW w:type="dxa" w:w="1191"/>
          </w:tcPr>
          <w:p>
            <w:pPr>
              <w:jc w:val="right"/>
            </w:pPr>
            <w:r/>
            <w:r>
              <w:rPr>
                <w:color w:val="1A1D21"/>
                <w:sz w:val="15"/>
              </w:rPr>
              <w:t>157,590.6019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noncurrent assets 1q26</w:t>
            </w:r>
          </w:p>
        </w:tc>
        <w:tc>
          <w:tcPr>
            <w:tcW w:type="dxa" w:w="1191"/>
          </w:tcPr>
          <w:p>
            <w:pPr>
              <w:jc w:val="right"/>
            </w:pPr>
            <w:r/>
            <w:r>
              <w:rPr>
                <w:color w:val="1A1D21"/>
                <w:sz w:val="15"/>
              </w:rPr>
              <w:t>63,115.0692</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total noncurrent liabs 1q26</w:t>
            </w:r>
          </w:p>
        </w:tc>
        <w:tc>
          <w:tcPr>
            <w:tcW w:type="dxa" w:w="1191"/>
          </w:tcPr>
          <w:p>
            <w:pPr>
              <w:jc w:val="right"/>
            </w:pPr>
            <w:r/>
            <w:r>
              <w:rPr>
                <w:color w:val="1A1D21"/>
                <w:sz w:val="15"/>
              </w:rPr>
              <w:t>49,497.4219</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814"/>
          </w:tcPr>
          <w:p>
            <w:r/>
            <w:r>
              <w:rPr>
                <w:color w:val="1A1D21"/>
                <w:sz w:val="15"/>
              </w:rPr>
              <w:t>work in progress 1q26</w:t>
            </w:r>
          </w:p>
        </w:tc>
        <w:tc>
          <w:tcPr>
            <w:tcW w:type="dxa" w:w="1191"/>
          </w:tcPr>
          <w:p>
            <w:pPr>
              <w:jc w:val="right"/>
            </w:pPr>
            <w:r/>
            <w:r>
              <w:rPr>
                <w:color w:val="1A1D21"/>
                <w:sz w:val="15"/>
              </w:rPr>
              <w:t>21,337.8034</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consolidated financial statements for the three months ended 31 March 2026 (limited review report attached), page 4 'CONSOLIDATED FINANCIAL POSITION', downloaded 01-Sep-2026 from the company's own</w:t>
            </w:r>
          </w:p>
        </w:tc>
      </w:tr>
    </w:tbl>
    <w:p>
      <w:pPr>
        <w:spacing w:after="80"/>
      </w:pPr>
      <w:r>
        <w:rPr>
          <w:b w:val="0"/>
          <w:i w:val="0"/>
          <w:color w:val="1A1D21"/>
          <w:sz w:val="8"/>
        </w:rPr>
      </w:r>
    </w:p>
    <w:p>
      <w:pPr>
        <w:pStyle w:val="Heading3"/>
      </w:pPr>
      <w:r>
        <w:t>Company — borrowings</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banks credit balances</w:t>
            </w:r>
          </w:p>
        </w:tc>
        <w:tc>
          <w:tcPr>
            <w:tcW w:type="dxa" w:w="1191"/>
          </w:tcPr>
          <w:p>
            <w:pPr>
              <w:jc w:val="right"/>
            </w:pPr>
            <w:r/>
            <w:r>
              <w:rPr>
                <w:color w:val="1A1D21"/>
                <w:sz w:val="15"/>
              </w:rPr>
              <w:t>938.8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credit facilities</w:t>
            </w:r>
          </w:p>
        </w:tc>
        <w:tc>
          <w:tcPr>
            <w:tcW w:type="dxa" w:w="1191"/>
          </w:tcPr>
          <w:p>
            <w:pPr>
              <w:jc w:val="right"/>
            </w:pPr>
            <w:r/>
            <w:r>
              <w:rPr>
                <w:color w:val="1A1D21"/>
                <w:sz w:val="15"/>
              </w:rPr>
              <w:t>11,337.5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current portion st loans</w:t>
            </w:r>
          </w:p>
        </w:tc>
        <w:tc>
          <w:tcPr>
            <w:tcW w:type="dxa" w:w="1191"/>
          </w:tcPr>
          <w:p>
            <w:pPr>
              <w:jc w:val="right"/>
            </w:pPr>
            <w:r/>
            <w:r>
              <w:rPr>
                <w:color w:val="1A1D21"/>
                <w:sz w:val="15"/>
              </w:rPr>
              <w:t>1,250</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lease liabilities lt</w:t>
            </w:r>
          </w:p>
        </w:tc>
        <w:tc>
          <w:tcPr>
            <w:tcW w:type="dxa" w:w="1191"/>
          </w:tcPr>
          <w:p>
            <w:pPr>
              <w:jc w:val="right"/>
            </w:pPr>
            <w:r/>
            <w:r>
              <w:rPr>
                <w:color w:val="1A1D21"/>
                <w:sz w:val="15"/>
              </w:rPr>
              <w:t>60.7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lease liabilities st</w:t>
            </w:r>
          </w:p>
        </w:tc>
        <w:tc>
          <w:tcPr>
            <w:tcW w:type="dxa" w:w="1191"/>
          </w:tcPr>
          <w:p>
            <w:pPr>
              <w:jc w:val="right"/>
            </w:pPr>
            <w:r/>
            <w:r>
              <w:rPr>
                <w:color w:val="1A1D21"/>
                <w:sz w:val="15"/>
              </w:rPr>
              <w:t>41.9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loans long term</w:t>
            </w:r>
          </w:p>
        </w:tc>
        <w:tc>
          <w:tcPr>
            <w:tcW w:type="dxa" w:w="1191"/>
          </w:tcPr>
          <w:p>
            <w:pPr>
              <w:jc w:val="right"/>
            </w:pPr>
            <w:r/>
            <w:r>
              <w:rPr>
                <w:color w:val="1A1D21"/>
                <w:sz w:val="15"/>
              </w:rPr>
              <w:t>10,543.1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payable long term</w:t>
            </w:r>
          </w:p>
        </w:tc>
        <w:tc>
          <w:tcPr>
            <w:tcW w:type="dxa" w:w="1191"/>
          </w:tcPr>
          <w:p>
            <w:pPr>
              <w:jc w:val="right"/>
            </w:pPr>
            <w:r/>
            <w:r>
              <w:rPr>
                <w:color w:val="1A1D21"/>
                <w:sz w:val="15"/>
              </w:rPr>
              <w:t>4,505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payable short term</w:t>
            </w:r>
          </w:p>
        </w:tc>
        <w:tc>
          <w:tcPr>
            <w:tcW w:type="dxa" w:w="1191"/>
          </w:tcPr>
          <w:p>
            <w:pPr>
              <w:jc w:val="right"/>
            </w:pPr>
            <w:r/>
            <w:r>
              <w:rPr>
                <w:color w:val="1A1D21"/>
                <w:sz w:val="15"/>
              </w:rPr>
              <w:t>4,875.7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cash flow</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cff fy25</w:t>
            </w:r>
          </w:p>
        </w:tc>
        <w:tc>
          <w:tcPr>
            <w:tcW w:type="dxa" w:w="1191"/>
          </w:tcPr>
          <w:p>
            <w:pPr>
              <w:jc w:val="right"/>
            </w:pPr>
            <w:r/>
            <w:r>
              <w:rPr>
                <w:color w:val="1A1D21"/>
                <w:sz w:val="15"/>
              </w:rPr>
              <w:t>5,628.8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r>
        <w:trPr>
          <w:cantSplit/>
        </w:trPr>
        <w:tc>
          <w:tcPr>
            <w:tcW w:type="dxa" w:w="1814"/>
          </w:tcPr>
          <w:p>
            <w:r/>
            <w:r>
              <w:rPr>
                <w:color w:val="1A1D21"/>
                <w:sz w:val="15"/>
              </w:rPr>
              <w:t>cfi fy25</w:t>
            </w:r>
          </w:p>
        </w:tc>
        <w:tc>
          <w:tcPr>
            <w:tcW w:type="dxa" w:w="1191"/>
          </w:tcPr>
          <w:p>
            <w:pPr>
              <w:jc w:val="right"/>
            </w:pPr>
            <w:r/>
            <w:r>
              <w:rPr>
                <w:color w:val="1A1D21"/>
                <w:sz w:val="15"/>
              </w:rPr>
              <w:t>-4,031.7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r>
        <w:trPr>
          <w:cantSplit/>
        </w:trPr>
        <w:tc>
          <w:tcPr>
            <w:tcW w:type="dxa" w:w="1814"/>
          </w:tcPr>
          <w:p>
            <w:r/>
            <w:r>
              <w:rPr>
                <w:color w:val="1A1D21"/>
                <w:sz w:val="15"/>
              </w:rPr>
              <w:t>cfo fy23</w:t>
            </w:r>
          </w:p>
        </w:tc>
        <w:tc>
          <w:tcPr>
            <w:tcW w:type="dxa" w:w="1191"/>
          </w:tcPr>
          <w:p>
            <w:pPr>
              <w:jc w:val="right"/>
            </w:pPr>
            <w:r/>
            <w:r>
              <w:rPr>
                <w:color w:val="1A1D21"/>
                <w:sz w:val="15"/>
              </w:rPr>
              <w:t>756.7</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FY2024 earnings release (comparative)</w:t>
            </w:r>
          </w:p>
        </w:tc>
      </w:tr>
      <w:tr>
        <w:trPr>
          <w:cantSplit/>
        </w:trPr>
        <w:tc>
          <w:tcPr>
            <w:tcW w:type="dxa" w:w="1814"/>
          </w:tcPr>
          <w:p>
            <w:r/>
            <w:r>
              <w:rPr>
                <w:color w:val="1A1D21"/>
                <w:sz w:val="15"/>
              </w:rPr>
              <w:t>cfo fy24</w:t>
            </w:r>
          </w:p>
        </w:tc>
        <w:tc>
          <w:tcPr>
            <w:tcW w:type="dxa" w:w="1191"/>
          </w:tcPr>
          <w:p>
            <w:pPr>
              <w:jc w:val="right"/>
            </w:pPr>
            <w:r/>
            <w:r>
              <w:rPr>
                <w:color w:val="1A1D21"/>
                <w:sz w:val="15"/>
              </w:rPr>
              <w:t>4,854.8</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 comparative) — NOTE this RESTATES the EGP 3,</w:t>
            </w:r>
          </w:p>
        </w:tc>
      </w:tr>
      <w:tr>
        <w:trPr>
          <w:cantSplit/>
        </w:trPr>
        <w:tc>
          <w:tcPr>
            <w:tcW w:type="dxa" w:w="1814"/>
          </w:tcPr>
          <w:p>
            <w:r/>
            <w:r>
              <w:rPr>
                <w:color w:val="1A1D21"/>
                <w:sz w:val="15"/>
              </w:rPr>
              <w:t>cfo fy25</w:t>
            </w:r>
          </w:p>
        </w:tc>
        <w:tc>
          <w:tcPr>
            <w:tcW w:type="dxa" w:w="1191"/>
          </w:tcPr>
          <w:p>
            <w:pPr>
              <w:jc w:val="right"/>
            </w:pPr>
            <w:r/>
            <w:r>
              <w:rPr>
                <w:color w:val="1A1D21"/>
                <w:sz w:val="15"/>
              </w:rPr>
              <w:t>1,424.2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bl>
    <w:p>
      <w:pPr>
        <w:spacing w:after="80"/>
      </w:pPr>
      <w:r>
        <w:rPr>
          <w:b w:val="0"/>
          <w:i w:val="0"/>
          <w:color w:val="1A1D21"/>
          <w:sz w:val="8"/>
        </w:rPr>
      </w:r>
    </w:p>
    <w:p>
      <w:pPr>
        <w:pStyle w:val="Heading3"/>
      </w:pPr>
      <w:r>
        <w:t>Company — income statement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cogs fy24</w:t>
            </w:r>
          </w:p>
        </w:tc>
        <w:tc>
          <w:tcPr>
            <w:tcW w:type="dxa" w:w="1191"/>
          </w:tcPr>
          <w:p>
            <w:pPr>
              <w:jc w:val="right"/>
            </w:pPr>
            <w:r/>
            <w:r>
              <w:rPr>
                <w:color w:val="1A1D21"/>
                <w:sz w:val="15"/>
              </w:rPr>
              <w:t>17,837.2</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cogs fy25</w:t>
            </w:r>
          </w:p>
        </w:tc>
        <w:tc>
          <w:tcPr>
            <w:tcW w:type="dxa" w:w="1191"/>
          </w:tcPr>
          <w:p>
            <w:pPr>
              <w:jc w:val="right"/>
            </w:pPr>
            <w:r/>
            <w:r>
              <w:rPr>
                <w:color w:val="1A1D21"/>
                <w:sz w:val="15"/>
              </w:rPr>
              <w:t>21,118.9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da fy25</w:t>
            </w:r>
          </w:p>
        </w:tc>
        <w:tc>
          <w:tcPr>
            <w:tcW w:type="dxa" w:w="1191"/>
          </w:tcPr>
          <w:p>
            <w:pPr>
              <w:jc w:val="right"/>
            </w:pPr>
            <w:r/>
            <w:r>
              <w:rPr>
                <w:color w:val="1A1D21"/>
                <w:sz w:val="15"/>
              </w:rPr>
              <w:t>353.7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finance cost fy25</w:t>
            </w:r>
          </w:p>
        </w:tc>
        <w:tc>
          <w:tcPr>
            <w:tcW w:type="dxa" w:w="1191"/>
          </w:tcPr>
          <w:p>
            <w:pPr>
              <w:jc w:val="right"/>
            </w:pPr>
            <w:r/>
            <w:r>
              <w:rPr>
                <w:color w:val="1A1D21"/>
                <w:sz w:val="15"/>
              </w:rPr>
              <w:t>3,347.5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gross profit 1q26</w:t>
            </w:r>
          </w:p>
        </w:tc>
        <w:tc>
          <w:tcPr>
            <w:tcW w:type="dxa" w:w="1191"/>
          </w:tcPr>
          <w:p>
            <w:pPr>
              <w:jc w:val="right"/>
            </w:pPr>
            <w:r/>
            <w:r>
              <w:rPr>
                <w:color w:val="1A1D21"/>
                <w:sz w:val="15"/>
              </w:rPr>
              <w:t>3,300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margin 35% versus 44% in 1Q2025</w:t>
            </w:r>
          </w:p>
        </w:tc>
      </w:tr>
      <w:tr>
        <w:trPr>
          <w:cantSplit/>
        </w:trPr>
        <w:tc>
          <w:tcPr>
            <w:tcW w:type="dxa" w:w="1814"/>
          </w:tcPr>
          <w:p>
            <w:r/>
            <w:r>
              <w:rPr>
                <w:color w:val="1A1D21"/>
                <w:sz w:val="15"/>
              </w:rPr>
              <w:t>gross profit fy25</w:t>
            </w:r>
          </w:p>
        </w:tc>
        <w:tc>
          <w:tcPr>
            <w:tcW w:type="dxa" w:w="1191"/>
          </w:tcPr>
          <w:p>
            <w:pPr>
              <w:jc w:val="right"/>
            </w:pPr>
            <w:r/>
            <w:r>
              <w:rPr>
                <w:color w:val="1A1D21"/>
                <w:sz w:val="15"/>
              </w:rPr>
              <w:t>14,887.6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npat 1q26</w:t>
            </w:r>
          </w:p>
        </w:tc>
        <w:tc>
          <w:tcPr>
            <w:tcW w:type="dxa" w:w="1191"/>
          </w:tcPr>
          <w:p>
            <w:pPr>
              <w:jc w:val="right"/>
            </w:pPr>
            <w:r/>
            <w:r>
              <w:rPr>
                <w:color w:val="1A1D21"/>
                <w:sz w:val="15"/>
              </w:rPr>
              <w:t>1,200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w:t>
            </w:r>
          </w:p>
        </w:tc>
      </w:tr>
      <w:tr>
        <w:trPr>
          <w:cantSplit/>
        </w:trPr>
        <w:tc>
          <w:tcPr>
            <w:tcW w:type="dxa" w:w="1814"/>
          </w:tcPr>
          <w:p>
            <w:r/>
            <w:r>
              <w:rPr>
                <w:color w:val="1A1D21"/>
                <w:sz w:val="15"/>
              </w:rPr>
              <w:t>npat mi fy25</w:t>
            </w:r>
          </w:p>
        </w:tc>
        <w:tc>
          <w:tcPr>
            <w:tcW w:type="dxa" w:w="1191"/>
          </w:tcPr>
          <w:p>
            <w:pPr>
              <w:jc w:val="right"/>
            </w:pPr>
            <w:r/>
            <w:r>
              <w:rPr>
                <w:color w:val="1A1D21"/>
                <w:sz w:val="15"/>
              </w:rPr>
              <w:t>4,216.7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npbt fy25</w:t>
            </w:r>
          </w:p>
        </w:tc>
        <w:tc>
          <w:tcPr>
            <w:tcW w:type="dxa" w:w="1191"/>
          </w:tcPr>
          <w:p>
            <w:pPr>
              <w:jc w:val="right"/>
            </w:pPr>
            <w:r/>
            <w:r>
              <w:rPr>
                <w:color w:val="1A1D21"/>
                <w:sz w:val="15"/>
              </w:rPr>
              <w:t>6,251.1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revenue fy23</w:t>
            </w:r>
          </w:p>
        </w:tc>
        <w:tc>
          <w:tcPr>
            <w:tcW w:type="dxa" w:w="1191"/>
          </w:tcPr>
          <w:p>
            <w:pPr>
              <w:jc w:val="right"/>
            </w:pPr>
            <w:r/>
            <w:r>
              <w:rPr>
                <w:color w:val="1A1D21"/>
                <w:sz w:val="15"/>
              </w:rPr>
              <w:t>17,462.1</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consolidated financial statements</w:t>
            </w:r>
          </w:p>
        </w:tc>
      </w:tr>
      <w:tr>
        <w:trPr>
          <w:cantSplit/>
        </w:trPr>
        <w:tc>
          <w:tcPr>
            <w:tcW w:type="dxa" w:w="1814"/>
          </w:tcPr>
          <w:p>
            <w:r/>
            <w:r>
              <w:rPr>
                <w:color w:val="1A1D21"/>
                <w:sz w:val="15"/>
              </w:rPr>
              <w:t>revenue fy24</w:t>
            </w:r>
          </w:p>
        </w:tc>
        <w:tc>
          <w:tcPr>
            <w:tcW w:type="dxa" w:w="1191"/>
          </w:tcPr>
          <w:p>
            <w:pPr>
              <w:jc w:val="right"/>
            </w:pPr>
            <w:r/>
            <w:r>
              <w:rPr>
                <w:color w:val="1A1D21"/>
                <w:sz w:val="15"/>
              </w:rPr>
              <w:t>27,167.3</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(comparative column)</w:t>
            </w:r>
          </w:p>
        </w:tc>
      </w:tr>
      <w:tr>
        <w:trPr>
          <w:cantSplit/>
        </w:trPr>
        <w:tc>
          <w:tcPr>
            <w:tcW w:type="dxa" w:w="1814"/>
          </w:tcPr>
          <w:p>
            <w:r/>
            <w:r>
              <w:rPr>
                <w:color w:val="1A1D21"/>
                <w:sz w:val="15"/>
              </w:rPr>
              <w:t>revenue fy25</w:t>
            </w:r>
          </w:p>
        </w:tc>
        <w:tc>
          <w:tcPr>
            <w:tcW w:type="dxa" w:w="1191"/>
          </w:tcPr>
          <w:p>
            <w:pPr>
              <w:jc w:val="right"/>
            </w:pPr>
            <w:r/>
            <w:r>
              <w:rPr>
                <w:color w:val="1A1D21"/>
                <w:sz w:val="15"/>
              </w:rPr>
              <w:t>36,169.3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sga fy25</w:t>
            </w:r>
          </w:p>
        </w:tc>
        <w:tc>
          <w:tcPr>
            <w:tcW w:type="dxa" w:w="1191"/>
          </w:tcPr>
          <w:p>
            <w:pPr>
              <w:jc w:val="right"/>
            </w:pPr>
            <w:r/>
            <w:r>
              <w:rPr>
                <w:color w:val="1A1D21"/>
                <w:sz w:val="15"/>
              </w:rPr>
              <w:t>6,365.6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tax fy25</w:t>
            </w:r>
          </w:p>
        </w:tc>
        <w:tc>
          <w:tcPr>
            <w:tcW w:type="dxa" w:w="1191"/>
          </w:tcPr>
          <w:p>
            <w:pPr>
              <w:jc w:val="right"/>
            </w:pPr>
            <w:r/>
            <w:r>
              <w:rPr>
                <w:color w:val="1A1D21"/>
                <w:sz w:val="15"/>
              </w:rPr>
              <w:t>1,827.2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operating</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backlog 1q26</w:t>
            </w:r>
          </w:p>
        </w:tc>
        <w:tc>
          <w:tcPr>
            <w:tcW w:type="dxa" w:w="1191"/>
          </w:tcPr>
          <w:p>
            <w:pPr>
              <w:jc w:val="right"/>
            </w:pPr>
            <w:r/>
            <w:r>
              <w:rPr>
                <w:color w:val="1A1D21"/>
                <w:sz w:val="15"/>
              </w:rPr>
              <w:t>263,000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"the company's backlog of units sold and not yet delivered reached EGP263 billion up f</w:t>
            </w:r>
          </w:p>
        </w:tc>
      </w:tr>
      <w:tr>
        <w:trPr>
          <w:cantSplit/>
        </w:trPr>
        <w:tc>
          <w:tcPr>
            <w:tcW w:type="dxa" w:w="1814"/>
          </w:tcPr>
          <w:p>
            <w:r/>
            <w:r>
              <w:rPr>
                <w:color w:val="1A1D21"/>
                <w:sz w:val="15"/>
              </w:rPr>
              <w:t>backlog fy23</w:t>
            </w:r>
          </w:p>
        </w:tc>
        <w:tc>
          <w:tcPr>
            <w:tcW w:type="dxa" w:w="1191"/>
          </w:tcPr>
          <w:p>
            <w:pPr>
              <w:jc w:val="right"/>
            </w:pPr>
            <w:r/>
            <w:r>
              <w:rPr>
                <w:color w:val="1A1D21"/>
                <w:sz w:val="15"/>
              </w:rPr>
              <w:t>60,000</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FY2024 earnings release (comparative)</w:t>
            </w:r>
          </w:p>
        </w:tc>
      </w:tr>
      <w:tr>
        <w:trPr>
          <w:cantSplit/>
        </w:trPr>
        <w:tc>
          <w:tcPr>
            <w:tcW w:type="dxa" w:w="1814"/>
          </w:tcPr>
          <w:p>
            <w:r/>
            <w:r>
              <w:rPr>
                <w:color w:val="1A1D21"/>
                <w:sz w:val="15"/>
              </w:rPr>
              <w:t>backlog fy24</w:t>
            </w:r>
          </w:p>
        </w:tc>
        <w:tc>
          <w:tcPr>
            <w:tcW w:type="dxa" w:w="1191"/>
          </w:tcPr>
          <w:p>
            <w:pPr>
              <w:jc w:val="right"/>
            </w:pPr>
            <w:r/>
            <w:r>
              <w:rPr>
                <w:color w:val="1A1D21"/>
                <w:sz w:val="15"/>
              </w:rPr>
              <w:t>147,000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collections fy24</w:t>
            </w:r>
          </w:p>
        </w:tc>
        <w:tc>
          <w:tcPr>
            <w:tcW w:type="dxa" w:w="1191"/>
          </w:tcPr>
          <w:p>
            <w:pPr>
              <w:jc w:val="right"/>
            </w:pPr>
            <w:r/>
            <w:r>
              <w:rPr>
                <w:color w:val="1A1D21"/>
                <w:sz w:val="15"/>
              </w:rPr>
              <w:t>25,400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construction fy23</w:t>
            </w:r>
          </w:p>
        </w:tc>
        <w:tc>
          <w:tcPr>
            <w:tcW w:type="dxa" w:w="1191"/>
          </w:tcPr>
          <w:p>
            <w:pPr>
              <w:jc w:val="right"/>
            </w:pPr>
            <w:r/>
            <w:r>
              <w:rPr>
                <w:color w:val="1A1D21"/>
                <w:sz w:val="15"/>
              </w:rPr>
              <w:t>7,500</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w:t>
            </w:r>
          </w:p>
        </w:tc>
      </w:tr>
      <w:tr>
        <w:trPr>
          <w:cantSplit/>
        </w:trPr>
        <w:tc>
          <w:tcPr>
            <w:tcW w:type="dxa" w:w="1814"/>
          </w:tcPr>
          <w:p>
            <w:r/>
            <w:r>
              <w:rPr>
                <w:color w:val="1A1D21"/>
                <w:sz w:val="15"/>
              </w:rPr>
              <w:t>construction fy24</w:t>
            </w:r>
          </w:p>
        </w:tc>
        <w:tc>
          <w:tcPr>
            <w:tcW w:type="dxa" w:w="1191"/>
          </w:tcPr>
          <w:p>
            <w:pPr>
              <w:jc w:val="right"/>
            </w:pPr>
            <w:r/>
            <w:r>
              <w:rPr>
                <w:color w:val="1A1D21"/>
                <w:sz w:val="15"/>
              </w:rPr>
              <w:t>8,500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 "The Company spent EGP8.5 billion on construction activities during FY2024"</w:t>
            </w:r>
          </w:p>
        </w:tc>
      </w:tr>
      <w:tr>
        <w:trPr>
          <w:cantSplit/>
        </w:trPr>
        <w:tc>
          <w:tcPr>
            <w:tcW w:type="dxa" w:w="1814"/>
          </w:tcPr>
          <w:p>
            <w:r/>
            <w:r>
              <w:rPr>
                <w:color w:val="1A1D21"/>
                <w:sz w:val="15"/>
              </w:rPr>
              <w:t>land bank sqm mn</w:t>
            </w:r>
          </w:p>
        </w:tc>
        <w:tc>
          <w:tcPr>
            <w:tcW w:type="dxa" w:w="1191"/>
          </w:tcPr>
          <w:p>
            <w:pPr>
              <w:jc w:val="right"/>
            </w:pPr>
            <w:r/>
            <w:r>
              <w:rPr>
                <w:color w:val="1A1D21"/>
                <w:sz w:val="15"/>
              </w:rPr>
              <w:t>33</w:t>
            </w:r>
          </w:p>
        </w:tc>
        <w:tc>
          <w:tcPr>
            <w:tcW w:type="dxa" w:w="907"/>
          </w:tcPr>
          <w:p>
            <w:r/>
            <w:r>
              <w:rPr>
                <w:color w:val="1A1D21"/>
                <w:sz w:val="15"/>
              </w:rPr>
              <w:t>mn sqm</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 land bank "spreading over 33 million square meters"</w:t>
            </w:r>
          </w:p>
        </w:tc>
      </w:tr>
      <w:tr>
        <w:trPr>
          <w:cantSplit/>
        </w:trPr>
        <w:tc>
          <w:tcPr>
            <w:tcW w:type="dxa" w:w="1814"/>
          </w:tcPr>
          <w:p>
            <w:r/>
            <w:r>
              <w:rPr>
                <w:color w:val="1A1D21"/>
                <w:sz w:val="15"/>
              </w:rPr>
              <w:t>new sales 1q26</w:t>
            </w:r>
          </w:p>
        </w:tc>
        <w:tc>
          <w:tcPr>
            <w:tcW w:type="dxa" w:w="1191"/>
          </w:tcPr>
          <w:p>
            <w:pPr>
              <w:jc w:val="right"/>
            </w:pPr>
            <w:r/>
            <w:r>
              <w:rPr>
                <w:color w:val="1A1D21"/>
                <w:sz w:val="15"/>
              </w:rPr>
              <w:t>52,000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"New sales recorded EGP 52 billion in 1Q2026"</w:t>
            </w:r>
          </w:p>
        </w:tc>
      </w:tr>
      <w:tr>
        <w:trPr>
          <w:cantSplit/>
        </w:trPr>
        <w:tc>
          <w:tcPr>
            <w:tcW w:type="dxa" w:w="1814"/>
          </w:tcPr>
          <w:p>
            <w:r/>
            <w:r>
              <w:rPr>
                <w:color w:val="1A1D21"/>
                <w:sz w:val="15"/>
              </w:rPr>
              <w:t>new sales fy24</w:t>
            </w:r>
          </w:p>
        </w:tc>
        <w:tc>
          <w:tcPr>
            <w:tcW w:type="dxa" w:w="1191"/>
          </w:tcPr>
          <w:p>
            <w:pPr>
              <w:jc w:val="right"/>
            </w:pPr>
            <w:r/>
            <w:r>
              <w:rPr>
                <w:color w:val="1A1D21"/>
                <w:sz w:val="15"/>
              </w:rPr>
              <w:t>151,016</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chart series</w:t>
            </w:r>
          </w:p>
        </w:tc>
      </w:tr>
      <w:tr>
        <w:trPr>
          <w:cantSplit/>
        </w:trPr>
        <w:tc>
          <w:tcPr>
            <w:tcW w:type="dxa" w:w="1814"/>
          </w:tcPr>
          <w:p>
            <w:r/>
            <w:r>
              <w:rPr>
                <w:color w:val="1A1D21"/>
                <w:sz w:val="15"/>
              </w:rPr>
              <w:t>revenue 1q26</w:t>
            </w:r>
          </w:p>
        </w:tc>
        <w:tc>
          <w:tcPr>
            <w:tcW w:type="dxa" w:w="1191"/>
          </w:tcPr>
          <w:p>
            <w:pPr>
              <w:jc w:val="right"/>
            </w:pPr>
            <w:r/>
            <w:r>
              <w:rPr>
                <w:color w:val="1A1D21"/>
                <w:sz w:val="15"/>
              </w:rPr>
              <w:t>9,300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w:t>
            </w:r>
          </w:p>
        </w:tc>
      </w:tr>
      <w:tr>
        <w:trPr>
          <w:cantSplit/>
        </w:trPr>
        <w:tc>
          <w:tcPr>
            <w:tcW w:type="dxa" w:w="1814"/>
          </w:tcPr>
          <w:p>
            <w:r/>
            <w:r>
              <w:rPr>
                <w:color w:val="1A1D21"/>
                <w:sz w:val="15"/>
              </w:rPr>
              <w:t>revenue 1q26 yoy</w:t>
            </w:r>
          </w:p>
        </w:tc>
        <w:tc>
          <w:tcPr>
            <w:tcW w:type="dxa" w:w="1191"/>
          </w:tcPr>
          <w:p>
            <w:pPr>
              <w:jc w:val="right"/>
            </w:pPr>
            <w:r/>
            <w:r>
              <w:rPr>
                <w:color w:val="1A1D21"/>
                <w:sz w:val="15"/>
              </w:rPr>
              <w:t>0.11</w:t>
            </w:r>
          </w:p>
        </w:tc>
        <w:tc>
          <w:tcPr>
            <w:tcW w:type="dxa" w:w="907"/>
          </w:tcPr>
          <w:p>
            <w:r/>
            <w:r>
              <w:rPr>
                <w:color w:val="1A1D21"/>
                <w:sz w:val="15"/>
              </w:rPr>
              <w:t>YoY</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"Revenue reached EGP 9.3 billion in 1Q2026, up 11% YoY"</w:t>
            </w:r>
          </w:p>
        </w:tc>
      </w:tr>
      <w:tr>
        <w:trPr>
          <w:cantSplit/>
        </w:trPr>
        <w:tc>
          <w:tcPr>
            <w:tcW w:type="dxa" w:w="1814"/>
          </w:tcPr>
          <w:p>
            <w:r/>
            <w:r>
              <w:rPr>
                <w:color w:val="1A1D21"/>
                <w:sz w:val="15"/>
              </w:rPr>
              <w:t>units delivered fy23</w:t>
            </w:r>
          </w:p>
        </w:tc>
        <w:tc>
          <w:tcPr>
            <w:tcW w:type="dxa" w:w="1191"/>
          </w:tcPr>
          <w:p>
            <w:pPr>
              <w:jc w:val="right"/>
            </w:pPr>
            <w:r/>
            <w:r>
              <w:rPr>
                <w:color w:val="1A1D21"/>
                <w:sz w:val="15"/>
              </w:rPr>
              <w:t>1,500</w:t>
            </w:r>
          </w:p>
        </w:tc>
        <w:tc>
          <w:tcPr>
            <w:tcW w:type="dxa" w:w="907"/>
          </w:tcPr>
          <w:p>
            <w:r/>
            <w:r>
              <w:rPr>
                <w:color w:val="1A1D21"/>
                <w:sz w:val="15"/>
              </w:rPr>
              <w:t>units</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w:t>
            </w:r>
          </w:p>
        </w:tc>
      </w:tr>
      <w:tr>
        <w:trPr>
          <w:cantSplit/>
        </w:trPr>
        <w:tc>
          <w:tcPr>
            <w:tcW w:type="dxa" w:w="1814"/>
          </w:tcPr>
          <w:p>
            <w:r/>
            <w:r>
              <w:rPr>
                <w:color w:val="1A1D21"/>
                <w:sz w:val="15"/>
              </w:rPr>
              <w:t>units sold fy23</w:t>
            </w:r>
          </w:p>
        </w:tc>
        <w:tc>
          <w:tcPr>
            <w:tcW w:type="dxa" w:w="1191"/>
          </w:tcPr>
          <w:p>
            <w:pPr>
              <w:jc w:val="right"/>
            </w:pPr>
            <w:r/>
            <w:r>
              <w:rPr>
                <w:color w:val="1A1D21"/>
                <w:sz w:val="15"/>
              </w:rPr>
              <w:t>5,300</w:t>
            </w:r>
          </w:p>
        </w:tc>
        <w:tc>
          <w:tcPr>
            <w:tcW w:type="dxa" w:w="907"/>
          </w:tcPr>
          <w:p>
            <w:r/>
            <w:r>
              <w:rPr>
                <w:color w:val="1A1D21"/>
                <w:sz w:val="15"/>
              </w:rPr>
              <w:t>units</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 chart series</w:t>
            </w:r>
          </w:p>
        </w:tc>
      </w:tr>
      <w:tr>
        <w:trPr>
          <w:cantSplit/>
        </w:trPr>
        <w:tc>
          <w:tcPr>
            <w:tcW w:type="dxa" w:w="1814"/>
          </w:tcPr>
          <w:p>
            <w:r/>
            <w:r>
              <w:rPr>
                <w:color w:val="1A1D21"/>
                <w:sz w:val="15"/>
              </w:rPr>
              <w:t>vdlc launch 1q26</w:t>
            </w:r>
          </w:p>
        </w:tc>
        <w:tc>
          <w:tcPr>
            <w:tcW w:type="dxa" w:w="1191"/>
          </w:tcPr>
          <w:p>
            <w:pPr>
              <w:jc w:val="right"/>
            </w:pPr>
            <w:r/>
            <w:r>
              <w:rPr>
                <w:color w:val="1A1D21"/>
                <w:sz w:val="15"/>
              </w:rPr>
              <w:t>24,000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"the company launched its strategic land plot Village de La Capitale in New administra</w:t>
            </w:r>
          </w:p>
        </w:tc>
      </w:tr>
    </w:tbl>
    <w:p>
      <w:pPr>
        <w:spacing w:after="80"/>
      </w:pPr>
      <w:r>
        <w:rPr>
          <w:b w:val="0"/>
          <w:i w:val="0"/>
          <w:color w:val="1A1D21"/>
          <w:sz w:val="8"/>
        </w:rPr>
      </w:r>
    </w:p>
    <w:p>
      <w:pPr>
        <w:pStyle w:val="Heading3"/>
      </w:pPr>
      <w:r>
        <w:t>Market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shares outstanding bn</w:t>
            </w:r>
          </w:p>
        </w:tc>
        <w:tc>
          <w:tcPr>
            <w:tcW w:type="dxa" w:w="1191"/>
          </w:tcPr>
          <w:p>
            <w:pPr>
              <w:jc w:val="right"/>
            </w:pPr>
            <w:r/>
            <w:r>
              <w:rPr>
                <w:color w:val="1A1D21"/>
                <w:sz w:val="15"/>
              </w:rPr>
              <w:t>2.8599</w:t>
            </w:r>
          </w:p>
        </w:tc>
        <w:tc>
          <w:tcPr>
            <w:tcW w:type="dxa" w:w="907"/>
          </w:tcPr>
          <w:p>
            <w:r/>
            <w:r>
              <w:rPr>
                <w:color w:val="1A1D21"/>
                <w:sz w:val="15"/>
              </w:rPr>
              <w:t>bn shares</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Share capital per FY2025 balance sheet and the share count carried on the covered-name record</w:t>
            </w:r>
          </w:p>
        </w:tc>
      </w:tr>
      <w:tr>
        <w:trPr>
          <w:cantSplit/>
        </w:trPr>
        <w:tc>
          <w:tcPr>
            <w:tcW w:type="dxa" w:w="1814"/>
          </w:tcPr>
          <w:p>
            <w:r/>
            <w:r>
              <w:rPr>
                <w:color w:val="1A1D21"/>
                <w:sz w:val="15"/>
              </w:rPr>
              <w:t>spot</w:t>
            </w:r>
          </w:p>
        </w:tc>
        <w:tc>
          <w:tcPr>
            <w:tcW w:type="dxa" w:w="1191"/>
          </w:tcPr>
          <w:p>
            <w:pPr>
              <w:jc w:val="right"/>
            </w:pPr>
            <w:r/>
            <w:r>
              <w:rPr>
                <w:color w:val="1A1D21"/>
                <w:sz w:val="15"/>
              </w:rPr>
              <w:t>15.2</w:t>
            </w:r>
          </w:p>
        </w:tc>
        <w:tc>
          <w:tcPr>
            <w:tcW w:type="dxa" w:w="907"/>
          </w:tcPr>
          <w:p>
            <w:r/>
            <w:r>
              <w:rPr>
                <w:color w:val="1A1D21"/>
                <w:sz w:val="15"/>
              </w:rPr>
              <w:t>EGP/share</w:t>
            </w:r>
          </w:p>
        </w:tc>
        <w:tc>
          <w:tcPr>
            <w:tcW w:type="dxa" w:w="1077"/>
          </w:tcPr>
          <w:p>
            <w:pPr>
              <w:jc w:val="right"/>
            </w:pPr>
            <w:r/>
            <w:r>
              <w:rPr>
                <w:color w:val="1A1D21"/>
                <w:sz w:val="15"/>
              </w:rPr>
              <w:t>2026-08-23</w:t>
            </w:r>
          </w:p>
        </w:tc>
        <w:tc>
          <w:tcPr>
            <w:tcW w:type="dxa" w:w="794"/>
          </w:tcPr>
          <w:p>
            <w:r/>
            <w:r>
              <w:rPr>
                <w:color w:val="1A1D21"/>
                <w:sz w:val="15"/>
              </w:rPr>
              <w:t>B</w:t>
            </w:r>
          </w:p>
        </w:tc>
        <w:tc>
          <w:tcPr>
            <w:tcW w:type="dxa" w:w="3628"/>
          </w:tcPr>
          <w:p>
            <w:r/>
            <w:r>
              <w:rPr>
                <w:color w:val="1A1D21"/>
                <w:sz w:val="15"/>
              </w:rPr>
              <w:t>Egyptian Exchange closing price for PHDC, 23 August 2026</w:t>
            </w:r>
          </w:p>
        </w:tc>
      </w:tr>
    </w:tbl>
    <w:p>
      <w:pPr>
        <w:spacing w:after="80"/>
      </w:pPr>
      <w:r>
        <w:rPr>
          <w:b w:val="0"/>
          <w:i w:val="0"/>
          <w:color w:val="1A1D21"/>
          <w:sz w:val="8"/>
        </w:rPr>
      </w:r>
    </w:p>
    <w:p>
      <w:pPr>
        <w:pStyle w:val="Heading1"/>
      </w:pPr>
      <w:r>
        <w:t>3  Judgements, and what would overturn each</w:t>
      </w:r>
    </w:p>
    <w:tbl>
      <w:tblPr>
        <w:tblStyle w:val="TableGrid"/>
        <w:tblW w:type="auto" w:w="0"/>
        <w:jc w:val="center"/>
        <w:tblLayout w:type="fixed"/>
        <w:tblLook w:firstColumn="1" w:firstRow="1" w:lastColumn="0" w:lastRow="0" w:noHBand="0" w:noVBand="1" w:val="04A0"/>
        <w:tblLayout w:type="fixed"/>
      </w:tblPr>
      <w:tblGrid>
        <w:gridCol w:w="1928"/>
        <w:gridCol w:w="3742"/>
        <w:gridCol w:w="3629"/>
      </w:tblGrid>
      <w:tr>
        <w:trPr>
          <w:tblHeader w:val="true"/>
        </w:trPr>
        <w:tc>
          <w:tcPr>
            <w:tcW w:type="dxa" w:w="1928"/>
          </w:tcPr>
          <w:p>
            <w:r/>
            <w:r>
              <w:rPr>
                <w:b/>
                <w:color w:val="5B6570"/>
                <w:sz w:val="17"/>
              </w:rPr>
              <w:t>Judgement</w:t>
            </w:r>
          </w:p>
        </w:tc>
        <w:tc>
          <w:tcPr>
            <w:tcW w:type="dxa" w:w="3742"/>
          </w:tcPr>
          <w:p>
            <w:r/>
            <w:r>
              <w:rPr>
                <w:b/>
                <w:color w:val="5B6570"/>
                <w:sz w:val="17"/>
              </w:rPr>
              <w:t>What was decided</w:t>
            </w:r>
          </w:p>
        </w:tc>
        <w:tc>
          <w:tcPr>
            <w:tcW w:type="dxa" w:w="3628"/>
          </w:tcPr>
          <w:p>
            <w:r/>
            <w:r>
              <w:rPr>
                <w:b/>
                <w:color w:val="5B6570"/>
                <w:sz w:val="17"/>
              </w:rPr>
              <w:t>What would overturn it</w:t>
            </w:r>
          </w:p>
        </w:tc>
      </w:tr>
      <w:tr>
        <w:trPr>
          <w:cantSplit/>
        </w:trPr>
        <w:tc>
          <w:tcPr>
            <w:tcW w:type="dxa" w:w="1928"/>
          </w:tcPr>
          <w:p>
            <w:r/>
            <w:r>
              <w:rPr>
                <w:color w:val="1A1D21"/>
                <w:sz w:val="17"/>
              </w:rPr>
              <w:t>Discount rate</w:t>
            </w:r>
          </w:p>
        </w:tc>
        <w:tc>
          <w:tcPr>
            <w:tcW w:type="dxa" w:w="3742"/>
          </w:tcPr>
          <w:p>
            <w:r/>
            <w:r>
              <w:rPr>
                <w:color w:val="1A1D21"/>
                <w:sz w:val="17"/>
              </w:rPr>
              <w:t>Cost of capital rebuilt bottom-up at 26.25% on the rating basis and 25.24% on the swap basis, replacing the 11 June 2026 edition's 18%; unchanged in this edition.</w:t>
            </w:r>
          </w:p>
        </w:tc>
        <w:tc>
          <w:tcPr>
            <w:tcW w:type="dxa" w:w="3628"/>
          </w:tcPr>
          <w:p>
            <w:r/>
            <w:r>
              <w:rPr>
                <w:color w:val="1A1D21"/>
                <w:sz w:val="17"/>
              </w:rPr>
              <w:t>A sustained fall in the Egyptian sovereign yield, or evidence that the company borrows materially below sovereign plus 250 basis points.</w:t>
            </w:r>
          </w:p>
        </w:tc>
      </w:tr>
      <w:tr>
        <w:trPr>
          <w:cantSplit/>
        </w:trPr>
        <w:tc>
          <w:tcPr>
            <w:tcW w:type="dxa" w:w="1928"/>
          </w:tcPr>
          <w:p>
            <w:r/>
            <w:r>
              <w:rPr>
                <w:color w:val="1A1D21"/>
                <w:sz w:val="17"/>
              </w:rPr>
              <w:t>Cash conversion is the crux</w:t>
            </w:r>
          </w:p>
        </w:tc>
        <w:tc>
          <w:tcPr>
            <w:tcW w:type="dxa" w:w="3742"/>
          </w:tcPr>
          <w:p>
            <w:r/>
            <w:r>
              <w:rPr>
                <w:color w:val="1A1D21"/>
                <w:sz w:val="17"/>
              </w:rPr>
              <w:t>Value is driven by the share of revenue reaching operating cash, measured across its full observed range rather than assumed.</w:t>
            </w:r>
          </w:p>
        </w:tc>
        <w:tc>
          <w:tcPr>
            <w:tcW w:type="dxa" w:w="3628"/>
          </w:tcPr>
          <w:p>
            <w:r/>
            <w:r>
              <w:rPr>
                <w:color w:val="1A1D21"/>
                <w:sz w:val="17"/>
              </w:rPr>
              <w:t>Two further years clustering within about two points of the mean would collapse the range and make this an ordinary input.</w:t>
            </w:r>
          </w:p>
        </w:tc>
      </w:tr>
      <w:tr>
        <w:trPr>
          <w:cantSplit/>
        </w:trPr>
        <w:tc>
          <w:tcPr>
            <w:tcW w:type="dxa" w:w="1928"/>
          </w:tcPr>
          <w:p>
            <w:r/>
            <w:r>
              <w:rPr>
                <w:color w:val="1A1D21"/>
                <w:sz w:val="17"/>
              </w:rPr>
              <w:t>Revenue is capacity-limited, not sales-limited</w:t>
            </w:r>
          </w:p>
        </w:tc>
        <w:tc>
          <w:tcPr>
            <w:tcW w:type="dxa" w:w="3742"/>
          </w:tcPr>
          <w:p>
            <w:r/>
            <w:r>
              <w:rPr>
                <w:color w:val="1A1D21"/>
                <w:sz w:val="17"/>
              </w:rPr>
              <w:t>The order book is more than seven times revenue, so delivery capacity binds and is what is grown.</w:t>
            </w:r>
          </w:p>
        </w:tc>
        <w:tc>
          <w:tcPr>
            <w:tcW w:type="dxa" w:w="3628"/>
          </w:tcPr>
          <w:p>
            <w:r/>
            <w:r>
              <w:rPr>
                <w:color w:val="1A1D21"/>
                <w:sz w:val="17"/>
              </w:rPr>
              <w:t>A collapse in new sales sustained long enough to bring the order book below about three years of revenue.</w:t>
            </w:r>
          </w:p>
        </w:tc>
      </w:tr>
      <w:tr>
        <w:trPr>
          <w:cantSplit/>
        </w:trPr>
        <w:tc>
          <w:tcPr>
            <w:tcW w:type="dxa" w:w="1928"/>
          </w:tcPr>
          <w:p>
            <w:r/>
            <w:r>
              <w:rPr>
                <w:color w:val="1A1D21"/>
                <w:sz w:val="17"/>
              </w:rPr>
              <w:t>Cost accrues on the same clock as revenue</w:t>
            </w:r>
          </w:p>
        </w:tc>
        <w:tc>
          <w:tcPr>
            <w:tcW w:type="dxa" w:w="3742"/>
          </w:tcPr>
          <w:p>
            <w:r/>
            <w:r>
              <w:rPr>
                <w:color w:val="1A1D21"/>
                <w:sz w:val="17"/>
              </w:rPr>
              <w:t>Both legs accrue with completion, so gross margin is an output.</w:t>
            </w:r>
          </w:p>
        </w:tc>
        <w:tc>
          <w:tcPr>
            <w:tcW w:type="dxa" w:w="3628"/>
          </w:tcPr>
          <w:p>
            <w:r/>
            <w:r>
              <w:rPr>
                <w:color w:val="1A1D21"/>
                <w:sz w:val="17"/>
              </w:rPr>
              <w:t>Evidence that the company recognises cost on handover for a material part of its book.</w:t>
            </w:r>
          </w:p>
        </w:tc>
      </w:tr>
      <w:tr>
        <w:trPr>
          <w:cantSplit/>
        </w:trPr>
        <w:tc>
          <w:tcPr>
            <w:tcW w:type="dxa" w:w="1928"/>
          </w:tcPr>
          <w:p>
            <w:r/>
            <w:r>
              <w:rPr>
                <w:color w:val="1A1D21"/>
                <w:sz w:val="17"/>
              </w:rPr>
              <w:t>Per-project economics are not used</w:t>
            </w:r>
          </w:p>
        </w:tc>
        <w:tc>
          <w:tcPr>
            <w:tcW w:type="dxa" w:w="3742"/>
          </w:tcPr>
          <w:p>
            <w:r/>
            <w:r>
              <w:rPr>
                <w:color w:val="1A1D21"/>
                <w:sz w:val="17"/>
              </w:rPr>
              <w:t>The 11 June 2026 edition's project price and cost table is not disclosed by the company and is not reused.</w:t>
            </w:r>
          </w:p>
        </w:tc>
        <w:tc>
          <w:tcPr>
            <w:tcW w:type="dxa" w:w="3628"/>
          </w:tcPr>
          <w:p>
            <w:r/>
            <w:r>
              <w:rPr>
                <w:color w:val="1A1D21"/>
                <w:sz w:val="17"/>
              </w:rPr>
              <w:t>Project-level disclosure of unit mix, area, price and cost.</w:t>
            </w:r>
          </w:p>
        </w:tc>
      </w:tr>
      <w:tr>
        <w:trPr>
          <w:cantSplit/>
        </w:trPr>
        <w:tc>
          <w:tcPr>
            <w:tcW w:type="dxa" w:w="1928"/>
          </w:tcPr>
          <w:p>
            <w:r/>
            <w:r>
              <w:rPr>
                <w:color w:val="1A1D21"/>
                <w:sz w:val="17"/>
              </w:rPr>
              <w:t>The bridge stands on the latest disclosed balance sheet</w:t>
            </w:r>
          </w:p>
        </w:tc>
        <w:tc>
          <w:tcPr>
            <w:tcW w:type="dxa" w:w="3742"/>
          </w:tcPr>
          <w:p>
            <w:r/>
            <w:r>
              <w:rPr>
                <w:color w:val="1A1D21"/>
                <w:sz w:val="17"/>
              </w:rPr>
              <w:t>Net debt, associates, investment property and book equity are taken from the reviewed statement of 31 March 2026 (net debt EGP 23,244.7 million against 24,133.2 million at 31 December 2025); the projected statements keep the audited full year 2025 as their base.</w:t>
            </w:r>
          </w:p>
        </w:tc>
        <w:tc>
          <w:tcPr>
            <w:tcW w:type="dxa" w:w="3628"/>
          </w:tcPr>
          <w:p>
            <w:r/>
            <w:r>
              <w:rPr>
                <w:color w:val="1A1D21"/>
                <w:sz w:val="17"/>
              </w:rPr>
              <w:t>A later balance sheet — the half-year 2026 statements, once published.</w:t>
            </w:r>
          </w:p>
        </w:tc>
      </w:tr>
      <w:tr>
        <w:trPr>
          <w:cantSplit/>
        </w:trPr>
        <w:tc>
          <w:tcPr>
            <w:tcW w:type="dxa" w:w="1928"/>
          </w:tcPr>
          <w:p>
            <w:r/>
            <w:r>
              <w:rPr>
                <w:color w:val="1A1D21"/>
                <w:sz w:val="17"/>
              </w:rPr>
              <w:t>Minority interests deducted at their share of value</w:t>
            </w:r>
          </w:p>
        </w:tc>
        <w:tc>
          <w:tcPr>
            <w:tcW w:type="dxa" w:w="3742"/>
          </w:tcPr>
          <w:p>
            <w:r/>
            <w:r>
              <w:rPr>
                <w:color w:val="1A1D21"/>
                <w:sz w:val="17"/>
              </w:rPr>
              <w:t>The cash-flow model capitalises all of the subsidiaries' cash flow, so the minority's claim comes out at its share of the resulting value, proxied by its filed share of 2025 profit after tax (4.68%), applied to equity value. At book it would be EGP 1,432.7 million (7.0% of equity); on the three-year mean profit share, 5.94%. Both are shown as reference.</w:t>
            </w:r>
          </w:p>
        </w:tc>
        <w:tc>
          <w:tcPr>
            <w:tcW w:type="dxa" w:w="3628"/>
          </w:tcPr>
          <w:p>
            <w:r/>
            <w:r>
              <w:rPr>
                <w:color w:val="1A1D21"/>
                <w:sz w:val="17"/>
              </w:rPr>
              <w:t>Disclosure of the subsidiaries that carry the minority with their own economics, which would let the minority be valued directly.</w:t>
            </w:r>
          </w:p>
        </w:tc>
      </w:tr>
      <w:tr>
        <w:trPr>
          <w:cantSplit/>
        </w:trPr>
        <w:tc>
          <w:tcPr>
            <w:tcW w:type="dxa" w:w="1928"/>
          </w:tcPr>
          <w:p>
            <w:r/>
            <w:r>
              <w:rPr>
                <w:color w:val="1A1D21"/>
                <w:sz w:val="17"/>
              </w:rPr>
              <w:t>Normalised earnings capitalised at cost of equity less growth</w:t>
            </w:r>
          </w:p>
        </w:tc>
        <w:tc>
          <w:tcPr>
            <w:tcW w:type="dxa" w:w="3742"/>
          </w:tcPr>
          <w:p>
            <w:r/>
            <w:r>
              <w:rPr>
                <w:color w:val="1A1D21"/>
                <w:sz w:val="17"/>
              </w:rPr>
              <w:t>Earnings power is E divided by (cost of equity less the 7.0% terminal growth the cash-flow model carries), not E divided by the cost of equity alone: in a currency whose discount rate embeds Egyptian inflation, zero nominal growth is a perpetual real decline.</w:t>
            </w:r>
          </w:p>
        </w:tc>
        <w:tc>
          <w:tcPr>
            <w:tcW w:type="dxa" w:w="3628"/>
          </w:tcPr>
          <w:p>
            <w:r/>
            <w:r>
              <w:rPr>
                <w:color w:val="1A1D21"/>
                <w:sz w:val="17"/>
              </w:rPr>
              <w:t>Evidence that the company's real earnings are in secular decline, which would make the zero-growth form the right one.</w:t>
            </w:r>
          </w:p>
        </w:tc>
      </w:tr>
      <w:tr>
        <w:trPr>
          <w:cantSplit/>
        </w:trPr>
        <w:tc>
          <w:tcPr>
            <w:tcW w:type="dxa" w:w="1928"/>
          </w:tcPr>
          <w:p>
            <w:r/>
            <w:r>
              <w:rPr>
                <w:color w:val="1A1D21"/>
                <w:sz w:val="17"/>
              </w:rPr>
              <w:t>Peer multiples are not published</w:t>
            </w:r>
          </w:p>
        </w:tc>
        <w:tc>
          <w:tcPr>
            <w:tcW w:type="dxa" w:w="3742"/>
          </w:tcPr>
          <w:p>
            <w:r/>
            <w:r>
              <w:rPr>
                <w:color w:val="1A1D21"/>
                <w:sz w:val="17"/>
              </w:rPr>
              <w:t>Only measures obtainable for every peer on the same basis are shown.</w:t>
            </w:r>
          </w:p>
        </w:tc>
        <w:tc>
          <w:tcPr>
            <w:tcW w:type="dxa" w:w="3628"/>
          </w:tcPr>
          <w:p>
            <w:r/>
            <w:r>
              <w:rPr>
                <w:color w:val="1A1D21"/>
                <w:sz w:val="17"/>
              </w:rPr>
              <w:t>Consistent, obtainable peer financial statements.</w:t>
            </w:r>
          </w:p>
        </w:tc>
      </w:tr>
    </w:tbl>
    <w:p>
      <w:pPr>
        <w:spacing w:after="80"/>
      </w:pPr>
      <w:r>
        <w:rPr>
          <w:b w:val="0"/>
          <w:i w:val="0"/>
          <w:color w:val="1A1D21"/>
          <w:sz w:val="8"/>
        </w:rPr>
      </w:r>
    </w:p>
    <w:p>
      <w:pPr>
        <w:pStyle w:val="Heading1"/>
      </w:pPr>
      <w:r>
        <w:t>4  Negative results — what was tried and rejected</w:t>
      </w:r>
    </w:p>
    <w:tbl>
      <w:tblPr>
        <w:tblStyle w:val="TableGrid"/>
        <w:tblW w:type="auto" w:w="0"/>
        <w:jc w:val="center"/>
        <w:tblLayout w:type="fixed"/>
        <w:tblLook w:firstColumn="1" w:firstRow="1" w:lastColumn="0" w:lastRow="0" w:noHBand="0" w:noVBand="1" w:val="04A0"/>
        <w:tblLayout w:type="fixed"/>
      </w:tblPr>
      <w:tblGrid>
        <w:gridCol w:w="3175"/>
        <w:gridCol w:w="6124"/>
      </w:tblGrid>
      <w:tr>
        <w:trPr>
          <w:tblHeader w:val="true"/>
        </w:trPr>
        <w:tc>
          <w:tcPr>
            <w:tcW w:type="dxa" w:w="3175"/>
          </w:tcPr>
          <w:p>
            <w:r/>
            <w:r>
              <w:rPr>
                <w:b/>
                <w:color w:val="5B6570"/>
                <w:sz w:val="17"/>
              </w:rPr>
              <w:t>Attempt</w:t>
            </w:r>
          </w:p>
        </w:tc>
        <w:tc>
          <w:tcPr>
            <w:tcW w:type="dxa" w:w="6123"/>
          </w:tcPr>
          <w:p>
            <w:r/>
            <w:r>
              <w:rPr>
                <w:b/>
                <w:color w:val="5B6570"/>
                <w:sz w:val="17"/>
              </w:rPr>
              <w:t>Why it was rejected</w:t>
            </w:r>
          </w:p>
        </w:tc>
      </w:tr>
      <w:tr>
        <w:trPr>
          <w:cantSplit/>
        </w:trPr>
        <w:tc>
          <w:tcPr>
            <w:tcW w:type="dxa" w:w="3175"/>
          </w:tcPr>
          <w:p>
            <w:r/>
            <w:r>
              <w:rPr>
                <w:color w:val="1A1D21"/>
                <w:sz w:val="17"/>
              </w:rPr>
              <w:t>Recover the missing FY2024 unit count by summing the disclosed regional unit series</w:t>
            </w:r>
          </w:p>
        </w:tc>
        <w:tc>
          <w:tcPr>
            <w:tcW w:type="dxa" w:w="6123"/>
          </w:tcPr>
          <w:p>
            <w:r/>
            <w:r>
              <w:rPr>
                <w:color w:val="1A1D21"/>
                <w:sz w:val="17"/>
              </w:rPr>
              <w:t>On the four years where the company total IS disclosed, the sum overstates it by about a third because the regional charts overlap. FY2024 and FY2025 unit counts are therefore absent rather than inferred.</w:t>
            </w:r>
          </w:p>
        </w:tc>
      </w:tr>
      <w:tr>
        <w:trPr>
          <w:cantSplit/>
        </w:trPr>
        <w:tc>
          <w:tcPr>
            <w:tcW w:type="dxa" w:w="3175"/>
          </w:tcPr>
          <w:p>
            <w:r/>
            <w:r>
              <w:rPr>
                <w:color w:val="1A1D21"/>
                <w:sz w:val="17"/>
              </w:rPr>
              <w:t>Use the accounting cost of debt</w:t>
            </w:r>
          </w:p>
        </w:tc>
        <w:tc>
          <w:tcPr>
            <w:tcW w:type="dxa" w:w="6123"/>
          </w:tcPr>
          <w:p>
            <w:r/>
            <w:r>
              <w:rPr>
                <w:color w:val="1A1D21"/>
                <w:sz w:val="17"/>
              </w:rPr>
              <w:t>Finance cost of EGP 3,347.5mn on average gross borrowings of about EGP 26,700mn implies 12.5%, far below the sovereign, because much of the balance does not bear interest and part of the charge is capitalised. A historical rate is not a marginal rate.</w:t>
            </w:r>
          </w:p>
        </w:tc>
      </w:tr>
      <w:tr>
        <w:trPr>
          <w:cantSplit/>
        </w:trPr>
        <w:tc>
          <w:tcPr>
            <w:tcW w:type="dxa" w:w="3175"/>
          </w:tcPr>
          <w:p>
            <w:r/>
            <w:r>
              <w:rPr>
                <w:color w:val="1A1D21"/>
                <w:sz w:val="17"/>
              </w:rPr>
              <w:t>Read the FY2025 statements at a single scan resolution</w:t>
            </w:r>
          </w:p>
        </w:tc>
        <w:tc>
          <w:tcPr>
            <w:tcW w:type="dxa" w:w="6123"/>
          </w:tcPr>
          <w:p>
            <w:r/>
            <w:r>
              <w:rPr>
                <w:color w:val="1A1D21"/>
                <w:sz w:val="17"/>
              </w:rPr>
              <w:t>Neither resolution is reliable throughout: at one, notes receivable long term read 801.3 against a true 54,801.3; at the other, fixed assets read 5.0 against a true 4,522.0. Every component list is instead required to sum to the subtotal the company printed.</w:t>
            </w:r>
          </w:p>
        </w:tc>
      </w:tr>
      <w:tr>
        <w:trPr>
          <w:cantSplit/>
        </w:trPr>
        <w:tc>
          <w:tcPr>
            <w:tcW w:type="dxa" w:w="3175"/>
          </w:tcPr>
          <w:p>
            <w:r/>
            <w:r>
              <w:rPr>
                <w:color w:val="1A1D21"/>
                <w:sz w:val="17"/>
              </w:rPr>
              <w:t>Source peer earnings and book multiples from an aggregator</w:t>
            </w:r>
          </w:p>
        </w:tc>
        <w:tc>
          <w:tcPr>
            <w:tcW w:type="dxa" w:w="6123"/>
          </w:tcPr>
          <w:p>
            <w:r/>
            <w:r>
              <w:rPr>
                <w:color w:val="1A1D21"/>
                <w:sz w:val="17"/>
              </w:rPr>
              <w:t>The pages carry no financial tables. An invented multiple would look authoritative and mean nothing.</w:t>
            </w:r>
          </w:p>
        </w:tc>
      </w:tr>
      <w:tr>
        <w:trPr>
          <w:cantSplit/>
        </w:trPr>
        <w:tc>
          <w:tcPr>
            <w:tcW w:type="dxa" w:w="3175"/>
          </w:tcPr>
          <w:p>
            <w:r/>
            <w:r>
              <w:rPr>
                <w:color w:val="1A1D21"/>
                <w:sz w:val="17"/>
              </w:rPr>
              <w:t>Obtain a live Egyptian sovereign yield from the exchange or the central bank</w:t>
            </w:r>
          </w:p>
        </w:tc>
        <w:tc>
          <w:tcPr>
            <w:tcW w:type="dxa" w:w="6123"/>
          </w:tcPr>
          <w:p>
            <w:r/>
            <w:r>
              <w:rPr>
                <w:color w:val="1A1D21"/>
                <w:sz w:val="17"/>
              </w:rPr>
              <w:t>Both publish through interfaces this study could not read. The yield used is a dated market quote and is flagged as 24 days old.</w:t>
            </w:r>
          </w:p>
        </w:tc>
      </w:tr>
    </w:tbl>
    <w:p>
      <w:pPr>
        <w:spacing w:after="80"/>
      </w:pPr>
      <w:r>
        <w:rPr>
          <w:b w:val="0"/>
          <w:i w:val="0"/>
          <w:color w:val="1A1D21"/>
          <w:sz w:val="8"/>
        </w:rPr>
      </w:r>
    </w:p>
    <w:p>
      <w:pPr>
        <w:pStyle w:val="Heading1"/>
      </w:pPr>
      <w:r>
        <w:t>5  Where two sources disagree</w:t>
      </w:r>
    </w:p>
    <w:tbl>
      <w:tblPr>
        <w:tblStyle w:val="TableGrid"/>
        <w:tblW w:type="auto" w:w="0"/>
        <w:jc w:val="center"/>
        <w:tblLayout w:type="fixed"/>
        <w:tblLook w:firstColumn="1" w:firstRow="1" w:lastColumn="0" w:lastRow="0" w:noHBand="0" w:noVBand="1" w:val="04A0"/>
        <w:tblLayout w:type="fixed"/>
      </w:tblPr>
      <w:tblGrid>
        <w:gridCol w:w="2041"/>
        <w:gridCol w:w="2608"/>
        <w:gridCol w:w="2608"/>
        <w:gridCol w:w="2041"/>
      </w:tblGrid>
      <w:tr>
        <w:trPr>
          <w:tblHeader w:val="true"/>
        </w:trPr>
        <w:tc>
          <w:tcPr>
            <w:tcW w:type="dxa" w:w="2041"/>
          </w:tcPr>
          <w:p>
            <w:r/>
            <w:r>
              <w:rPr>
                <w:b/>
                <w:color w:val="5B6570"/>
                <w:sz w:val="17"/>
              </w:rPr>
              <w:t>Item</w:t>
            </w:r>
          </w:p>
        </w:tc>
        <w:tc>
          <w:tcPr>
            <w:tcW w:type="dxa" w:w="2608"/>
          </w:tcPr>
          <w:p>
            <w:r/>
            <w:r>
              <w:rPr>
                <w:b/>
                <w:color w:val="5B6570"/>
                <w:sz w:val="17"/>
              </w:rPr>
              <w:t>One source</w:t>
            </w:r>
          </w:p>
        </w:tc>
        <w:tc>
          <w:tcPr>
            <w:tcW w:type="dxa" w:w="2608"/>
          </w:tcPr>
          <w:p>
            <w:r/>
            <w:r>
              <w:rPr>
                <w:b/>
                <w:color w:val="5B6570"/>
                <w:sz w:val="17"/>
              </w:rPr>
              <w:t>The other</w:t>
            </w:r>
          </w:p>
        </w:tc>
        <w:tc>
          <w:tcPr>
            <w:tcW w:type="dxa" w:w="2041"/>
          </w:tcPr>
          <w:p>
            <w:r/>
            <w:r>
              <w:rPr>
                <w:b/>
                <w:color w:val="5B6570"/>
                <w:sz w:val="17"/>
              </w:rPr>
              <w:t>Which is used</w:t>
            </w:r>
          </w:p>
        </w:tc>
      </w:tr>
      <w:tr>
        <w:trPr>
          <w:cantSplit/>
        </w:trPr>
        <w:tc>
          <w:tcPr>
            <w:tcW w:type="dxa" w:w="2041"/>
          </w:tcPr>
          <w:p>
            <w:r/>
            <w:r>
              <w:rPr>
                <w:color w:val="1A1D21"/>
                <w:sz w:val="17"/>
              </w:rPr>
              <w:t>FY2024 cash from operations</w:t>
            </w:r>
          </w:p>
        </w:tc>
        <w:tc>
          <w:tcPr>
            <w:tcW w:type="dxa" w:w="2608"/>
          </w:tcPr>
          <w:p>
            <w:r/>
            <w:r>
              <w:rPr>
                <w:color w:val="1A1D21"/>
                <w:sz w:val="17"/>
              </w:rPr>
              <w:t>EGP 4,854.8mn — FY2025 audited statements, comparative column</w:t>
            </w:r>
          </w:p>
        </w:tc>
        <w:tc>
          <w:tcPr>
            <w:tcW w:type="dxa" w:w="2608"/>
          </w:tcPr>
          <w:p>
            <w:r/>
            <w:r>
              <w:rPr>
                <w:color w:val="1A1D21"/>
                <w:sz w:val="17"/>
              </w:rPr>
              <w:t>EGP 3,131.9mn — the company's own FY2024 results release</w:t>
            </w:r>
          </w:p>
        </w:tc>
        <w:tc>
          <w:tcPr>
            <w:tcW w:type="dxa" w:w="2041"/>
          </w:tcPr>
          <w:p>
            <w:r/>
            <w:r>
              <w:rPr>
                <w:color w:val="1A1D21"/>
                <w:sz w:val="17"/>
              </w:rPr>
              <w:t>the audited statements</w:t>
            </w:r>
          </w:p>
        </w:tc>
      </w:tr>
      <w:tr>
        <w:trPr>
          <w:cantSplit/>
        </w:trPr>
        <w:tc>
          <w:tcPr>
            <w:tcW w:type="dxa" w:w="2041"/>
          </w:tcPr>
          <w:p>
            <w:r/>
            <w:r>
              <w:rPr>
                <w:color w:val="1A1D21"/>
                <w:sz w:val="17"/>
              </w:rPr>
              <w:t>FY2023 revenue</w:t>
            </w:r>
          </w:p>
        </w:tc>
        <w:tc>
          <w:tcPr>
            <w:tcW w:type="dxa" w:w="2608"/>
          </w:tcPr>
          <w:p>
            <w:r/>
            <w:r>
              <w:rPr>
                <w:color w:val="1A1D21"/>
                <w:sz w:val="17"/>
              </w:rPr>
              <w:t>EGP 17,462.1mn — FY2023 audited statements</w:t>
            </w:r>
          </w:p>
        </w:tc>
        <w:tc>
          <w:tcPr>
            <w:tcW w:type="dxa" w:w="2608"/>
          </w:tcPr>
          <w:p>
            <w:r/>
            <w:r>
              <w:rPr>
                <w:color w:val="1A1D21"/>
                <w:sz w:val="17"/>
              </w:rPr>
              <w:t>EGP 17,454.6mn — FY2024 results release comparative</w:t>
            </w:r>
          </w:p>
        </w:tc>
        <w:tc>
          <w:tcPr>
            <w:tcW w:type="dxa" w:w="2041"/>
          </w:tcPr>
          <w:p>
            <w:r/>
            <w:r>
              <w:rPr>
                <w:color w:val="1A1D21"/>
                <w:sz w:val="17"/>
              </w:rPr>
              <w:t>the audited statements; the difference is 0.04%</w:t>
            </w:r>
          </w:p>
        </w:tc>
      </w:tr>
      <w:tr>
        <w:trPr>
          <w:cantSplit/>
        </w:trPr>
        <w:tc>
          <w:tcPr>
            <w:tcW w:type="dxa" w:w="2041"/>
          </w:tcPr>
          <w:p>
            <w:r/>
            <w:r>
              <w:rPr>
                <w:color w:val="1A1D21"/>
                <w:sz w:val="17"/>
              </w:rPr>
              <w:t>FY2016 new sales</w:t>
            </w:r>
          </w:p>
        </w:tc>
        <w:tc>
          <w:tcPr>
            <w:tcW w:type="dxa" w:w="2608"/>
          </w:tcPr>
          <w:p>
            <w:r/>
            <w:r>
              <w:rPr>
                <w:color w:val="1A1D21"/>
                <w:sz w:val="17"/>
              </w:rPr>
              <w:t>EGP 8,194mn as first reported</w:t>
            </w:r>
          </w:p>
        </w:tc>
        <w:tc>
          <w:tcPr>
            <w:tcW w:type="dxa" w:w="2608"/>
          </w:tcPr>
          <w:p>
            <w:r/>
            <w:r>
              <w:rPr>
                <w:color w:val="1A1D21"/>
                <w:sz w:val="17"/>
              </w:rPr>
              <w:t>EGP 8,467mn in later releases</w:t>
            </w:r>
          </w:p>
        </w:tc>
        <w:tc>
          <w:tcPr>
            <w:tcW w:type="dxa" w:w="2041"/>
          </w:tcPr>
          <w:p>
            <w:r/>
            <w:r>
              <w:rPr>
                <w:color w:val="1A1D21"/>
                <w:sz w:val="17"/>
              </w:rPr>
              <w:t>as first reported, for any measurement anchored at that date</w:t>
            </w:r>
          </w:p>
        </w:tc>
      </w:tr>
      <w:tr>
        <w:trPr>
          <w:cantSplit/>
        </w:trPr>
        <w:tc>
          <w:tcPr>
            <w:tcW w:type="dxa" w:w="2041"/>
          </w:tcPr>
          <w:p>
            <w:r/>
            <w:r>
              <w:rPr>
                <w:color w:val="1A1D21"/>
                <w:sz w:val="17"/>
              </w:rPr>
              <w:t>FY2015 revenue</w:t>
            </w:r>
          </w:p>
        </w:tc>
        <w:tc>
          <w:tcPr>
            <w:tcW w:type="dxa" w:w="2608"/>
          </w:tcPr>
          <w:p>
            <w:r/>
            <w:r>
              <w:rPr>
                <w:color w:val="1A1D21"/>
                <w:sz w:val="17"/>
              </w:rPr>
              <w:t>EGP 3,560.6mn as filed</w:t>
            </w:r>
          </w:p>
        </w:tc>
        <w:tc>
          <w:tcPr>
            <w:tcW w:type="dxa" w:w="2608"/>
          </w:tcPr>
          <w:p>
            <w:r/>
            <w:r>
              <w:rPr>
                <w:color w:val="1A1D21"/>
                <w:sz w:val="17"/>
              </w:rPr>
              <w:t>EGP 3,641.7mn restated after the 2016 accounting-policy change</w:t>
            </w:r>
          </w:p>
        </w:tc>
        <w:tc>
          <w:tcPr>
            <w:tcW w:type="dxa" w:w="2041"/>
          </w:tcPr>
          <w:p>
            <w:r/>
            <w:r>
              <w:rPr>
                <w:color w:val="1A1D21"/>
                <w:sz w:val="17"/>
              </w:rPr>
              <w:t>both, kept apart; the restatement is a change of basis, not an error</w:t>
            </w:r>
          </w:p>
        </w:tc>
      </w:tr>
    </w:tbl>
    <w:p>
      <w:pPr>
        <w:spacing w:after="80"/>
      </w:pPr>
      <w:r>
        <w:rPr>
          <w:b w:val="0"/>
          <w:i w:val="0"/>
          <w:color w:val="1A1D21"/>
          <w:sz w:val="8"/>
        </w:rPr>
      </w:r>
    </w:p>
    <w:p>
      <w:pPr>
        <w:pStyle w:val="Heading1"/>
      </w:pPr>
      <w:r>
        <w:t>6  What is not disclosed</w:t>
      </w:r>
    </w:p>
    <w:tbl>
      <w:tblPr>
        <w:tblStyle w:val="TableGrid"/>
        <w:tblW w:type="auto" w:w="0"/>
        <w:jc w:val="center"/>
        <w:tblLayout w:type="fixed"/>
        <w:tblLook w:firstColumn="1" w:firstRow="1" w:lastColumn="0" w:lastRow="0" w:noHBand="0" w:noVBand="1" w:val="04A0"/>
        <w:tblLayout w:type="fixed"/>
      </w:tblPr>
      <w:tblGrid>
        <w:gridCol w:w="2268"/>
        <w:gridCol w:w="7031"/>
      </w:tblGrid>
      <w:tr>
        <w:trPr>
          <w:tblHeader w:val="true"/>
        </w:trPr>
        <w:tc>
          <w:tcPr>
            <w:tcW w:type="dxa" w:w="2268"/>
          </w:tcPr>
          <w:p>
            <w:r/>
            <w:r>
              <w:rPr>
                <w:b/>
                <w:color w:val="5B6570"/>
                <w:sz w:val="17"/>
              </w:rPr>
              <w:t>Gap</w:t>
            </w:r>
          </w:p>
        </w:tc>
        <w:tc>
          <w:tcPr>
            <w:tcW w:type="dxa" w:w="7030"/>
          </w:tcPr>
          <w:p>
            <w:r/>
            <w:r>
              <w:rPr>
                <w:b/>
                <w:color w:val="5B6570"/>
                <w:sz w:val="17"/>
              </w:rPr>
              <w:t>Statement</w:t>
            </w:r>
          </w:p>
        </w:tc>
      </w:tr>
      <w:tr>
        <w:trPr>
          <w:cantSplit/>
        </w:trPr>
        <w:tc>
          <w:tcPr>
            <w:tcW w:type="dxa" w:w="2268"/>
          </w:tcPr>
          <w:p>
            <w:r/>
            <w:r>
              <w:rPr>
                <w:color w:val="1A1D21"/>
                <w:sz w:val="17"/>
              </w:rPr>
              <w:t>Cash Flow Statement Detail</w:t>
            </w:r>
          </w:p>
        </w:tc>
        <w:tc>
          <w:tcPr>
            <w:tcW w:type="dxa" w:w="7030"/>
          </w:tcPr>
          <w:p>
            <w:r/>
            <w:r>
              <w:rPr>
                <w:color w:val="1A1D21"/>
                <w:sz w:val="17"/>
              </w:rPr>
              <w:t>The FY2025 cash-flow statement is published in its three totals only (operating EGP 1,424.2mn, investing EGP -4,031.7mn, financing EGP 5,628.8mn); no line-by-line statement is posted. Working capital on the two audited balance sheets rose EGP 20,084.7mn in 2025 while net profit plus depreciation less operating cash implies a rise of EGP 3,146.2mn — a wedge of EGP 16,938.5mn, 46.8% of revenue, which CANNOT be decomposed from what is disclosed and is therefore not decomposed. It is why the projection is published in two framings rather than one. Closed by: the full FY2025 cash-flow statement.</w:t>
            </w:r>
          </w:p>
        </w:tc>
      </w:tr>
      <w:tr>
        <w:trPr>
          <w:cantSplit/>
        </w:trPr>
        <w:tc>
          <w:tcPr>
            <w:tcW w:type="dxa" w:w="2268"/>
          </w:tcPr>
          <w:p>
            <w:r/>
            <w:r>
              <w:rPr>
                <w:color w:val="1A1D21"/>
                <w:sz w:val="17"/>
              </w:rPr>
              <w:t>Fy2025 Results Release</w:t>
            </w:r>
          </w:p>
        </w:tc>
        <w:tc>
          <w:tcPr>
            <w:tcW w:type="dxa" w:w="7030"/>
          </w:tcPr>
          <w:p>
            <w:r/>
            <w:r>
              <w:rPr>
                <w:color w:val="1A1D21"/>
                <w:sz w:val="17"/>
              </w:rPr>
              <w:t>PHD has published FY2025 consolidated statements but NO FY2025 full-year results release. The release is where units sold, new sales, deliveries and construction spend are disclosed, so FY2025 has audited financials and NO operating drivers. Closed by: the FY2025 release, or the company confirming the figures directly.</w:t>
            </w:r>
          </w:p>
        </w:tc>
      </w:tr>
      <w:tr>
        <w:trPr>
          <w:cantSplit/>
        </w:trPr>
        <w:tc>
          <w:tcPr>
            <w:tcW w:type="dxa" w:w="2268"/>
          </w:tcPr>
          <w:p>
            <w:r/>
            <w:r>
              <w:rPr>
                <w:color w:val="1A1D21"/>
                <w:sz w:val="17"/>
              </w:rPr>
              <w:t>H1 2026 Results</w:t>
            </w:r>
          </w:p>
        </w:tc>
        <w:tc>
          <w:tcPr>
            <w:tcW w:type="dxa" w:w="7030"/>
          </w:tcPr>
          <w:p>
            <w:r/>
            <w:r>
              <w:rPr>
                <w:color w:val="1A1D21"/>
                <w:sz w:val="17"/>
              </w:rPr>
              <w:t>As at this build date (30-Aug-2026) no 2Q/H1-2026 statements or release are posted to the result centre; the newest disclosure of any kind is 1Q2026 (posted 25-Jun-2026). The study's information set therefore ends at 1Q2026. Closed by: the H1-2026 filing.</w:t>
            </w:r>
          </w:p>
        </w:tc>
      </w:tr>
      <w:tr>
        <w:trPr>
          <w:cantSplit/>
        </w:trPr>
        <w:tc>
          <w:tcPr>
            <w:tcW w:type="dxa" w:w="2268"/>
          </w:tcPr>
          <w:p>
            <w:r/>
            <w:r>
              <w:rPr>
                <w:color w:val="1A1D21"/>
                <w:sz w:val="17"/>
              </w:rPr>
              <w:t>Securitisation Pricing</w:t>
            </w:r>
          </w:p>
        </w:tc>
        <w:tc>
          <w:tcPr>
            <w:tcW w:type="dxa" w:w="7030"/>
          </w:tcPr>
          <w:p>
            <w:r/>
            <w:r>
              <w:rPr>
                <w:color w:val="1A1D21"/>
                <w:sz w:val="17"/>
              </w:rPr>
              <w:t>The EGP 2.015bn securitisation of 4-Feb-2026 discloses tranche sizes, tenors and national-scale ratings but NO coupon on any tranche, so the company's own marginal cost of debt cannot be read. Closed by: the offering circular or a disclosed coupon.</w:t>
            </w:r>
          </w:p>
        </w:tc>
      </w:tr>
      <w:tr>
        <w:trPr>
          <w:cantSplit/>
        </w:trPr>
        <w:tc>
          <w:tcPr>
            <w:tcW w:type="dxa" w:w="2268"/>
          </w:tcPr>
          <w:p>
            <w:r/>
            <w:r>
              <w:rPr>
                <w:color w:val="1A1D21"/>
                <w:sz w:val="17"/>
              </w:rPr>
              <w:t>Per Project Pricing</w:t>
            </w:r>
          </w:p>
        </w:tc>
        <w:tc>
          <w:tcPr>
            <w:tcW w:type="dxa" w:w="7030"/>
          </w:tcPr>
          <w:p>
            <w:r/>
            <w:r>
              <w:rPr>
                <w:color w:val="1A1D21"/>
                <w:sz w:val="17"/>
              </w:rPr>
              <w:t>The company does not disclose per-project unit mix, average unit area, price per square metre or construction cost per square metre. The 11-Jun-2026 edition carried a full per-project table of those figures; they are NOT sourced to any company document. This study does not reuse them. Closed by: an investor presentation or project-level disclosure carrying unit economics.</w:t>
            </w:r>
          </w:p>
        </w:tc>
      </w:tr>
      <w:tr>
        <w:trPr>
          <w:cantSplit/>
        </w:trPr>
        <w:tc>
          <w:tcPr>
            <w:tcW w:type="dxa" w:w="2268"/>
          </w:tcPr>
          <w:p>
            <w:r/>
            <w:r>
              <w:rPr>
                <w:color w:val="1A1D21"/>
                <w:sz w:val="17"/>
              </w:rPr>
              <w:t>Backlog Cost To Complete</w:t>
            </w:r>
          </w:p>
        </w:tc>
        <w:tc>
          <w:tcPr>
            <w:tcW w:type="dxa" w:w="7030"/>
          </w:tcPr>
          <w:p>
            <w:r/>
            <w:r>
              <w:rPr>
                <w:color w:val="1A1D21"/>
                <w:sz w:val="17"/>
              </w:rPr>
              <w:t>Remaining construction cost against the EGP 263bn backlog is not disclosed as a single figure. It is inferred in the model from the realised gross margin and flagged where used.</w:t>
            </w:r>
          </w:p>
        </w:tc>
      </w:tr>
    </w:tbl>
    <w:p>
      <w:pPr>
        <w:spacing w:after="80"/>
      </w:pPr>
      <w:r>
        <w:rPr>
          <w:b w:val="0"/>
          <w:i w:val="0"/>
          <w:color w:val="1A1D21"/>
          <w:sz w:val="8"/>
        </w:rP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