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8"/>
          <w:szCs w:val="18"/>
        </w:rPr>
        <w:t xml:space="preserve">TESTAHIL — Standing Research Programme</w:t>
      </w:r>
    </w:p>
    <w:p>
      <w:pPr>
        <w:spacing w:after="6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2211E"/>
          <w:sz w:val="40"/>
          <w:szCs w:val="40"/>
        </w:rPr>
        <w:t xml:space="preserve">GB Corp (GBCO.CA, EGX) — Valuation Update</w:t>
      </w:r>
    </w:p>
    <w:p>
      <w:pPr>
        <w:spacing w:after="20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796B"/>
          <w:sz w:val="22"/>
          <w:szCs w:val="22"/>
        </w:rPr>
        <w:t xml:space="preserve">Fair-value re-issue under the corrected cost-of-capital method · 30 August 2026</w:t>
      </w:r>
    </w:p>
    <w:p>
      <w:pPr>
        <w:pStyle w:val="Heading2"/>
        <w:spacing w:after="140" w:before="240"/>
      </w:pPr>
      <w:r>
        <w:rPr>
          <w:rFonts w:ascii="Georgia" w:cs="Georgia" w:eastAsia="Georgia" w:hAnsi="Georgia"/>
          <w:b/>
          <w:bCs/>
          <w:color w:val="12796B"/>
          <w:sz w:val="24"/>
          <w:szCs w:val="24"/>
        </w:rPr>
        <w:t xml:space="preserve">Read this first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This edition re-derives GB Corp's fair value on a rebuilt foundation: fifteen fiscal years (2011–2025) of the company's own audited statements and disclosures plus the reviewed 2026 interims, a regression beta measured against the exchange's published EGX30 index, and a cost of capital constructed so that Egypt country risk is counted once, not twice. Before this build, the forecasting method itself was back-tested against the company's own history at ten annual starting points; that record shapes how far ahead we state single numbers versus ranges. This document updates the valuation of the 8 July 2026 study; it does not restate that study's full company narrative.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/>
          <w:iCs/>
          <w:color w:val="6B7C78"/>
          <w:sz w:val="21"/>
          <w:szCs w:val="21"/>
        </w:rPr>
        <w:t xml:space="preserve">Nothing here is a recommendation, rating, or price target. We publish fair-value ranges and the assumptions behind them, and we grade our own record publicly.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Fair value</w:t>
      </w:r>
    </w:p>
    <w:tbl>
      <w:tblPr>
        <w:tblW w:type="dxa" w:w="88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400"/>
        <w:gridCol w:w="1800"/>
        <w:gridCol w:w="1800"/>
        <w:gridCol w:w="1800"/>
      </w:tblGrid>
      <w:tr>
        <w:trPr>
          <w:tblHeader/>
        </w:trPr>
        <w:tc>
          <w:tcPr>
            <w:tcW w:type="dxa" w:w="34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Bear</w:t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Base</w:t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Full value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Fair value (EGP/share)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34.3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vs close 2026-08-23 (EGP 29.51)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-46%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-8%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16%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20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The base case sits essentially at the market price: at today's Egyptian discount rates the operating businesses are worth modest value net of their debt, and the MNT-Halan stake — marked by its own June 2026 funding round — carries most of the equity story. The previous edition's higher fair value (35.7) rested on a cost of capital that double-counted country risk, an assumed beta of 1.0, and a larger multiple on the financing arm; each of those legs is rebuilt below.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What changed since 8 July 2026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2300"/>
        <w:gridCol w:w="3200"/>
        <w:gridCol w:w="4900"/>
      </w:tblGrid>
      <w:tr>
        <w:trPr>
          <w:tblHeader/>
        </w:trPr>
        <w:tc>
          <w:tcPr>
            <w:tcW w:type="dxa" w:w="2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Component</w:t>
            </w:r>
          </w:p>
        </w:tc>
        <w:tc>
          <w:tcPr>
            <w:tcW w:type="dxa" w:w="32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8 Jul 2026 edition</w:t>
            </w:r>
          </w:p>
        </w:tc>
        <w:tc>
          <w:tcPr>
            <w:tcW w:type="dxa" w:w="4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This edition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Risk-free basis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raw 10Y yield 22.55%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10Y 22.87% less Egypt's own default spread → rf* 19.46% (CDS basis)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Beta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1.00 assumed (regression rejected)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 vs EGX30, weekly, n=251, 4.9y window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equity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31.96% (CDS basis)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27.84% (CDS) / 28.92% (rating)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WACC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22.94% (CDS basis)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24.25% (CDS) / 24.89% (rating)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41.61% at USD 1.4bn round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42.93% today (41.61% after second closing), shown BOTH at carrying value and at the round mark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Financing arm (ex-MNT)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EGP 9,500mn (earnings multiple)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EGP 5,459mn at book, cross-checked on earnings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History behind the forecast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 years of aggregates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 audited years + 2026 interims; method back-tested at 10 starting points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Years 3–5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point estimates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ranges from the back-test's own error record</w:t>
            </w:r>
          </w:p>
        </w:tc>
      </w:tr>
    </w:tbl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Cost of capital (built bottom-up, both bases)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Country risk enters once, through the equity risk premium. The risk-free rate is the observed local 10-year yield stripped of Egypt's own sovereign default spread; the same basis of spread is stripped as the premium adds back (rating with rating, CDS with CDS). Sources: Egypt 10Y 22.87% (27 Aug 2026); Damodaran country table, Egypt row, January 2026 vintage; central bank corridor held at 20.0% lending on 20 August 2026.</w:t>
      </w:r>
    </w:p>
    <w:tbl>
      <w:tblPr>
        <w:tblW w:type="dxa" w:w="88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800"/>
        <w:gridCol w:w="2500"/>
        <w:gridCol w:w="2500"/>
      </w:tblGrid>
      <w:tr>
        <w:trPr>
          <w:tblHeader/>
        </w:trPr>
        <w:tc>
          <w:tcPr>
            <w:tcW w:type="dxa" w:w="3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Rating basis</w:t>
            </w:r>
          </w:p>
        </w:tc>
        <w:tc>
          <w:tcPr>
            <w:tcW w:type="dxa" w:w="2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CDS basis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rf* (normalised risk-free)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16.50%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19.46%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Equity risk premium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13.94%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9.41%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Beta (own stock vs EGX30)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equity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28.92%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27.84%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debt, pre-tax (marginal)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24.37%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24.37%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Weights (E / D)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60% / 40%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60% / 40%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WACC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24.89%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24.25%  ← used in the DCF</w:t>
            </w:r>
          </w:p>
        </w:tc>
      </w:tr>
    </w:tbl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21"/>
          <w:szCs w:val="21"/>
        </w:rPr>
        <w:t xml:space="preserve">The marginal cost of debt is set from the sovereign 10-year plus a 150bp corporate spread (24.37% pre-tax). Because the group borrows mostly short-tenor Egyptian pounds (its net foreign-currency exposure is only about EGP 2.2bn against a ~38bn debt book), a short-tenor reading of roughly 22% is also shown in our sensitivity work; it moves the base fair value by under one pound.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Forecast 2026–2030 (built from units × price, by line of business)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Volumes and average selling prices come from the company's own line-of-business tables; the first forecast half-year is anchored on the reported H1-2026 actuals. Margins are outputs of the segment mix, not inputs. Group revenue is the two segments less intercompany eliminations.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300"/>
        <w:gridCol w:w="1420"/>
        <w:gridCol w:w="1420"/>
        <w:gridCol w:w="1420"/>
        <w:gridCol w:w="1420"/>
        <w:gridCol w:w="1420"/>
      </w:tblGrid>
      <w:tr>
        <w:trPr>
          <w:tblHeader/>
        </w:trPr>
        <w:tc>
          <w:tcPr>
            <w:tcW w:type="dxa" w:w="3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EGP mn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2026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2027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2028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2029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2030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Passenger cars &amp; after-sales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62,619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68,255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73,715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78,875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83,608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Light mobility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46,770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53,785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60,240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66,264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71,565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Commercial vehicles &amp; CE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5,202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5,826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6,409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6,922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7,337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Auto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85,325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105,501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126,901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149,113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172,653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Capital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18,631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22,730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27,276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32,185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37,335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Group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102,812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126,820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152,481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179,304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207,677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Gross margin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15.3%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15.7%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16.3%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16.3%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Operating profit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8,147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10,566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13,209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15,984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18,516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Associates (MNT-Halan pickup)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1,063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1,328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1,660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2,075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Net finance cost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-4,700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-4,300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-3,900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-3,600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-3,400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Effective tax rate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Net profit (parent)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2,828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5,180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7,665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10,333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12,785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EPS (EGP)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2.61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4.77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7.06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9.52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11.78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Years three to five are stated as ranges, not points. Our back-test of this forecasting approach on GB Corp's own 2011–2025 history shows realised revenue three years out landing between roughly 0.6× and 1.4× the point estimate (wider at years four and five). Applied here:</w:t>
      </w:r>
    </w:p>
    <w:tbl>
      <w:tblPr>
        <w:tblW w:type="dxa" w:w="90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300"/>
        <w:gridCol w:w="1900"/>
        <w:gridCol w:w="1900"/>
        <w:gridCol w:w="1900"/>
      </w:tblGrid>
      <w:tr>
        <w:trPr>
          <w:tblHeader/>
        </w:trPr>
        <w:tc>
          <w:tcPr>
            <w:tcW w:type="dxa" w:w="3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Revenue range, EGP mn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Low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Point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2028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93,013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152,481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213,473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2029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68,135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179,304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233,095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2030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85,148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207,677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232,599</w:t>
            </w:r>
          </w:p>
        </w:tc>
      </w:tr>
    </w:tbl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Sum of the parts — and the judgement that drives it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GB Corp is three businesses in one listing: an automotive assembler-distributor, a non-bank lender, and a 42.93% stake in MNT-Halan (41.61% once the announced second closing completes). The stake's value is the update's most consequential contested judgement, so it is computed both ways and shown side by side — never averaged.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4200"/>
        <w:gridCol w:w="1700"/>
        <w:gridCol w:w="4500"/>
      </w:tblGrid>
      <w:tr>
        <w:trPr>
          <w:tblHeader/>
        </w:trPr>
        <w:tc>
          <w:tcPr>
            <w:tcW w:type="dxa" w:w="42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Leg (EGP mn, parent share)</w:t>
            </w:r>
          </w:p>
        </w:tc>
        <w:tc>
          <w:tcPr>
            <w:tcW w:type="dxa" w:w="17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Value</w:t>
            </w:r>
          </w:p>
        </w:tc>
        <w:tc>
          <w:tcPr>
            <w:tcW w:type="dxa" w:w="4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Auto (DCF at 24.2%, terminal growth 10%)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6,187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enterprise 22,198 less net debt 15,210 and minorities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Capital ex-MNT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5,459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1.0× book (band 0.8–1.4× in bear/full)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 — framing 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12,853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audited carrying value (equity method)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 — framing B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30,201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USD 1.4bn June-2026 round × 42.93% × 50.25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Other associates &amp; investments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836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carrying value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Total (A) after 10% holding discount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22,803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21.0 per share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Total (B) after 10% holding discount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38,416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35.4 per share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The gap between the two framings — about 14.4 EGP per share — is the honest width of this valuation. Framing B is a real transaction price: Al Ahly Capital paid it in June 2026. Framing A is the audited book, but the auditor qualifies it every period because MNT-Halan's own statements are not made available. The base case stands on framing B; the bear case stands on framing A. In dollars, the market capitalisation (~USD 637mn) is close to the stake's round-mark value alone (~USD 601mn) — at the market price you are paying for the stake and getting the automotive and lending businesses at little value.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Four lenses, one field</w:t>
      </w:r>
    </w:p>
    <w:tbl>
      <w:tblPr>
        <w:tblW w:type="dxa" w:w="97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800"/>
        <w:gridCol w:w="1500"/>
        <w:gridCol w:w="1500"/>
        <w:gridCol w:w="1500"/>
        <w:gridCol w:w="1400"/>
      </w:tblGrid>
      <w:tr>
        <w:trPr>
          <w:tblHeader/>
        </w:trPr>
        <w:tc>
          <w:tcPr>
            <w:tcW w:type="dxa" w:w="3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Lens (EGP/share)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Bear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Base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Full</w:t>
            </w:r>
          </w:p>
        </w:tc>
        <w:tc>
          <w:tcPr>
            <w:tcW w:type="dxa" w:w="14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Sum of the parts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18.0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35.4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44.6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Pre-discount SOTP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23.3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39.3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49.5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Relative (5–9× blended 2026–27E EPS)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25.8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33.2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Normalised earnings power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5.6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Weighted central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34.3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21"/>
          <w:szCs w:val="21"/>
        </w:rPr>
        <w:t xml:space="preserve">The lenses disagree, and the disagreement is information. The normalised-earnings lens is severe (7.4): at a 27.8% cost of equity, a business earning a low-teens return on its book is worth far less than that book — this is the discount-rate environment speaking, and it is the same force that keeps the automotive DCF modest. The relative and sum-of-the-parts lenses carry the recovery and the stake. The weighted centre of 27.1 should be read with the full bear-to-full span, not alone.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What would change our view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Upside: the second MNT-Halan closing at or above the June round; Egyptian rate cuts resuming (each 100bp off the discount rate adds roughly 1.5–2 EGP across the legs); regional (Iraq/Jordan) losses fading on schedule from Q4 2026; Sadat localisation lifting automotive margins faster than the ~1pp/year assumed.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Downside: a step-devaluation of the pound (raises the discount rate and compresses the auto margin before prices catch up); the effective tax burden staying near H1-2026's 41% instead of normalising; a funding-market shock to the securitisation channel the lending arm depends on; any down-round or write-down at MNT-Halan — the single largest sensitivity in this valuation.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/>
          <w:iCs/>
          <w:color w:val="12211E"/>
          <w:sz w:val="21"/>
          <w:szCs w:val="21"/>
        </w:rPr>
        <w:t xml:space="preserve">Known limits stated plainly: MNT-Halan's contribution is recorded by management and qualified by the auditor every period since 2024, because the associate's own financial statements are not provided; per-product unit costs are not disclosed, so segment margins are modelled at segment level; and our own back-testing says five-year revenue points carry roughly ±40–60% bands — which is why years three to five are published as ranges.</w:t>
      </w:r>
    </w:p>
    <w:p>
      <w:pPr>
        <w:pStyle w:val="Heading2"/>
        <w:spacing w:after="140" w:before="240"/>
      </w:pPr>
      <w:r>
        <w:rPr>
          <w:rFonts w:ascii="Georgia" w:cs="Georgia" w:eastAsia="Georgia" w:hAnsi="Georgia"/>
          <w:b/>
          <w:bCs/>
          <w:color w:val="12796B"/>
          <w:sz w:val="24"/>
          <w:szCs w:val="24"/>
        </w:rPr>
        <w:t xml:space="preserve">Basis of preparation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9"/>
          <w:szCs w:val="19"/>
        </w:rPr>
        <w:t xml:space="preserve">Historic figures: the company's own audited consolidated financial statements (KPMG Hazem Hassan) 2011–2025 and reviewed interims to 30 June 2026, taken from the company's investor-relations site. Market inputs as of 27–30 August 2026 from the sources named in the cost-of-capital section. Beta: weekly two-stage regression of the stock on the published EGX30 index, 2021–2026. A source and date accompany every input in the published model file.</w:t>
      </w:r>
    </w:p>
    <w:p>
      <w:pPr>
        <w:spacing w:after="120" w:before="2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8"/>
          <w:szCs w:val="18"/>
        </w:rPr>
        <w:t xml:space="preserve">© TESTAHIL 2026 · Educational research. Not investment advice, not an offer, not a solicitation. Fair-value ranges and probability statements only; we never publish buy/sell/hold ratings or price targets. Forecasts are graded publicly when they resolve.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2211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2026-08-30T14:57:12.788Z</dcterms:created>
  <dcterms:modified xsi:type="dcterms:W3CDTF">2026-08-30T14:57:12.789Z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