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3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66.53, and the cross-checks around it span EGP 45.65 to EGP 65.57, against a market price of EGP 77.00 — -13.6%.</w:t>
            </w:r>
          </w:p>
        </w:tc>
      </w:tr>
    </w:tbl>
    <w:p>
      <w:pPr>
        <w:spacing w:after="40"/>
      </w:pPr>
    </w:p>
    <w:p>
      <w:pPr>
        <w:spacing w:after="120" w:before="280"/>
      </w:pPr>
      <w:r>
        <w:rPr>
          <w:b/>
          <w:i w:val="0"/>
          <w:color w:val="1C3A36"/>
          <w:sz w:val="30"/>
        </w:rPr>
        <w:t>Headline</w:t>
      </w:r>
    </w:p>
    <w:p>
      <w:pPr>
        <w:spacing w:after="120" w:before="0"/>
      </w:pPr>
      <w:r>
        <w:rPr>
          <w:b w:val="0"/>
          <w:i w:val="0"/>
          <w:color w:val="1C3A36"/>
          <w:sz w:val="21"/>
        </w:rPr>
        <w:t>Arabian Cement is worth EGP 66.53 a share on the cash-flow lens this study publishes, against a market price of EGP 77.00 on 3 September 2026 — -13.6%.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24.61 and the bull corner EGP 67.08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24.61.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the study's own most consequential contested judgement, worth +12.0% of value and published both ways rather than averaged.</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66.53</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c>
          <w:tcPr>
            <w:tcW w:type="dxa" w:w="1699"/>
            <w:shd w:val="clear" w:color="auto" w:fill="F6F1E6"/>
          </w:tcPr>
          <w:p>
            <w:pPr>
              <w:spacing w:after="20"/>
              <w:jc w:val="right"/>
            </w:pPr>
            <w:r>
              <w:rPr>
                <w:b/>
                <w:color w:val="1C3A36"/>
                <w:sz w:val="18"/>
              </w:rPr>
              <w:t>53.5%</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58.56;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the forecast turns on, and it was corrected in this edition. Egypt sold about 72.6 million tonnes against roughly 76 million tonnes of nameplate — a market running near 96%, which is NOT the structurally slack market earlier editions of this study described. The oversupply risk is prospective: it lives in the 12.6 million tonne restart programme and in a production quota that was suspended in May 2025 rather than repealed, either of which would meet a market with little spare demand to absorb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read and ONE of them is the answer. A discounted cash-flow model built up from tonnes and costs is the primary for this class, and the figure this study publishes is that lens and nothing else: EGP 66.53. Relative multiples, normalised earnings power and replacement cost are CROSS-CHECKS, published in the same table so a reader can see where they disagree — they span EGP 45.65 to EGP 65.57 — and none of them is averaged into the answer. There are no weights in this model to report. An earlier edition blended the four at 50/20/22/8 and would have read EGP 58.56; those weights had never cleared any out-of-sample test, and a number produced by averaging several methods is not more robust than the best of them — it is a new method with free parameters nobody tested, importing every weakness of the weakest lens at whatever weight somebody typed. Where several methods disagree the honest thing is to publish the disagreement and say which one the answer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Exported as cement</w:t>
            </w:r>
          </w:p>
        </w:tc>
        <w:tc>
          <w:tcPr>
            <w:tcW w:type="dxa" w:w="2880"/>
          </w:tcPr>
          <w:p>
            <w:pPr>
              <w:spacing w:after="20"/>
              <w:jc w:val="right"/>
            </w:pPr>
            <w:r>
              <w:rPr>
                <w:color w:val="1C3A36"/>
                <w:sz w:val="18"/>
              </w:rPr>
              <w:t>0.630Mt</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Exported as clinker  (from above)</w:t>
            </w:r>
          </w:p>
        </w:tc>
        <w:tc>
          <w:tcPr>
            <w:tcW w:type="dxa" w:w="2880"/>
          </w:tcPr>
          <w:p>
            <w:pPr>
              <w:spacing w:after="20"/>
              <w:jc w:val="right"/>
            </w:pPr>
            <w:r>
              <w:rPr>
                <w:color w:val="1C3A36"/>
                <w:sz w:val="18"/>
              </w:rPr>
              <w:t>1.301Mt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The cost stack and the margin it produces</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 (EGP mn)</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 (EGP mn)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 (EGP mn)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tcPr>
          <w:p>
            <w:pPr>
              <w:spacing w:after="20"/>
            </w:pPr>
            <w:r>
              <w:rPr>
                <w:color w:val="1C3A36"/>
                <w:sz w:val="18"/>
              </w:rPr>
              <w:t>Provisions and credit losses (EGP mn)</w:t>
            </w:r>
          </w:p>
        </w:tc>
        <w:tc>
          <w:tcPr>
            <w:tcW w:type="dxa" w:w="1872"/>
          </w:tcPr>
          <w:p>
            <w:pPr>
              <w:spacing w:after="20"/>
              <w:jc w:val="right"/>
            </w:pPr>
            <w:r>
              <w:rPr>
                <w:color w:val="1C3A36"/>
                <w:sz w:val="18"/>
              </w:rPr>
              <w:t>78</w:t>
            </w:r>
          </w:p>
        </w:tc>
        <w:tc>
          <w:tcPr>
            <w:tcW w:type="dxa" w:w="1872"/>
          </w:tcPr>
          <w:p>
            <w:pPr>
              <w:spacing w:after="20"/>
              <w:jc w:val="right"/>
            </w:pPr>
            <w:r>
              <w:rPr>
                <w:color w:val="1C3A36"/>
                <w:sz w:val="18"/>
              </w:rPr>
              <w:t>84</w:t>
            </w:r>
          </w:p>
        </w:tc>
        <w:tc>
          <w:tcPr>
            <w:tcW w:type="dxa" w:w="1872"/>
          </w:tcPr>
          <w:p>
            <w:pPr>
              <w:spacing w:after="20"/>
              <w:jc w:val="right"/>
            </w:pPr>
            <w:r>
              <w:rPr>
                <w:color w:val="1C3A36"/>
                <w:sz w:val="18"/>
              </w:rPr>
              <w:t>119</w:t>
            </w:r>
          </w:p>
        </w:tc>
      </w:tr>
      <w:tr>
        <w:tc>
          <w:tcPr>
            <w:tcW w:type="dxa" w:w="3744"/>
            <w:shd w:val="clear" w:color="auto" w:fill="F6F1E6"/>
          </w:tcPr>
          <w:p>
            <w:pPr>
              <w:spacing w:after="20"/>
            </w:pPr>
            <w:r>
              <w:rPr>
                <w:b/>
                <w:color w:val="1C3A36"/>
                <w:sz w:val="18"/>
              </w:rPr>
              <w:t>Total cash cost (EGP per tonne of cement)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 (EGP per tonne of cement)</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and the margin it produces. EBITDA is an OUTPUT of this build, not an input to it, and the table foots: revenue less the four cost lines IS the EBITDA printed at the foot. THE FOUR COST LINES ARE TOTALS IN EGP MILLIONS, NOT per-tonne rates — materials and fuel are driven by CLINKER produced, because the kiln burns the fuel, while transportation and overheads are driven by cement despatched, so no single per-tonne figure describes them all. Provisions and credit losses are an operating charge above operating profit in the audited statements, so they belong in this bridge, but they are not a cost of making a tonne and are therefore excluded from the per-tonne cash cost above.</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and assets under construction a further EGP 392mn; the EGP 2,914mn together, on 5.0Mt of capacity, is about USD 12 per annual tonne — against a replacement cost of USD 130. The book is carrying the plant at 8.9%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+6.2%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152"/>
        <w:gridCol w:w="2088"/>
        <w:gridCol w:w="1728"/>
      </w:tblGrid>
      <w:tr>
        <w:tc>
          <w:tcPr>
            <w:tcW w:type="dxa" w:w="3024"/>
            <w:shd w:val="clear" w:color="auto" w:fill="EAF0EE"/>
          </w:tcPr>
          <w:p>
            <w:pPr>
              <w:spacing w:after="20"/>
            </w:pPr>
            <w:r>
              <w:rPr>
                <w:b/>
                <w:color w:val="1C3A36"/>
                <w:sz w:val="18"/>
              </w:rPr>
              <w:t>Facility</w:t>
            </w:r>
          </w:p>
        </w:tc>
        <w:tc>
          <w:tcPr>
            <w:tcW w:type="dxa" w:w="1368"/>
            <w:shd w:val="clear" w:color="auto" w:fill="EAF0EE"/>
          </w:tcPr>
          <w:p>
            <w:pPr>
              <w:spacing w:after="20"/>
            </w:pPr>
            <w:r>
              <w:rPr>
                <w:b/>
                <w:color w:val="1C3A36"/>
                <w:sz w:val="18"/>
              </w:rPr>
              <w:t>Balance (EGP mn)</w:t>
            </w:r>
          </w:p>
        </w:tc>
        <w:tc>
          <w:tcPr>
            <w:tcW w:type="dxa" w:w="1152"/>
            <w:shd w:val="clear" w:color="auto" w:fill="EAF0EE"/>
          </w:tcPr>
          <w:p>
            <w:pPr>
              <w:spacing w:after="20"/>
            </w:pPr>
            <w:r>
              <w:rPr>
                <w:b/>
                <w:color w:val="1C3A36"/>
                <w:sz w:val="18"/>
              </w:rPr>
              <w:t>Currency</w:t>
            </w:r>
          </w:p>
        </w:tc>
        <w:tc>
          <w:tcPr>
            <w:tcW w:type="dxa" w:w="2088"/>
            <w:shd w:val="clear" w:color="auto" w:fill="EAF0EE"/>
          </w:tcPr>
          <w:p>
            <w:pPr>
              <w:spacing w:after="20"/>
            </w:pPr>
            <w:r>
              <w:rPr>
                <w:b/>
                <w:color w:val="1C3A36"/>
                <w:sz w:val="18"/>
              </w:rPr>
              <w:t>Contractual rate</w:t>
            </w:r>
          </w:p>
        </w:tc>
        <w:tc>
          <w:tcPr>
            <w:tcW w:type="dxa" w:w="1728"/>
            <w:shd w:val="clear" w:color="auto" w:fill="EAF0EE"/>
          </w:tcPr>
          <w:p>
            <w:pPr>
              <w:spacing w:after="20"/>
            </w:pPr>
            <w:r>
              <w:rPr>
                <w:b/>
                <w:color w:val="1C3A36"/>
                <w:sz w:val="18"/>
              </w:rPr>
              <w:t>Pound-equivalent cost</w:t>
            </w:r>
          </w:p>
        </w:tc>
      </w:tr>
      <w:tr>
        <w:tc>
          <w:tcPr>
            <w:tcW w:type="dxa" w:w="3024"/>
          </w:tcPr>
          <w:p>
            <w:pPr>
              <w:spacing w:after="20"/>
            </w:pPr>
            <w:r>
              <w:rPr>
                <w:color w:val="1C3A36"/>
                <w:sz w:val="18"/>
              </w:rPr>
              <w:t>CIB credit facilities</w:t>
            </w:r>
          </w:p>
        </w:tc>
        <w:tc>
          <w:tcPr>
            <w:tcW w:type="dxa" w:w="1368"/>
          </w:tcPr>
          <w:p>
            <w:pPr>
              <w:spacing w:after="20"/>
              <w:jc w:val="right"/>
            </w:pPr>
            <w:r>
              <w:rPr>
                <w:color w:val="1C3A36"/>
                <w:sz w:val="18"/>
              </w:rPr>
              <w:t>100</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corridor + 0.6% = 20.60%</w:t>
            </w:r>
          </w:p>
        </w:tc>
        <w:tc>
          <w:tcPr>
            <w:tcW w:type="dxa" w:w="1728"/>
          </w:tcPr>
          <w:p>
            <w:pPr>
              <w:spacing w:after="20"/>
              <w:jc w:val="right"/>
            </w:pPr>
            <w:r>
              <w:rPr>
                <w:color w:val="1C3A36"/>
                <w:sz w:val="18"/>
              </w:rPr>
              <w:t>20.60%</w:t>
            </w:r>
          </w:p>
        </w:tc>
      </w:tr>
      <w:tr>
        <w:tc>
          <w:tcPr>
            <w:tcW w:type="dxa" w:w="3024"/>
          </w:tcPr>
          <w:p>
            <w:pPr>
              <w:spacing w:after="20"/>
            </w:pPr>
            <w:r>
              <w:rPr>
                <w:color w:val="1C3A36"/>
                <w:sz w:val="18"/>
              </w:rPr>
              <w:t>National Bank of Egypt / KfW</w:t>
            </w:r>
          </w:p>
        </w:tc>
        <w:tc>
          <w:tcPr>
            <w:tcW w:type="dxa" w:w="1368"/>
          </w:tcPr>
          <w:p>
            <w:pPr>
              <w:spacing w:after="20"/>
              <w:jc w:val="right"/>
            </w:pPr>
            <w:r>
              <w:rPr>
                <w:color w:val="1C3A36"/>
                <w:sz w:val="18"/>
              </w:rPr>
              <w:t>146</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+ 3.00% = 5.49%</w:t>
            </w:r>
          </w:p>
        </w:tc>
        <w:tc>
          <w:tcPr>
            <w:tcW w:type="dxa" w:w="1728"/>
          </w:tcPr>
          <w:p>
            <w:pPr>
              <w:spacing w:after="20"/>
              <w:jc w:val="right"/>
            </w:pPr>
            <w:r>
              <w:rPr>
                <w:color w:val="1C3A36"/>
                <w:sz w:val="18"/>
              </w:rPr>
              <w:t>11.49%</w:t>
            </w:r>
          </w:p>
        </w:tc>
      </w:tr>
      <w:tr>
        <w:tc>
          <w:tcPr>
            <w:tcW w:type="dxa" w:w="3024"/>
          </w:tcPr>
          <w:p>
            <w:pPr>
              <w:spacing w:after="20"/>
            </w:pPr>
            <w:r>
              <w:rPr>
                <w:color w:val="1C3A36"/>
                <w:sz w:val="18"/>
              </w:rPr>
              <w:t>European Bank for Reconstruction and Development</w:t>
            </w:r>
          </w:p>
        </w:tc>
        <w:tc>
          <w:tcPr>
            <w:tcW w:type="dxa" w:w="1368"/>
          </w:tcPr>
          <w:p>
            <w:pPr>
              <w:spacing w:after="20"/>
              <w:jc w:val="right"/>
            </w:pPr>
            <w:r>
              <w:rPr>
                <w:color w:val="1C3A36"/>
                <w:sz w:val="18"/>
              </w:rPr>
              <w:t>888</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+ 4.35% = 6.84%</w:t>
            </w:r>
          </w:p>
        </w:tc>
        <w:tc>
          <w:tcPr>
            <w:tcW w:type="dxa" w:w="1728"/>
          </w:tcPr>
          <w:p>
            <w:pPr>
              <w:spacing w:after="20"/>
              <w:jc w:val="right"/>
            </w:pPr>
            <w:r>
              <w:rPr>
                <w:color w:val="1C3A36"/>
                <w:sz w:val="18"/>
              </w:rPr>
              <w:t>12.84%</w:t>
            </w:r>
          </w:p>
        </w:tc>
      </w:tr>
      <w:tr>
        <w:tc>
          <w:tcPr>
            <w:tcW w:type="dxa" w:w="3024"/>
          </w:tcPr>
          <w:p>
            <w:pPr>
              <w:spacing w:after="20"/>
            </w:pPr>
            <w:r>
              <w:rPr>
                <w:color w:val="1C3A36"/>
                <w:sz w:val="18"/>
              </w:rPr>
              <w:t>Lease liabilities</w:t>
            </w:r>
          </w:p>
        </w:tc>
        <w:tc>
          <w:tcPr>
            <w:tcW w:type="dxa" w:w="1368"/>
          </w:tcPr>
          <w:p>
            <w:pPr>
              <w:spacing w:after="20"/>
              <w:jc w:val="right"/>
            </w:pPr>
            <w:r>
              <w:rPr>
                <w:color w:val="1C3A36"/>
                <w:sz w:val="18"/>
              </w:rPr>
              <w:t>1.2</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marginal pound rate = 20.60%</w:t>
            </w:r>
          </w:p>
        </w:tc>
        <w:tc>
          <w:tcPr>
            <w:tcW w:type="dxa" w:w="1728"/>
          </w:tcPr>
          <w:p>
            <w:pPr>
              <w:spacing w:after="20"/>
              <w:jc w:val="right"/>
            </w:pPr>
            <w:r>
              <w:rPr>
                <w:color w:val="1C3A36"/>
                <w:sz w:val="18"/>
              </w:rPr>
              <w:t>20.60%</w:t>
            </w:r>
          </w:p>
        </w:tc>
      </w:tr>
      <w:tr>
        <w:tc>
          <w:tcPr>
            <w:tcW w:type="dxa" w:w="3024"/>
            <w:shd w:val="clear" w:color="auto" w:fill="F6F1E6"/>
          </w:tcPr>
          <w:p>
            <w:pPr>
              <w:spacing w:after="20"/>
            </w:pPr>
            <w:r>
              <w:rPr>
                <w:b/>
                <w:color w:val="1C3A36"/>
                <w:sz w:val="18"/>
              </w:rPr>
              <w:t>Weighted average</w:t>
            </w:r>
          </w:p>
        </w:tc>
        <w:tc>
          <w:tcPr>
            <w:tcW w:type="dxa" w:w="1368"/>
            <w:shd w:val="clear" w:color="auto" w:fill="F6F1E6"/>
          </w:tcPr>
          <w:p>
            <w:pPr>
              <w:spacing w:after="20"/>
              <w:jc w:val="right"/>
            </w:pPr>
            <w:r>
              <w:rPr>
                <w:b/>
                <w:color w:val="1C3A36"/>
                <w:sz w:val="18"/>
              </w:rPr>
              <w:t>1,135</w:t>
            </w:r>
          </w:p>
        </w:tc>
        <w:tc>
          <w:tcPr>
            <w:tcW w:type="dxa" w:w="1152"/>
            <w:shd w:val="clear" w:color="auto" w:fill="F6F1E6"/>
          </w:tcPr>
          <w:p>
            <w:pPr>
              <w:spacing w:after="20"/>
              <w:jc w:val="right"/>
            </w:pPr>
            <w:r>
              <w:rPr>
                <w:b/>
                <w:color w:val="1C3A36"/>
                <w:sz w:val="18"/>
              </w:rPr>
              <w:t>91% EUR</w:t>
            </w:r>
          </w:p>
        </w:tc>
        <w:tc>
          <w:tcPr>
            <w:tcW w:type="dxa" w:w="2088"/>
            <w:shd w:val="clear" w:color="auto" w:fill="F6F1E6"/>
          </w:tcPr>
          <w:p>
            <w:pPr>
              <w:spacing w:after="20"/>
              <w:jc w:val="right"/>
            </w:pPr>
            <w:r>
              <w:rPr>
                <w:b/>
                <w:color w:val="1C3A36"/>
                <w:sz w:val="18"/>
              </w:rPr>
              <w:t>7.89%</w:t>
            </w:r>
          </w:p>
        </w:tc>
        <w:tc>
          <w:tcPr>
            <w:tcW w:type="dxa" w:w="1728"/>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and the rate ADOPTED is the last column. A euro loan is not a cheap loan to a company that earns pounds: the contractual coupon has to carry the expected 6% annual pound depreciation against the euro before it can be compared with a pound rate or applied to pound cash flows. Both columns weight to the figures shown, from these four lines and nothing pasted; the contractual weighted average is published beside the adopted one so the reader can see the whole of the difference.</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adopted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A marginal forward-looking rate is the right one for a discount rate, and the gap is disclosed so the reader can disagree.</w:t>
      </w:r>
    </w:p>
    <w:p>
      <w:pPr>
        <w:spacing w:after="120" w:before="0"/>
      </w:pPr>
      <w:r>
        <w:rPr>
          <w:b w:val="0"/>
          <w:i w:val="0"/>
          <w:color w:val="1C3A36"/>
          <w:sz w:val="21"/>
        </w:rPr>
        <w:t>One caution belongs next to that number, and it runs the other way from the one a reader might expect. The alternative here is the CONTRACTED euro rate — the coupon as written, 7.89% blended — and adopting it would mean the euro debt is NOT compensated for pound depreciation beyond what this study's own currency path already assumes. This study does not adopt it. Loading the euro legs with 6% annual pound depreciation under interest parity, which is what a company earning pounds actually bears on a euro loan, is what produces the adopted 13.36% — 1.7 times the contracted figure. The cheaper alternative is computed as a VALUE and not merely described: it is worth +0.2% of the cash-flow lens, because debt is only 3.8% of the capital structure. A large swing in a small weight is still a small effect, and saying so is not the same as dismissing it. The adopted rate is the MORE conservative of the two.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74.54 against 66.53 on the adopted one, a difference of +12.0%.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79.16</w:t>
            </w:r>
          </w:p>
        </w:tc>
        <w:tc>
          <w:tcPr>
            <w:tcW w:type="dxa" w:w="1391"/>
          </w:tcPr>
          <w:p>
            <w:pPr>
              <w:spacing w:after="20"/>
              <w:jc w:val="right"/>
            </w:pPr>
            <w:r>
              <w:rPr>
                <w:color w:val="1C3A36"/>
                <w:sz w:val="18"/>
              </w:rPr>
              <w:t>70.35</w:t>
            </w:r>
          </w:p>
        </w:tc>
        <w:tc>
          <w:tcPr>
            <w:tcW w:type="dxa" w:w="1391"/>
          </w:tcPr>
          <w:p>
            <w:pPr>
              <w:spacing w:after="20"/>
              <w:jc w:val="right"/>
            </w:pPr>
            <w:r>
              <w:rPr>
                <w:color w:val="1C3A36"/>
                <w:sz w:val="18"/>
              </w:rPr>
              <w:t>63.47</w:t>
            </w:r>
          </w:p>
        </w:tc>
        <w:tc>
          <w:tcPr>
            <w:tcW w:type="dxa" w:w="1391"/>
          </w:tcPr>
          <w:p>
            <w:pPr>
              <w:spacing w:after="20"/>
              <w:jc w:val="right"/>
            </w:pPr>
            <w:r>
              <w:rPr>
                <w:color w:val="1C3A36"/>
                <w:sz w:val="18"/>
              </w:rPr>
              <w:t>59.24</w:t>
            </w:r>
          </w:p>
        </w:tc>
        <w:tc>
          <w:tcPr>
            <w:tcW w:type="dxa" w:w="1391"/>
          </w:tcPr>
          <w:p>
            <w:pPr>
              <w:spacing w:after="20"/>
              <w:jc w:val="right"/>
            </w:pPr>
            <w:r>
              <w:rPr>
                <w:color w:val="1C3A36"/>
                <w:sz w:val="18"/>
              </w:rPr>
              <w:t>55.59</w:t>
            </w:r>
          </w:p>
        </w:tc>
      </w:tr>
    </w:tbl>
    <w:p>
      <w:pPr>
        <w:spacing w:after="40"/>
      </w:pPr>
    </w:p>
    <w:p>
      <w:pPr>
        <w:spacing w:after="200" w:before="0"/>
      </w:pPr>
      <w:r>
        <w:rPr>
          <w:b w:val="0"/>
          <w:i/>
          <w:color w:val="6E7B77"/>
          <w:sz w:val="17"/>
        </w:rPr>
        <w:t>Table 8 — Fair value across the fixed comparability anchors. These are round numbers held constant so studies can be compared, and they therefore do NOT track any one regression's confidence interval — on this name the withdrawn own-stock estimate carries a 95% interval of 0.25 to 1.15, whose LOWER end sits below the lowest anchor here and would put the cash-flow lens at EGP 102.54. That end is the value-RAISING one, and it is stated rather than left off the table: a wider interval than the anchors show is a fact about how little this regression establishes, not a reason to print a narrower one.</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Plus other operating income</w:t>
            </w:r>
          </w:p>
        </w:tc>
        <w:tc>
          <w:tcPr>
            <w:tcW w:type="dxa" w:w="1325"/>
          </w:tcPr>
          <w:p>
            <w:pPr>
              <w:spacing w:after="20"/>
              <w:jc w:val="right"/>
            </w:pPr>
            <w:r>
              <w:rPr>
                <w:color w:val="1C3A36"/>
                <w:sz w:val="17"/>
              </w:rPr>
              <w:t>50</w:t>
            </w:r>
          </w:p>
        </w:tc>
        <w:tc>
          <w:tcPr>
            <w:tcW w:type="dxa" w:w="1325"/>
          </w:tcPr>
          <w:p>
            <w:pPr>
              <w:spacing w:after="20"/>
              <w:jc w:val="right"/>
            </w:pPr>
            <w:r>
              <w:rPr>
                <w:color w:val="1C3A36"/>
                <w:sz w:val="17"/>
              </w:rPr>
              <w:t>54</w:t>
            </w:r>
          </w:p>
        </w:tc>
        <w:tc>
          <w:tcPr>
            <w:tcW w:type="dxa" w:w="1325"/>
          </w:tcPr>
          <w:p>
            <w:pPr>
              <w:spacing w:after="20"/>
              <w:jc w:val="right"/>
            </w:pPr>
            <w:r>
              <w:rPr>
                <w:color w:val="1C3A36"/>
                <w:sz w:val="17"/>
              </w:rPr>
              <w:t>57</w:t>
            </w:r>
          </w:p>
        </w:tc>
        <w:tc>
          <w:tcPr>
            <w:tcW w:type="dxa" w:w="1325"/>
          </w:tcPr>
          <w:p>
            <w:pPr>
              <w:spacing w:after="20"/>
              <w:jc w:val="right"/>
            </w:pPr>
            <w:r>
              <w:rPr>
                <w:color w:val="1C3A36"/>
                <w:sz w:val="17"/>
              </w:rPr>
              <w:t>60</w:t>
            </w:r>
          </w:p>
        </w:tc>
        <w:tc>
          <w:tcPr>
            <w:tcW w:type="dxa" w:w="1325"/>
          </w:tcPr>
          <w:p>
            <w:pPr>
              <w:spacing w:after="20"/>
              <w:jc w:val="right"/>
            </w:pPr>
            <w:r>
              <w:rPr>
                <w:color w:val="1C3A36"/>
                <w:sz w:val="17"/>
              </w:rPr>
              <w:t>62</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Remaining fraction of the year</w:t>
            </w:r>
          </w:p>
        </w:tc>
        <w:tc>
          <w:tcPr>
            <w:tcW w:type="dxa" w:w="1325"/>
            <w:shd w:val="clear" w:color="auto" w:fill="F6F1E6"/>
          </w:tcPr>
          <w:p>
            <w:pPr>
              <w:spacing w:after="20"/>
              <w:jc w:val="right"/>
            </w:pPr>
            <w:r>
              <w:rPr>
                <w:b/>
                <w:color w:val="1C3A36"/>
                <w:sz w:val="17"/>
              </w:rPr>
              <w:t>0.50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r>
      <w:tr>
        <w:tc>
          <w:tcPr>
            <w:tcW w:type="dxa" w:w="3024"/>
          </w:tcPr>
          <w:p>
            <w:pPr>
              <w:spacing w:after="20"/>
            </w:pPr>
            <w:r>
              <w:rPr>
                <w:color w:val="1C3A36"/>
                <w:sz w:val="17"/>
              </w:rPr>
              <w:t>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and every line of it is printed so the arithmetic closes on the page: EBITDA less depreciation PLUS other operating income is the EBIT shown. That last line is the export subsidy at the rate the company disclosed on its FY2025 export revenue, plus the non-subsidy remainder escalated; it is a real disclosed income and leaving it out of the printed build would have left a reader unable to reconcile the two rows either side of it. FY2026 carries only the 6 months not yet earned at the valuation date; the 6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51.7% in total across the five years while pound costs grow 56.6% — a real erosion of about 3%. The EBITDA margin therefore falls from the audited 39.3% to 40.4%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4.92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56.6% — but that is the input-price index, not the cost the model actually charges. Netting the alternative-fuel saving off the materials line, the cash cost per tonne the model charges grows 46.9%, so the real erosion is -3.1%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Holding that exit flat through 2026 would by itself produce a full-year average 7.2% higher, so the 8.0% carried here is less than a point above a path in which prices stop rising altogether. That is the sense in which this forecast is conservative, and it can now be checked rather than asserted.</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above the simple annualisation — a direction that is COMPUTED here rather than typed, because the earlier editions of this sentence said "below" beside a positive sign. The margin turn is visible in the two rates rather than in that one: revenue is forecast +11.4% against four times the quarter while profit is forecast +1.8%, so the model has revenue running well ahead of earnings.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12,976</w:t>
            </w:r>
          </w:p>
        </w:tc>
        <w:tc>
          <w:tcPr>
            <w:tcW w:type="dxa" w:w="2160"/>
          </w:tcPr>
          <w:p>
            <w:pPr>
              <w:spacing w:after="20"/>
              <w:jc w:val="right"/>
            </w:pPr>
            <w:r>
              <w:rPr>
                <w:color w:val="1C3A36"/>
                <w:sz w:val="18"/>
              </w:rPr>
              <w:t>34.62</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24,253</w:t>
            </w:r>
          </w:p>
        </w:tc>
        <w:tc>
          <w:tcPr>
            <w:tcW w:type="dxa" w:w="2160"/>
            <w:shd w:val="clear" w:color="auto" w:fill="F6F1E6"/>
          </w:tcPr>
          <w:p>
            <w:pPr>
              <w:spacing w:after="20"/>
              <w:jc w:val="right"/>
            </w:pPr>
            <w:r>
              <w:rPr>
                <w:b/>
                <w:color w:val="1C3A36"/>
                <w:sz w:val="18"/>
              </w:rPr>
              <w:t>64.70</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24,940</w:t>
            </w:r>
          </w:p>
        </w:tc>
        <w:tc>
          <w:tcPr>
            <w:tcW w:type="dxa" w:w="2160"/>
            <w:shd w:val="clear" w:color="auto" w:fill="F6F1E6"/>
          </w:tcPr>
          <w:p>
            <w:pPr>
              <w:spacing w:after="20"/>
              <w:jc w:val="right"/>
            </w:pPr>
            <w:r>
              <w:rPr>
                <w:b/>
                <w:color w:val="1C3A36"/>
                <w:sz w:val="18"/>
              </w:rPr>
              <w:t>66.53</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53.5%</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-13.6%</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0.0009% of equity value. The subsidiaries are 99% to 99.99% owned.</w:t>
      </w:r>
    </w:p>
    <w:p>
      <w:pPr>
        <w:spacing w:after="120" w:before="0"/>
      </w:pPr>
      <w:r>
        <w:rPr>
          <w:b w:val="0"/>
          <w:i w:val="0"/>
          <w:color w:val="1C3A36"/>
          <w:sz w:val="21"/>
        </w:rPr>
        <w:t>At 53.5%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On that basis the return on capital is 10.52% — the last forecast year's operating profit after tax against that capital, both measured at the same date. A figure of 11.3% appears in the earlier editions of this section and is NOT used here: it divides a profit already grown by one year of terminal growth by a capital base that has not grown, which flatters the return by 74 basis points for no reason other than the mismatch. The lower figure is the one this study tests growth against.</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62.2% of terminal profit. Substituting the definitions, that construction collapses to a fixed charge of growth multiplied by invested capital: EGP 3,583mn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2,560mn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2.8: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10.52% against a terminal rate of 18.3% — 782 basis points BELOW it. Growth therefore DESTROYS value: the cash-flow lens is EGP 70.79 at 3% terminal growth and EGP 66.53 at 7%, so four extra points of perpetual growth take the value DOWN by 6.0%.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73.15</w:t>
            </w:r>
          </w:p>
        </w:tc>
        <w:tc>
          <w:tcPr>
            <w:tcW w:type="dxa" w:w="1469"/>
          </w:tcPr>
          <w:p>
            <w:pPr>
              <w:spacing w:after="20"/>
              <w:jc w:val="right"/>
            </w:pPr>
            <w:r>
              <w:rPr>
                <w:color w:val="1C3A36"/>
                <w:sz w:val="18"/>
              </w:rPr>
              <w:t>72.39</w:t>
            </w:r>
          </w:p>
        </w:tc>
        <w:tc>
          <w:tcPr>
            <w:tcW w:type="dxa" w:w="1469"/>
          </w:tcPr>
          <w:p>
            <w:pPr>
              <w:spacing w:after="20"/>
              <w:jc w:val="right"/>
            </w:pPr>
            <w:r>
              <w:rPr>
                <w:color w:val="1C3A36"/>
                <w:sz w:val="18"/>
              </w:rPr>
              <w:t>71.43</w:t>
            </w:r>
          </w:p>
        </w:tc>
        <w:tc>
          <w:tcPr>
            <w:tcW w:type="dxa" w:w="1469"/>
          </w:tcPr>
          <w:p>
            <w:pPr>
              <w:spacing w:after="20"/>
              <w:jc w:val="right"/>
            </w:pPr>
            <w:r>
              <w:rPr>
                <w:color w:val="1C3A36"/>
                <w:sz w:val="18"/>
              </w:rPr>
              <w:t>70.23</w:t>
            </w:r>
          </w:p>
        </w:tc>
        <w:tc>
          <w:tcPr>
            <w:tcW w:type="dxa" w:w="1469"/>
          </w:tcPr>
          <w:p>
            <w:pPr>
              <w:spacing w:after="20"/>
              <w:jc w:val="right"/>
            </w:pPr>
            <w:r>
              <w:rPr>
                <w:color w:val="1C3A36"/>
                <w:sz w:val="18"/>
              </w:rPr>
              <w:t>68.72</w:t>
            </w:r>
          </w:p>
        </w:tc>
      </w:tr>
      <w:tr>
        <w:tc>
          <w:tcPr>
            <w:tcW w:type="dxa" w:w="2477"/>
          </w:tcPr>
          <w:p>
            <w:pPr>
              <w:spacing w:after="20"/>
            </w:pPr>
            <w:r>
              <w:rPr>
                <w:color w:val="1C3A36"/>
                <w:sz w:val="18"/>
              </w:rPr>
              <w:t>26.10%</w:t>
            </w:r>
          </w:p>
        </w:tc>
        <w:tc>
          <w:tcPr>
            <w:tcW w:type="dxa" w:w="1469"/>
          </w:tcPr>
          <w:p>
            <w:pPr>
              <w:spacing w:after="20"/>
              <w:jc w:val="right"/>
            </w:pPr>
            <w:r>
              <w:rPr>
                <w:color w:val="1C3A36"/>
                <w:sz w:val="18"/>
              </w:rPr>
              <w:t>71.96</w:t>
            </w:r>
          </w:p>
        </w:tc>
        <w:tc>
          <w:tcPr>
            <w:tcW w:type="dxa" w:w="1469"/>
          </w:tcPr>
          <w:p>
            <w:pPr>
              <w:spacing w:after="20"/>
              <w:jc w:val="right"/>
            </w:pPr>
            <w:r>
              <w:rPr>
                <w:color w:val="1C3A36"/>
                <w:sz w:val="18"/>
              </w:rPr>
              <w:t>71.21</w:t>
            </w:r>
          </w:p>
        </w:tc>
        <w:tc>
          <w:tcPr>
            <w:tcW w:type="dxa" w:w="1469"/>
          </w:tcPr>
          <w:p>
            <w:pPr>
              <w:spacing w:after="20"/>
              <w:jc w:val="right"/>
            </w:pPr>
            <w:r>
              <w:rPr>
                <w:color w:val="1C3A36"/>
                <w:sz w:val="18"/>
              </w:rPr>
              <w:t>70.27</w:t>
            </w:r>
          </w:p>
        </w:tc>
        <w:tc>
          <w:tcPr>
            <w:tcW w:type="dxa" w:w="1469"/>
          </w:tcPr>
          <w:p>
            <w:pPr>
              <w:spacing w:after="20"/>
              <w:jc w:val="right"/>
            </w:pPr>
            <w:r>
              <w:rPr>
                <w:color w:val="1C3A36"/>
                <w:sz w:val="18"/>
              </w:rPr>
              <w:t>69.09</w:t>
            </w:r>
          </w:p>
        </w:tc>
        <w:tc>
          <w:tcPr>
            <w:tcW w:type="dxa" w:w="1469"/>
          </w:tcPr>
          <w:p>
            <w:pPr>
              <w:spacing w:after="20"/>
              <w:jc w:val="right"/>
            </w:pPr>
            <w:r>
              <w:rPr>
                <w:color w:val="1C3A36"/>
                <w:sz w:val="18"/>
              </w:rPr>
              <w:t>67.61</w:t>
            </w:r>
          </w:p>
        </w:tc>
      </w:tr>
      <w:tr>
        <w:tc>
          <w:tcPr>
            <w:tcW w:type="dxa" w:w="2477"/>
          </w:tcPr>
          <w:p>
            <w:pPr>
              <w:spacing w:after="20"/>
            </w:pPr>
            <w:r>
              <w:rPr>
                <w:color w:val="1C3A36"/>
                <w:sz w:val="18"/>
              </w:rPr>
              <w:t>27.60%</w:t>
            </w:r>
          </w:p>
        </w:tc>
        <w:tc>
          <w:tcPr>
            <w:tcW w:type="dxa" w:w="1469"/>
          </w:tcPr>
          <w:p>
            <w:pPr>
              <w:spacing w:after="20"/>
              <w:jc w:val="right"/>
            </w:pPr>
            <w:r>
              <w:rPr>
                <w:color w:val="1C3A36"/>
                <w:sz w:val="18"/>
              </w:rPr>
              <w:t>70.79</w:t>
            </w:r>
          </w:p>
        </w:tc>
        <w:tc>
          <w:tcPr>
            <w:tcW w:type="dxa" w:w="1469"/>
          </w:tcPr>
          <w:p>
            <w:pPr>
              <w:spacing w:after="20"/>
              <w:jc w:val="right"/>
            </w:pPr>
            <w:r>
              <w:rPr>
                <w:color w:val="1C3A36"/>
                <w:sz w:val="18"/>
              </w:rPr>
              <w:t>70.06</w:t>
            </w:r>
          </w:p>
        </w:tc>
        <w:tc>
          <w:tcPr>
            <w:tcW w:type="dxa" w:w="1469"/>
          </w:tcPr>
          <w:p>
            <w:pPr>
              <w:spacing w:after="20"/>
              <w:jc w:val="right"/>
            </w:pPr>
            <w:r>
              <w:rPr>
                <w:color w:val="1C3A36"/>
                <w:sz w:val="18"/>
              </w:rPr>
              <w:t>69.14</w:t>
            </w:r>
          </w:p>
        </w:tc>
        <w:tc>
          <w:tcPr>
            <w:tcW w:type="dxa" w:w="1469"/>
          </w:tcPr>
          <w:p>
            <w:pPr>
              <w:spacing w:after="20"/>
              <w:jc w:val="right"/>
            </w:pPr>
            <w:r>
              <w:rPr>
                <w:color w:val="1C3A36"/>
                <w:sz w:val="18"/>
              </w:rPr>
              <w:t>67.98</w:t>
            </w:r>
          </w:p>
        </w:tc>
        <w:tc>
          <w:tcPr>
            <w:tcW w:type="dxa" w:w="1469"/>
          </w:tcPr>
          <w:p>
            <w:pPr>
              <w:spacing w:after="20"/>
              <w:jc w:val="right"/>
            </w:pPr>
            <w:r>
              <w:rPr>
                <w:color w:val="1C3A36"/>
                <w:sz w:val="18"/>
              </w:rPr>
              <w:t>66.53</w:t>
            </w:r>
          </w:p>
        </w:tc>
      </w:tr>
      <w:tr>
        <w:tc>
          <w:tcPr>
            <w:tcW w:type="dxa" w:w="2477"/>
          </w:tcPr>
          <w:p>
            <w:pPr>
              <w:spacing w:after="20"/>
            </w:pPr>
            <w:r>
              <w:rPr>
                <w:color w:val="1C3A36"/>
                <w:sz w:val="18"/>
              </w:rPr>
              <w:t>29.10%</w:t>
            </w:r>
          </w:p>
        </w:tc>
        <w:tc>
          <w:tcPr>
            <w:tcW w:type="dxa" w:w="1469"/>
          </w:tcPr>
          <w:p>
            <w:pPr>
              <w:spacing w:after="20"/>
              <w:jc w:val="right"/>
            </w:pPr>
            <w:r>
              <w:rPr>
                <w:color w:val="1C3A36"/>
                <w:sz w:val="18"/>
              </w:rPr>
              <w:t>69.65</w:t>
            </w:r>
          </w:p>
        </w:tc>
        <w:tc>
          <w:tcPr>
            <w:tcW w:type="dxa" w:w="1469"/>
          </w:tcPr>
          <w:p>
            <w:pPr>
              <w:spacing w:after="20"/>
              <w:jc w:val="right"/>
            </w:pPr>
            <w:r>
              <w:rPr>
                <w:color w:val="1C3A36"/>
                <w:sz w:val="18"/>
              </w:rPr>
              <w:t>68.94</w:t>
            </w:r>
          </w:p>
        </w:tc>
        <w:tc>
          <w:tcPr>
            <w:tcW w:type="dxa" w:w="1469"/>
          </w:tcPr>
          <w:p>
            <w:pPr>
              <w:spacing w:after="20"/>
              <w:jc w:val="right"/>
            </w:pPr>
            <w:r>
              <w:rPr>
                <w:color w:val="1C3A36"/>
                <w:sz w:val="18"/>
              </w:rPr>
              <w:t>68.03</w:t>
            </w:r>
          </w:p>
        </w:tc>
        <w:tc>
          <w:tcPr>
            <w:tcW w:type="dxa" w:w="1469"/>
          </w:tcPr>
          <w:p>
            <w:pPr>
              <w:spacing w:after="20"/>
              <w:jc w:val="right"/>
            </w:pPr>
            <w:r>
              <w:rPr>
                <w:color w:val="1C3A36"/>
                <w:sz w:val="18"/>
              </w:rPr>
              <w:t>66.90</w:t>
            </w:r>
          </w:p>
        </w:tc>
        <w:tc>
          <w:tcPr>
            <w:tcW w:type="dxa" w:w="1469"/>
          </w:tcPr>
          <w:p>
            <w:pPr>
              <w:spacing w:after="20"/>
              <w:jc w:val="right"/>
            </w:pPr>
            <w:r>
              <w:rPr>
                <w:color w:val="1C3A36"/>
                <w:sz w:val="18"/>
              </w:rPr>
              <w:t>65.47</w:t>
            </w:r>
          </w:p>
        </w:tc>
      </w:tr>
      <w:tr>
        <w:tc>
          <w:tcPr>
            <w:tcW w:type="dxa" w:w="2477"/>
          </w:tcPr>
          <w:p>
            <w:pPr>
              <w:spacing w:after="20"/>
            </w:pPr>
            <w:r>
              <w:rPr>
                <w:color w:val="1C3A36"/>
                <w:sz w:val="18"/>
              </w:rPr>
              <w:t>30.60%</w:t>
            </w:r>
          </w:p>
        </w:tc>
        <w:tc>
          <w:tcPr>
            <w:tcW w:type="dxa" w:w="1469"/>
          </w:tcPr>
          <w:p>
            <w:pPr>
              <w:spacing w:after="20"/>
              <w:jc w:val="right"/>
            </w:pPr>
            <w:r>
              <w:rPr>
                <w:color w:val="1C3A36"/>
                <w:sz w:val="18"/>
              </w:rPr>
              <w:t>68.55</w:t>
            </w:r>
          </w:p>
        </w:tc>
        <w:tc>
          <w:tcPr>
            <w:tcW w:type="dxa" w:w="1469"/>
          </w:tcPr>
          <w:p>
            <w:pPr>
              <w:spacing w:after="20"/>
              <w:jc w:val="right"/>
            </w:pPr>
            <w:r>
              <w:rPr>
                <w:color w:val="1C3A36"/>
                <w:sz w:val="18"/>
              </w:rPr>
              <w:t>67.84</w:t>
            </w:r>
          </w:p>
        </w:tc>
        <w:tc>
          <w:tcPr>
            <w:tcW w:type="dxa" w:w="1469"/>
          </w:tcPr>
          <w:p>
            <w:pPr>
              <w:spacing w:after="20"/>
              <w:jc w:val="right"/>
            </w:pPr>
            <w:r>
              <w:rPr>
                <w:color w:val="1C3A36"/>
                <w:sz w:val="18"/>
              </w:rPr>
              <w:t>66.96</w:t>
            </w:r>
          </w:p>
        </w:tc>
        <w:tc>
          <w:tcPr>
            <w:tcW w:type="dxa" w:w="1469"/>
          </w:tcPr>
          <w:p>
            <w:pPr>
              <w:spacing w:after="20"/>
              <w:jc w:val="right"/>
            </w:pPr>
            <w:r>
              <w:rPr>
                <w:color w:val="1C3A36"/>
                <w:sz w:val="18"/>
              </w:rPr>
              <w:t>65.84</w:t>
            </w:r>
          </w:p>
        </w:tc>
        <w:tc>
          <w:tcPr>
            <w:tcW w:type="dxa" w:w="1469"/>
          </w:tcPr>
          <w:p>
            <w:pPr>
              <w:spacing w:after="20"/>
              <w:jc w:val="right"/>
            </w:pPr>
            <w:r>
              <w:rPr>
                <w:color w:val="1C3A36"/>
                <w:sz w:val="18"/>
              </w:rPr>
              <w:t>64.45</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4.43, against EGP 4.60 down a column. The paragraphs above set out why the growth axis is nearly flat — on a replacement-cost denominator this plant sits within -782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79.15</w:t>
            </w:r>
          </w:p>
        </w:tc>
        <w:tc>
          <w:tcPr>
            <w:tcW w:type="dxa" w:w="1469"/>
          </w:tcPr>
          <w:p>
            <w:pPr>
              <w:spacing w:after="20"/>
              <w:jc w:val="right"/>
            </w:pPr>
            <w:r>
              <w:rPr>
                <w:color w:val="1C3A36"/>
                <w:sz w:val="18"/>
              </w:rPr>
              <w:t>73.44</w:t>
            </w:r>
          </w:p>
        </w:tc>
        <w:tc>
          <w:tcPr>
            <w:tcW w:type="dxa" w:w="1469"/>
          </w:tcPr>
          <w:p>
            <w:pPr>
              <w:spacing w:after="20"/>
              <w:jc w:val="right"/>
            </w:pPr>
            <w:r>
              <w:rPr>
                <w:color w:val="1C3A36"/>
                <w:sz w:val="18"/>
              </w:rPr>
              <w:t>68.72</w:t>
            </w:r>
          </w:p>
        </w:tc>
        <w:tc>
          <w:tcPr>
            <w:tcW w:type="dxa" w:w="1469"/>
          </w:tcPr>
          <w:p>
            <w:pPr>
              <w:spacing w:after="20"/>
              <w:jc w:val="right"/>
            </w:pPr>
            <w:r>
              <w:rPr>
                <w:color w:val="1C3A36"/>
                <w:sz w:val="18"/>
              </w:rPr>
              <w:t>64.76</w:t>
            </w:r>
          </w:p>
        </w:tc>
        <w:tc>
          <w:tcPr>
            <w:tcW w:type="dxa" w:w="1469"/>
          </w:tcPr>
          <w:p>
            <w:pPr>
              <w:spacing w:after="20"/>
              <w:jc w:val="right"/>
            </w:pPr>
            <w:r>
              <w:rPr>
                <w:color w:val="1C3A36"/>
                <w:sz w:val="18"/>
              </w:rPr>
              <w:t>61.38</w:t>
            </w:r>
          </w:p>
        </w:tc>
      </w:tr>
      <w:tr>
        <w:tc>
          <w:tcPr>
            <w:tcW w:type="dxa" w:w="2477"/>
          </w:tcPr>
          <w:p>
            <w:pPr>
              <w:spacing w:after="20"/>
            </w:pPr>
            <w:r>
              <w:rPr>
                <w:color w:val="1C3A36"/>
                <w:sz w:val="18"/>
              </w:rPr>
              <w:t>26.10%</w:t>
            </w:r>
          </w:p>
        </w:tc>
        <w:tc>
          <w:tcPr>
            <w:tcW w:type="dxa" w:w="1469"/>
          </w:tcPr>
          <w:p>
            <w:pPr>
              <w:spacing w:after="20"/>
              <w:jc w:val="right"/>
            </w:pPr>
            <w:r>
              <w:rPr>
                <w:color w:val="1C3A36"/>
                <w:sz w:val="18"/>
              </w:rPr>
              <w:t>77.83</w:t>
            </w:r>
          </w:p>
        </w:tc>
        <w:tc>
          <w:tcPr>
            <w:tcW w:type="dxa" w:w="1469"/>
          </w:tcPr>
          <w:p>
            <w:pPr>
              <w:spacing w:after="20"/>
              <w:jc w:val="right"/>
            </w:pPr>
            <w:r>
              <w:rPr>
                <w:color w:val="1C3A36"/>
                <w:sz w:val="18"/>
              </w:rPr>
              <w:t>72.24</w:t>
            </w:r>
          </w:p>
        </w:tc>
        <w:tc>
          <w:tcPr>
            <w:tcW w:type="dxa" w:w="1469"/>
          </w:tcPr>
          <w:p>
            <w:pPr>
              <w:spacing w:after="20"/>
              <w:jc w:val="right"/>
            </w:pPr>
            <w:r>
              <w:rPr>
                <w:color w:val="1C3A36"/>
                <w:sz w:val="18"/>
              </w:rPr>
              <w:t>67.61</w:t>
            </w:r>
          </w:p>
        </w:tc>
        <w:tc>
          <w:tcPr>
            <w:tcW w:type="dxa" w:w="1469"/>
          </w:tcPr>
          <w:p>
            <w:pPr>
              <w:spacing w:after="20"/>
              <w:jc w:val="right"/>
            </w:pPr>
            <w:r>
              <w:rPr>
                <w:color w:val="1C3A36"/>
                <w:sz w:val="18"/>
              </w:rPr>
              <w:t>63.73</w:t>
            </w:r>
          </w:p>
        </w:tc>
        <w:tc>
          <w:tcPr>
            <w:tcW w:type="dxa" w:w="1469"/>
          </w:tcPr>
          <w:p>
            <w:pPr>
              <w:spacing w:after="20"/>
              <w:jc w:val="right"/>
            </w:pPr>
            <w:r>
              <w:rPr>
                <w:color w:val="1C3A36"/>
                <w:sz w:val="18"/>
              </w:rPr>
              <w:t>60.42</w:t>
            </w:r>
          </w:p>
        </w:tc>
      </w:tr>
      <w:tr>
        <w:tc>
          <w:tcPr>
            <w:tcW w:type="dxa" w:w="2477"/>
          </w:tcPr>
          <w:p>
            <w:pPr>
              <w:spacing w:after="20"/>
            </w:pPr>
            <w:r>
              <w:rPr>
                <w:color w:val="1C3A36"/>
                <w:sz w:val="18"/>
              </w:rPr>
              <w:t>27.60%</w:t>
            </w:r>
          </w:p>
        </w:tc>
        <w:tc>
          <w:tcPr>
            <w:tcW w:type="dxa" w:w="1469"/>
          </w:tcPr>
          <w:p>
            <w:pPr>
              <w:spacing w:after="20"/>
              <w:jc w:val="right"/>
            </w:pPr>
            <w:r>
              <w:rPr>
                <w:color w:val="1C3A36"/>
                <w:sz w:val="18"/>
              </w:rPr>
              <w:t>76.55</w:t>
            </w:r>
          </w:p>
        </w:tc>
        <w:tc>
          <w:tcPr>
            <w:tcW w:type="dxa" w:w="1469"/>
          </w:tcPr>
          <w:p>
            <w:pPr>
              <w:spacing w:after="20"/>
              <w:jc w:val="right"/>
            </w:pPr>
            <w:r>
              <w:rPr>
                <w:color w:val="1C3A36"/>
                <w:sz w:val="18"/>
              </w:rPr>
              <w:t>71.06</w:t>
            </w:r>
          </w:p>
        </w:tc>
        <w:tc>
          <w:tcPr>
            <w:tcW w:type="dxa" w:w="1469"/>
          </w:tcPr>
          <w:p>
            <w:pPr>
              <w:spacing w:after="20"/>
              <w:jc w:val="right"/>
            </w:pPr>
            <w:r>
              <w:rPr>
                <w:color w:val="1C3A36"/>
                <w:sz w:val="18"/>
              </w:rPr>
              <w:t>66.53</w:t>
            </w:r>
          </w:p>
        </w:tc>
        <w:tc>
          <w:tcPr>
            <w:tcW w:type="dxa" w:w="1469"/>
          </w:tcPr>
          <w:p>
            <w:pPr>
              <w:spacing w:after="20"/>
              <w:jc w:val="right"/>
            </w:pPr>
            <w:r>
              <w:rPr>
                <w:color w:val="1C3A36"/>
                <w:sz w:val="18"/>
              </w:rPr>
              <w:t>62.72</w:t>
            </w:r>
          </w:p>
        </w:tc>
        <w:tc>
          <w:tcPr>
            <w:tcW w:type="dxa" w:w="1469"/>
          </w:tcPr>
          <w:p>
            <w:pPr>
              <w:spacing w:after="20"/>
              <w:jc w:val="right"/>
            </w:pPr>
            <w:r>
              <w:rPr>
                <w:color w:val="1C3A36"/>
                <w:sz w:val="18"/>
              </w:rPr>
              <w:t>59.47</w:t>
            </w:r>
          </w:p>
        </w:tc>
      </w:tr>
      <w:tr>
        <w:tc>
          <w:tcPr>
            <w:tcW w:type="dxa" w:w="2477"/>
          </w:tcPr>
          <w:p>
            <w:pPr>
              <w:spacing w:after="20"/>
            </w:pPr>
            <w:r>
              <w:rPr>
                <w:color w:val="1C3A36"/>
                <w:sz w:val="18"/>
              </w:rPr>
              <w:t>29.10%</w:t>
            </w:r>
          </w:p>
        </w:tc>
        <w:tc>
          <w:tcPr>
            <w:tcW w:type="dxa" w:w="1469"/>
          </w:tcPr>
          <w:p>
            <w:pPr>
              <w:spacing w:after="20"/>
              <w:jc w:val="right"/>
            </w:pPr>
            <w:r>
              <w:rPr>
                <w:color w:val="1C3A36"/>
                <w:sz w:val="18"/>
              </w:rPr>
              <w:t>75.30</w:t>
            </w:r>
          </w:p>
        </w:tc>
        <w:tc>
          <w:tcPr>
            <w:tcW w:type="dxa" w:w="1469"/>
          </w:tcPr>
          <w:p>
            <w:pPr>
              <w:spacing w:after="20"/>
              <w:jc w:val="right"/>
            </w:pPr>
            <w:r>
              <w:rPr>
                <w:color w:val="1C3A36"/>
                <w:sz w:val="18"/>
              </w:rPr>
              <w:t>69.92</w:t>
            </w:r>
          </w:p>
        </w:tc>
        <w:tc>
          <w:tcPr>
            <w:tcW w:type="dxa" w:w="1469"/>
          </w:tcPr>
          <w:p>
            <w:pPr>
              <w:spacing w:after="20"/>
              <w:jc w:val="right"/>
            </w:pPr>
            <w:r>
              <w:rPr>
                <w:color w:val="1C3A36"/>
                <w:sz w:val="18"/>
              </w:rPr>
              <w:t>65.47</w:t>
            </w:r>
          </w:p>
        </w:tc>
        <w:tc>
          <w:tcPr>
            <w:tcW w:type="dxa" w:w="1469"/>
          </w:tcPr>
          <w:p>
            <w:pPr>
              <w:spacing w:after="20"/>
              <w:jc w:val="right"/>
            </w:pPr>
            <w:r>
              <w:rPr>
                <w:color w:val="1C3A36"/>
                <w:sz w:val="18"/>
              </w:rPr>
              <w:t>61.74</w:t>
            </w:r>
          </w:p>
        </w:tc>
        <w:tc>
          <w:tcPr>
            <w:tcW w:type="dxa" w:w="1469"/>
          </w:tcPr>
          <w:p>
            <w:pPr>
              <w:spacing w:after="20"/>
              <w:jc w:val="right"/>
            </w:pPr>
            <w:r>
              <w:rPr>
                <w:color w:val="1C3A36"/>
                <w:sz w:val="18"/>
              </w:rPr>
              <w:t>58.56</w:t>
            </w:r>
          </w:p>
        </w:tc>
      </w:tr>
      <w:tr>
        <w:tc>
          <w:tcPr>
            <w:tcW w:type="dxa" w:w="2477"/>
          </w:tcPr>
          <w:p>
            <w:pPr>
              <w:spacing w:after="20"/>
            </w:pPr>
            <w:r>
              <w:rPr>
                <w:color w:val="1C3A36"/>
                <w:sz w:val="18"/>
              </w:rPr>
              <w:t>30.60%</w:t>
            </w:r>
          </w:p>
        </w:tc>
        <w:tc>
          <w:tcPr>
            <w:tcW w:type="dxa" w:w="1469"/>
          </w:tcPr>
          <w:p>
            <w:pPr>
              <w:spacing w:after="20"/>
              <w:jc w:val="right"/>
            </w:pPr>
            <w:r>
              <w:rPr>
                <w:color w:val="1C3A36"/>
                <w:sz w:val="18"/>
              </w:rPr>
              <w:t>74.08</w:t>
            </w:r>
          </w:p>
        </w:tc>
        <w:tc>
          <w:tcPr>
            <w:tcW w:type="dxa" w:w="1469"/>
          </w:tcPr>
          <w:p>
            <w:pPr>
              <w:spacing w:after="20"/>
              <w:jc w:val="right"/>
            </w:pPr>
            <w:r>
              <w:rPr>
                <w:color w:val="1C3A36"/>
                <w:sz w:val="18"/>
              </w:rPr>
              <w:t>68.80</w:t>
            </w:r>
          </w:p>
        </w:tc>
        <w:tc>
          <w:tcPr>
            <w:tcW w:type="dxa" w:w="1469"/>
          </w:tcPr>
          <w:p>
            <w:pPr>
              <w:spacing w:after="20"/>
              <w:jc w:val="right"/>
            </w:pPr>
            <w:r>
              <w:rPr>
                <w:color w:val="1C3A36"/>
                <w:sz w:val="18"/>
              </w:rPr>
              <w:t>64.45</w:t>
            </w:r>
          </w:p>
        </w:tc>
        <w:tc>
          <w:tcPr>
            <w:tcW w:type="dxa" w:w="1469"/>
          </w:tcPr>
          <w:p>
            <w:pPr>
              <w:spacing w:after="20"/>
              <w:jc w:val="right"/>
            </w:pPr>
            <w:r>
              <w:rPr>
                <w:color w:val="1C3A36"/>
                <w:sz w:val="18"/>
              </w:rPr>
              <w:t>60.78</w:t>
            </w:r>
          </w:p>
        </w:tc>
        <w:tc>
          <w:tcPr>
            <w:tcW w:type="dxa" w:w="1469"/>
          </w:tcPr>
          <w:p>
            <w:pPr>
              <w:spacing w:after="20"/>
              <w:jc w:val="right"/>
            </w:pPr>
            <w:r>
              <w:rPr>
                <w:color w:val="1C3A36"/>
                <w:sz w:val="18"/>
              </w:rPr>
              <w:t>57.66</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weakness is why this lens is published as a CROSS-CHECK beside the answer and is not the answer: a multiple anchored on a peer set this thin cannot carry a valuation, and averaging it into one would import that weakness at whatever weight somebody chose.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is a CROSS-CHECK and not the answer,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66.64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74.54  (+12.0%)</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70.62  (+6.2%)</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3.22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+11.67</w:t>
            </w:r>
          </w:p>
        </w:tc>
        <w:tc>
          <w:tcPr>
            <w:tcW w:type="dxa" w:w="4320"/>
          </w:tcPr>
          <w:p>
            <w:pPr>
              <w:spacing w:after="20"/>
              <w:jc w:val="right"/>
            </w:pPr>
            <w:r>
              <w:rPr>
                <w:color w:val="1C3A36"/>
                <w:sz w:val="17"/>
              </w:rPr>
              <w:t>capital maintained over its disclosed life</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-6.19</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-3.96</w:t>
            </w:r>
          </w:p>
        </w:tc>
        <w:tc>
          <w:tcPr>
            <w:tcW w:type="dxa" w:w="4320"/>
          </w:tcPr>
          <w:p>
            <w:pPr>
              <w:spacing w:after="20"/>
              <w:jc w:val="right"/>
            </w:pPr>
            <w:r>
              <w:rPr>
                <w:color w:val="1C3A36"/>
                <w:sz w:val="17"/>
              </w:rPr>
              <w:t>-5.33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66.53</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(-3.22 vs -3.22).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-6.77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+3.58.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(+11.67, EFG off mark). They grow FY2030 free cash flow at 2.5% for ever with no charge for keeping the plant standing. A perpetuity has to maintain its own capital: on replacement-cost capital of EGP 51,191 and the 20-year machinery life ARCC's own audited accounting-policies note discloses, that maintenance is EGP 2,560 a year, against book depreciation of EGP 643 already inside terminal profit. CAVEAT: the USD 130 per annual tonne behind that capital base is this model's least-verified single input.</w:t>
      </w:r>
    </w:p>
    <w:p>
      <w:pPr>
        <w:spacing w:after="120" w:before="0"/>
      </w:pPr>
      <w:r>
        <w:rPr>
          <w:b w:val="0"/>
          <w:i w:val="0"/>
          <w:color w:val="1C3A36"/>
          <w:sz w:val="19"/>
        </w:rPr>
        <w:t>Discount rate (-6.19,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(-3.96,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(-0.04,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39.3%</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39.3%</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39.0%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-1.04pt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39.5%</w:t>
            </w:r>
          </w:p>
        </w:tc>
        <w:tc>
          <w:tcPr>
            <w:tcW w:type="dxa" w:w="1872"/>
          </w:tcPr>
          <w:p>
            <w:pPr>
              <w:spacing w:after="20"/>
              <w:jc w:val="right"/>
            </w:pPr>
            <w:r>
              <w:rPr>
                <w:color w:val="1C3A36"/>
                <w:sz w:val="17"/>
              </w:rPr>
              <w:t>40.5%</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-0.01pt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40.0%</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-0.29pt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40.2%</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-0.51pt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40.4%</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-0.71pt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616"/>
        <w:gridCol w:w="1728"/>
        <w:gridCol w:w="1728"/>
      </w:tblGrid>
      <w:tr>
        <w:tc>
          <w:tcPr>
            <w:tcW w:type="dxa" w:w="5616"/>
            <w:shd w:val="clear" w:color="auto" w:fill="EAF0EE"/>
          </w:tcPr>
          <w:p>
            <w:pPr>
              <w:spacing w:after="20"/>
            </w:pPr>
            <w:r>
              <w:rPr>
                <w:b/>
                <w:color w:val="1C3A36"/>
                <w:sz w:val="17"/>
              </w:rPr>
              <w:t>Scenario</w:t>
            </w:r>
          </w:p>
        </w:tc>
        <w:tc>
          <w:tcPr>
            <w:tcW w:type="dxa" w:w="1728"/>
            <w:shd w:val="clear" w:color="auto" w:fill="EAF0EE"/>
          </w:tcPr>
          <w:p>
            <w:pPr>
              <w:spacing w:after="20"/>
            </w:pPr>
            <w:r>
              <w:rPr>
                <w:b/>
                <w:color w:val="1C3A36"/>
                <w:sz w:val="17"/>
              </w:rPr>
              <w:t>Cash-flow lens</w:t>
            </w:r>
          </w:p>
        </w:tc>
        <w:tc>
          <w:tcPr>
            <w:tcW w:type="dxa" w:w="1728"/>
            <w:shd w:val="clear" w:color="auto" w:fill="EAF0EE"/>
          </w:tcPr>
          <w:p>
            <w:pPr>
              <w:spacing w:after="20"/>
            </w:pPr>
            <w:r>
              <w:rPr>
                <w:b/>
                <w:color w:val="1C3A36"/>
                <w:sz w:val="17"/>
              </w:rPr>
              <w:t>vs spot</w:t>
            </w:r>
          </w:p>
        </w:tc>
      </w:tr>
      <w:tr>
        <w:tc>
          <w:tcPr>
            <w:tcW w:type="dxa" w:w="5616"/>
          </w:tcPr>
          <w:p>
            <w:pPr>
              <w:spacing w:after="20"/>
            </w:pPr>
            <w:r>
              <w:rPr>
                <w:color w:val="1C3A36"/>
                <w:sz w:val="17"/>
              </w:rPr>
              <w:t>Testahil base — our margin, our volumes</w:t>
            </w:r>
          </w:p>
        </w:tc>
        <w:tc>
          <w:tcPr>
            <w:tcW w:type="dxa" w:w="1728"/>
          </w:tcPr>
          <w:p>
            <w:pPr>
              <w:spacing w:after="20"/>
              <w:jc w:val="right"/>
            </w:pPr>
            <w:r>
              <w:rPr>
                <w:color w:val="1C3A36"/>
                <w:sz w:val="17"/>
              </w:rPr>
              <w:t>66.53</w:t>
            </w:r>
          </w:p>
        </w:tc>
        <w:tc>
          <w:tcPr>
            <w:tcW w:type="dxa" w:w="1728"/>
          </w:tcPr>
          <w:p>
            <w:pPr>
              <w:spacing w:after="20"/>
              <w:jc w:val="right"/>
            </w:pPr>
            <w:r>
              <w:rPr>
                <w:color w:val="1C3A36"/>
                <w:sz w:val="17"/>
              </w:rPr>
              <w:t>-13.6%</w:t>
            </w:r>
          </w:p>
        </w:tc>
      </w:tr>
      <w:tr>
        <w:tc>
          <w:tcPr>
            <w:tcW w:type="dxa" w:w="5616"/>
          </w:tcPr>
          <w:p>
            <w:pPr>
              <w:spacing w:after="20"/>
            </w:pPr>
            <w:r>
              <w:rPr>
                <w:color w:val="1C3A36"/>
                <w:sz w:val="17"/>
              </w:rPr>
              <w:t>Half way between the two margin paths</w:t>
            </w:r>
          </w:p>
        </w:tc>
        <w:tc>
          <w:tcPr>
            <w:tcW w:type="dxa" w:w="1728"/>
          </w:tcPr>
          <w:p>
            <w:pPr>
              <w:spacing w:after="20"/>
              <w:jc w:val="right"/>
            </w:pPr>
            <w:r>
              <w:rPr>
                <w:color w:val="1C3A36"/>
                <w:sz w:val="17"/>
              </w:rPr>
              <w:t>65.78</w:t>
            </w:r>
          </w:p>
        </w:tc>
        <w:tc>
          <w:tcPr>
            <w:tcW w:type="dxa" w:w="1728"/>
          </w:tcPr>
          <w:p>
            <w:pPr>
              <w:spacing w:after="20"/>
              <w:jc w:val="right"/>
            </w:pPr>
            <w:r>
              <w:rPr>
                <w:color w:val="1C3A36"/>
                <w:sz w:val="17"/>
              </w:rPr>
              <w:t>-14.6%</w:t>
            </w:r>
          </w:p>
        </w:tc>
      </w:tr>
      <w:tr>
        <w:tc>
          <w:tcPr>
            <w:tcW w:type="dxa" w:w="5616"/>
          </w:tcPr>
          <w:p>
            <w:pPr>
              <w:spacing w:after="20"/>
            </w:pPr>
            <w:r>
              <w:rPr>
                <w:color w:val="1C3A36"/>
                <w:sz w:val="17"/>
              </w:rPr>
              <w:t>EFG margin, OUR volumes</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r>
        <w:tc>
          <w:tcPr>
            <w:tcW w:type="dxa" w:w="5616"/>
          </w:tcPr>
          <w:p>
            <w:pPr>
              <w:spacing w:after="20"/>
            </w:pPr>
            <w:r>
              <w:rPr>
                <w:color w:val="1C3A36"/>
                <w:sz w:val="17"/>
              </w:rPr>
              <w:t>EFG margin, EFG volumes — their view whole</w:t>
            </w:r>
          </w:p>
        </w:tc>
        <w:tc>
          <w:tcPr>
            <w:tcW w:type="dxa" w:w="1728"/>
          </w:tcPr>
          <w:p>
            <w:pPr>
              <w:spacing w:after="20"/>
              <w:jc w:val="right"/>
            </w:pPr>
            <w:r>
              <w:rPr>
                <w:color w:val="1C3A36"/>
                <w:sz w:val="17"/>
              </w:rPr>
              <w:t>45.09</w:t>
            </w:r>
          </w:p>
        </w:tc>
        <w:tc>
          <w:tcPr>
            <w:tcW w:type="dxa" w:w="1728"/>
          </w:tcPr>
          <w:p>
            <w:pPr>
              <w:spacing w:after="20"/>
              <w:jc w:val="right"/>
            </w:pPr>
            <w:r>
              <w:rPr>
                <w:color w:val="1C3A36"/>
                <w:sz w:val="17"/>
              </w:rPr>
              <w:t>-41.4%</w:t>
            </w:r>
          </w:p>
        </w:tc>
      </w:tr>
      <w:tr>
        <w:tc>
          <w:tcPr>
            <w:tcW w:type="dxa" w:w="5616"/>
          </w:tcPr>
          <w:p>
            <w:pPr>
              <w:spacing w:after="20"/>
            </w:pPr>
            <w:r>
              <w:rPr>
                <w:color w:val="1C3A36"/>
                <w:sz w:val="17"/>
              </w:rPr>
              <w:t>EFG margin, our volumes, mid-cycle lifted too</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bl>
    <w:p>
      <w:pPr>
        <w:spacing w:after="40"/>
      </w:pPr>
    </w:p>
    <w:p>
      <w:pPr>
        <w:spacing w:after="200" w:before="0"/>
      </w:pPr>
      <w:r>
        <w:rPr>
          <w:b w:val="0"/>
          <w:i/>
          <w:color w:val="6E7B77"/>
          <w:sz w:val="17"/>
        </w:rPr>
        <w:t>Table 16 — What EFG’s margin view is worth, held against both volume assumptions. Their margin on OUR volumes reaches EGP 65.04, -15.5% against the latest close; their margin AND their volumes together reach EGP 45.09, -41.4%. NEITHER clears the price, and the volume assumption is worth 19.95 a share between them — several times what the margin disagreement is worth, which is why the volume base carries its own sensitivity in section 1.2.</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66.53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65.78, -14.6%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the 59.00 close of 2026-08-06</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+2.3%</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+5.1%</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+6.8%</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-8.1%</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-10.2%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-18.5%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+2.4%</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-40.7%</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 THE DATES DIFFER AND THAT MATTERS HERE: this read is built on price history ending 2026-08-06 at EGP 59.00, while the latest known market price used everywhere else in this study is EGP 77.00 on 2026-09-03, +30.5% higher. Every distance above is measured from the read's own close, because a level drawn on one day's history says nothing about a price on another. The whole ladder — the 52-week high included — sits BELOW the current price, so on this evidence the tape has moved clear of every level this structure identified and the read should be treated as describing a market the price has since left.</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and it is labelled illustrative because its own calibration record says it should be.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current price</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24.61</w:t>
            </w:r>
          </w:p>
        </w:tc>
        <w:tc>
          <w:tcPr>
            <w:tcW w:type="dxa" w:w="1440"/>
            <w:shd w:val="clear" w:color="auto" w:fill="F6F1E6"/>
          </w:tcPr>
          <w:p>
            <w:pPr>
              <w:spacing w:after="20"/>
              <w:jc w:val="right"/>
            </w:pPr>
            <w:r>
              <w:rPr>
                <w:b/>
                <w:color w:val="1C3A36"/>
                <w:sz w:val="18"/>
              </w:rPr>
              <w:t>66.53</w:t>
            </w:r>
          </w:p>
        </w:tc>
        <w:tc>
          <w:tcPr>
            <w:tcW w:type="dxa" w:w="1440"/>
            <w:shd w:val="clear" w:color="auto" w:fill="F6F1E6"/>
          </w:tcPr>
          <w:p>
            <w:pPr>
              <w:spacing w:after="20"/>
              <w:jc w:val="right"/>
            </w:pPr>
            <w:r>
              <w:rPr>
                <w:b/>
                <w:color w:val="1C3A36"/>
                <w:sz w:val="18"/>
              </w:rPr>
              <w:t>67.08</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w:t>
      </w:r>
    </w:p>
    <w:p>
      <w:pPr>
        <w:spacing w:after="120" w:before="0"/>
      </w:pPr>
      <w:r>
        <w:rPr>
          <w:b w:val="0"/>
          <w:i w:val="0"/>
          <w:color w:val="1C3A36"/>
          <w:sz w:val="21"/>
        </w:rPr>
        <w:t>The lenses do not agree, and the pattern of their disagreement is the most useful thing in this study. EVERY lens sits BELOW the market price: Relative multiples, Asset / replacement cost and DCF (cash flow), at EGP 45.65 and EGP 65.57 and EGP 66.53.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58.56; but those weights were chosen rather than tested, and an average of four methods is a fifth method nobody has checked, carrying every weakness of the weakest at whatever weight somebody typed. The value published here is the cash-flow lens alone, EGP 66.53 against EGP 77.00 — -13.6%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The share is above its entire moving-average stack on a rising 200-day and 98% of of its 52-week intraday high — 98% OF that high, and 165% of the way UP the range, which are different statistics and the earlier edition ran them together — while the two multiple-based lenses put fair value below the current price and the two forward-looking ones put it above. Momentum sits with the cash-flow case here rather than against it, and the disagreement that remains is between that case and the multiple the market is prepared to pay.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232"/>
        <w:gridCol w:w="1296"/>
        <w:gridCol w:w="3672"/>
      </w:tblGrid>
      <w:tr>
        <w:tc>
          <w:tcPr>
            <w:tcW w:type="dxa" w:w="1584"/>
            <w:shd w:val="clear" w:color="auto" w:fill="EAF0EE"/>
          </w:tcPr>
          <w:p>
            <w:pPr>
              <w:spacing w:after="20"/>
            </w:pPr>
            <w:r>
              <w:rPr>
                <w:b/>
                <w:color w:val="1C3A36"/>
                <w:sz w:val="17"/>
              </w:rPr>
              <w:t>Zone</w:t>
            </w:r>
          </w:p>
        </w:tc>
        <w:tc>
          <w:tcPr>
            <w:tcW w:type="dxa" w:w="2232"/>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672"/>
            <w:shd w:val="clear" w:color="auto" w:fill="EAF0EE"/>
          </w:tcPr>
          <w:p>
            <w:pPr>
              <w:spacing w:after="20"/>
            </w:pPr>
            <w:r>
              <w:rPr>
                <w:b/>
                <w:color w:val="1C3A36"/>
                <w:sz w:val="17"/>
              </w:rPr>
              <w:t>What it would mean</w:t>
            </w:r>
          </w:p>
        </w:tc>
      </w:tr>
      <w:tr>
        <w:tc>
          <w:tcPr>
            <w:tcW w:type="dxa" w:w="1584"/>
          </w:tcPr>
          <w:p>
            <w:pPr>
              <w:spacing w:after="20"/>
            </w:pPr>
            <w:r>
              <w:rPr>
                <w:color w:val="1C3A36"/>
                <w:sz w:val="17"/>
              </w:rPr>
              <w:t>Lower tail</w:t>
            </w:r>
          </w:p>
        </w:tc>
        <w:tc>
          <w:tcPr>
            <w:tcW w:type="dxa" w:w="2232"/>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break of the 48.10 support zone, most plausibly on a faster-than-assumed capacity restart</w:t>
            </w:r>
          </w:p>
        </w:tc>
      </w:tr>
      <w:tr>
        <w:tc>
          <w:tcPr>
            <w:tcW w:type="dxa" w:w="1584"/>
          </w:tcPr>
          <w:p>
            <w:pPr>
              <w:spacing w:after="20"/>
            </w:pPr>
            <w:r>
              <w:rPr>
                <w:color w:val="1C3A36"/>
                <w:sz w:val="17"/>
              </w:rPr>
              <w:t>Below spot</w:t>
            </w:r>
          </w:p>
        </w:tc>
        <w:tc>
          <w:tcPr>
            <w:tcW w:type="dxa" w:w="2232"/>
          </w:tcPr>
          <w:p>
            <w:pPr>
              <w:spacing w:after="20"/>
              <w:jc w:val="right"/>
            </w:pPr>
            <w:r>
              <w:rPr>
                <w:color w:val="1C3A36"/>
                <w:sz w:val="17"/>
              </w:rPr>
              <w:t>43.92 – 77.00</w:t>
            </w:r>
          </w:p>
        </w:tc>
        <w:tc>
          <w:tcPr>
            <w:tcW w:type="dxa" w:w="1296"/>
          </w:tcPr>
          <w:p>
            <w:pPr>
              <w:spacing w:after="20"/>
              <w:jc w:val="right"/>
            </w:pPr>
            <w:r>
              <w:rPr>
                <w:color w:val="1C3A36"/>
                <w:sz w:val="17"/>
              </w:rPr>
              <w:t>39%</w:t>
            </w:r>
          </w:p>
        </w:tc>
        <w:tc>
          <w:tcPr>
            <w:tcW w:type="dxa" w:w="3672"/>
          </w:tcPr>
          <w:p>
            <w:pPr>
              <w:spacing w:after="20"/>
              <w:jc w:val="right"/>
            </w:pPr>
            <w:r>
              <w:rPr>
                <w:color w:val="1C3A36"/>
                <w:sz w:val="17"/>
              </w:rPr>
              <w:t>The market converging toward the earnings-based lenses in this study</w:t>
            </w:r>
          </w:p>
        </w:tc>
      </w:tr>
      <w:tr>
        <w:tc>
          <w:tcPr>
            <w:tcW w:type="dxa" w:w="1584"/>
          </w:tcPr>
          <w:p>
            <w:pPr>
              <w:spacing w:after="20"/>
            </w:pPr>
            <w:r>
              <w:rPr>
                <w:color w:val="1C3A36"/>
                <w:sz w:val="17"/>
              </w:rPr>
              <w:t>Above spot</w:t>
            </w:r>
          </w:p>
        </w:tc>
        <w:tc>
          <w:tcPr>
            <w:tcW w:type="dxa" w:w="2232"/>
          </w:tcPr>
          <w:p>
            <w:pPr>
              <w:spacing w:after="20"/>
              <w:jc w:val="right"/>
            </w:pPr>
            <w:r>
              <w:rPr>
                <w:color w:val="1C3A36"/>
                <w:sz w:val="17"/>
              </w:rPr>
              <w:t>77.00 – 83.17</w:t>
            </w:r>
          </w:p>
        </w:tc>
        <w:tc>
          <w:tcPr>
            <w:tcW w:type="dxa" w:w="1296"/>
          </w:tcPr>
          <w:p>
            <w:pPr>
              <w:spacing w:after="20"/>
              <w:jc w:val="right"/>
            </w:pPr>
            <w:r>
              <w:rPr>
                <w:color w:val="1C3A36"/>
                <w:sz w:val="17"/>
              </w:rPr>
              <w:t>51%</w:t>
            </w:r>
          </w:p>
        </w:tc>
        <w:tc>
          <w:tcPr>
            <w:tcW w:type="dxa" w:w="3672"/>
          </w:tcPr>
          <w:p>
            <w:pPr>
              <w:spacing w:after="20"/>
              <w:jc w:val="right"/>
            </w:pPr>
            <w:r>
              <w:rPr>
                <w:color w:val="1C3A36"/>
                <w:sz w:val="17"/>
              </w:rPr>
              <w:t>Momentum and the 2026 pricing environment continuing to lead the earnings case</w:t>
            </w:r>
          </w:p>
        </w:tc>
      </w:tr>
      <w:tr>
        <w:tc>
          <w:tcPr>
            <w:tcW w:type="dxa" w:w="1584"/>
          </w:tcPr>
          <w:p>
            <w:pPr>
              <w:spacing w:after="20"/>
            </w:pPr>
            <w:r>
              <w:rPr>
                <w:color w:val="1C3A36"/>
                <w:sz w:val="17"/>
              </w:rPr>
              <w:t>Upper tail</w:t>
            </w:r>
          </w:p>
        </w:tc>
        <w:tc>
          <w:tcPr>
            <w:tcW w:type="dxa" w:w="2232"/>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The probabilities come from the price map and are subject to the same over-width caution as everything else in section 3.</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66.53, and the conclusion moves from a premium over the market to a small discount.</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marginal and pound-equivalent, not the coupon as written. </w:t>
      </w:r>
      <w:r>
        <w:rPr>
          <w:color w:val="1C3A36"/>
          <w:sz w:val="21"/>
        </w:rPr>
        <w:t>The adopted 13.36% carries the euro legs at the pound cost a company earning pounds actually bears, against a contracted blend of 7.89%. It sits above the 5.03% that FY2025 interest over average debt gives and the 3.73% the first quarter of 2026 annualises to, because the book re-based mid-year and interest on assets still under construction is capitalised. Adopting the contracted rate instead would leave the euro debt uncompensated for pound depreciation beyond the currency path assumed here,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11.3% on replacement cost. The terminal block uses replacement cost, which leaves the plant roughly breaking even on new tonnes — 10.52% against a hurdle of 18.34%, so four points of terminal growth are worth -6.0%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62.53</w:t>
            </w:r>
          </w:p>
        </w:tc>
        <w:tc>
          <w:tcPr>
            <w:tcW w:type="dxa" w:w="1325"/>
          </w:tcPr>
          <w:p>
            <w:pPr>
              <w:spacing w:after="20"/>
              <w:jc w:val="right"/>
            </w:pPr>
            <w:r>
              <w:rPr>
                <w:color w:val="1C3A36"/>
                <w:sz w:val="17"/>
              </w:rPr>
              <w:t>64.53</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68.53</w:t>
            </w:r>
          </w:p>
        </w:tc>
        <w:tc>
          <w:tcPr>
            <w:tcW w:type="dxa" w:w="1325"/>
          </w:tcPr>
          <w:p>
            <w:pPr>
              <w:spacing w:after="20"/>
              <w:jc w:val="right"/>
            </w:pPr>
            <w:r>
              <w:rPr>
                <w:color w:val="1C3A36"/>
                <w:sz w:val="17"/>
              </w:rPr>
              <w:t>70.53</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56.68</w:t>
            </w:r>
          </w:p>
        </w:tc>
        <w:tc>
          <w:tcPr>
            <w:tcW w:type="dxa" w:w="1325"/>
          </w:tcPr>
          <w:p>
            <w:pPr>
              <w:spacing w:after="20"/>
              <w:jc w:val="right"/>
            </w:pPr>
            <w:r>
              <w:rPr>
                <w:color w:val="1C3A36"/>
                <w:sz w:val="17"/>
              </w:rPr>
              <w:t>61.61</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71.45</w:t>
            </w:r>
          </w:p>
        </w:tc>
        <w:tc>
          <w:tcPr>
            <w:tcW w:type="dxa" w:w="1325"/>
          </w:tcPr>
          <w:p>
            <w:pPr>
              <w:spacing w:after="20"/>
              <w:jc w:val="right"/>
            </w:pPr>
            <w:r>
              <w:rPr>
                <w:color w:val="1C3A36"/>
                <w:sz w:val="17"/>
              </w:rPr>
              <w:t>76.38</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The published earnings per share is struck on distributable profit after the statutory employees' and directors' share, which is why it differs slightly from profit over the share count.</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local 53.9Mt plus exports 18.6Mt equals the 72.6Mt total.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is published as a cross-check rather than as the answer.</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year the Egyptian industry has had in over a decade.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of the three, EGP 64.90, sits -2.5% from this study's own central of EGP 66.53 and -15.7%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66.53,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74.54 against EGP 66.53 — +12.0%, the study's most consequential contested judgement.</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at the terminal return and reinvestment rate this study computes (11.26% against a terminal cost of capital of 18.34%, a spread of -6.02%), moving terminal growth from 3% to 7% takes the value from EGP 70.79 DOWN to EGP 66.53 — about 1.07 a share for each point of growth,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64.90 against a market price of EGP 77.00 — -15.7%. All three sit below the price, and so does the study's own central of EGP 66.53.</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0.67</w:t>
            </w:r>
          </w:p>
        </w:tc>
        <w:tc>
          <w:tcPr>
            <w:tcW w:type="dxa" w:w="936"/>
          </w:tcPr>
          <w:p>
            <w:pPr>
              <w:spacing w:after="20"/>
              <w:jc w:val="right"/>
            </w:pPr>
            <w:r>
              <w:rPr>
                <w:color w:val="1C3A36"/>
                <w:sz w:val="16"/>
              </w:rPr>
              <w:t>1.0%</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15.26</w:t>
            </w:r>
          </w:p>
        </w:tc>
        <w:tc>
          <w:tcPr>
            <w:tcW w:type="dxa" w:w="936"/>
          </w:tcPr>
          <w:p>
            <w:pPr>
              <w:spacing w:after="20"/>
              <w:jc w:val="right"/>
            </w:pPr>
            <w:r>
              <w:rPr>
                <w:color w:val="1C3A36"/>
                <w:sz w:val="16"/>
              </w:rPr>
              <w:t>30.7%</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-1.63</w:t>
            </w:r>
          </w:p>
        </w:tc>
        <w:tc>
          <w:tcPr>
            <w:tcW w:type="dxa" w:w="936"/>
          </w:tcPr>
          <w:p>
            <w:pPr>
              <w:spacing w:after="20"/>
              <w:jc w:val="right"/>
            </w:pPr>
            <w:r>
              <w:rPr>
                <w:color w:val="1C3A36"/>
                <w:sz w:val="16"/>
              </w:rPr>
              <w:t>2.5%</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