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03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90</w:t>
            </w:r>
          </w:p>
        </w:tc>
      </w:tr>
      <w:tr>
        <w:tc>
          <w:tcPr>
            <w:tcW w:type="dxa" w:w="6236"/>
          </w:tcPr>
          <w:p>
            <w:r/>
            <w:r>
              <w:rPr>
                <w:color w:val="1A1D21"/>
                <w:sz w:val="18"/>
              </w:rPr>
              <w:t>Bind on a class of company (CLASS)</w:t>
            </w:r>
          </w:p>
        </w:tc>
        <w:tc>
          <w:tcPr>
            <w:tcW w:type="dxa" w:w="2721"/>
          </w:tcPr>
          <w:p>
            <w:r/>
            <w:r>
              <w:rPr>
                <w:color w:val="1A1D21"/>
                <w:sz w:val="18"/>
              </w:rPr>
              <w:t>20</w:t>
            </w:r>
          </w:p>
        </w:tc>
      </w:tr>
      <w:tr>
        <w:tc>
          <w:tcPr>
            <w:tcW w:type="dxa" w:w="6236"/>
          </w:tcPr>
          <w:p>
            <w:r/>
            <w:r>
              <w:rPr>
                <w:color w:val="1A1D21"/>
                <w:sz w:val="18"/>
              </w:rPr>
              <w:t>Bind on a single company (STOCK)</w:t>
            </w:r>
          </w:p>
        </w:tc>
        <w:tc>
          <w:tcPr>
            <w:tcW w:type="dxa" w:w="2721"/>
          </w:tcPr>
          <w:p>
            <w:r/>
            <w:r>
              <w:rPr>
                <w:color w:val="1A1D21"/>
                <w:sz w:val="18"/>
              </w:rPr>
              <w:t>7</w:t>
            </w:r>
          </w:p>
        </w:tc>
      </w:tr>
      <w:tr>
        <w:tc>
          <w:tcPr>
            <w:tcW w:type="dxa" w:w="6236"/>
          </w:tcPr>
          <w:p>
            <w:r/>
            <w:r>
              <w:rPr>
                <w:color w:val="1A1D21"/>
                <w:sz w:val="18"/>
              </w:rPr>
              <w:t>Total</w:t>
            </w:r>
          </w:p>
        </w:tc>
        <w:tc>
          <w:tcPr>
            <w:tcW w:type="dxa" w:w="2721"/>
          </w:tcPr>
          <w:p>
            <w:r/>
            <w:r>
              <w:rPr>
                <w:color w:val="1A1D21"/>
                <w:sz w:val="18"/>
              </w:rPr>
              <w:t>117</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37</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14</w:t>
            </w:r>
          </w:p>
        </w:tc>
      </w:tr>
      <w:tr>
        <w:tc>
          <w:tcPr>
            <w:tcW w:type="dxa" w:w="6236"/>
          </w:tcPr>
          <w:p>
            <w:r/>
            <w:r>
              <w:rPr>
                <w:color w:val="1A1D21"/>
                <w:sz w:val="18"/>
              </w:rPr>
              <w:t>From self-audits</w:t>
            </w:r>
          </w:p>
        </w:tc>
        <w:tc>
          <w:tcPr>
            <w:tcW w:type="dxa" w:w="2721"/>
          </w:tcPr>
          <w:p>
            <w:r/>
            <w:r>
              <w:rPr>
                <w:color w:val="1A1D21"/>
                <w:sz w:val="18"/>
              </w:rPr>
              <w:t>20</w:t>
            </w:r>
          </w:p>
        </w:tc>
      </w:tr>
      <w:tr>
        <w:tc>
          <w:tcPr>
            <w:tcW w:type="dxa" w:w="6236"/>
          </w:tcPr>
          <w:p>
            <w:r/>
            <w:r>
              <w:rPr>
                <w:color w:val="1A1D21"/>
                <w:sz w:val="18"/>
              </w:rPr>
              <w:t>Found while building</w:t>
            </w:r>
          </w:p>
        </w:tc>
        <w:tc>
          <w:tcPr>
            <w:tcW w:type="dxa" w:w="2721"/>
          </w:tcPr>
          <w:p>
            <w:r/>
            <w:r>
              <w:rPr>
                <w:color w:val="1A1D21"/>
                <w:sz w:val="18"/>
              </w:rPr>
              <w:t>44</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5 (AMOC, ARCC, EGCH, PHDC,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19</w:t>
            </w:r>
          </w:p>
        </w:tc>
        <w:tc>
          <w:tcPr>
            <w:tcW w:type="dxa" w:w="1587"/>
          </w:tcPr>
          <w:p>
            <w:r/>
            <w:r>
              <w:rPr>
                <w:color w:val="1A1D21"/>
                <w:sz w:val="18"/>
              </w:rPr>
              <w:t>317</w:t>
            </w:r>
          </w:p>
        </w:tc>
      </w:tr>
    </w:tbl>
    <w:p/>
    <w:p>
      <w:pPr>
        <w:spacing w:after="120"/>
      </w:pPr>
      <w:r>
        <w:rPr>
          <w:b/>
          <w:i w:val="0"/>
          <w:color w:val="1A1D21"/>
          <w:sz w:val="21"/>
        </w:rPr>
        <w:t>The price engine is well tested; the fundamental method is not. 19 names carry price-engine evidence, DU (18 forecasts) and GBCO (17) among them. The fundamental method has been through a full training run on AMOC and ARCC and EGCH and PHDC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317 forecasts across 19 names.</w:t>
      </w:r>
    </w:p>
    <w:p>
      <w:pPr>
        <w:spacing w:after="120"/>
      </w:pPr>
      <w:r>
        <w:rPr>
          <w:b w:val="0"/>
          <w:i w:val="0"/>
          <w:color w:val="1A1D21"/>
          <w:sz w:val="21"/>
        </w:rPr>
        <w:t>Not yet acted on (39):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L-206 — KIMA's urea output falls in the summer gas curtailment, so flat tonnes over-forecast every year; L-207 — EGCH: every level driver projects a plant that no longer exists;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L-057 — Interest income is a balance times a rate, and holding it flat cannot track either; L-120 — Haulage cost follows the EXPORT tonne, so a cost per tonne despatched misprices it; L-058 — An exogenous volume anchor has to be scored against 'no change' before it is trusted; L-059 — If perfect knowledge of the macro path makes a MARGIN forecast worse, the two legs were cancelling; L-060 — A bottom-line bias that flips sign between regimes is instability, and must not be corrected; L-061 — A correction that makes the out-of-sample error WORSE is a specification defect, not a bias; L-064 — While a project is under construction, its interest and currency losses go to the asset, not the income statement; L-065 — A statutory-rate tax driver must first check whether the company pays current tax at the origin.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pPr>
        <w:keepNext/>
        <w:spacing w:before="240" w:after="60"/>
      </w:pPr>
      <w:r>
        <w:rPr>
          <w:b/>
          <w:color w:val="1A1D21"/>
          <w:sz w:val="22"/>
        </w:rPr>
        <w:t>L-055  Terminal growth and the terminal discount rate must agree about inflation.</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The discount rate used past the forecast horizon has an inflation assumption buried inside it, usually through the risk-free rate. If terminal growth is set below that number, the model is quietly assuming the business shrinks in real terms for ever — a large, permanent claim that nobody wrote down and no disclosure supports. Read the inflation out of the terminal rate first, then choose growth against it and state the real growth you have assumed, even when it is zero.</w:t>
      </w:r>
    </w:p>
    <w:p>
      <w:pPr>
        <w:spacing w:after="60"/>
        <w:ind w:left="283"/>
      </w:pPr>
      <w:r>
        <w:rPr>
          <w:b w:val="0"/>
          <w:i w:val="0"/>
          <w:color w:val="5B6570"/>
          <w:sz w:val="19"/>
        </w:rPr>
        <w:t>How we know.  AMOC's first pass carried terminal growth of 5.0% against a terminal risk-free of 12.5% embedding the central bank's 7% target — a perpetual real decline of about 2% a year, never stated. Set to 7% (inflation only, zero real), the central moved from 5.53 to 8.64 against a spot of 9.10 together with the other five corrections.</w:t>
      </w:r>
    </w:p>
    <w:p>
      <w:pPr>
        <w:spacing w:after="160"/>
        <w:ind w:left="283"/>
      </w:pPr>
      <w:r>
        <w:rPr>
          <w:b w:val="0"/>
          <w:i w:val="0"/>
          <w:color w:val="5B6570"/>
          <w:sz w:val="19"/>
        </w:rPr>
        <w:t>What would overturn it.  A study that deliberately assumes real decline in perpetuity, says so, and shows the disclosure or industry evidence supporting it — that is a stated assumption, not this defect.</w:t>
      </w:r>
    </w:p>
    <w:p>
      <w:pPr>
        <w:keepNext/>
        <w:spacing w:before="240" w:after="60"/>
      </w:pPr>
      <w:r>
        <w:rPr>
          <w:b/>
          <w:color w:val="1A1D21"/>
          <w:sz w:val="22"/>
        </w:rPr>
        <w:t>L-056  A claim about the record — 'best ever', 'never' — is recomputed, never typed.</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Superlatives are the sentences a reader remembers and the ones nobody checks, because they read as colour rather than as arithmetic. They also go stale silently: typed once against an early version of the model, they survive every later change to it. Compute the claim from the filings in the same pass that computes the number it describes, and drive the sentence off that value rather than retyping it.</w:t>
      </w:r>
    </w:p>
    <w:p>
      <w:pPr>
        <w:spacing w:after="60"/>
        <w:ind w:left="283"/>
      </w:pPr>
      <w:r>
        <w:rPr>
          <w:b w:val="0"/>
          <w:i w:val="0"/>
          <w:color w:val="5B6570"/>
          <w:sz w:val="19"/>
        </w:rPr>
        <w:t>How we know.  AMOC's headline said the market price required a gross margin 'above the best single quarter this company has ever filed' at 12.2%. The figure was typed, never solved, and never revisited as the model moved. Solved by bisection it is 9.37% — below the 9.653% just filed for twelve months — and the company had already printed 13.84% for FY2022 and 13.92% in the quarter to June 2026, so the claim was false twice over.</w:t>
      </w:r>
    </w:p>
    <w:p>
      <w:pPr>
        <w:spacing w:after="160"/>
        <w:ind w:left="283"/>
      </w:pPr>
      <w:r>
        <w:rPr>
          <w:b w:val="0"/>
          <w:i w:val="0"/>
          <w:color w:val="5B6570"/>
          <w:sz w:val="19"/>
        </w:rPr>
        <w:t>What would overturn it.  A delivered superlative that a reader can verify from the study's own committed numbers without recomputing it — at which point it was computed, not typed.</w:t>
      </w:r>
    </w:p>
    <w:p>
      <w:pPr>
        <w:keepNext/>
        <w:spacing w:before="240" w:after="60"/>
      </w:pPr>
      <w:r>
        <w:rPr>
          <w:b/>
          <w:color w:val="1A1D21"/>
          <w:sz w:val="22"/>
        </w:rPr>
        <w:t>L-057  Interest income is a balance times a rate, and holding it flat cannot track either.</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company that builds a cash pile into rising deposit rates earns dramatically more interest, and a company that spends one earns less. Carrying last year's figure forward misses both moves at once. Drive it off the cash balance at the deposit rate, the same way the rest of the book does.</w:t>
      </w:r>
    </w:p>
    <w:p>
      <w:pPr>
        <w:spacing w:after="60"/>
        <w:ind w:left="283"/>
      </w:pPr>
      <w:r>
        <w:rPr>
          <w:b w:val="0"/>
          <w:i w:val="0"/>
          <w:color w:val="5B6570"/>
          <w:sz w:val="19"/>
        </w:rPr>
        <w:t>How we know.  Bias -1.641 log (about 5.2 times too low), average miss 2.177, wrong in the same direction in 76% of cases, and the sign holds across every bootstrap block tested (n=25).</w:t>
      </w:r>
    </w:p>
    <w:p>
      <w:pPr>
        <w:spacing w:after="160"/>
        <w:ind w:left="283"/>
      </w:pPr>
      <w:r>
        <w:rPr>
          <w:b w:val="0"/>
          <w:i w:val="0"/>
          <w:color w:val="5B6570"/>
          <w:sz w:val="19"/>
        </w:rPr>
        <w:t>What would overturn it.  Nothing. This is arithmetic.</w:t>
      </w:r>
    </w:p>
    <w:p>
      <w:pPr>
        <w:keepNext/>
        <w:spacing w:before="240" w:after="60"/>
      </w:pPr>
      <w:r>
        <w:rPr>
          <w:b/>
          <w:color w:val="1A1D21"/>
          <w:sz w:val="22"/>
        </w:rPr>
        <w:t>L-058  An exogenous volume anchor has to be scored against 'no change' before it is trusted.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The protocol asks for volume to be driven by something outside the company — population, credit, activity — rather than by its own trend. That is the right instinct and it is not self- validating: the anchor can point the wrong way. Score it against simply carrying last year's volume forward, and if it loses, the driver is mis-specified and no correction factor will repair it.</w:t>
      </w:r>
    </w:p>
    <w:p>
      <w:pPr>
        <w:spacing w:after="60"/>
        <w:ind w:left="283"/>
      </w:pPr>
      <w:r>
        <w:rPr>
          <w:b w:val="0"/>
          <w:i w:val="0"/>
          <w:color w:val="5B6570"/>
          <w:sz w:val="19"/>
        </w:rPr>
        <w:t>How we know.  Negative skill against the freeze benchmark at horizons 1, 2, 3, 4, 5, worst -0.260.</w:t>
      </w:r>
    </w:p>
    <w:p>
      <w:pPr>
        <w:spacing w:after="160"/>
        <w:ind w:left="283"/>
      </w:pPr>
      <w:r>
        <w:rPr>
          <w:b w:val="0"/>
          <w:i w:val="0"/>
          <w:color w:val="5B6570"/>
          <w:sz w:val="19"/>
        </w:rPr>
        <w:t>What would overturn it.  A study where the exogenous anchor loses to freeze and the anchor is still the better forecast out of sample.</w:t>
      </w:r>
    </w:p>
    <w:p>
      <w:pPr>
        <w:keepNext/>
        <w:spacing w:before="240" w:after="60"/>
      </w:pPr>
      <w:r>
        <w:rPr>
          <w:b/>
          <w:color w:val="1A1D21"/>
          <w:sz w:val="22"/>
        </w:rPr>
        <w:t>L-059  If perfect knowledge of the macro path makes a MARGIN forecast worse, the two legs were cancelling.</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margin is a difference, so its error is the difference of two errors. When revenue and cost are both wrong in the same direction the margin can come out nearly right for the wrong reason. Handing the model the true inflation and currency path repairs the two legs by different amounts and breaks that cancellation — which is why the margin forecast can get WORSE with better information. The practical consequence is the important part: never recalibrate one leg onto a fresh actual without recalibrating the other on the same one.</w:t>
      </w:r>
    </w:p>
    <w:p>
      <w:pPr>
        <w:spacing w:after="60"/>
        <w:ind w:left="283"/>
      </w:pPr>
      <w:r>
        <w:rPr>
          <w:b w:val="0"/>
          <w:i w:val="0"/>
          <w:color w:val="5B6570"/>
          <w:sz w:val="19"/>
        </w:rPr>
        <w:t>How we know.  Average miss 1.265 as known, 1.339 with perfect foresight of inflation — the macro share is only -5.8%.</w:t>
      </w:r>
    </w:p>
    <w:p>
      <w:pPr>
        <w:spacing w:after="160"/>
        <w:ind w:left="283"/>
      </w:pPr>
      <w:r>
        <w:rPr>
          <w:b w:val="0"/>
          <w:i w:val="0"/>
          <w:color w:val="5B6570"/>
          <w:sz w:val="19"/>
        </w:rPr>
        <w:t>What would overturn it.  A run where the macro split is positive on the margin and negative on both of the legs that make it, which would mean the cancellation runs the other way.</w:t>
      </w:r>
    </w:p>
    <w:p>
      <w:pPr>
        <w:keepNext/>
        <w:spacing w:before="240" w:after="60"/>
      </w:pPr>
      <w:r>
        <w:rPr>
          <w:b/>
          <w:color w:val="1A1D21"/>
          <w:sz w:val="22"/>
        </w:rPr>
        <w:t>L-060  A bottom-line bias that flips sign between regimes is instability, and must not be corrected.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Net profit is what is left after everything else, so it inherits every driver's error and the currency's on top. When its miss runs one way before a devaluation sequence and the other way through it, the average is a number that was true in neither period. Report the instability; do not correct for it.</w:t>
      </w:r>
    </w:p>
    <w:p>
      <w:pPr>
        <w:spacing w:after="60"/>
        <w:ind w:left="283"/>
      </w:pPr>
      <w:r>
        <w:rPr>
          <w:b w:val="0"/>
          <w:i w:val="0"/>
          <w:color w:val="5B6570"/>
          <w:sz w:val="19"/>
        </w:rPr>
        <w:t>How we know.  By era: E1 pre-2022 -0.581; E2 devaluation sequence +0.006.</w:t>
      </w:r>
    </w:p>
    <w:p>
      <w:pPr>
        <w:spacing w:after="160"/>
        <w:ind w:left="283"/>
      </w:pPr>
      <w:r>
        <w:rPr>
          <w:b w:val="0"/>
          <w:i w:val="0"/>
          <w:color w:val="5B6570"/>
          <w:sz w:val="19"/>
        </w:rPr>
        <w:t>What would overturn it.  A record long enough that one sign dominates the bottom line across every regime it contains.</w:t>
      </w:r>
    </w:p>
    <w:p>
      <w:pPr>
        <w:keepNext/>
        <w:spacing w:before="240" w:after="60"/>
      </w:pPr>
      <w:r>
        <w:rPr>
          <w:b/>
          <w:color w:val="1A1D21"/>
          <w:sz w:val="22"/>
        </w:rPr>
        <w:t>L-061  A correction that makes the out-of-sample error WORSE is a specification defect, not a bias.</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It is tempting to treat any consistent miss as something a multiplier can fix. Test the multiplier the way you would test a forecast: estimate it only on data that had already resolved, then apply it forward. If the error gets worse, the problem is in how the driver is wired, and a correction would only hide it.</w:t>
      </w:r>
    </w:p>
    <w:p>
      <w:pPr>
        <w:spacing w:after="60"/>
        <w:ind w:left="283"/>
      </w:pPr>
      <w:r>
        <w:rPr>
          <w:b w:val="0"/>
          <w:i w:val="0"/>
          <w:color w:val="5B6570"/>
          <w:sz w:val="19"/>
        </w:rPr>
        <w:t>How we know.  Applied -0.108 at origin FY2022; average miss changed -0.108.</w:t>
      </w:r>
    </w:p>
    <w:p>
      <w:pPr>
        <w:spacing w:after="160"/>
        <w:ind w:left="283"/>
      </w:pPr>
      <w:r>
        <w:rPr>
          <w:b w:val="0"/>
          <w:i w:val="0"/>
          <w:color w:val="5B6570"/>
          <w:sz w:val="19"/>
        </w:rPr>
        <w:t>What would overturn it.  A driver whose correction degrades out of sample and is nevertheless shown to be a calibration problem rather than a specification one.</w:t>
      </w:r>
    </w:p>
    <w:p>
      <w:pPr>
        <w:keepNext/>
        <w:spacing w:before="240" w:after="60"/>
      </w:pPr>
      <w:r>
        <w:rPr>
          <w:b/>
          <w:color w:val="1A1D21"/>
          <w:sz w:val="22"/>
        </w:rPr>
        <w:t>L-062  A sensitivity that does not reproduce the headline when nothing is changed is a second model.</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Every study has a block that re-values the company under a different assumption. If that block rebuilds the calculation instead of reusing it, it will drift from the answer it is supposed to be testing — and it will drift silently, because nobody compares a sensitivity to the base case. Call the function with nothing changed and require it to return the published number.</w:t>
      </w:r>
    </w:p>
    <w:p>
      <w:pPr>
        <w:spacing w:after="60"/>
        <w:ind w:left="283"/>
      </w:pPr>
      <w:r>
        <w:rPr>
          <w:b w:val="0"/>
          <w:i w:val="0"/>
          <w:color w:val="5B6570"/>
          <w:sz w:val="19"/>
        </w:rPr>
        <w:t>How we know.  On ARCC the re-valuation function discounted the terminal value at the last explicit year's mid-year factor while the headline used the end-of-window factor. Called with no change it returned 57.27 against a published 55.21, so every sensitivity and every contested judgement in the study was quoted on a basis 3.7% more generous than the number it was compared against. The assertion that now enforces it caught a SECOND instance on its first run, when a new income line was added to the headline and not to the rebuild.</w:t>
      </w:r>
    </w:p>
    <w:p>
      <w:pPr>
        <w:spacing w:after="160"/>
        <w:ind w:left="283"/>
      </w:pPr>
      <w:r>
        <w:rPr>
          <w:b w:val="0"/>
          <w:i w:val="0"/>
          <w:color w:val="5B6570"/>
          <w:sz w:val="19"/>
        </w:rPr>
        <w:t>What would overturn it.  Nothing. A sensitivity that cannot reproduce its own base case is measuring something else.</w:t>
      </w:r>
    </w:p>
    <w:p>
      <w:pPr>
        <w:keepNext/>
        <w:spacing w:before="240" w:after="60"/>
      </w:pPr>
      <w:r>
        <w:rPr>
          <w:b/>
          <w:color w:val="1A1D21"/>
          <w:sz w:val="22"/>
        </w:rPr>
        <w:t>L-063  If every observation you have includes growth spending, they are a CEILING on maintenance, not a midpoint.</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When the only capital-spending figures available are years that also carried expansion projects, those figures are the most maintenance could possibly have been. Setting the maintenance assumption in the middle of that band puts it above some of the observations and treats an upper bound as a central estimate.</w:t>
      </w:r>
    </w:p>
    <w:p>
      <w:pPr>
        <w:spacing w:after="60"/>
        <w:ind w:left="283"/>
      </w:pPr>
      <w:r>
        <w:rPr>
          <w:b w:val="0"/>
          <w:i w:val="0"/>
          <w:color w:val="5B6570"/>
          <w:sz w:val="19"/>
        </w:rPr>
        <w:t>How we know.  ARCC's input note observed that FY2024 (USD 3.70/t) and FY2025 (USD 3.23/t) 'both carry the alternative-fuel and silo programmes' and then set maintenance at USD 4.00/t — above both. The H1-2026 cash-flow statement settled the direction by splitting the spend: EGP 102.9mn of property, plant and equipment against EGP 505.5mn of assets under construction, so 83% of it was the growth programme. Resetting the anchor to the most recent full year's total was worth EGP 0.84 on the central.</w:t>
      </w:r>
    </w:p>
    <w:p>
      <w:pPr>
        <w:spacing w:after="160"/>
        <w:ind w:left="283"/>
      </w:pPr>
      <w:r>
        <w:rPr>
          <w:b w:val="0"/>
          <w:i w:val="0"/>
          <w:color w:val="5B6570"/>
          <w:sz w:val="19"/>
        </w:rPr>
        <w:t>What would overturn it.  A disclosure that separates maintenance from growth capital directly, which makes the inference unnecessary.</w:t>
      </w:r>
    </w:p>
    <w:p>
      <w:pPr>
        <w:keepNext/>
        <w:spacing w:before="240" w:after="60"/>
      </w:pPr>
      <w:r>
        <w:rPr>
          <w:b/>
          <w:color w:val="1A1D21"/>
          <w:sz w:val="22"/>
        </w:rPr>
        <w:t>L-064  While a project is under construction, its interest and currency losses go to the asset, not the income statement.</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Under IAS 23 and its Egyptian equivalent, the interest on a loan that funds a qualifying asset — and the exchange loss on that loan — is capitalised into the asset until it is ready for use. So a borrowing rate formed from the income-statement charge during construction understates what the loan actually costs, and a currency driver that charges the revaluation to profit invents a loss the company will never book there. Form the rate on the loan's own terms, put the construction-period charge on the balance sheet, and move it to the income statement only when the asset is commissioned.</w:t>
      </w:r>
    </w:p>
    <w:p>
      <w:pPr>
        <w:spacing w:after="60"/>
        <w:ind w:left="283"/>
      </w:pPr>
      <w:r>
        <w:rPr>
          <w:b w:val="0"/>
          <w:i w:val="0"/>
          <w:color w:val="5B6570"/>
          <w:sz w:val="19"/>
        </w:rPr>
        <w:t>How we know.  Bias -1.276 log (about 3.6 times too low), average miss 1.372, wrong in the same direction in 86% of cases, and the sign holds across every bootstrap block tested (n=28).</w:t>
      </w:r>
    </w:p>
    <w:p>
      <w:pPr>
        <w:spacing w:after="160"/>
        <w:ind w:left="283"/>
      </w:pPr>
      <w:r>
        <w:rPr>
          <w:b w:val="0"/>
          <w:i w:val="0"/>
          <w:color w:val="5B6570"/>
          <w:sz w:val="19"/>
        </w:rPr>
        <w:t>What would overturn it.  An issuer that expenses all borrowing costs as incurred, where the rate formed on the income-statement charge matches the loan's disclosed cost and the currency revaluation appears in profit in the year of the devaluation.</w:t>
      </w:r>
    </w:p>
    <w:p>
      <w:pPr>
        <w:keepNext/>
        <w:spacing w:before="240" w:after="60"/>
      </w:pPr>
      <w:r>
        <w:rPr>
          <w:b/>
          <w:color w:val="1A1D21"/>
          <w:sz w:val="22"/>
        </w:rPr>
        <w:t>L-065  A statutory-rate tax driver must first check whether the company pays current tax at the origin.</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Tax by formula at the statutory rate is the right rule for a regime, but a company carrying forward large losses, or taking an accelerated first-year deduction on new plant, books no current tax for years and then a deferred charge or credit that the formula cannot see. Read the current-tax line and the deferred-tax note at the origin before applying the rate; where current tax is nil, say so and carry the zero-tax case beside the statutory one rather than assuming it away.</w:t>
      </w:r>
    </w:p>
    <w:p>
      <w:pPr>
        <w:spacing w:after="60"/>
        <w:ind w:left="283"/>
      </w:pPr>
      <w:r>
        <w:rPr>
          <w:b w:val="0"/>
          <w:i w:val="0"/>
          <w:color w:val="5B6570"/>
          <w:sz w:val="19"/>
        </w:rPr>
        <w:t>How we know.  Average miss 1.500 as known, 2.028 with perfect foresight of inflation — the macro share is only -35.2%.</w:t>
      </w:r>
    </w:p>
    <w:p>
      <w:pPr>
        <w:spacing w:after="160"/>
        <w:ind w:left="283"/>
      </w:pPr>
      <w:r>
        <w:rPr>
          <w:b w:val="0"/>
          <w:i w:val="0"/>
          <w:color w:val="5B6570"/>
          <w:sz w:val="19"/>
        </w:rPr>
        <w:t>What would overturn it.  A run on a company whose current tax at every origin equals the statutory rate on profit before tax, where the formula's error is inside the other drivers' noise.</w:t>
      </w:r>
    </w:p>
    <w:p>
      <w:pPr>
        <w:keepNext/>
        <w:spacing w:before="240" w:after="60"/>
      </w:pPr>
      <w:r>
        <w:rPr>
          <w:b/>
          <w:color w:val="1A1D21"/>
          <w:sz w:val="22"/>
        </w:rPr>
        <w:t>L-066  A checklist a study fills in about itself measures its opinion of the work, not the work.</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Where a standard can be read off the delivered file, read it off the delivered file. An attestation is only worth what an outside reader could not otherwise see; anything a script can measure directly should be measured directly, and the attestation kept for the judgements that genuinely cannot be.</w:t>
      </w:r>
    </w:p>
    <w:p>
      <w:pPr>
        <w:spacing w:after="60"/>
        <w:ind w:left="283"/>
      </w:pPr>
      <w:r>
        <w:rPr>
          <w:b w:val="0"/>
          <w:i w:val="0"/>
          <w:color w:val="5B6570"/>
          <w:sz w:val="19"/>
        </w:rPr>
        <w:t>How we know.  AMOC's compute.py set structure_matches_model=True and assert_model_study() passed on that boolean, while the delivered workbook carried SEVEN sheets against the model report's sixteen. Every other gate that could see the file was examining its contents: the recalculation reconciled 5,775 formula cells with zero disagreements, the external-reader scrub was clean and table discipline reported zero problems across both documents. None of them was looking at its shape. Reading the sheet list off the .xlsx from outside found it in one line.</w:t>
      </w:r>
    </w:p>
    <w:p>
      <w:pPr>
        <w:spacing w:after="160"/>
        <w:ind w:left="283"/>
      </w:pPr>
      <w:r>
        <w:rPr>
          <w:b w:val="0"/>
          <w:i w:val="0"/>
          <w:color w:val="5B6570"/>
          <w:sz w:val="19"/>
        </w:rPr>
        <w:t>What would overturn it.  A standard that cannot be expressed as a test of the delivered artefact, where the attestation is the only evidence available.</w:t>
      </w:r>
    </w:p>
    <w:p>
      <w:pPr>
        <w:keepNext/>
        <w:spacing w:before="240" w:after="60"/>
      </w:pPr>
      <w:r>
        <w:rPr>
          <w:b/>
          <w:color w:val="1A1D21"/>
          <w:sz w:val="22"/>
        </w:rPr>
        <w:t>L-067  A gate pointed at a superseded file reports on something nobody receives.</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When a study is re-issued, every check that opens the delivered file by name has to move with it. A check left pointing at the previous edition keeps passing, and its green says nothing about what was actually shipped.</w:t>
      </w:r>
    </w:p>
    <w:p>
      <w:pPr>
        <w:spacing w:after="60"/>
        <w:ind w:left="283"/>
      </w:pPr>
      <w:r>
        <w:rPr>
          <w:b w:val="0"/>
          <w:i w:val="0"/>
          <w:color w:val="5B6570"/>
          <w:sz w:val="19"/>
        </w:rPr>
        <w:t>How we know.  Three further instances have been found since, which is why this is filed at ALL and not as one study's mishap: a valuation-gap review green-lighted against an answer that had moved from 3.76 to -1.06; the fair-value register reporting [ok] while it sat two editions behind the study it records; and a vintage archive that would have done the same had its gate checked existence. Every one asked whether an artefact EXISTED. Originally: ARCC's driver_test.py and label_gate.py both opened ARCC_Valuation_Model_06082026_public.xlsx while the delivered file was the 01092026 edition, and both reported clean. Re- pointed at the delivered file, five of the driver assertions failed at once: revision 4 had moved the valuation date to 30 June 2026 and put the bridge on that reviewed balance sheet, so the FY2025 cash, minority and declared-dividend rows no longer move the headline and the assertions that said they did had never run against the model that shipped.</w:t>
      </w:r>
    </w:p>
    <w:p>
      <w:pPr>
        <w:spacing w:after="160"/>
        <w:ind w:left="283"/>
      </w:pPr>
      <w:r>
        <w:rPr>
          <w:b w:val="0"/>
          <w:i w:val="0"/>
          <w:color w:val="5B6570"/>
          <w:sz w:val="19"/>
        </w:rPr>
        <w:t>What would overturn it.  A build that writes to one filename per study, so there is no superseded edition for a check to open.</w:t>
      </w:r>
    </w:p>
    <w:p>
      <w:pPr>
        <w:keepNext/>
        <w:spacing w:before="240" w:after="60"/>
      </w:pPr>
      <w:r>
        <w:rPr>
          <w:b/>
          <w:color w:val="1A1D21"/>
          <w:sz w:val="22"/>
        </w:rPr>
        <w:t>L-068  What a process commits decides what can ever be asked of it later.</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A record answers the question it was built for. Anything else you later want to know has to have been written down at the time, and if it was not, it is usually gone rather than merely inconvenient. When you design what a piece of work leaves behind, spend a moment asking what a DIFFERENT question would need from it.</w:t>
      </w:r>
    </w:p>
    <w:p>
      <w:pPr>
        <w:spacing w:after="60"/>
        <w:ind w:left="283"/>
      </w:pPr>
      <w:r>
        <w:rPr>
          <w:b w:val="0"/>
          <w:i w:val="0"/>
          <w:color w:val="5B6570"/>
          <w:sz w:val="19"/>
        </w:rPr>
        <w:t>How we know.  Five fundamental walk-forwards each scored their drivers properly and committed an income statement. When the valuation calibration came to rebuild a fair value at a past origin, a census of what they actually carry found NOT ONE of 55 name- origin cells with a complete enterprise-to-equity bridge and a capital-expenditure figure: cash on 25% of cells, debt on 60%, working capital on 27%, a footed share count on 16%, capex on none. Three cells (TMGH 2020-2022) allow capex to be derived by the identity capex = dPPE + D&amp;A; five more (PHDC 2015-2019) carry the bridge and no route to capex at all. Every missing item sits on a balance sheet or cash-flow statement in filings those runs had already opened and parsed cell by cell, so carrying them out would have been a copy rather than new research.</w:t>
      </w:r>
    </w:p>
    <w:p>
      <w:pPr>
        <w:spacing w:after="160"/>
        <w:ind w:left="283"/>
      </w:pPr>
      <w:r>
        <w:rPr>
          <w:b w:val="0"/>
          <w:i w:val="0"/>
          <w:color w:val="5B6570"/>
          <w:sz w:val="19"/>
        </w:rPr>
        <w:t>What would overturn it.  A run that commits the block and then finds nobody ever asks for it — if several names carry cash, debt, capex and a share count through a full cycle and no later question needs them, the cost was real and the benefit was not, and the block should shrink to what was used.</w:t>
      </w:r>
    </w:p>
    <w:p>
      <w:pPr>
        <w:keepNext/>
        <w:spacing w:before="240" w:after="60"/>
      </w:pPr>
      <w:r>
        <w:rPr>
          <w:b/>
          <w:color w:val="1A1D21"/>
          <w:sz w:val="22"/>
        </w:rPr>
        <w:t>L-069  An instrument whose bias points the same way as the hypothesis cannot test it.</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If the thing you are measuring with leans in the same direction as the thing you are trying to prove, a confirming answer means nothing — the instrument would have produced it whatever the truth was. Worse than a big known bias is one that changes direction from case to case, because that cannot be corrected, disclosed as a direction, or reasoned around.</w:t>
      </w:r>
    </w:p>
    <w:p>
      <w:pPr>
        <w:spacing w:after="60"/>
        <w:ind w:left="283"/>
      </w:pPr>
      <w:r>
        <w:rPr>
          <w:b w:val="0"/>
          <w:i w:val="0"/>
          <w:color w:val="5B6570"/>
          <w:sz w:val="19"/>
        </w:rPr>
        <w:t>How we know.  The reassessment tests whether this house leans pessimistic. Two mechanical valuation lenses were declared to measure it and both were shaped by what happened to be committed rather than by the class rule: omitting cash UNDERSTATES equity value, omitting capex OVERSTATES it, and omitting working capital does either depending on growth — so a value assembled from whatever a cell carries has a bias whose sign is set by which items that cell is missing. On AMOC, a net-cash company, the omitted cash is most of the answer. The second declaration knew it was a floor and said so; what it did not say is that a floor cannot measure a pessimism lean.</w:t>
      </w:r>
    </w:p>
    <w:p>
      <w:pPr>
        <w:spacing w:after="160"/>
        <w:ind w:left="283"/>
      </w:pPr>
      <w:r>
        <w:rPr>
          <w:b w:val="0"/>
          <w:i w:val="0"/>
          <w:color w:val="5B6570"/>
          <w:sz w:val="19"/>
        </w:rPr>
        <w:t>What would overturn it.  A demonstration that the omissions are small relative to value on a given name — a company with no debt, no material cash and no reinvestment — in which case a mechanical value on that name is honest and this caution is too strict there. The test is arithmetic and available.</w:t>
      </w:r>
    </w:p>
    <w:p>
      <w:pPr>
        <w:keepNext/>
        <w:spacing w:before="240" w:after="60"/>
      </w:pPr>
      <w:r>
        <w:rPr>
          <w:b/>
          <w:color w:val="1A1D21"/>
          <w:sz w:val="22"/>
        </w:rPr>
        <w:t>L-070  An alternative must go through the same bridge as the number it is compared with.</w:t>
      </w:r>
    </w:p>
    <w:p>
      <w:pPr>
        <w:keepNext/>
        <w:spacing w:after="100"/>
      </w:pPr>
      <w:r>
        <w:rPr>
          <w:b/>
          <w:color w:val="1D6FA3"/>
          <w:sz w:val="16"/>
        </w:rPr>
        <w:t>EVERY STUDY</w:t>
      </w:r>
      <w:r>
        <w:rPr>
          <w:color w:val="5B6570"/>
          <w:sz w:val="16"/>
        </w:rPr>
        <w:t xml:space="preserve">   applies to every study   ·   learned from a self-audit, method reassessment WS8, AMOC output records, 03-Sep-2026</w:t>
      </w:r>
    </w:p>
    <w:p>
      <w:pPr>
        <w:spacing w:after="100"/>
      </w:pPr>
      <w:r>
        <w:rPr>
          <w:b w:val="0"/>
          <w:i w:val="0"/>
          <w:color w:val="1A1D21"/>
          <w:sz w:val="21"/>
        </w:rPr>
        <w:t>When a study prices a choice 'the other way', the two figures have to be built the same way apart from the choice itself. If the alternative runs through an older or simpler bridge, the difference between them measures the bridge as much as the choice — and it will usually look bigger than it is.</w:t>
      </w:r>
    </w:p>
    <w:p>
      <w:pPr>
        <w:spacing w:after="60"/>
        <w:ind w:left="283"/>
      </w:pPr>
      <w:r>
        <w:rPr>
          <w:b w:val="0"/>
          <w:i w:val="0"/>
          <w:color w:val="5B6570"/>
          <w:sz w:val="19"/>
        </w:rPr>
        <w:t>How we know.  AMOC's helper for contested choices deducts the minority as a share of ENTERPRISE value and omits provisions, the dividend payable and investments; the delivered bridge deducts a share of EQUITY value and carries all three lines. Same enterprise value, EGP 10.3528 against the delivered EGP 9.9142. Compared against the delivered headline, three of four contested choices clear the 5%-of-value materiality line; compared like for like, one does. A sign test on the first basis would have counted three material judgements where there is one.</w:t>
      </w:r>
    </w:p>
    <w:p>
      <w:pPr>
        <w:spacing w:after="160"/>
        <w:ind w:left="283"/>
      </w:pPr>
      <w:r>
        <w:rPr>
          <w:b w:val="0"/>
          <w:i w:val="0"/>
          <w:color w:val="5B6570"/>
          <w:sz w:val="19"/>
        </w:rPr>
        <w:t>What would overturn it.  A case where the simpler construction is the one a reader receives — then it is the headline that is inconsistent with the alternatives, not the other way round, and the fix runs in the opposite direction.</w:t>
      </w:r>
    </w:p>
    <w:p>
      <w:pPr>
        <w:keepNext/>
        <w:spacing w:before="240" w:after="60"/>
      </w:pPr>
      <w:r>
        <w:rPr>
          <w:b/>
          <w:color w:val="1A1D21"/>
          <w:sz w:val="22"/>
        </w:rPr>
        <w:t>L-071  A rule enforced on the record is not enforced on the document.</w:t>
      </w:r>
    </w:p>
    <w:p>
      <w:pPr>
        <w:keepNext/>
        <w:spacing w:after="100"/>
      </w:pPr>
      <w:r>
        <w:rPr>
          <w:b/>
          <w:color w:val="1D6FA3"/>
          <w:sz w:val="16"/>
        </w:rPr>
        <w:t>EVERY STUDY</w:t>
      </w:r>
      <w:r>
        <w:rPr>
          <w:color w:val="5B6570"/>
          <w:sz w:val="16"/>
        </w:rPr>
        <w:t xml:space="preserve">   applies to every study   ·   learned from a self-audit, method reassessment WS8, lens vocabulary in delivered documents, 03-Sep-2026</w:t>
      </w:r>
    </w:p>
    <w:p>
      <w:pPr>
        <w:spacing w:after="100"/>
      </w:pPr>
      <w:r>
        <w:rPr>
          <w:b w:val="0"/>
          <w:i w:val="0"/>
          <w:color w:val="1A1D21"/>
          <w:sz w:val="21"/>
        </w:rPr>
        <w:t>It is much easier to check a machine-readable record than the report a reader actually opens, so that is where checks get written — and the record can be brought into line while the document goes on saying the old thing. When a rule governs what a reader is TOLD, the check has to read what the reader receives.</w:t>
      </w:r>
    </w:p>
    <w:p>
      <w:pPr>
        <w:spacing w:after="60"/>
        <w:ind w:left="283"/>
      </w:pPr>
      <w:r>
        <w:rPr>
          <w:b w:val="0"/>
          <w:i w:val="0"/>
          <w:color w:val="5B6570"/>
          <w:sz w:val="19"/>
        </w:rPr>
        <w:t>How we know.  [R-LENS-03] retired the typed multi-lens blend and is enforced on each study's committed lens record, which was green everywhere. Reading the delivered PDFs instead: 6 of 20 carried no weighted blend and 14 published a weighted central as the study's own answer. ARCC had been RE-ISSUED after the rule and its document prints a weighted central of 54.65 beside a numbers file carrying 53.46. ADNOCLS, the model report every study is opened beside, carried twenty-two such assertions — so the exemplar was teaching the retired architecture to every study that followed.</w:t>
      </w:r>
    </w:p>
    <w:p>
      <w:pPr>
        <w:spacing w:after="160"/>
        <w:ind w:left="283"/>
      </w:pPr>
      <w:r>
        <w:rPr>
          <w:b w:val="0"/>
          <w:i w:val="0"/>
          <w:color w:val="5B6570"/>
          <w:sz w:val="19"/>
        </w:rPr>
        <w:t>What would overturn it.  A rule whose whole content IS the record — a provenance field, a stamp, an attestation — has nothing in the document to check, and reading the document for it would find nothing. The test is whether the rule governs what a reader is told.</w:t>
      </w:r>
    </w:p>
    <w:p>
      <w:pPr>
        <w:keepNext/>
        <w:spacing w:before="240" w:after="60"/>
      </w:pPr>
      <w:r>
        <w:rPr>
          <w:b/>
          <w:color w:val="1A1D21"/>
          <w:sz w:val="22"/>
        </w:rPr>
        <w:t>L-072  A forecast that reverses what the company has just filed is a claim, and it is named, sourced and measured or it is not made.</w:t>
      </w:r>
    </w:p>
    <w:p>
      <w:pPr>
        <w:keepNext/>
        <w:spacing w:after="100"/>
      </w:pPr>
      <w:r>
        <w:rPr>
          <w:b/>
          <w:color w:val="1D6FA3"/>
          <w:sz w:val="16"/>
        </w:rPr>
        <w:t>EVERY STUDY</w:t>
      </w:r>
      <w:r>
        <w:rPr>
          <w:color w:val="5B6570"/>
          <w:sz w:val="16"/>
        </w:rPr>
        <w:t xml:space="preserve">   applies to every study   ·   learned from a found while building, the AMOC, EGCH and ARCC re-strikes of 03-Sep-2026, on the principal's lead</w:t>
      </w:r>
    </w:p>
    <w:p>
      <w:pPr>
        <w:spacing w:after="100"/>
      </w:pPr>
      <w:r>
        <w:rPr>
          <w:b w:val="0"/>
          <w:i w:val="0"/>
          <w:color w:val="1A1D21"/>
          <w:sz w:val="21"/>
        </w:rPr>
        <w:t>A model that quietly walks a rate back toward a longer average looks prudent and is not: it is a forecast of reversion that nobody wrote down and nobody can check. Where the forecast opens materially below the latest reviewed period, the mechanism is named from a closed list, the disclosure that establishes it is carried from the filings, and the direction is MEASURED in the company's own like-for-like period pair.</w:t>
      </w:r>
    </w:p>
    <w:p>
      <w:pPr>
        <w:spacing w:after="60"/>
        <w:ind w:left="283"/>
      </w:pPr>
      <w:r>
        <w:rPr>
          <w:b w:val="0"/>
          <w:i w:val="0"/>
          <w:color w:val="5B6570"/>
          <w:sz w:val="19"/>
        </w:rPr>
        <w:t>How we know.  The rule had been in both governing documents since 07-Aug-2026 and on one day three studies in one market violated it in three costumes, every one lowering the value. AMOC forecast a 9.494% gross margin falling to 8.764% against a filed half of 12.428% — an implied second half of 6.56% — on an unsourced real cost drift of +2.7 points a year that contradicted its own registered principle; worth +19.4% when corrected. EGCH forecast 45.66% falling to 33.02% on one typed array carrying the dollar export price down 17%, source layer 'Constructed'. ARCC opened at 39.03% against a filed peak of 39.25% and told no reader it sat at the top of its own range. [L-048] had been registered after the first occurrence, was correct, and bound nothing.</w:t>
      </w:r>
    </w:p>
    <w:p>
      <w:pPr>
        <w:spacing w:after="160"/>
        <w:ind w:left="283"/>
      </w:pPr>
      <w:r>
        <w:rPr>
          <w:b w:val="0"/>
          <w:i w:val="0"/>
          <w:color w:val="5B6570"/>
          <w:sz w:val="19"/>
        </w:rPr>
        <w:t>What would overturn it.  A study whose forecast opens materially below its latest reviewed period, names a mechanism from the closed list, carries the disclosure, shows the like-for-like direction agreeing — and is still wrong when the period matures. That would say the mechanism test is satisfiable without being informative.</w:t>
      </w:r>
    </w:p>
    <w:p>
      <w:pPr>
        <w:keepNext/>
        <w:spacing w:before="240" w:after="60"/>
      </w:pPr>
      <w:r>
        <w:rPr>
          <w:b/>
          <w:color w:val="1A1D21"/>
          <w:sz w:val="22"/>
        </w:rPr>
        <w:t>L-073  A driver out of line with the rest of the book usually means our method slipped on this one name, not that the company is unusual.</w:t>
      </w:r>
    </w:p>
    <w:p>
      <w:pPr>
        <w:keepNext/>
        <w:spacing w:after="100"/>
      </w:pPr>
      <w:r>
        <w:rPr>
          <w:b/>
          <w:color w:val="1D6FA3"/>
          <w:sz w:val="16"/>
        </w:rPr>
        <w:t>EVERY STUDY</w:t>
      </w:r>
      <w:r>
        <w:rPr>
          <w:color w:val="5B6570"/>
          <w:sz w:val="16"/>
        </w:rPr>
        <w:t xml:space="preserve">   applies to every study   ·   learned from a found while building, EGCH's dollar export price against AMOC's dollar feedstock price, 03-Sep-2026</w:t>
      </w:r>
    </w:p>
    <w:p>
      <w:pPr>
        <w:spacing w:after="100"/>
      </w:pPr>
      <w:r>
        <w:rPr>
          <w:b w:val="0"/>
          <w:i w:val="0"/>
          <w:color w:val="1A1D21"/>
          <w:sz w:val="21"/>
        </w:rPr>
        <w:t>The strongest test of a contested driver is not whether it can be argued for on its own name — almost any of them can — but whether the same house builds the same class of input the same way everywhere else. Where two studies carry opposite conventions for the same kind of number, one of them is wrong and the disagreement says which question to ask.</w:t>
      </w:r>
    </w:p>
    <w:p>
      <w:pPr>
        <w:spacing w:after="60"/>
        <w:ind w:left="283"/>
      </w:pPr>
      <w:r>
        <w:rPr>
          <w:b w:val="0"/>
          <w:i w:val="0"/>
          <w:color w:val="5B6570"/>
          <w:sz w:val="19"/>
        </w:rPr>
        <w:t>How we know.  EGCH carried a typed dollar output price falling 17% over five years with no marginal cash cost quoted and no institution publishing it, while AMOC — same house, same market, same week — held its dollar commodity price FLAT and registered the reason in as many words: 'no forecast of it is defensible'. Neither study was checked against the other; the inconsistency was invisible from inside either one, and it ran the value-destroying way in the study that had it. Separately, EGCH published the RATING equity-risk-premium basis as its central where [R-COC-01] names the CDS basis by default and both peer Egyptian studies use it — a 13.94% premium against 9.41% for the same sovereign on the same day, again the higher one.</w:t>
      </w:r>
    </w:p>
    <w:p>
      <w:pPr>
        <w:spacing w:after="160"/>
        <w:ind w:left="283"/>
      </w:pPr>
      <w:r>
        <w:rPr>
          <w:b w:val="0"/>
          <w:i w:val="0"/>
          <w:color w:val="5B6570"/>
          <w:sz w:val="19"/>
        </w:rPr>
        <w:t>What would overturn it.  A case where a name genuinely does deserve a different convention from its book, established from that company's own disclosures rather than from the analyst's judgement. Then the rule is to name the difference, not to conform.</w:t>
      </w:r>
    </w:p>
    <w:p>
      <w:pPr>
        <w:keepNext/>
        <w:spacing w:before="240" w:after="60"/>
      </w:pPr>
      <w:r>
        <w:rPr>
          <w:b/>
          <w:color w:val="1A1D21"/>
          <w:sz w:val="22"/>
        </w:rPr>
        <w:t>L-074  A self-attested string is not a check, however carefully it is worded.</w:t>
      </w:r>
    </w:p>
    <w:p>
      <w:pPr>
        <w:keepNext/>
        <w:spacing w:after="100"/>
      </w:pPr>
      <w:r>
        <w:rPr>
          <w:b/>
          <w:color w:val="1D6FA3"/>
          <w:sz w:val="16"/>
        </w:rPr>
        <w:t>EVERY STUDY</w:t>
      </w:r>
      <w:r>
        <w:rPr>
          <w:color w:val="5B6570"/>
          <w:sz w:val="16"/>
        </w:rPr>
        <w:t xml:space="preserve">   applies to every study   ·   learned from a self-audit, the AMOC relative lens, exposed by the 03-Sep-2026 re-strike</w:t>
      </w:r>
    </w:p>
    <w:p>
      <w:pPr>
        <w:spacing w:after="100"/>
      </w:pPr>
      <w:r>
        <w:rPr>
          <w:b w:val="0"/>
          <w:i w:val="0"/>
          <w:color w:val="1A1D21"/>
          <w:sz w:val="21"/>
        </w:rPr>
        <w:t>Where a gate reads a sentence a study wrote about itself, the study can write the right sentence and do the wrong thing — and the gate will pass it, repeatedly, with no sign anything is wrong. Where the claim can be reduced to arithmetic, reduce it: commit the number and the ingredients that would reproduce the thing it is claimed not to be, and divide.</w:t>
      </w:r>
    </w:p>
    <w:p>
      <w:pPr>
        <w:spacing w:after="60"/>
        <w:ind w:left="283"/>
      </w:pPr>
      <w:r>
        <w:rPr>
          <w:b w:val="0"/>
          <w:i w:val="0"/>
          <w:color w:val="5B6570"/>
          <w:sz w:val="19"/>
        </w:rPr>
        <w:t>How we know.  AMOC's lens record attested 'enterprise value to EBITDA from the company's own history and its regional peers, never a multiple read off the current price' while its code computed (market cap + net debt) / base-year EBITDA re-rated by zero — the traded multiple exactly. assert_lens_design searched the prose for phrases meaning 'from the price', found the reassuring words, and passed it three times. What exposed it was moving the price: the spot rose 48.4% and the lens rose 51.3%, which a lens built on five years of own history cannot do. The gate now requires the adopted multiple and the three numbers that reproduce the traded one, and refuses when they agree to within half a per cent.</w:t>
      </w:r>
    </w:p>
    <w:p>
      <w:pPr>
        <w:spacing w:after="160"/>
        <w:ind w:left="283"/>
      </w:pPr>
      <w:r>
        <w:rPr>
          <w:b w:val="0"/>
          <w:i w:val="0"/>
          <w:color w:val="5B6570"/>
          <w:sz w:val="19"/>
        </w:rPr>
        <w:t>What would overturn it.  A relative multiple whose circularity ingredients cannot be committed because the metric genuinely has no traded counterpart. Then the arithmetic form is unavailable and the prose test is the only one left — which is an argument for withdrawing the lens, not for trusting the sentence.</w:t>
      </w:r>
    </w:p>
    <w:p>
      <w:pPr>
        <w:keepNext/>
        <w:spacing w:before="240" w:after="60"/>
      </w:pPr>
      <w:r>
        <w:rPr>
          <w:b/>
          <w:color w:val="1A1D21"/>
          <w:sz w:val="22"/>
        </w:rPr>
        <w:t>L-075  A fix that enumerates the keys it knows about is a fix that expires.</w:t>
      </w:r>
    </w:p>
    <w:p>
      <w:pPr>
        <w:keepNext/>
        <w:spacing w:after="100"/>
      </w:pPr>
      <w:r>
        <w:rPr>
          <w:b/>
          <w:color w:val="1D6FA3"/>
          <w:sz w:val="16"/>
        </w:rPr>
        <w:t>EVERY STUDY</w:t>
      </w:r>
      <w:r>
        <w:rPr>
          <w:color w:val="5B6570"/>
          <w:sz w:val="16"/>
        </w:rPr>
        <w:t xml:space="preserve">   applies to every study   ·   learned from a found while building, EGCH's build order, 03-Sep-2026</w:t>
      </w:r>
    </w:p>
    <w:p>
      <w:pPr>
        <w:spacing w:after="100"/>
      </w:pPr>
      <w:r>
        <w:rPr>
          <w:b w:val="0"/>
          <w:i w:val="0"/>
          <w:color w:val="1A1D21"/>
          <w:sz w:val="21"/>
        </w:rPr>
        <w:t>Carry-over lists, allow-lists and key-lists written when they were complete go stale the moment anything is added, and they fail silently — the new thing is simply dropped. Invert them wherever the inversion is expressible: carry everything the module does not itself produce, rather than everything somebody remembered.</w:t>
      </w:r>
    </w:p>
    <w:p>
      <w:pPr>
        <w:spacing w:after="60"/>
        <w:ind w:left="283"/>
      </w:pPr>
      <w:r>
        <w:rPr>
          <w:b w:val="0"/>
          <w:i w:val="0"/>
          <w:color w:val="5B6570"/>
          <w:sz w:val="19"/>
        </w:rPr>
        <w:t>How we know.  compute.py is imported by alternatives.py, which re-runs it and rewrites study_numbers.json. A carry-over had been written for that exact hazard and named ('central', 'fair'), which was complete when written. lenses.py has since added central_two_sided, lens_record, macro_record and bridge_record — the records [R-LENS-03], [R-MACRO-01] and [R-BRIDGE-01] are checked from outside on — and all four were silently dropped on every build. Three repo gates went red at once and the study read, from outside, like one that had never committed a record at all.</w:t>
      </w:r>
    </w:p>
    <w:p>
      <w:pPr>
        <w:spacing w:after="160"/>
        <w:ind w:left="283"/>
      </w:pPr>
      <w:r>
        <w:rPr>
          <w:b w:val="0"/>
          <w:i w:val="0"/>
          <w:color w:val="5B6570"/>
          <w:sz w:val="19"/>
        </w:rPr>
        <w:t>What would overturn it.  A module where carrying everything unknown is wrong because a stale key must be actively cleared. Then the inversion needs an explicit expiry list, which is the same hazard in the other direction and has to be checked rather than remembered.</w:t>
      </w:r>
    </w:p>
    <w:p>
      <w:pPr>
        <w:keepNext/>
        <w:spacing w:before="240" w:after="60"/>
      </w:pPr>
      <w:r>
        <w:rPr>
          <w:b/>
          <w:color w:val="1A1D21"/>
          <w:sz w:val="22"/>
        </w:rPr>
        <w:t>L-076  An artefact every builder reads and nothing writes is a number frozen at the date somebody last typed it.</w:t>
      </w:r>
    </w:p>
    <w:p>
      <w:pPr>
        <w:keepNext/>
        <w:spacing w:after="100"/>
      </w:pPr>
      <w:r>
        <w:rPr>
          <w:b/>
          <w:color w:val="1D6FA3"/>
          <w:sz w:val="16"/>
        </w:rPr>
        <w:t>EVERY STUDY</w:t>
      </w:r>
      <w:r>
        <w:rPr>
          <w:color w:val="5B6570"/>
          <w:sz w:val="16"/>
        </w:rPr>
        <w:t xml:space="preserve">   applies to every study   ·   learned from a outside critique, AMOC, ARCC, EGCH and PHDC, four outside audits on 03-Sep-2026</w:t>
      </w:r>
    </w:p>
    <w:p>
      <w:pPr>
        <w:spacing w:after="100"/>
      </w:pPr>
      <w:r>
        <w:rPr>
          <w:b w:val="0"/>
          <w:i w:val="0"/>
          <w:color w:val="1A1D21"/>
          <w:sz w:val="21"/>
        </w:rPr>
        <w:t>It will not announce itself, it survives every rebuild, and it wears the appearance of a computed record while being a memory. Where a file feeds a document, ask what WRITES it — and if the answer is nothing, that is the defect, before any question of whether its numbers are right.</w:t>
      </w:r>
    </w:p>
    <w:p>
      <w:pPr>
        <w:spacing w:after="60"/>
        <w:ind w:left="283"/>
      </w:pPr>
      <w:r>
        <w:rPr>
          <w:b w:val="0"/>
          <w:i w:val="0"/>
          <w:color w:val="5B6570"/>
          <w:sz w:val="19"/>
        </w:rPr>
        <w:t>How we know.  Three separate artefacts with no generator anywhere in the repository were found in one day. AMOC's case_adversarial.json was read by THREE builders and written by none; it froze at a base central of 5.954 and drove Table 7, Table 18, Figure 4 and the opening paragraph through two editions, telling a reader that conceding every contested charge reached EGP 7.47 — below the published 11.834, which is impossible, because every charge conceded raises the value. PHDC's diagnostics.json was the same shape and froze at a spot of 15.20 through a re-strike to 14.40. ARCC's efg_bridge caption was typed from a superseded model. None was visible to any gate, because every gate reads study_numbers.json and none of these files is in it.</w:t>
      </w:r>
    </w:p>
    <w:p>
      <w:pPr>
        <w:spacing w:after="160"/>
        <w:ind w:left="283"/>
      </w:pPr>
      <w:r>
        <w:rPr>
          <w:b w:val="0"/>
          <w:i w:val="0"/>
          <w:color w:val="5B6570"/>
          <w:sz w:val="19"/>
        </w:rPr>
        <w:t>What would overturn it.  An artefact with no generator that nonetheless stays current across several editions — which would mean something else is keeping it so, and that thing is the generator by another name.</w:t>
      </w:r>
    </w:p>
    <w:p>
      <w:pPr>
        <w:keepNext/>
        <w:spacing w:before="240" w:after="60"/>
      </w:pPr>
      <w:r>
        <w:rPr>
          <w:b/>
          <w:color w:val="1A1D21"/>
          <w:sz w:val="22"/>
        </w:rPr>
        <w:t>L-077  A default on a key that is never present is not a default. It is a second answer with no label.</w:t>
      </w:r>
    </w:p>
    <w:p>
      <w:pPr>
        <w:keepNext/>
        <w:spacing w:after="100"/>
      </w:pPr>
      <w:r>
        <w:rPr>
          <w:b/>
          <w:color w:val="1D6FA3"/>
          <w:sz w:val="16"/>
        </w:rPr>
        <w:t>EVERY STUDY</w:t>
      </w:r>
      <w:r>
        <w:rPr>
          <w:color w:val="5B6570"/>
          <w:sz w:val="16"/>
        </w:rPr>
        <w:t xml:space="preserve">   applies to every study   ·   learned from a outside critique, PHDC's cash-flow waterfall, 03-Sep-2026</w:t>
      </w:r>
    </w:p>
    <w:p>
      <w:pPr>
        <w:spacing w:after="100"/>
      </w:pPr>
      <w:r>
        <w:rPr>
          <w:b w:val="0"/>
          <w:i w:val="0"/>
          <w:color w:val="1A1D21"/>
          <w:sz w:val="21"/>
        </w:rPr>
        <w:t>A dict lookup with a fallback reads as defensive, and it is — right up to the moment the key is absent EVERY time, when it silently becomes the only code path and nothing says so. Prefer a lookup that raises, or derive the value from something the same output already publishes so the two cannot disagree.</w:t>
      </w:r>
    </w:p>
    <w:p>
      <w:pPr>
        <w:spacing w:after="60"/>
        <w:ind w:left="283"/>
      </w:pPr>
      <w:r>
        <w:rPr>
          <w:b w:val="0"/>
          <w:i w:val="0"/>
          <w:color w:val="5B6570"/>
          <w:sz w:val="19"/>
        </w:rPr>
        <w:t>How we know.  The row headed 'Cost of capital, that year' read w.get('forward_wacc', wacc) on each waterfall row. forward_wacc sits on the CASE, not on a row, so the fallback fired in every column and printed a flat 25.1% above a row of gliding discount factors it cannot produce. Compounding the printed rate gives 0.639 for 2027 against a published 0.656 and 0.039 for 2040 against 0.090 — 2.3 times out by year fifteen, in a table headed 'with nothing collapsed'. The workbook was right throughout. The fix was not a better default: the rate is now DERIVED from the discount factors the same table publishes.</w:t>
      </w:r>
    </w:p>
    <w:p>
      <w:pPr>
        <w:spacing w:after="160"/>
        <w:ind w:left="283"/>
      </w:pPr>
      <w:r>
        <w:rPr>
          <w:b w:val="0"/>
          <w:i w:val="0"/>
          <w:color w:val="5B6570"/>
          <w:sz w:val="19"/>
        </w:rPr>
        <w:t>What would overturn it.  A case where the fallback is genuinely the intended path for some rows and the named key for others. Then the two paths need different labels in the output, not one silent branch.</w:t>
      </w:r>
    </w:p>
    <w:p>
      <w:pPr>
        <w:keepNext/>
        <w:spacing w:before="240" w:after="60"/>
      </w:pPr>
      <w:r>
        <w:rPr>
          <w:b/>
          <w:color w:val="1A1D21"/>
          <w:sz w:val="22"/>
        </w:rPr>
        <w:t>L-078  A guard that cannot fail is worse than no guard, because it is counted as one.</w:t>
      </w:r>
    </w:p>
    <w:p>
      <w:pPr>
        <w:keepNext/>
        <w:spacing w:after="100"/>
      </w:pPr>
      <w:r>
        <w:rPr>
          <w:b/>
          <w:color w:val="1D6FA3"/>
          <w:sz w:val="16"/>
        </w:rPr>
        <w:t>EVERY STUDY</w:t>
      </w:r>
      <w:r>
        <w:rPr>
          <w:color w:val="5B6570"/>
          <w:sz w:val="16"/>
        </w:rPr>
        <w:t xml:space="preserve">   applies to every study   ·   learned from a outside critique, AMOC's probability zones, 03-Sep-2026</w:t>
      </w:r>
    </w:p>
    <w:p>
      <w:pPr>
        <w:spacing w:after="100"/>
      </w:pPr>
      <w:r>
        <w:rPr>
          <w:b w:val="0"/>
          <w:i w:val="0"/>
          <w:color w:val="1A1D21"/>
          <w:sz w:val="21"/>
        </w:rPr>
        <w:t>Before writing an assertion, ask what value of the input would make it raise. If the answer is none, the assertion is decoration standing where a check should be — and it will be trusted by everyone who reads the code afterwards.</w:t>
      </w:r>
    </w:p>
    <w:p>
      <w:pPr>
        <w:spacing w:after="60"/>
        <w:ind w:left="283"/>
      </w:pPr>
      <w:r>
        <w:rPr>
          <w:b w:val="0"/>
          <w:i w:val="0"/>
          <w:color w:val="5B6570"/>
          <w:sz w:val="19"/>
        </w:rPr>
        <w:t>How we know.  Five zone probabilities were built as consecutive differences of a cumulative distribution and guarded by 'assert the zones sum to one'. CONSECUTIVE DIFFERENCES OF A CUMULATIVE FUNCTION TELESCOPE, so that sum is 1.0 for ANY ordering of the cuts, ascending or not. The cuts were not ascending, two zones were NEGATIVE, and the table shipped -74.6% and -16.0% under a caption promising a genuine partition. The guard had been there the whole time and could never have caught it.</w:t>
      </w:r>
    </w:p>
    <w:p>
      <w:pPr>
        <w:spacing w:after="160"/>
        <w:ind w:left="283"/>
      </w:pPr>
      <w:r>
        <w:rPr>
          <w:b w:val="0"/>
          <w:i w:val="0"/>
          <w:color w:val="5B6570"/>
          <w:sz w:val="19"/>
        </w:rPr>
        <w:t>What would overturn it.  A guard whose failure condition is unreachable in this code path but reachable in another that shares the function — then it is a real check for the other caller and should say which.</w:t>
      </w:r>
    </w:p>
    <w:p>
      <w:pPr>
        <w:keepNext/>
        <w:spacing w:before="240" w:after="60"/>
      </w:pPr>
      <w:r>
        <w:rPr>
          <w:b/>
          <w:color w:val="1A1D21"/>
          <w:sz w:val="22"/>
        </w:rPr>
        <w:t>L-079  Write a correction OVER the sentence it corrects, not beneath it.</w:t>
      </w:r>
    </w:p>
    <w:p>
      <w:pPr>
        <w:keepNext/>
        <w:spacing w:after="100"/>
      </w:pPr>
      <w:r>
        <w:rPr>
          <w:b/>
          <w:color w:val="1D6FA3"/>
          <w:sz w:val="16"/>
        </w:rPr>
        <w:t>EVERY STUDY</w:t>
      </w:r>
      <w:r>
        <w:rPr>
          <w:color w:val="5B6570"/>
          <w:sz w:val="16"/>
        </w:rPr>
        <w:t xml:space="preserve">   applies to every study   ·   learned from a outside critique, AMOC §1.2, 03-Sep-2026</w:t>
      </w:r>
    </w:p>
    <w:p>
      <w:pPr>
        <w:spacing w:after="100"/>
      </w:pPr>
      <w:r>
        <w:rPr>
          <w:b w:val="0"/>
          <w:i w:val="0"/>
          <w:color w:val="1A1D21"/>
          <w:sz w:val="21"/>
        </w:rPr>
        <w:t>Adding the new statement under the old one leaves a document asserting both, and the reader has no way to tell which is current. It happens because the correction feels safer as an addition — nothing is lost — and that is exactly what makes it dangerous.</w:t>
      </w:r>
    </w:p>
    <w:p>
      <w:pPr>
        <w:spacing w:after="60"/>
        <w:ind w:left="283"/>
      </w:pPr>
      <w:r>
        <w:rPr>
          <w:b w:val="0"/>
          <w:i w:val="0"/>
          <w:color w:val="5B6570"/>
          <w:sz w:val="19"/>
        </w:rPr>
        <w:t>How we know.  One paragraph read 'HALF OF THIS BASE YEAR IS A PRESS RELEASE AND NOT A FILING'; the paragraph four lines below it read 'THE HALF IS FILED, AND THE RELEASED GROSS PROFIT WAS RIGHT'. Both were true of successive editions and only one was true of this one. A table cell in between still gave the basis as 'second half SOLVED' while the model used the filed figure, and the caveat list still called the base year 'half press release' — so the same page carried a superseded claim three times over beside its own correction.</w:t>
      </w:r>
    </w:p>
    <w:p>
      <w:pPr>
        <w:spacing w:after="160"/>
        <w:ind w:left="283"/>
      </w:pPr>
      <w:r>
        <w:rPr>
          <w:b w:val="0"/>
          <w:i w:val="0"/>
          <w:color w:val="5B6570"/>
          <w:sz w:val="19"/>
        </w:rPr>
        <w:t>What would overturn it.  A document that deliberately publishes both the old and the new reading for a reader of the previous edition — which is legitimate, and is why the retired blend is published labelled RETIRED rather than deleted. The test is whether the old statement is marked as superseded.</w:t>
      </w:r>
    </w:p>
    <w:p>
      <w:pPr>
        <w:keepNext/>
        <w:spacing w:before="240" w:after="60"/>
      </w:pPr>
      <w:r>
        <w:rPr>
          <w:b/>
          <w:color w:val="1A1D21"/>
          <w:sz w:val="22"/>
        </w:rPr>
        <w:t>L-080  A check that reads what a process DECLARES is not checking what the process does.</w:t>
      </w:r>
    </w:p>
    <w:p>
      <w:pPr>
        <w:keepNext/>
        <w:spacing w:after="100"/>
      </w:pPr>
      <w:r>
        <w:rPr>
          <w:b/>
          <w:color w:val="1D6FA3"/>
          <w:sz w:val="16"/>
        </w:rPr>
        <w:t>EVERY STUDY</w:t>
      </w:r>
      <w:r>
        <w:rPr>
          <w:color w:val="5B6570"/>
          <w:sz w:val="16"/>
        </w:rPr>
        <w:t xml:space="preserve">   applies to every study   ·   learned from a found while building, EGCH cpi_path, 03-Sep-2026</w:t>
      </w:r>
    </w:p>
    <w:p>
      <w:pPr>
        <w:spacing w:after="100"/>
      </w:pPr>
      <w:r>
        <w:rPr>
          <w:b w:val="0"/>
          <w:i w:val="0"/>
          <w:color w:val="1A1D21"/>
          <w:sz w:val="21"/>
        </w:rPr>
        <w:t>Every exemption in a gate is a place where the gate stops looking. A TRUE exemption on the WRONG OBJECT is the safest hiding place there is: nobody is lying, the reason survives review, and the work happens somewhere the check does not reach. Where a rule governs a quantity, hold the quantity — holding the study's description of where the quantity lives is one indirection too many.</w:t>
      </w:r>
    </w:p>
    <w:p>
      <w:pPr>
        <w:spacing w:after="60"/>
        <w:ind w:left="283"/>
      </w:pPr>
      <w:r>
        <w:rPr>
          <w:b w:val="0"/>
          <w:i w:val="0"/>
          <w:color w:val="5B6570"/>
          <w:sz w:val="19"/>
        </w:rPr>
        <w:t>How we know.  EGCH declared its one growth line exempt from the house inflation path on grounds that were perfectly true — its revenue is built from tonnes and dollar prices, so no nominal growth rate sat on that line. Meanwhile an input named nowhere in the record, cpi_path = 10.0 / 7.0 / 6.0 / 5.0 / 5.0 against a house ladder of 16.0 / 12.0 / 9.0 / 7.5 / 7.0, drove the purchasing-power wedge and therefore the whole currency path — so both the pound value of dollar revenue and the gas cost — and escalated other materials, wages, services and the terminal tonne's conversion cost. It terminated at 5% while the same record carried the house terminal of 7%. The study's own gap review named it in plain words, 'the study's own Egyptian inflation path', inside the heading whose purpose is to catch it, and passed.</w:t>
      </w:r>
    </w:p>
    <w:p>
      <w:pPr>
        <w:spacing w:after="160"/>
        <w:ind w:left="283"/>
      </w:pPr>
      <w:r>
        <w:rPr>
          <w:b w:val="0"/>
          <w:i w:val="0"/>
          <w:color w:val="5B6570"/>
          <w:sz w:val="19"/>
        </w:rPr>
        <w:t>What would overturn it.  A gate that holds the declared object and the used object and finds them always identical across a large book — which would mean the indirection is harmless in practice and the extra clause is cost without benefit.</w:t>
      </w:r>
    </w:p>
    <w:p>
      <w:pPr>
        <w:keepNext/>
        <w:spacing w:before="240" w:after="60"/>
      </w:pPr>
      <w:r>
        <w:rPr>
          <w:b/>
          <w:color w:val="1A1D21"/>
          <w:sz w:val="22"/>
        </w:rPr>
        <w:t>L-081  A list of forbidden words cannot be complete; match the shapes that cannot occur innocently.</w:t>
      </w:r>
    </w:p>
    <w:p>
      <w:pPr>
        <w:keepNext/>
        <w:spacing w:after="100"/>
      </w:pPr>
      <w:r>
        <w:rPr>
          <w:b/>
          <w:color w:val="1D6FA3"/>
          <w:sz w:val="16"/>
        </w:rPr>
        <w:t>EVERY STUDY</w:t>
      </w:r>
      <w:r>
        <w:rPr>
          <w:color w:val="5B6570"/>
          <w:sz w:val="16"/>
        </w:rPr>
        <w:t xml:space="preserve">   applies to every study   ·   learned from a found while building, EGCH and AMOC bibliographies, 03-Sep-2026</w:t>
      </w:r>
    </w:p>
    <w:p>
      <w:pPr>
        <w:spacing w:after="100"/>
      </w:pPr>
      <w:r>
        <w:rPr>
          <w:b w:val="0"/>
          <w:i w:val="0"/>
          <w:color w:val="1A1D21"/>
          <w:sz w:val="21"/>
        </w:rPr>
        <w:t>Where a prohibition can be expressed as a SHAPE rather than a vocabulary, express it as a shape. A word list is maintained by whoever last thought of a word, so every copy of it has a different hole, and the holes are invisible until something falls through one.</w:t>
      </w:r>
    </w:p>
    <w:p>
      <w:pPr>
        <w:spacing w:after="60"/>
        <w:ind w:left="283"/>
      </w:pPr>
      <w:r>
        <w:rPr>
          <w:b w:val="0"/>
          <w:i w:val="0"/>
          <w:color w:val="5B6570"/>
          <w:sz w:val="19"/>
        </w:rPr>
        <w:t>How we know.  Depth-bar standard 4 is implemented by each study as its own list of forbidden terms — 39 in ARCC, 68 in EGCH, a different set in AMOC. EGCH's delivered bibliography shipped two standing-rule identifiers and a repository path out of an input register's source field while its own scrub reported ZERO hits across 68 patterns; AMOC's scrub, which happens to carry both shapes, caught the identical sentence the same hour. A sweep of the book found three more delivered documents leaking through three different holes.</w:t>
      </w:r>
    </w:p>
    <w:p>
      <w:pPr>
        <w:spacing w:after="160"/>
        <w:ind w:left="283"/>
      </w:pPr>
      <w:r>
        <w:rPr>
          <w:b w:val="0"/>
          <w:i w:val="0"/>
          <w:color w:val="5B6570"/>
          <w:sz w:val="19"/>
        </w:rPr>
        <w:t>What would overturn it.  A shape that turns out to occur innocently in a document written for an outside reader — which would mean the shape was the wrong instrument and a word list, with its judgement about ordinary senses, was right after all.</w:t>
      </w:r>
    </w:p>
    <w:p>
      <w:pPr>
        <w:keepNext/>
        <w:spacing w:before="240" w:after="60"/>
      </w:pPr>
      <w:r>
        <w:rPr>
          <w:b/>
          <w:color w:val="1A1D21"/>
          <w:sz w:val="22"/>
        </w:rPr>
        <w:t>L-082  A correction that moves the answer away from the price is not a reason to reconsider the correction.</w:t>
      </w:r>
    </w:p>
    <w:p>
      <w:pPr>
        <w:keepNext/>
        <w:spacing w:after="100"/>
      </w:pPr>
      <w:r>
        <w:rPr>
          <w:b/>
          <w:color w:val="1D6FA3"/>
          <w:sz w:val="16"/>
        </w:rPr>
        <w:t>EVERY STUDY</w:t>
      </w:r>
      <w:r>
        <w:rPr>
          <w:color w:val="5B6570"/>
          <w:sz w:val="16"/>
        </w:rPr>
        <w:t xml:space="preserve">   applies to every study   ·   learned from a found while building, AMOC inflation ladder, 03-Sep-2026</w:t>
      </w:r>
    </w:p>
    <w:p>
      <w:pPr>
        <w:spacing w:after="100"/>
      </w:pPr>
      <w:r>
        <w:rPr>
          <w:b w:val="0"/>
          <w:i w:val="0"/>
          <w:color w:val="1A1D21"/>
          <w:sz w:val="21"/>
        </w:rPr>
        <w:t>The temptation runs the other way from the one everyone guards against. A correction that closes a gap feels confirmed by the closing, and one that widens it invites a second look at the correction rather than at the model. Both instincts are the same error: the price is evidence about where to LOOK, never evidence about what the answer is.</w:t>
      </w:r>
    </w:p>
    <w:p>
      <w:pPr>
        <w:spacing w:after="60"/>
        <w:ind w:left="283"/>
      </w:pPr>
      <w:r>
        <w:rPr>
          <w:b w:val="0"/>
          <w:i w:val="0"/>
          <w:color w:val="5B6570"/>
          <w:sz w:val="19"/>
        </w:rPr>
        <w:t>How we know.  Conforming AMOC's cost ladder to the house path was expected to RAISE the value: the study's own ladder compounded higher, 1.7385 against 1.6288 over five forecast years, so the cost side alone said the value would rise. It fell, EGP 11.83 to 11.40, from -12.3% to -15.5% against the price, because the currency path is derived from the same ladder by purchasing-power parity — a lower ladder means a stronger pound, and on a dollar-linked slate the translation gain lost outweighs the pound costs saved. The direction was not predictable from the sign of the input error.</w:t>
      </w:r>
    </w:p>
    <w:p>
      <w:pPr>
        <w:spacing w:after="160"/>
        <w:ind w:left="283"/>
      </w:pPr>
      <w:r>
        <w:rPr>
          <w:b w:val="0"/>
          <w:i w:val="0"/>
          <w:color w:val="5B6570"/>
          <w:sz w:val="19"/>
        </w:rPr>
        <w:t>What would overturn it.  A case where re-examining a correction that widened a gap uncovers a real defect in the correction itself — which is why the instinct exists and why the rule is about not letting the DIRECTION be the trigger, rather than about never looking.</w:t>
      </w:r>
    </w:p>
    <w:p>
      <w:pPr>
        <w:keepNext/>
        <w:spacing w:before="240" w:after="60"/>
      </w:pPr>
      <w:r>
        <w:rPr>
          <w:b/>
          <w:color w:val="1A1D21"/>
          <w:sz w:val="22"/>
        </w:rPr>
        <w:t>L-083  A value patched into a generated artefact is lost at the next generation.</w:t>
      </w:r>
    </w:p>
    <w:p>
      <w:pPr>
        <w:keepNext/>
        <w:spacing w:after="100"/>
      </w:pPr>
      <w:r>
        <w:rPr>
          <w:b/>
          <w:color w:val="1D6FA3"/>
          <w:sz w:val="16"/>
        </w:rPr>
        <w:t>EVERY STUDY</w:t>
      </w:r>
      <w:r>
        <w:rPr>
          <w:color w:val="5B6570"/>
          <w:sz w:val="16"/>
        </w:rPr>
        <w:t xml:space="preserve">   applies to every study   ·   learned from a found while building, TMGH range_basis, 03-Sep-2026</w:t>
      </w:r>
    </w:p>
    <w:p>
      <w:pPr>
        <w:spacing w:after="100"/>
      </w:pPr>
      <w:r>
        <w:rPr>
          <w:b w:val="0"/>
          <w:i w:val="0"/>
          <w:color w:val="1A1D21"/>
          <w:sz w:val="21"/>
        </w:rPr>
        <w:t>The patch works, the gate goes green, and the obligation to move it into the generator becomes a thing somebody has to remember. Nobody does, and the loss surfaces hours or weeks later as a gate failing on work that looked finished.</w:t>
      </w:r>
    </w:p>
    <w:p>
      <w:pPr>
        <w:spacing w:after="60"/>
        <w:ind w:left="283"/>
      </w:pPr>
      <w:r>
        <w:rPr>
          <w:b w:val="0"/>
          <w:i w:val="0"/>
          <w:color w:val="5B6570"/>
          <w:sz w:val="19"/>
        </w:rPr>
        <w:t>How we know.  The commit that adopted the range_basis requirement wrote the block straight into engine/tmgh_study/study_numbers.json and never into build_numbers.py. The next honest rebuild of that study — triggered by an unrelated amendment the same day — dropped it, and the lens-design gate went red on a study that had been conforming eight hours earlier. This is L-067's cousin: that one was a check pinned to a filename, this one is a value pinned to a file.</w:t>
      </w:r>
    </w:p>
    <w:p>
      <w:pPr>
        <w:spacing w:after="160"/>
        <w:ind w:left="283"/>
      </w:pPr>
      <w:r>
        <w:rPr>
          <w:b w:val="0"/>
          <w:i w:val="0"/>
          <w:color w:val="5B6570"/>
          <w:sz w:val="19"/>
        </w:rPr>
        <w:t>What would overturn it.  A generated artefact that legitimately cannot be produced by its generator — a figure only a person can supply — in which case the honest form is an input the generator READS, not a patch to its output.</w:t>
      </w:r>
    </w:p>
    <w:p>
      <w:pPr>
        <w:keepNext/>
        <w:spacing w:before="240" w:after="60"/>
      </w:pPr>
      <w:r>
        <w:rPr>
          <w:b/>
          <w:color w:val="1A1D21"/>
          <w:sz w:val="22"/>
        </w:rPr>
        <w:t>L-084  A process that validates itself validates the list its author thought of.</w:t>
      </w:r>
    </w:p>
    <w:p>
      <w:pPr>
        <w:keepNext/>
        <w:spacing w:after="100"/>
      </w:pPr>
      <w:r>
        <w:rPr>
          <w:b/>
          <w:color w:val="1D6FA3"/>
          <w:sz w:val="16"/>
        </w:rPr>
        <w:t>EVERY STUDY</w:t>
      </w:r>
      <w:r>
        <w:rPr>
          <w:color w:val="5B6570"/>
          <w:sz w:val="16"/>
        </w:rPr>
        <w:t xml:space="preserve">   applies to every study   ·   learned from a found while building, ARCC sweep.py, 03-Sep-2026</w:t>
      </w:r>
    </w:p>
    <w:p>
      <w:pPr>
        <w:spacing w:after="100"/>
      </w:pPr>
      <w:r>
        <w:rPr>
          <w:b w:val="0"/>
          <w:i w:val="0"/>
          <w:color w:val="1A1D21"/>
          <w:sz w:val="21"/>
        </w:rPr>
        <w:t>Local checks fail by imagination, not by care. A careful author writes careful assertions about everything they can think of, and the gap is precisely the set of things they could not — which no amount of further care inside the same process will supply, because what is missing is a list written somewhere else. This is why a shared instrument beats a good local one even when the local one is better written.</w:t>
      </w:r>
    </w:p>
    <w:p>
      <w:pPr>
        <w:spacing w:after="60"/>
        <w:ind w:left="283"/>
      </w:pPr>
      <w:r>
        <w:rPr>
          <w:b w:val="0"/>
          <w:i w:val="0"/>
          <w:color w:val="5B6570"/>
          <w:sz w:val="19"/>
        </w:rPr>
        <w:t>How we know.  ARCC was the only study in the book that hand-rolled its Step 2A sweep instead of importing engine/research_sweep.py. Its own assertions checked five things — every finding has a source, a date and a model impact; the class is one of four; all four rings appear; ids are unique; driver cross-references resolve — and all five passed. Replaying the same 26 findings through the shared register's validate() produced SEVEN errors, and five were facts the study already held: a company website attempted and refused, an investor presentation cited by page for six drivers, the reviewed half the bridge stands on, and three top-down drivers whose evidenced absence sat in prose inside their own justification.</w:t>
      </w:r>
    </w:p>
    <w:p>
      <w:pPr>
        <w:spacing w:after="160"/>
        <w:ind w:left="283"/>
      </w:pPr>
      <w:r>
        <w:rPr>
          <w:b w:val="0"/>
          <w:i w:val="0"/>
          <w:color w:val="5B6570"/>
          <w:sz w:val="19"/>
        </w:rPr>
        <w:t>What would overturn it.  A study whose local checks turn out to be a strict superset of the shared instrument's — which would mean the shared module is the weaker one and should adopt the local checks, not the other way round.</w:t>
      </w:r>
    </w:p>
    <w:p>
      <w:pPr>
        <w:keepNext/>
        <w:spacing w:before="240" w:after="60"/>
      </w:pPr>
      <w:r>
        <w:rPr>
          <w:b/>
          <w:color w:val="1A1D21"/>
          <w:sz w:val="22"/>
        </w:rPr>
        <w:t>L-085  A rule that one study implements is a rule that one study obeys.</w:t>
      </w:r>
    </w:p>
    <w:p>
      <w:pPr>
        <w:keepNext/>
        <w:spacing w:after="100"/>
      </w:pPr>
      <w:r>
        <w:rPr>
          <w:b/>
          <w:color w:val="1D6FA3"/>
          <w:sz w:val="16"/>
        </w:rPr>
        <w:t>EVERY STUDY</w:t>
      </w:r>
      <w:r>
        <w:rPr>
          <w:color w:val="5B6570"/>
          <w:sz w:val="16"/>
        </w:rPr>
        <w:t xml:space="preserve">   applies to every study   ·   learned from a found while building, prose_check across the book, 03-Sep-2026</w:t>
      </w:r>
    </w:p>
    <w:p>
      <w:pPr>
        <w:spacing w:after="100"/>
      </w:pPr>
      <w:r>
        <w:rPr>
          <w:b w:val="0"/>
          <w:i w:val="0"/>
          <w:color w:val="1A1D21"/>
          <w:sz w:val="21"/>
        </w:rPr>
        <w:t>A correct rule, written down and implemented well in the one place it exists, binds nothing anywhere else. The instinct is to port the implementation study by study; the cost of that is one hand-maintained copy per study, each with its own hole. Make it arithmetic ONCE, in a shared place, and the rule survives everywhere rather than in the place somebody remembered.</w:t>
      </w:r>
    </w:p>
    <w:p>
      <w:pPr>
        <w:spacing w:after="60"/>
        <w:ind w:left="283"/>
      </w:pPr>
      <w:r>
        <w:rPr>
          <w:b w:val="0"/>
          <w:i w:val="0"/>
          <w:color w:val="5B6570"/>
          <w:sz w:val="19"/>
        </w:rPr>
        <w:t>How we know.  "A number stated in prose must be computed, not typed" had been standing for four weeks and exactly one study of twenty-four implemented a check for it. Measured in one afternoon on three studies that had just been rebuilt and passed every other gate: AMOC published a 514-basis-point margin range whose own five named periods span 737, alongside a summary row that summed five values and divided by four; ARCC shipped a masthead a day stale and a price date a month stale; PHDC carried three comments above one line, two of them wrong. Across the whole book, 373 of 8,824 figures in the delivered documents had no computed counterpart. Shared as engine/prose_figures.py rather than copied twenty-three times, and the first four ports reached zero unmatched across 1,561 figures.</w:t>
      </w:r>
    </w:p>
    <w:p>
      <w:pPr>
        <w:spacing w:after="160"/>
        <w:ind w:left="283"/>
      </w:pPr>
      <w:r>
        <w:rPr>
          <w:b w:val="0"/>
          <w:i w:val="0"/>
          <w:color w:val="5B6570"/>
          <w:sz w:val="19"/>
        </w:rPr>
        <w:t>What would overturn it.  A rule whose right implementation is genuinely study-specific — where a shared instrument would have to be so configurable that each study's declaration IS the implementation, at which point the sharing buys nothing but a common vocabulary.</w:t>
      </w:r>
    </w:p>
    <w:p>
      <w:pPr>
        <w:keepNext/>
        <w:spacing w:before="240" w:after="60"/>
      </w:pPr>
      <w:r>
        <w:rPr>
          <w:b/>
          <w:color w:val="1A1D21"/>
          <w:sz w:val="22"/>
        </w:rPr>
        <w:t>L-208  A check that fails by the calendar is not a check.</w:t>
      </w:r>
    </w:p>
    <w:p>
      <w:pPr>
        <w:keepNext/>
        <w:spacing w:after="100"/>
      </w:pPr>
      <w:r>
        <w:rPr>
          <w:b/>
          <w:color w:val="1D6FA3"/>
          <w:sz w:val="16"/>
        </w:rPr>
        <w:t>EVERY STUDY</w:t>
      </w:r>
      <w:r>
        <w:rPr>
          <w:color w:val="5B6570"/>
          <w:sz w:val="16"/>
        </w:rPr>
        <w:t xml:space="preserve">   applies to every study   ·   learned from a self-audit, Cost-of-capital reference gate, 03-Sep-2026</w:t>
      </w:r>
    </w:p>
    <w:p>
      <w:pPr>
        <w:spacing w:after="100"/>
      </w:pPr>
      <w:r>
        <w:rPr>
          <w:b w:val="0"/>
          <w:i w:val="0"/>
          <w:color w:val="1A1D21"/>
          <w:sz w:val="21"/>
        </w:rPr>
        <w:t>If a generated file carries today's date, or an age counted in days, and something compares that file byte for byte, the comparison starts failing at midnight with nothing changed. Everyone learns to ignore it, and then they ignore it on the night it means something. Put the date the CONTENT was sourced in the file, and leave 'how old is that now' to a tool someone runs.</w:t>
      </w:r>
    </w:p>
    <w:p>
      <w:pPr>
        <w:spacing w:after="60"/>
        <w:ind w:left="283"/>
      </w:pPr>
      <w:r>
        <w:rPr>
          <w:b w:val="0"/>
          <w:i w:val="0"/>
          <w:color w:val="5B6570"/>
          <w:sz w:val="19"/>
        </w:rPr>
        <w:t>How we know.  engine/Cost_of_Capital_Reference.md is compared byte for byte against its generator's output in CI, and the generator stamped it with date.today() and with the sovereign quote's age in days. It went red every midnight from 02-Sep-2026, and by the time it was found a red gate on that branch was already being read as background noise. The document now carries the date its paths were sourced; rebuilt under a faked 2027-05-17 clock it is byte-identical to today's output.</w:t>
      </w:r>
    </w:p>
    <w:p>
      <w:pPr>
        <w:spacing w:after="160"/>
        <w:ind w:left="283"/>
      </w:pPr>
      <w:r>
        <w:rPr>
          <w:b w:val="0"/>
          <w:i w:val="0"/>
          <w:color w:val="5B6570"/>
          <w:sz w:val="19"/>
        </w:rPr>
        <w:t>What would overturn it.  A byte-compared artefact whose consumers genuinely need the run date — in which case the comparison, not the date, is the thing to change.</w:t>
      </w:r>
    </w:p>
    <w:p>
      <w:pPr>
        <w:keepNext/>
        <w:spacing w:before="240" w:after="60"/>
      </w:pPr>
      <w:r>
        <w:rPr>
          <w:b/>
          <w:color w:val="1A1D21"/>
          <w:sz w:val="22"/>
        </w:rPr>
        <w:t>L-209  An observed number and an estimated one need different evidence to be point-in-time.</w:t>
      </w:r>
    </w:p>
    <w:p>
      <w:pPr>
        <w:keepNext/>
        <w:spacing w:after="100"/>
      </w:pPr>
      <w:r>
        <w:rPr>
          <w:b/>
          <w:color w:val="1D6FA3"/>
          <w:sz w:val="16"/>
        </w:rPr>
        <w:t>EVERY STUDY</w:t>
      </w:r>
      <w:r>
        <w:rPr>
          <w:color w:val="5B6570"/>
          <w:sz w:val="16"/>
        </w:rPr>
        <w:t xml:space="preserve">   applies to every study   ·   learned from a found while building, Point-in-time macro archive, 03-Sep-2026</w:t>
      </w:r>
    </w:p>
    <w:p>
      <w:pPr>
        <w:spacing w:after="100"/>
      </w:pPr>
      <w:r>
        <w:rPr>
          <w:b w:val="0"/>
          <w:i w:val="0"/>
          <w:color w:val="1A1D21"/>
          <w:sz w:val="21"/>
        </w:rPr>
        <w:t>A price, a policy rate, an auction result is fixed the day it happens and nobody revises it, so looking it up today is fine. A price index or a national account is revised and rebased for years, so today's version is NOT what anyone had at the time and using it silently rewrites history. The second kind needs the publication that existed then.</w:t>
      </w:r>
    </w:p>
    <w:p>
      <w:pPr>
        <w:spacing w:after="60"/>
        <w:ind w:left="283"/>
      </w:pPr>
      <w:r>
        <w:rPr>
          <w:b w:val="0"/>
          <w:i w:val="0"/>
          <w:color w:val="5B6570"/>
          <w:sz w:val="19"/>
        </w:rPr>
        <w:t>How we know.  Across the six origins where both are held, Egypt's inflation as published AT the origin and as reported for that same year today differ by 4.24 percentage points on average and 7.50 at worst, in both directions (2017 +7.50, 2018 -6.46). At those sizes an escalator, the currency path derived from it and the terminal all move.</w:t>
      </w:r>
    </w:p>
    <w:p>
      <w:pPr>
        <w:spacing w:after="160"/>
        <w:ind w:left="283"/>
      </w:pPr>
      <w:r>
        <w:rPr>
          <w:b w:val="0"/>
          <w:i w:val="0"/>
          <w:color w:val="5B6570"/>
          <w:sz w:val="19"/>
        </w:rPr>
        <w:t>What would overturn it.  An observed series that turns out to be revised after the fact — a settled or restated market close is exactly that, and this repository has already seen one on a metals anchor.</w:t>
      </w:r>
    </w:p>
    <w:p>
      <w:pPr>
        <w:keepNext/>
        <w:spacing w:before="240" w:after="60"/>
      </w:pPr>
      <w:r>
        <w:rPr>
          <w:b/>
          <w:color w:val="1A1D21"/>
          <w:sz w:val="22"/>
        </w:rPr>
        <w:t>L-210  A mean far from its median is a tail, and a tail is a different problem from a bias.</w:t>
      </w:r>
    </w:p>
    <w:p>
      <w:pPr>
        <w:keepNext/>
        <w:spacing w:after="100"/>
      </w:pPr>
      <w:r>
        <w:rPr>
          <w:b/>
          <w:color w:val="1D6FA3"/>
          <w:sz w:val="16"/>
        </w:rPr>
        <w:t>EVERY STUDY</w:t>
      </w:r>
      <w:r>
        <w:rPr>
          <w:color w:val="5B6570"/>
          <w:sz w:val="16"/>
        </w:rPr>
        <w:t xml:space="preserve">   applies to every study   ·   learned from a self-audit, Delivered-book measurement, 03-Sep-2026</w:t>
      </w:r>
    </w:p>
    <w:p>
      <w:pPr>
        <w:spacing w:after="100"/>
      </w:pPr>
      <w:r>
        <w:rPr>
          <w:b w:val="0"/>
          <w:i w:val="0"/>
          <w:color w:val="1A1D21"/>
          <w:sz w:val="21"/>
        </w:rPr>
        <w:t>If the average name is 10% below the market but the middle name is on it, the house is not pessimistic — it is inconsistent, and a handful of names carry the whole gap. Moving a rate to fix the average would push every reasonable name off the market to correct a few that are wrong.</w:t>
      </w:r>
    </w:p>
    <w:p>
      <w:pPr>
        <w:spacing w:after="60"/>
        <w:ind w:left="283"/>
      </w:pPr>
      <w:r>
        <w:rPr>
          <w:b w:val="0"/>
          <w:i w:val="0"/>
          <w:color w:val="5B6570"/>
          <w:sz w:val="19"/>
        </w:rPr>
        <w:t>How we know.  Across all 90 published fair values against the prices they were struck at, the mean is -10.6% and the MEDIAN is -0.3%, with 46 of 90 below the price. Ten names read more than 40% below against three more than 40% above, and the exchange-clustered interval straddles zero.</w:t>
      </w:r>
    </w:p>
    <w:p>
      <w:pPr>
        <w:spacing w:after="160"/>
        <w:ind w:left="283"/>
      </w:pPr>
      <w:r>
        <w:rPr>
          <w:b w:val="0"/>
          <w:i w:val="0"/>
          <w:color w:val="5B6570"/>
          <w:sz w:val="19"/>
        </w:rPr>
        <w:t>What would overturn it.  A book whose mean and median agree, where a uniform correction is exactly the right instrument.</w:t>
      </w:r>
    </w:p>
    <w:p>
      <w:pPr>
        <w:keepNext/>
        <w:spacing w:before="240" w:after="60"/>
      </w:pPr>
      <w:r>
        <w:rPr>
          <w:b/>
          <w:color w:val="1A1D21"/>
          <w:sz w:val="22"/>
        </w:rPr>
        <w:t>L-211  A CI step assumes a disposable runner; a working checkout is not one.</w:t>
      </w:r>
    </w:p>
    <w:p>
      <w:pPr>
        <w:keepNext/>
        <w:spacing w:after="100"/>
      </w:pPr>
      <w:r>
        <w:rPr>
          <w:b/>
          <w:color w:val="1D6FA3"/>
          <w:sz w:val="16"/>
        </w:rPr>
        <w:t>EVERY STUDY</w:t>
      </w:r>
      <w:r>
        <w:rPr>
          <w:color w:val="5B6570"/>
          <w:sz w:val="16"/>
        </w:rPr>
        <w:t xml:space="preserve">   applies to every study   ·   learned from a self-audit, run_ci_gates.py incident, 03-Sep-2026</w:t>
      </w:r>
    </w:p>
    <w:p>
      <w:pPr>
        <w:spacing w:after="100"/>
      </w:pPr>
      <w:r>
        <w:rPr>
          <w:b w:val="0"/>
          <w:i w:val="0"/>
          <w:color w:val="1A1D21"/>
          <w:sz w:val="21"/>
        </w:rPr>
        <w:t>Workflow steps are written knowing the machine gets thrown away, so they rebase, reset and auto-commit freely. Running them where the work lives does what they say.</w:t>
      </w:r>
    </w:p>
    <w:p>
      <w:pPr>
        <w:spacing w:after="60"/>
        <w:ind w:left="283"/>
      </w:pPr>
      <w:r>
        <w:rPr>
          <w:b w:val="0"/>
          <w:i w:val="0"/>
          <w:color w:val="5B6570"/>
          <w:sz w:val="19"/>
        </w:rPr>
        <w:t>How we know.  A script written to run CI's own steps locally reached a workflow that rebases and auto-commits: the checkout was left mid-rebase on a detached HEAD, a directory was emptied on disk, and an uncommitted file was swept into a commit describing something else. Nothing was lost only because every commit was already pushed, which is timing rather than design.</w:t>
      </w:r>
    </w:p>
    <w:p>
      <w:pPr>
        <w:spacing w:after="160"/>
        <w:ind w:left="283"/>
      </w:pPr>
      <w:r>
        <w:rPr>
          <w:b w:val="0"/>
          <w:i w:val="0"/>
          <w:color w:val="5B6570"/>
          <w:sz w:val="19"/>
        </w:rPr>
        <w:t>What would overturn it.  A runner that executes such steps inside a throwaway worktree, where the assumption they are written under actually holds.</w:t>
      </w:r>
    </w:p>
    <w:p>
      <w:pPr>
        <w:keepNext/>
        <w:spacing w:before="240" w:after="60"/>
      </w:pPr>
      <w:r>
        <w:rPr>
          <w:b/>
          <w:color w:val="1A1D21"/>
          <w:sz w:val="22"/>
        </w:rPr>
        <w:t>L-212  A local check sweep must read the list CI runs, not a list somebody keeps.</w:t>
      </w:r>
    </w:p>
    <w:p>
      <w:pPr>
        <w:keepNext/>
        <w:spacing w:after="100"/>
      </w:pPr>
      <w:r>
        <w:rPr>
          <w:b/>
          <w:color w:val="1D6FA3"/>
          <w:sz w:val="16"/>
        </w:rPr>
        <w:t>EVERY STUDY</w:t>
      </w:r>
      <w:r>
        <w:rPr>
          <w:color w:val="5B6570"/>
          <w:sz w:val="16"/>
        </w:rPr>
        <w:t xml:space="preserve">   applies to every study   ·   learned from a self-audit, Gate-sweep population, 03-Sep-2026</w:t>
      </w:r>
    </w:p>
    <w:p>
      <w:pPr>
        <w:spacing w:after="100"/>
      </w:pPr>
      <w:r>
        <w:rPr>
          <w:b w:val="0"/>
          <w:i w:val="0"/>
          <w:color w:val="1A1D21"/>
          <w:sz w:val="21"/>
        </w:rPr>
        <w:t>Running the checks you remember is not running the checks. The two lists drift the moment a step is added straight to the workflow, and the difference is invisible from the side you are standing on.</w:t>
      </w:r>
    </w:p>
    <w:p>
      <w:pPr>
        <w:spacing w:after="60"/>
        <w:ind w:left="283"/>
      </w:pPr>
      <w:r>
        <w:rPr>
          <w:b w:val="0"/>
          <w:i w:val="0"/>
          <w:color w:val="5B6570"/>
          <w:sz w:val="19"/>
        </w:rPr>
        <w:t>How we know.  'Every gate green' was reported here while CI had been red for a day on a step that lives inline in the workflow and was never in the hand-maintained list. The sweep now parses the workflow and runs every step it declares, so a step added to CI is a step it runs.</w:t>
      </w:r>
    </w:p>
    <w:p>
      <w:pPr>
        <w:spacing w:after="160"/>
        <w:ind w:left="283"/>
      </w:pPr>
      <w:r>
        <w:rPr>
          <w:b w:val="0"/>
          <w:i w:val="0"/>
          <w:color w:val="5B6570"/>
          <w:sz w:val="19"/>
        </w:rPr>
        <w:t>What would overturn it.  Nothing yet. If a workflow ever declares steps that cannot be meaningfully run outside the runner, they are skipped BY NAME and counted, never dropped.</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keepNext/>
        <w:spacing w:before="240" w:after="60"/>
      </w:pPr>
      <w:r>
        <w:rPr>
          <w:b/>
          <w:color w:val="1A1D21"/>
          <w:sz w:val="22"/>
        </w:rPr>
        <w:t>L-120  Haulage cost follows the EXPORT tonne, so a cost per tonne despatched misprices it.</w:t>
      </w:r>
    </w:p>
    <w:p>
      <w:pPr>
        <w:keepNext/>
        <w:spacing w:after="100"/>
      </w:pPr>
      <w:r>
        <w:rPr>
          <w:b/>
          <w:color w:val="7E4A94"/>
          <w:sz w:val="16"/>
        </w:rPr>
        <w:t>A CLASS OF COMPANY</w:t>
      </w:r>
      <w:r>
        <w:rPr>
          <w:color w:val="5B6570"/>
          <w:sz w:val="16"/>
        </w:rPr>
        <w:t xml:space="preserve">   applies to every cement and heavy industrial   ·   learned from a fundamental walk-forward test, ARCC walk-forward, date not recorded</w:t>
      </w:r>
      <w:r>
        <w:rPr>
          <w:b/>
          <w:color w:val="B03A2E"/>
          <w:sz w:val="16"/>
        </w:rPr>
        <w:t xml:space="preserve">   ·   STATUS: PROVISIONAL</w:t>
      </w:r>
    </w:p>
    <w:p>
      <w:pPr>
        <w:spacing w:after="100"/>
      </w:pPr>
      <w:r>
        <w:rPr>
          <w:b w:val="0"/>
          <w:i w:val="0"/>
          <w:color w:val="1A1D21"/>
          <w:sz w:val="21"/>
        </w:rPr>
        <w:t>Cement sold at home moves a short distance to a local customer; clinker sold abroad moves to a port. Spreading haulage across every tonne despatched makes the cost look like a rate that inflation moves, when it is really a mix effect. When the export share falls, a per-despatched-tonne driver overstates the cost.</w:t>
      </w:r>
    </w:p>
    <w:p>
      <w:pPr>
        <w:spacing w:after="60"/>
        <w:ind w:left="283"/>
      </w:pPr>
      <w:r>
        <w:rPr>
          <w:b w:val="0"/>
          <w:i w:val="0"/>
          <w:color w:val="5B6570"/>
          <w:sz w:val="19"/>
        </w:rPr>
        <w:t>How we know.  Bias -0.693 log (about 2.0 times too low), average miss 0.791, wrong in the same direction in 76% of cases, and the sign holds across every bootstrap block tested (n=25).</w:t>
      </w:r>
    </w:p>
    <w:p>
      <w:pPr>
        <w:spacing w:after="160"/>
        <w:ind w:left="283"/>
      </w:pPr>
      <w:r>
        <w:rPr>
          <w:b w:val="0"/>
          <w:i w:val="0"/>
          <w:color w:val="5B6570"/>
          <w:sz w:val="19"/>
        </w:rPr>
        <w:t>What would overturn it.  A producer whose local and export haulage rates per tonne are disclosed and turn out to be the same.</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EGCH</w:t>
      </w:r>
    </w:p>
    <w:p>
      <w:pPr>
        <w:keepNext/>
        <w:spacing w:before="240" w:after="60"/>
      </w:pPr>
      <w:r>
        <w:rPr>
          <w:b/>
          <w:color w:val="1A1D21"/>
          <w:sz w:val="22"/>
        </w:rPr>
        <w:t>L-206  KIMA's urea output falls in the summer gas curtailment, so flat tonnes over-forecast every year.</w:t>
      </w:r>
    </w:p>
    <w:p>
      <w:pPr>
        <w:keepNext/>
        <w:spacing w:after="100"/>
      </w:pPr>
      <w:r>
        <w:rPr>
          <w:b/>
          <w:color w:val="B03A2E"/>
          <w:sz w:val="16"/>
        </w:rPr>
        <w:t>ONE COMPANY ONLY</w:t>
      </w:r>
      <w:r>
        <w:rPr>
          <w:color w:val="5B6570"/>
          <w:sz w:val="16"/>
        </w:rPr>
        <w:t xml:space="preserve">   applies to EGCH only   ·   learned from a fundamental walk-forward test, EGCH walk-forward, 1 September 2026</w:t>
      </w:r>
      <w:r>
        <w:rPr>
          <w:b/>
          <w:color w:val="B03A2E"/>
          <w:sz w:val="16"/>
        </w:rPr>
        <w:t xml:space="preserve">   ·   STATUS: PROVISIONAL</w:t>
      </w:r>
    </w:p>
    <w:p>
      <w:pPr>
        <w:spacing w:after="100"/>
      </w:pPr>
      <w:r>
        <w:rPr>
          <w:b w:val="0"/>
          <w:i w:val="0"/>
          <w:color w:val="1A1D21"/>
          <w:sz w:val="21"/>
        </w:rPr>
        <w:t>The complex is gas-fed and the state cuts industrial gas in the summer months when power demand peaks. Holding urea tonnes flat at the last reported year assumes a full year of gas the plant has not had since it opened. Read the auditor's tonnage table and the curtailment note before setting volume, and treat flat as the optimistic case.</w:t>
      </w:r>
    </w:p>
    <w:p>
      <w:pPr>
        <w:spacing w:after="60"/>
        <w:ind w:left="283"/>
      </w:pPr>
      <w:r>
        <w:rPr>
          <w:b w:val="0"/>
          <w:i w:val="0"/>
          <w:color w:val="5B6570"/>
          <w:sz w:val="19"/>
        </w:rPr>
        <w:t>How we know.  Urea tonnes held flat at the origin over-forecast by 9.3% in all three scoreable unit-window cells (output 586kt to 522kt to 513kt); inside that window the revenue error was entirely realisation (+11%, +49%, +34%) and not volume (-11%, -12%, -2%). AMOC showed the same flat-volume lean (+7.6%, 8 of 9 cells) and the two are recorded separately until a third name shows it.</w:t>
      </w:r>
    </w:p>
    <w:p>
      <w:pPr>
        <w:spacing w:after="160"/>
        <w:ind w:left="283"/>
      </w:pPr>
      <w:r>
        <w:rPr>
          <w:b w:val="0"/>
          <w:i w:val="0"/>
          <w:color w:val="5B6570"/>
          <w:sz w:val="19"/>
        </w:rPr>
        <w:t>What would overturn it.  A year in which reported urea tonnes reach or exceed the prior year with the curtailment still in force.</w:t>
      </w:r>
    </w:p>
    <w:p>
      <w:pPr>
        <w:keepNext/>
        <w:spacing w:before="240" w:after="60"/>
      </w:pPr>
      <w:r>
        <w:rPr>
          <w:b/>
          <w:color w:val="1A1D21"/>
          <w:sz w:val="22"/>
        </w:rPr>
        <w:t>L-207  EGCH: every level driver projects a plant that no longer exists.</w:t>
      </w:r>
    </w:p>
    <w:p>
      <w:pPr>
        <w:keepNext/>
        <w:spacing w:after="100"/>
      </w:pPr>
      <w:r>
        <w:rPr>
          <w:b/>
          <w:color w:val="B03A2E"/>
          <w:sz w:val="16"/>
        </w:rPr>
        <w:t>ONE COMPANY ONLY</w:t>
      </w:r>
      <w:r>
        <w:rPr>
          <w:color w:val="5B6570"/>
          <w:sz w:val="16"/>
        </w:rPr>
        <w:t xml:space="preserve">   applies to EGCH only   ·   learned from a fundamental walk-forward test, EGCH walk-forward, date not recorded</w:t>
      </w:r>
      <w:r>
        <w:rPr>
          <w:b/>
          <w:color w:val="B03A2E"/>
          <w:sz w:val="16"/>
        </w:rPr>
        <w:t xml:space="preserve">   ·   STATUS: PROVISIONAL</w:t>
      </w:r>
    </w:p>
    <w:p>
      <w:pPr>
        <w:spacing w:after="100"/>
      </w:pPr>
      <w:r>
        <w:rPr>
          <w:b w:val="0"/>
          <w:i w:val="0"/>
          <w:color w:val="1A1D21"/>
          <w:sz w:val="21"/>
        </w:rPr>
        <w:t>The 1960 electrolytic plant was shut inside the window and replaced by a gas-fed urea complex with about twelve times its revenue, with two loss years on either side. A rule that holds any level flat, or grows it on its own trend, from an origin before FY2020 is forecasting the old plant into years the new one reported, so revenue, cost and profit all come out far too low with a sign that never changes. On this name the record before and after the replacement must be read as two records.</w:t>
      </w:r>
    </w:p>
    <w:p>
      <w:pPr>
        <w:spacing w:after="60"/>
        <w:ind w:left="283"/>
      </w:pPr>
      <w:r>
        <w:rPr>
          <w:b w:val="0"/>
          <w:i w:val="0"/>
          <w:color w:val="5B6570"/>
          <w:sz w:val="19"/>
        </w:rPr>
        <w:t>How we know.  Bias -0.596 log (about 1.8 times too low), average miss 0.812, wrong in the same direction in 67% of cases, and the sign holds across every bootstrap block tested (n=55).</w:t>
      </w:r>
    </w:p>
    <w:p>
      <w:pPr>
        <w:spacing w:after="160"/>
        <w:ind w:left="283"/>
      </w:pPr>
      <w:r>
        <w:rPr>
          <w:b w:val="0"/>
          <w:i w:val="0"/>
          <w:color w:val="5B6570"/>
          <w:sz w:val="19"/>
        </w:rPr>
        <w:t>What would overturn it.  A re-run of the same rules on origins FY2020 onward only, where the revenue bias no longer holds its sign across bootstrap blocks.</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