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71"/>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32"/>
          </w:tcPr>
          <w:p>
            <w:pPr>
              <w:spacing w:after="20"/>
            </w:pPr>
            <w:r>
              <w:rPr>
                <w:color w:val="1C3A36"/>
                <w:sz w:val="14"/>
              </w:rPr>
              <w:t>2</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 alternative-fuel system for production line 2 EGP 240.235mn, new steel cement silo for line 1 EGP 146.239mn</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4</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5</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7</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8</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9</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10</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71"/>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12</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13</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15</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16</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17</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18</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19</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22</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23</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24</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25</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26</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27</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28</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29</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30</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31</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35</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36</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37</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38</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39</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40</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41</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42</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44</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45</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46</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47</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48</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32"/>
          </w:tcPr>
          <w:p>
            <w:pPr>
              <w:spacing w:after="20"/>
            </w:pPr>
            <w:r>
              <w:rPr>
                <w:color w:val="1C3A36"/>
                <w:sz w:val="14"/>
              </w:rPr>
              <w:t>49</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50</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51</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32"/>
          </w:tcPr>
          <w:p>
            <w:pPr>
              <w:spacing w:after="20"/>
            </w:pPr>
            <w:r>
              <w:rPr>
                <w:color w:val="1C3A36"/>
                <w:sz w:val="14"/>
              </w:rPr>
              <w:t>53</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32"/>
          </w:tcPr>
          <w:p>
            <w:pPr>
              <w:spacing w:after="20"/>
            </w:pPr>
            <w:r>
              <w:rPr>
                <w:color w:val="1C3A36"/>
                <w:sz w:val="14"/>
              </w:rPr>
              <w:t>54</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32"/>
          </w:tcPr>
          <w:p>
            <w:pPr>
              <w:spacing w:after="20"/>
            </w:pPr>
            <w:r>
              <w:rPr>
                <w:color w:val="1C3A36"/>
                <w:sz w:val="14"/>
              </w:rPr>
              <w:t>55</w:t>
            </w:r>
          </w:p>
        </w:tc>
        <w:tc>
          <w:tcPr>
            <w:tcW w:type="dxa" w:w="2448"/>
          </w:tcPr>
          <w:p>
            <w:pPr>
              <w:spacing w:after="20"/>
            </w:pPr>
            <w:r>
              <w:rPr>
                <w:color w:val="1C3A36"/>
                <w:sz w:val="14"/>
              </w:rPr>
              <w:t>egy_cons_mt</w:t>
            </w:r>
          </w:p>
        </w:tc>
        <w:tc>
          <w:tcPr>
            <w:tcW w:type="dxa" w:w="1325"/>
          </w:tcPr>
          <w:p>
            <w:pPr>
              <w:spacing w:after="20"/>
            </w:pPr>
            <w:r>
              <w:rPr>
                <w:color w:val="1C3A36"/>
                <w:sz w:val="14"/>
              </w:rPr>
              <w:t>53.9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page 12 gives 53.9Mt, against the 54.0 previously carried on trade estimate</w:t>
            </w:r>
          </w:p>
        </w:tc>
        <w:tc>
          <w:tcPr>
            <w:tcW w:type="dxa" w:w="1210"/>
          </w:tcPr>
          <w:p>
            <w:pPr>
              <w:spacing w:after="20"/>
            </w:pPr>
            <w:r>
              <w:rPr>
                <w:color w:val="1C3A36"/>
                <w:sz w:val="14"/>
              </w:rPr>
              <w:t>2026-03-01</w:t>
            </w:r>
          </w:p>
        </w:tc>
      </w:tr>
      <w:tr>
        <w:tc>
          <w:tcPr>
            <w:tcW w:type="dxa" w:w="432"/>
          </w:tcPr>
          <w:p>
            <w:pPr>
              <w:spacing w:after="20"/>
            </w:pPr>
            <w:r>
              <w:rPr>
                <w:color w:val="1C3A36"/>
                <w:sz w:val="14"/>
              </w:rPr>
              <w:t>56</w:t>
            </w:r>
          </w:p>
        </w:tc>
        <w:tc>
          <w:tcPr>
            <w:tcW w:type="dxa" w:w="2448"/>
          </w:tcPr>
          <w:p>
            <w:pPr>
              <w:spacing w:after="20"/>
            </w:pPr>
            <w:r>
              <w:rPr>
                <w:color w:val="1C3A36"/>
                <w:sz w:val="14"/>
              </w:rPr>
              <w:t>egy_exports_mt</w:t>
            </w:r>
          </w:p>
        </w:tc>
        <w:tc>
          <w:tcPr>
            <w:tcW w:type="dxa" w:w="1325"/>
          </w:tcPr>
          <w:p>
            <w:pPr>
              <w:spacing w:after="20"/>
            </w:pPr>
            <w:r>
              <w:rPr>
                <w:color w:val="1C3A36"/>
                <w:sz w:val="14"/>
              </w:rPr>
              <w:t>18.6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page 12. The two products are reported together, which is why the earlier balance failed: it set a cement-plus-clinker export figure against a cement-only production figure</w:t>
            </w:r>
          </w:p>
        </w:tc>
        <w:tc>
          <w:tcPr>
            <w:tcW w:type="dxa" w:w="1210"/>
          </w:tcPr>
          <w:p>
            <w:pPr>
              <w:spacing w:after="20"/>
            </w:pPr>
            <w:r>
              <w:rPr>
                <w:color w:val="1C3A36"/>
                <w:sz w:val="14"/>
              </w:rPr>
              <w:t>2026-03-01</w:t>
            </w:r>
          </w:p>
        </w:tc>
      </w:tr>
      <w:tr>
        <w:tc>
          <w:tcPr>
            <w:tcW w:type="dxa" w:w="432"/>
          </w:tcPr>
          <w:p>
            <w:pPr>
              <w:spacing w:after="20"/>
            </w:pPr>
            <w:r>
              <w:rPr>
                <w:color w:val="1C3A36"/>
                <w:sz w:val="14"/>
              </w:rPr>
              <w:t>57</w:t>
            </w:r>
          </w:p>
        </w:tc>
        <w:tc>
          <w:tcPr>
            <w:tcW w:type="dxa" w:w="2448"/>
          </w:tcPr>
          <w:p>
            <w:pPr>
              <w:spacing w:after="20"/>
            </w:pPr>
            <w:r>
              <w:rPr>
                <w:color w:val="1C3A36"/>
                <w:sz w:val="14"/>
              </w:rPr>
              <w:t>egy_prod_mt</w:t>
            </w:r>
          </w:p>
        </w:tc>
        <w:tc>
          <w:tcPr>
            <w:tcW w:type="dxa" w:w="1325"/>
          </w:tcPr>
          <w:p>
            <w:pPr>
              <w:spacing w:after="20"/>
            </w:pPr>
            <w:r>
              <w:rPr>
                <w:color w:val="1C3A36"/>
                <w:sz w:val="14"/>
              </w:rPr>
              <w:t>72.6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page 12 gives local 53.9Mt and exports 18.6Mt, total 72.6Mt. Revisions 1 to 4 carried 65.0Mt as 'production' against exports of 18.5Mt and consumption of 54Mt, a balance that does not close: 65 less 54 is 11Mt, not 18.5. One reviewer caught the gap and the disclosure now closes it. This changes the sector picture materially — see the utilisation note</w:t>
            </w:r>
          </w:p>
        </w:tc>
        <w:tc>
          <w:tcPr>
            <w:tcW w:type="dxa" w:w="1210"/>
          </w:tcPr>
          <w:p>
            <w:pPr>
              <w:spacing w:after="20"/>
            </w:pPr>
            <w:r>
              <w:rPr>
                <w:color w:val="1C3A36"/>
                <w:sz w:val="14"/>
              </w:rPr>
              <w:t>2026-03-01</w:t>
            </w:r>
          </w:p>
        </w:tc>
      </w:tr>
      <w:tr>
        <w:tc>
          <w:tcPr>
            <w:tcW w:type="dxa" w:w="432"/>
          </w:tcPr>
          <w:p>
            <w:pPr>
              <w:spacing w:after="20"/>
            </w:pPr>
            <w:r>
              <w:rPr>
                <w:color w:val="1C3A36"/>
                <w:sz w:val="14"/>
              </w:rPr>
              <w:t>58</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59</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60</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61</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62</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63</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64</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65</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66</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67</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68</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70</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71</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72</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73</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74</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75</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76</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77</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78</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79</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80</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81</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82</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83</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84</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85</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86</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87</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88</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89</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90</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91</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92</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93</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95</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97</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98</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99</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32"/>
          </w:tcPr>
          <w:p>
            <w:pPr>
              <w:spacing w:after="20"/>
            </w:pPr>
            <w:r>
              <w:rPr>
                <w:color w:val="1C3A36"/>
                <w:sz w:val="14"/>
              </w:rPr>
              <w:t>100</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101</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102</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103</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104</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105</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106</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107</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108</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109</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110</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111</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112</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113</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114</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115</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116</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117</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118</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119</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120</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121</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122</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123</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124</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125</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126</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127</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128</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129</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130</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131</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132</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133</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134</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135</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136</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137</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138</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139</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140</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141</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142</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143</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144</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145</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146</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147</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148</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149</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150</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151</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152</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153</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154</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155</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156</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157</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158</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159</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160</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161</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162</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163</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164</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165</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166</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167</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168</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169</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170</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171</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172</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173</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174</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175</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71"/>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32"/>
          </w:tcPr>
          <w:p>
            <w:pPr>
              <w:spacing w:after="20"/>
            </w:pPr>
            <w:r>
              <w:rPr>
                <w:color w:val="1C3A36"/>
                <w:sz w:val="14"/>
              </w:rPr>
              <w:t>176</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177</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71"/>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32"/>
          </w:tcPr>
          <w:p>
            <w:pPr>
              <w:spacing w:after="20"/>
            </w:pPr>
            <w:r>
              <w:rPr>
                <w:color w:val="1C3A36"/>
                <w:sz w:val="14"/>
              </w:rPr>
              <w:t>178</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71"/>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32"/>
          </w:tcPr>
          <w:p>
            <w:pPr>
              <w:spacing w:after="20"/>
            </w:pPr>
            <w:r>
              <w:rPr>
                <w:color w:val="1C3A36"/>
                <w:sz w:val="14"/>
              </w:rPr>
              <w:t>179</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180</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181</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182</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183</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184</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71"/>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185</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71"/>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186</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71"/>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32"/>
          </w:tcPr>
          <w:p>
            <w:pPr>
              <w:spacing w:after="20"/>
            </w:pPr>
            <w:r>
              <w:rPr>
                <w:color w:val="1C3A36"/>
                <w:sz w:val="14"/>
              </w:rPr>
              <w:t>187</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188</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189</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190</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191</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197</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198</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71"/>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32"/>
          </w:tcPr>
          <w:p>
            <w:pPr>
              <w:spacing w:after="20"/>
            </w:pPr>
            <w:r>
              <w:rPr>
                <w:color w:val="1C3A36"/>
                <w:sz w:val="14"/>
              </w:rPr>
              <w:t>199</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200</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201</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71"/>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202</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203</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204</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205</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206</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207</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208</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11.3%</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