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 September 2026  ·  Reporting and valuation currency: Egyptian pounds  ·  Anchor price EGP 14.41 at the close of 2026-08-06</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1.79 a share if the capital programme is carried through and EGP 5.90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1.79 and EGP 15.47 a share. It trades at EGP 14.41. The gap is not a rounding difference between the lenses: it is the whole disagreement. The multiple lens, on the range Egyptian fertilizer producers actually trade at, centres at EGP 15.47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24.6% to 18.6%, terminal growth 7.0%</w:t>
            </w:r>
          </w:p>
        </w:tc>
        <w:tc>
          <w:tcPr>
            <w:tcW w:type="dxa" w:w="1512"/>
          </w:tcPr>
          <w:p>
            <w:pPr>
              <w:spacing w:after="20"/>
              <w:jc w:val="right"/>
            </w:pPr>
            <w:r>
              <w:rPr>
                <w:color w:val="1C3A36"/>
                <w:sz w:val="15"/>
              </w:rPr>
              <w:t>-0.00 to 1.92</w:t>
            </w:r>
          </w:p>
        </w:tc>
        <w:tc>
          <w:tcPr>
            <w:tcW w:type="dxa" w:w="1008"/>
          </w:tcPr>
          <w:p>
            <w:pPr>
              <w:spacing w:after="20"/>
              <w:jc w:val="right"/>
            </w:pPr>
            <w:r>
              <w:rPr>
                <w:color w:val="1C3A36"/>
                <w:sz w:val="15"/>
              </w:rPr>
              <w:t>1.79</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3.99 to 5.96</w:t>
            </w:r>
          </w:p>
        </w:tc>
        <w:tc>
          <w:tcPr>
            <w:tcW w:type="dxa" w:w="1008"/>
          </w:tcPr>
          <w:p>
            <w:pPr>
              <w:spacing w:after="20"/>
              <w:jc w:val="right"/>
            </w:pPr>
            <w:r>
              <w:rPr>
                <w:color w:val="1C3A36"/>
                <w:sz w:val="15"/>
              </w:rPr>
              <w:t>5.90</w:t>
            </w:r>
          </w:p>
        </w:tc>
        <w:tc>
          <w:tcPr>
            <w:tcW w:type="dxa" w:w="936"/>
          </w:tcPr>
          <w:p>
            <w:pPr>
              <w:spacing w:after="20"/>
              <w:jc w:val="right"/>
            </w:pPr>
            <w:r>
              <w:rPr>
                <w:color w:val="1C3A36"/>
                <w:sz w:val="15"/>
              </w:rPr>
              <w:t>-59%</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10.88 to 20.07</w:t>
            </w:r>
          </w:p>
        </w:tc>
        <w:tc>
          <w:tcPr>
            <w:tcW w:type="dxa" w:w="1008"/>
          </w:tcPr>
          <w:p>
            <w:pPr>
              <w:spacing w:after="20"/>
              <w:jc w:val="right"/>
            </w:pPr>
            <w:r>
              <w:rPr>
                <w:color w:val="1C3A36"/>
                <w:sz w:val="15"/>
              </w:rPr>
              <w:t>15.47</w:t>
            </w:r>
          </w:p>
        </w:tc>
        <w:tc>
          <w:tcPr>
            <w:tcW w:type="dxa" w:w="936"/>
          </w:tcPr>
          <w:p>
            <w:pPr>
              <w:spacing w:after="20"/>
              <w:jc w:val="right"/>
            </w:pPr>
            <w:r>
              <w:rPr>
                <w:color w:val="1C3A36"/>
                <w:sz w:val="15"/>
              </w:rPr>
              <w:t>+7%</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31.0%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1.79 with the capital programme carried through — the company's own stated plan — and EGP 5.90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1.79 to 15.47</w:t>
            </w:r>
          </w:p>
        </w:tc>
        <w:tc>
          <w:tcPr>
            <w:tcW w:type="dxa" w:w="1008"/>
            <w:shd w:val="clear" w:color="auto" w:fill="F6F1E6"/>
          </w:tcPr>
          <w:p>
            <w:pPr>
              <w:spacing w:after="20"/>
              <w:jc w:val="right"/>
            </w:pPr>
            <w:r>
              <w:rPr>
                <w:b/>
                <w:color w:val="1C3A36"/>
                <w:sz w:val="15"/>
              </w:rPr>
              <w:t>1.79</w:t>
            </w:r>
          </w:p>
        </w:tc>
        <w:tc>
          <w:tcPr>
            <w:tcW w:type="dxa" w:w="936"/>
            <w:shd w:val="clear" w:color="auto" w:fill="F6F1E6"/>
          </w:tcPr>
          <w:p>
            <w:pPr>
              <w:spacing w:after="20"/>
              <w:jc w:val="right"/>
            </w:pPr>
            <w:r>
              <w:rPr>
                <w:b/>
                <w:color w:val="1C3A36"/>
                <w:sz w:val="15"/>
              </w:rPr>
              <w:t>-88%</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1.79</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0.37</w:t>
            </w:r>
          </w:p>
        </w:tc>
        <w:tc>
          <w:tcPr>
            <w:tcW w:type="dxa" w:w="936"/>
          </w:tcPr>
          <w:p>
            <w:pPr>
              <w:spacing w:after="20"/>
              <w:jc w:val="right"/>
            </w:pPr>
            <w:r>
              <w:rPr>
                <w:color w:val="1C3A36"/>
                <w:sz w:val="15"/>
              </w:rPr>
              <w:t>-97%</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1.68</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0.98</w:t>
            </w:r>
          </w:p>
        </w:tc>
        <w:tc>
          <w:tcPr>
            <w:tcW w:type="dxa" w:w="936"/>
          </w:tcPr>
          <w:p>
            <w:pPr>
              <w:spacing w:after="20"/>
              <w:jc w:val="right"/>
            </w:pPr>
            <w:r>
              <w:rPr>
                <w:color w:val="1C3A36"/>
                <w:sz w:val="15"/>
              </w:rPr>
              <w:t>-93%</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2.86</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-0.13</w:t>
            </w:r>
          </w:p>
        </w:tc>
        <w:tc>
          <w:tcPr>
            <w:tcW w:type="dxa" w:w="936"/>
          </w:tcPr>
          <w:p>
            <w:pPr>
              <w:spacing w:after="20"/>
              <w:jc w:val="right"/>
            </w:pPr>
            <w:r>
              <w:rPr>
                <w:color w:val="1C3A36"/>
                <w:sz w:val="15"/>
              </w:rPr>
              <w:t>-101%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2.02</w:t>
            </w:r>
          </w:p>
        </w:tc>
        <w:tc>
          <w:tcPr>
            <w:tcW w:type="dxa" w:w="936"/>
          </w:tcPr>
          <w:p>
            <w:pPr>
              <w:spacing w:after="20"/>
              <w:jc w:val="right"/>
            </w:pPr>
            <w:r>
              <w:rPr>
                <w:color w:val="1C3A36"/>
                <w:sz w:val="15"/>
              </w:rPr>
              <w:t>-86%</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0.92</w:t>
            </w:r>
          </w:p>
        </w:tc>
        <w:tc>
          <w:tcPr>
            <w:tcW w:type="dxa" w:w="936"/>
          </w:tcPr>
          <w:p>
            <w:pPr>
              <w:spacing w:after="20"/>
              <w:jc w:val="right"/>
            </w:pPr>
            <w:r>
              <w:rPr>
                <w:color w:val="1C3A36"/>
                <w:sz w:val="15"/>
              </w:rPr>
              <w:t>-94%</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2.62</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1.55</w:t>
            </w:r>
          </w:p>
        </w:tc>
        <w:tc>
          <w:tcPr>
            <w:tcW w:type="dxa" w:w="936"/>
          </w:tcPr>
          <w:p>
            <w:pPr>
              <w:spacing w:after="20"/>
              <w:jc w:val="right"/>
            </w:pPr>
            <w:r>
              <w:rPr>
                <w:color w:val="1C3A36"/>
                <w:sz w:val="15"/>
              </w:rPr>
              <w:t>-89%</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65.2%</w:t>
            </w:r>
          </w:p>
        </w:tc>
        <w:tc>
          <w:tcPr>
            <w:tcW w:type="dxa" w:w="2736"/>
          </w:tcPr>
          <w:p>
            <w:pPr>
              <w:spacing w:after="20"/>
              <w:jc w:val="right"/>
            </w:pPr>
            <w:r>
              <w:rPr>
                <w:color w:val="1C3A36"/>
                <w:sz w:val="17"/>
              </w:rPr>
              <w:t>40.7%</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3,493 million on the carried-through case, so the terminal block carries 65.2%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1.91 a share. The narrowest is terminal growth, worth EGP 0.10.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11,958</w:t>
            </w:r>
          </w:p>
        </w:tc>
        <w:tc>
          <w:tcPr>
            <w:tcW w:type="dxa" w:w="1426"/>
          </w:tcPr>
          <w:p>
            <w:pPr>
              <w:spacing w:after="20"/>
              <w:jc w:val="right"/>
            </w:pPr>
            <w:r>
              <w:rPr>
                <w:color w:val="1C3A36"/>
                <w:sz w:val="16"/>
              </w:rPr>
              <w:t>12,507</w:t>
            </w:r>
          </w:p>
        </w:tc>
        <w:tc>
          <w:tcPr>
            <w:tcW w:type="dxa" w:w="1426"/>
          </w:tcPr>
          <w:p>
            <w:pPr>
              <w:spacing w:after="20"/>
              <w:jc w:val="right"/>
            </w:pPr>
            <w:r>
              <w:rPr>
                <w:color w:val="1C3A36"/>
                <w:sz w:val="16"/>
              </w:rPr>
              <w:t>12,986</w:t>
            </w:r>
          </w:p>
        </w:tc>
        <w:tc>
          <w:tcPr>
            <w:tcW w:type="dxa" w:w="1426"/>
          </w:tcPr>
          <w:p>
            <w:pPr>
              <w:spacing w:after="20"/>
              <w:jc w:val="right"/>
            </w:pPr>
            <w:r>
              <w:rPr>
                <w:color w:val="1C3A36"/>
                <w:sz w:val="16"/>
              </w:rPr>
              <w:t>13,477</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4,684</w:t>
            </w:r>
          </w:p>
        </w:tc>
        <w:tc>
          <w:tcPr>
            <w:tcW w:type="dxa" w:w="1426"/>
            <w:shd w:val="clear" w:color="auto" w:fill="F6F1E6"/>
          </w:tcPr>
          <w:p>
            <w:pPr>
              <w:spacing w:after="20"/>
              <w:jc w:val="right"/>
            </w:pPr>
            <w:r>
              <w:rPr>
                <w:b/>
                <w:color w:val="1C3A36"/>
                <w:sz w:val="16"/>
              </w:rPr>
              <w:t>4,952</w:t>
            </w:r>
          </w:p>
        </w:tc>
        <w:tc>
          <w:tcPr>
            <w:tcW w:type="dxa" w:w="1426"/>
            <w:shd w:val="clear" w:color="auto" w:fill="F6F1E6"/>
          </w:tcPr>
          <w:p>
            <w:pPr>
              <w:spacing w:after="20"/>
              <w:jc w:val="right"/>
            </w:pPr>
            <w:r>
              <w:rPr>
                <w:b/>
                <w:color w:val="1C3A36"/>
                <w:sz w:val="16"/>
              </w:rPr>
              <w:t>5,161</w:t>
            </w:r>
          </w:p>
        </w:tc>
        <w:tc>
          <w:tcPr>
            <w:tcW w:type="dxa" w:w="1426"/>
            <w:shd w:val="clear" w:color="auto" w:fill="F6F1E6"/>
          </w:tcPr>
          <w:p>
            <w:pPr>
              <w:spacing w:after="20"/>
              <w:jc w:val="right"/>
            </w:pPr>
            <w:r>
              <w:rPr>
                <w:b/>
                <w:color w:val="1C3A36"/>
                <w:sz w:val="16"/>
              </w:rPr>
              <w:t>5,334</w:t>
            </w:r>
          </w:p>
        </w:tc>
        <w:tc>
          <w:tcPr>
            <w:tcW w:type="dxa" w:w="1426"/>
            <w:shd w:val="clear" w:color="auto" w:fill="F6F1E6"/>
          </w:tcPr>
          <w:p>
            <w:pPr>
              <w:spacing w:after="20"/>
              <w:jc w:val="right"/>
            </w:pPr>
            <w:r>
              <w:rPr>
                <w:b/>
                <w:color w:val="1C3A36"/>
                <w:sz w:val="16"/>
              </w:rPr>
              <w:t>5,507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3,793</w:t>
            </w:r>
          </w:p>
        </w:tc>
        <w:tc>
          <w:tcPr>
            <w:tcW w:type="dxa" w:w="1426"/>
            <w:shd w:val="clear" w:color="auto" w:fill="F6F1E6"/>
          </w:tcPr>
          <w:p>
            <w:pPr>
              <w:spacing w:after="20"/>
              <w:jc w:val="right"/>
            </w:pPr>
            <w:r>
              <w:rPr>
                <w:b/>
                <w:color w:val="1C3A36"/>
                <w:sz w:val="16"/>
              </w:rPr>
              <w:t>3,943</w:t>
            </w:r>
          </w:p>
        </w:tc>
        <w:tc>
          <w:tcPr>
            <w:tcW w:type="dxa" w:w="1426"/>
            <w:shd w:val="clear" w:color="auto" w:fill="F6F1E6"/>
          </w:tcPr>
          <w:p>
            <w:pPr>
              <w:spacing w:after="20"/>
              <w:jc w:val="right"/>
            </w:pPr>
            <w:r>
              <w:rPr>
                <w:b/>
                <w:color w:val="1C3A36"/>
                <w:sz w:val="16"/>
              </w:rPr>
              <w:t>4,014</w:t>
            </w:r>
          </w:p>
        </w:tc>
        <w:tc>
          <w:tcPr>
            <w:tcW w:type="dxa" w:w="1426"/>
            <w:shd w:val="clear" w:color="auto" w:fill="F6F1E6"/>
          </w:tcPr>
          <w:p>
            <w:pPr>
              <w:spacing w:after="20"/>
              <w:jc w:val="right"/>
            </w:pPr>
            <w:r>
              <w:rPr>
                <w:b/>
                <w:color w:val="1C3A36"/>
                <w:sz w:val="16"/>
              </w:rPr>
              <w:t>4,042</w:t>
            </w:r>
          </w:p>
        </w:tc>
        <w:tc>
          <w:tcPr>
            <w:tcW w:type="dxa" w:w="1426"/>
            <w:shd w:val="clear" w:color="auto" w:fill="F6F1E6"/>
          </w:tcPr>
          <w:p>
            <w:pPr>
              <w:spacing w:after="20"/>
              <w:jc w:val="right"/>
            </w:pPr>
            <w:r>
              <w:rPr>
                <w:b/>
                <w:color w:val="1C3A36"/>
                <w:sz w:val="16"/>
              </w:rPr>
              <w:t>4,072</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2,940</w:t>
            </w:r>
          </w:p>
        </w:tc>
        <w:tc>
          <w:tcPr>
            <w:tcW w:type="dxa" w:w="1426"/>
          </w:tcPr>
          <w:p>
            <w:pPr>
              <w:spacing w:after="20"/>
              <w:jc w:val="right"/>
            </w:pPr>
            <w:r>
              <w:rPr>
                <w:color w:val="1C3A36"/>
                <w:sz w:val="16"/>
              </w:rPr>
              <w:t>3,056</w:t>
            </w:r>
          </w:p>
        </w:tc>
        <w:tc>
          <w:tcPr>
            <w:tcW w:type="dxa" w:w="1426"/>
          </w:tcPr>
          <w:p>
            <w:pPr>
              <w:spacing w:after="20"/>
              <w:jc w:val="right"/>
            </w:pPr>
            <w:r>
              <w:rPr>
                <w:color w:val="1C3A36"/>
                <w:sz w:val="16"/>
              </w:rPr>
              <w:t>3,111</w:t>
            </w:r>
          </w:p>
        </w:tc>
        <w:tc>
          <w:tcPr>
            <w:tcW w:type="dxa" w:w="1426"/>
          </w:tcPr>
          <w:p>
            <w:pPr>
              <w:spacing w:after="20"/>
              <w:jc w:val="right"/>
            </w:pPr>
            <w:r>
              <w:rPr>
                <w:color w:val="1C3A36"/>
                <w:sz w:val="16"/>
              </w:rPr>
              <w:t>3,133</w:t>
            </w:r>
          </w:p>
        </w:tc>
        <w:tc>
          <w:tcPr>
            <w:tcW w:type="dxa" w:w="1426"/>
          </w:tcPr>
          <w:p>
            <w:pPr>
              <w:spacing w:after="20"/>
              <w:jc w:val="right"/>
            </w:pPr>
            <w:r>
              <w:rPr>
                <w:color w:val="1C3A36"/>
                <w:sz w:val="16"/>
              </w:rPr>
              <w:t>3,156</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-3,233</w:t>
            </w:r>
          </w:p>
        </w:tc>
        <w:tc>
          <w:tcPr>
            <w:tcW w:type="dxa" w:w="1426"/>
          </w:tcPr>
          <w:p>
            <w:pPr>
              <w:spacing w:after="20"/>
              <w:jc w:val="right"/>
            </w:pPr>
            <w:r>
              <w:rPr>
                <w:color w:val="1C3A36"/>
                <w:sz w:val="16"/>
              </w:rPr>
              <w:t>-3,440</w:t>
            </w:r>
          </w:p>
        </w:tc>
        <w:tc>
          <w:tcPr>
            <w:tcW w:type="dxa" w:w="1426"/>
          </w:tcPr>
          <w:p>
            <w:pPr>
              <w:spacing w:after="20"/>
              <w:jc w:val="right"/>
            </w:pPr>
            <w:r>
              <w:rPr>
                <w:color w:val="1C3A36"/>
                <w:sz w:val="16"/>
              </w:rPr>
              <w:t>-3,345</w:t>
            </w:r>
          </w:p>
        </w:tc>
        <w:tc>
          <w:tcPr>
            <w:tcW w:type="dxa" w:w="1426"/>
          </w:tcPr>
          <w:p>
            <w:pPr>
              <w:spacing w:after="20"/>
              <w:jc w:val="right"/>
            </w:pPr>
            <w:r>
              <w:rPr>
                <w:color w:val="1C3A36"/>
                <w:sz w:val="16"/>
              </w:rPr>
              <w:t>-2,640</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-147</w:t>
            </w:r>
          </w:p>
        </w:tc>
        <w:tc>
          <w:tcPr>
            <w:tcW w:type="dxa" w:w="1426"/>
          </w:tcPr>
          <w:p>
            <w:pPr>
              <w:spacing w:after="20"/>
              <w:jc w:val="right"/>
            </w:pPr>
            <w:r>
              <w:rPr>
                <w:color w:val="1C3A36"/>
                <w:sz w:val="16"/>
              </w:rPr>
              <w:t>-135</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-126</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684</w:t>
            </w:r>
          </w:p>
        </w:tc>
        <w:tc>
          <w:tcPr>
            <w:tcW w:type="dxa" w:w="1426"/>
            <w:shd w:val="clear" w:color="auto" w:fill="F6F1E6"/>
          </w:tcPr>
          <w:p>
            <w:pPr>
              <w:spacing w:after="20"/>
              <w:jc w:val="right"/>
            </w:pPr>
            <w:r>
              <w:rPr>
                <w:b/>
                <w:color w:val="1C3A36"/>
                <w:sz w:val="16"/>
              </w:rPr>
              <w:t>683</w:t>
            </w:r>
          </w:p>
        </w:tc>
        <w:tc>
          <w:tcPr>
            <w:tcW w:type="dxa" w:w="1426"/>
            <w:shd w:val="clear" w:color="auto" w:fill="F6F1E6"/>
          </w:tcPr>
          <w:p>
            <w:pPr>
              <w:spacing w:after="20"/>
              <w:jc w:val="right"/>
            </w:pPr>
            <w:r>
              <w:rPr>
                <w:b/>
                <w:color w:val="1C3A36"/>
                <w:sz w:val="16"/>
              </w:rPr>
              <w:t>957</w:t>
            </w:r>
          </w:p>
        </w:tc>
        <w:tc>
          <w:tcPr>
            <w:tcW w:type="dxa" w:w="1426"/>
            <w:shd w:val="clear" w:color="auto" w:fill="F6F1E6"/>
          </w:tcPr>
          <w:p>
            <w:pPr>
              <w:spacing w:after="20"/>
              <w:jc w:val="right"/>
            </w:pPr>
            <w:r>
              <w:rPr>
                <w:b/>
                <w:color w:val="1C3A36"/>
                <w:sz w:val="16"/>
              </w:rPr>
              <w:t>1,825</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24.62%</w:t>
            </w:r>
          </w:p>
        </w:tc>
        <w:tc>
          <w:tcPr>
            <w:tcW w:type="dxa" w:w="1426"/>
          </w:tcPr>
          <w:p>
            <w:pPr>
              <w:spacing w:after="20"/>
              <w:jc w:val="right"/>
            </w:pPr>
            <w:r>
              <w:rPr>
                <w:color w:val="1C3A36"/>
                <w:sz w:val="16"/>
              </w:rPr>
              <w:t>22.87%</w:t>
            </w:r>
          </w:p>
        </w:tc>
        <w:tc>
          <w:tcPr>
            <w:tcW w:type="dxa" w:w="1426"/>
          </w:tcPr>
          <w:p>
            <w:pPr>
              <w:spacing w:after="20"/>
              <w:jc w:val="right"/>
            </w:pPr>
            <w:r>
              <w:rPr>
                <w:color w:val="1C3A36"/>
                <w:sz w:val="16"/>
              </w:rPr>
              <w:t>21.70%</w:t>
            </w:r>
          </w:p>
        </w:tc>
        <w:tc>
          <w:tcPr>
            <w:tcW w:type="dxa" w:w="1426"/>
          </w:tcPr>
          <w:p>
            <w:pPr>
              <w:spacing w:after="20"/>
              <w:jc w:val="right"/>
            </w:pPr>
            <w:r>
              <w:rPr>
                <w:color w:val="1C3A36"/>
                <w:sz w:val="16"/>
              </w:rPr>
              <w:t>20.53%</w:t>
            </w:r>
          </w:p>
        </w:tc>
        <w:tc>
          <w:tcPr>
            <w:tcW w:type="dxa" w:w="1426"/>
          </w:tcPr>
          <w:p>
            <w:pPr>
              <w:spacing w:after="20"/>
              <w:jc w:val="right"/>
            </w:pPr>
            <w:r>
              <w:rPr>
                <w:color w:val="1C3A36"/>
                <w:sz w:val="16"/>
              </w:rPr>
              <w:t>19.64%</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0.8025</w:t>
            </w:r>
          </w:p>
        </w:tc>
        <w:tc>
          <w:tcPr>
            <w:tcW w:type="dxa" w:w="1426"/>
          </w:tcPr>
          <w:p>
            <w:pPr>
              <w:spacing w:after="20"/>
              <w:jc w:val="right"/>
            </w:pPr>
            <w:r>
              <w:rPr>
                <w:color w:val="1C3A36"/>
                <w:sz w:val="16"/>
              </w:rPr>
              <w:t>0.6531</w:t>
            </w:r>
          </w:p>
        </w:tc>
        <w:tc>
          <w:tcPr>
            <w:tcW w:type="dxa" w:w="1426"/>
          </w:tcPr>
          <w:p>
            <w:pPr>
              <w:spacing w:after="20"/>
              <w:jc w:val="right"/>
            </w:pPr>
            <w:r>
              <w:rPr>
                <w:color w:val="1C3A36"/>
                <w:sz w:val="16"/>
              </w:rPr>
              <w:t>0.5366</w:t>
            </w:r>
          </w:p>
        </w:tc>
        <w:tc>
          <w:tcPr>
            <w:tcW w:type="dxa" w:w="1426"/>
          </w:tcPr>
          <w:p>
            <w:pPr>
              <w:spacing w:after="20"/>
              <w:jc w:val="right"/>
            </w:pPr>
            <w:r>
              <w:rPr>
                <w:color w:val="1C3A36"/>
                <w:sz w:val="16"/>
              </w:rPr>
              <w:t>0.4452</w:t>
            </w:r>
          </w:p>
        </w:tc>
        <w:tc>
          <w:tcPr>
            <w:tcW w:type="dxa" w:w="1426"/>
          </w:tcPr>
          <w:p>
            <w:pPr>
              <w:spacing w:after="20"/>
              <w:jc w:val="right"/>
            </w:pPr>
            <w:r>
              <w:rPr>
                <w:color w:val="1C3A36"/>
                <w:sz w:val="16"/>
              </w:rPr>
              <w:t>0.3721</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1,575</w:t>
            </w:r>
          </w:p>
        </w:tc>
        <w:tc>
          <w:tcPr>
            <w:tcW w:type="dxa" w:w="1426"/>
            <w:shd w:val="clear" w:color="auto" w:fill="F6F1E6"/>
          </w:tcPr>
          <w:p>
            <w:pPr>
              <w:spacing w:after="20"/>
              <w:jc w:val="right"/>
            </w:pPr>
            <w:r>
              <w:rPr>
                <w:b/>
                <w:color w:val="1C3A36"/>
                <w:sz w:val="16"/>
              </w:rPr>
              <w:t>447</w:t>
            </w:r>
          </w:p>
        </w:tc>
        <w:tc>
          <w:tcPr>
            <w:tcW w:type="dxa" w:w="1426"/>
            <w:shd w:val="clear" w:color="auto" w:fill="F6F1E6"/>
          </w:tcPr>
          <w:p>
            <w:pPr>
              <w:spacing w:after="20"/>
              <w:jc w:val="right"/>
            </w:pPr>
            <w:r>
              <w:rPr>
                <w:b/>
                <w:color w:val="1C3A36"/>
                <w:sz w:val="16"/>
              </w:rPr>
              <w:t>366</w:t>
            </w:r>
          </w:p>
        </w:tc>
        <w:tc>
          <w:tcPr>
            <w:tcW w:type="dxa" w:w="1426"/>
            <w:shd w:val="clear" w:color="auto" w:fill="F6F1E6"/>
          </w:tcPr>
          <w:p>
            <w:pPr>
              <w:spacing w:after="20"/>
              <w:jc w:val="right"/>
            </w:pPr>
            <w:r>
              <w:rPr>
                <w:b/>
                <w:color w:val="1C3A36"/>
                <w:sz w:val="16"/>
              </w:rPr>
              <w:t>426</w:t>
            </w:r>
          </w:p>
        </w:tc>
        <w:tc>
          <w:tcPr>
            <w:tcW w:type="dxa" w:w="1426"/>
            <w:shd w:val="clear" w:color="auto" w:fill="F6F1E6"/>
          </w:tcPr>
          <w:p>
            <w:pPr>
              <w:spacing w:after="20"/>
              <w:jc w:val="right"/>
            </w:pPr>
            <w:r>
              <w:rPr>
                <w:b/>
                <w:color w:val="1C3A36"/>
                <w:sz w:val="16"/>
              </w:rPr>
              <w:t>679</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3,493</w:t>
            </w:r>
          </w:p>
        </w:tc>
        <w:tc>
          <w:tcPr>
            <w:tcW w:type="dxa" w:w="2808"/>
          </w:tcPr>
          <w:p>
            <w:pPr>
              <w:spacing w:after="20"/>
              <w:jc w:val="right"/>
            </w:pPr>
            <w:r>
              <w:rPr>
                <w:color w:val="1C3A36"/>
                <w:sz w:val="17"/>
              </w:rPr>
              <w:t>10,804</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6,548</w:t>
            </w:r>
          </w:p>
        </w:tc>
        <w:tc>
          <w:tcPr>
            <w:tcW w:type="dxa" w:w="2808"/>
          </w:tcPr>
          <w:p>
            <w:pPr>
              <w:spacing w:after="20"/>
              <w:jc w:val="right"/>
            </w:pPr>
            <w:r>
              <w:rPr>
                <w:color w:val="1C3A36"/>
                <w:sz w:val="17"/>
              </w:rPr>
              <w:t>7,411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10,041</w:t>
            </w:r>
          </w:p>
        </w:tc>
        <w:tc>
          <w:tcPr>
            <w:tcW w:type="dxa" w:w="2808"/>
            <w:shd w:val="clear" w:color="auto" w:fill="F6F1E6"/>
          </w:tcPr>
          <w:p>
            <w:pPr>
              <w:spacing w:after="20"/>
              <w:jc w:val="right"/>
            </w:pPr>
            <w:r>
              <w:rPr>
                <w:b/>
                <w:color w:val="1C3A36"/>
                <w:sz w:val="17"/>
              </w:rPr>
              <w:t>18,216</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65.2%</w:t>
            </w:r>
          </w:p>
        </w:tc>
        <w:tc>
          <w:tcPr>
            <w:tcW w:type="dxa" w:w="2808"/>
            <w:shd w:val="clear" w:color="auto" w:fill="F6F1E6"/>
          </w:tcPr>
          <w:p>
            <w:pPr>
              <w:spacing w:after="20"/>
              <w:jc w:val="right"/>
            </w:pPr>
            <w:r>
              <w:rPr>
                <w:b/>
                <w:color w:val="1C3A36"/>
                <w:sz w:val="17"/>
              </w:rPr>
              <w:t>40.7%</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3,547</w:t>
            </w:r>
          </w:p>
        </w:tc>
        <w:tc>
          <w:tcPr>
            <w:tcW w:type="dxa" w:w="2808"/>
            <w:shd w:val="clear" w:color="auto" w:fill="F6F1E6"/>
          </w:tcPr>
          <w:p>
            <w:pPr>
              <w:spacing w:after="20"/>
              <w:jc w:val="right"/>
            </w:pPr>
            <w:r>
              <w:rPr>
                <w:b/>
                <w:color w:val="1C3A36"/>
                <w:sz w:val="17"/>
              </w:rPr>
              <w:t>11,721</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1.79</w:t>
            </w:r>
          </w:p>
        </w:tc>
        <w:tc>
          <w:tcPr>
            <w:tcW w:type="dxa" w:w="2808"/>
            <w:shd w:val="clear" w:color="auto" w:fill="F6F1E6"/>
          </w:tcPr>
          <w:p>
            <w:pPr>
              <w:spacing w:after="20"/>
              <w:jc w:val="right"/>
            </w:pPr>
            <w:r>
              <w:rPr>
                <w:b/>
                <w:color w:val="1C3A36"/>
                <w:sz w:val="17"/>
              </w:rPr>
              <w:t>5.90</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1.79</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10,041 million is the right enterprise value for a business generating around EGP 4,684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0.28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1.77</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2.75</w:t>
            </w:r>
          </w:p>
        </w:tc>
        <w:tc>
          <w:tcPr>
            <w:tcW w:type="dxa" w:w="5184"/>
            <w:shd w:val="clear" w:color="auto" w:fill="F6F1E6"/>
          </w:tcPr>
          <w:p>
            <w:pPr>
              <w:spacing w:after="20"/>
            </w:pPr>
            <w:r>
              <w:rPr>
                <w:b/>
                <w:color w:val="1C3A36"/>
                <w:sz w:val="17"/>
              </w:rPr>
              <w:t>the sign changes here</w:t>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4.19</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6.47</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10.61</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11.0%, which is 12.0%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30.99%</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30.99%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4,684 million the mid-point implies an enterprise value of EGP 37,236 million and, after the debt and the non-operating stack, EGP 15.47 a share — a range of EGP 10.88 to EGP 20.07 across the band.</w:t>
      </w:r>
    </w:p>
    <w:p>
      <w:pPr>
        <w:spacing w:after="120" w:before="0"/>
      </w:pPr>
      <w:r>
        <w:rPr>
          <w:b/>
          <w:i w:val="0"/>
          <w:color w:val="1C3A36"/>
          <w:sz w:val="21"/>
        </w:rPr>
        <w:t>The two numbers worth putting side by side are these: at the traded price the shares change hands at 8.3 times that same forward EBITDA, while the cash-flow lens values them at 2.1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1.79 to EGP 15.47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15.47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1.79 a share with the capital programme carried through, 88% below the traded price, and EGP 5.90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EGP 0.00 because a 6.9% sustainable return on equity barely clears nominal growth and does not approach a 30.99%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53.49</w:t>
            </w:r>
          </w:p>
        </w:tc>
        <w:tc>
          <w:tcPr>
            <w:tcW w:type="dxa" w:w="1843"/>
          </w:tcPr>
          <w:p>
            <w:pPr>
              <w:spacing w:after="20"/>
              <w:jc w:val="right"/>
            </w:pPr>
            <w:r>
              <w:rPr>
                <w:color w:val="1C3A36"/>
                <w:sz w:val="17"/>
              </w:rPr>
              <w:t>60.83</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8.84</w:t>
            </w:r>
          </w:p>
        </w:tc>
        <w:tc>
          <w:tcPr>
            <w:tcW w:type="dxa" w:w="1843"/>
          </w:tcPr>
          <w:p>
            <w:pPr>
              <w:spacing w:after="20"/>
              <w:jc w:val="right"/>
            </w:pPr>
            <w:r>
              <w:rPr>
                <w:color w:val="1C3A36"/>
                <w:sz w:val="17"/>
              </w:rPr>
              <w:t>10.05</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5.0%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42.1%</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41.4%</w:t>
            </w:r>
          </w:p>
        </w:tc>
        <w:tc>
          <w:tcPr>
            <w:tcW w:type="dxa" w:w="1843"/>
            <w:shd w:val="clear" w:color="auto" w:fill="F6F1E6"/>
          </w:tcPr>
          <w:p>
            <w:pPr>
              <w:spacing w:after="20"/>
              <w:jc w:val="right"/>
            </w:pPr>
            <w:r>
              <w:rPr>
                <w:b/>
                <w:color w:val="1C3A36"/>
                <w:sz w:val="17"/>
              </w:rPr>
              <w:t>40.9%</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11,958</w:t>
            </w:r>
          </w:p>
        </w:tc>
        <w:tc>
          <w:tcPr>
            <w:tcW w:type="dxa" w:w="1426"/>
          </w:tcPr>
          <w:p>
            <w:pPr>
              <w:spacing w:after="20"/>
              <w:jc w:val="right"/>
            </w:pPr>
            <w:r>
              <w:rPr>
                <w:color w:val="1C3A36"/>
                <w:sz w:val="16"/>
              </w:rPr>
              <w:t>12,507</w:t>
            </w:r>
          </w:p>
        </w:tc>
        <w:tc>
          <w:tcPr>
            <w:tcW w:type="dxa" w:w="1426"/>
          </w:tcPr>
          <w:p>
            <w:pPr>
              <w:spacing w:after="20"/>
              <w:jc w:val="right"/>
            </w:pPr>
            <w:r>
              <w:rPr>
                <w:color w:val="1C3A36"/>
                <w:sz w:val="16"/>
              </w:rPr>
              <w:t>12,986</w:t>
            </w:r>
          </w:p>
        </w:tc>
        <w:tc>
          <w:tcPr>
            <w:tcW w:type="dxa" w:w="1426"/>
          </w:tcPr>
          <w:p>
            <w:pPr>
              <w:spacing w:after="20"/>
              <w:jc w:val="right"/>
            </w:pPr>
            <w:r>
              <w:rPr>
                <w:color w:val="1C3A36"/>
                <w:sz w:val="16"/>
              </w:rPr>
              <w:t>13,477</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6,146</w:t>
            </w:r>
          </w:p>
        </w:tc>
        <w:tc>
          <w:tcPr>
            <w:tcW w:type="dxa" w:w="1426"/>
          </w:tcPr>
          <w:p>
            <w:pPr>
              <w:spacing w:after="20"/>
              <w:jc w:val="right"/>
            </w:pPr>
            <w:r>
              <w:rPr>
                <w:color w:val="1C3A36"/>
                <w:sz w:val="16"/>
              </w:rPr>
              <w:t>6,590</w:t>
            </w:r>
          </w:p>
        </w:tc>
        <w:tc>
          <w:tcPr>
            <w:tcW w:type="dxa" w:w="1426"/>
          </w:tcPr>
          <w:p>
            <w:pPr>
              <w:spacing w:after="20"/>
              <w:jc w:val="right"/>
            </w:pPr>
            <w:r>
              <w:rPr>
                <w:color w:val="1C3A36"/>
                <w:sz w:val="16"/>
              </w:rPr>
              <w:t>7,012</w:t>
            </w:r>
          </w:p>
        </w:tc>
        <w:tc>
          <w:tcPr>
            <w:tcW w:type="dxa" w:w="1426"/>
          </w:tcPr>
          <w:p>
            <w:pPr>
              <w:spacing w:after="20"/>
              <w:jc w:val="right"/>
            </w:pPr>
            <w:r>
              <w:rPr>
                <w:color w:val="1C3A36"/>
                <w:sz w:val="16"/>
              </w:rPr>
              <w:t>7,406</w:t>
            </w:r>
          </w:p>
        </w:tc>
        <w:tc>
          <w:tcPr>
            <w:tcW w:type="dxa" w:w="1426"/>
          </w:tcPr>
          <w:p>
            <w:pPr>
              <w:spacing w:after="20"/>
              <w:jc w:val="right"/>
            </w:pPr>
            <w:r>
              <w:rPr>
                <w:color w:val="1C3A36"/>
                <w:sz w:val="16"/>
              </w:rPr>
              <w:t>7,806</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5,165</w:t>
            </w:r>
          </w:p>
        </w:tc>
        <w:tc>
          <w:tcPr>
            <w:tcW w:type="dxa" w:w="1426"/>
          </w:tcPr>
          <w:p>
            <w:pPr>
              <w:spacing w:after="20"/>
              <w:jc w:val="right"/>
            </w:pPr>
            <w:r>
              <w:rPr>
                <w:color w:val="1C3A36"/>
                <w:sz w:val="16"/>
              </w:rPr>
              <w:t>5,369</w:t>
            </w:r>
          </w:p>
        </w:tc>
        <w:tc>
          <w:tcPr>
            <w:tcW w:type="dxa" w:w="1426"/>
          </w:tcPr>
          <w:p>
            <w:pPr>
              <w:spacing w:after="20"/>
              <w:jc w:val="right"/>
            </w:pPr>
            <w:r>
              <w:rPr>
                <w:color w:val="1C3A36"/>
                <w:sz w:val="16"/>
              </w:rPr>
              <w:t>5,495</w:t>
            </w:r>
          </w:p>
        </w:tc>
        <w:tc>
          <w:tcPr>
            <w:tcW w:type="dxa" w:w="1426"/>
          </w:tcPr>
          <w:p>
            <w:pPr>
              <w:spacing w:after="20"/>
              <w:jc w:val="right"/>
            </w:pPr>
            <w:r>
              <w:rPr>
                <w:color w:val="1C3A36"/>
                <w:sz w:val="16"/>
              </w:rPr>
              <w:t>5,580</w:t>
            </w:r>
          </w:p>
        </w:tc>
        <w:tc>
          <w:tcPr>
            <w:tcW w:type="dxa" w:w="1426"/>
          </w:tcPr>
          <w:p>
            <w:pPr>
              <w:spacing w:after="20"/>
              <w:jc w:val="right"/>
            </w:pPr>
            <w:r>
              <w:rPr>
                <w:color w:val="1C3A36"/>
                <w:sz w:val="16"/>
              </w:rPr>
              <w:t>5,671</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44.9%</w:t>
            </w:r>
          </w:p>
        </w:tc>
        <w:tc>
          <w:tcPr>
            <w:tcW w:type="dxa" w:w="1426"/>
            <w:shd w:val="clear" w:color="auto" w:fill="F6F1E6"/>
          </w:tcPr>
          <w:p>
            <w:pPr>
              <w:spacing w:after="20"/>
              <w:jc w:val="right"/>
            </w:pPr>
            <w:r>
              <w:rPr>
                <w:b/>
                <w:color w:val="1C3A36"/>
                <w:sz w:val="16"/>
              </w:rPr>
              <w:t>43.9%</w:t>
            </w:r>
          </w:p>
        </w:tc>
        <w:tc>
          <w:tcPr>
            <w:tcW w:type="dxa" w:w="1426"/>
            <w:shd w:val="clear" w:color="auto" w:fill="F6F1E6"/>
          </w:tcPr>
          <w:p>
            <w:pPr>
              <w:spacing w:after="20"/>
              <w:jc w:val="right"/>
            </w:pPr>
            <w:r>
              <w:rPr>
                <w:b/>
                <w:color w:val="1C3A36"/>
                <w:sz w:val="16"/>
              </w:rPr>
              <w:t>43.0%</w:t>
            </w:r>
          </w:p>
        </w:tc>
        <w:tc>
          <w:tcPr>
            <w:tcW w:type="dxa" w:w="1426"/>
            <w:shd w:val="clear" w:color="auto" w:fill="F6F1E6"/>
          </w:tcPr>
          <w:p>
            <w:pPr>
              <w:spacing w:after="20"/>
              <w:jc w:val="right"/>
            </w:pPr>
            <w:r>
              <w:rPr>
                <w:b/>
                <w:color w:val="1C3A36"/>
                <w:sz w:val="16"/>
              </w:rPr>
              <w:t>42.1%</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4,684</w:t>
            </w:r>
          </w:p>
        </w:tc>
        <w:tc>
          <w:tcPr>
            <w:tcW w:type="dxa" w:w="1426"/>
          </w:tcPr>
          <w:p>
            <w:pPr>
              <w:spacing w:after="20"/>
              <w:jc w:val="right"/>
            </w:pPr>
            <w:r>
              <w:rPr>
                <w:color w:val="1C3A36"/>
                <w:sz w:val="16"/>
              </w:rPr>
              <w:t>4,952</w:t>
            </w:r>
          </w:p>
        </w:tc>
        <w:tc>
          <w:tcPr>
            <w:tcW w:type="dxa" w:w="1426"/>
          </w:tcPr>
          <w:p>
            <w:pPr>
              <w:spacing w:after="20"/>
              <w:jc w:val="right"/>
            </w:pPr>
            <w:r>
              <w:rPr>
                <w:color w:val="1C3A36"/>
                <w:sz w:val="16"/>
              </w:rPr>
              <w:t>5,161</w:t>
            </w:r>
          </w:p>
        </w:tc>
        <w:tc>
          <w:tcPr>
            <w:tcW w:type="dxa" w:w="1426"/>
          </w:tcPr>
          <w:p>
            <w:pPr>
              <w:spacing w:after="20"/>
              <w:jc w:val="right"/>
            </w:pPr>
            <w:r>
              <w:rPr>
                <w:color w:val="1C3A36"/>
                <w:sz w:val="16"/>
              </w:rPr>
              <w:t>5,334</w:t>
            </w:r>
          </w:p>
        </w:tc>
        <w:tc>
          <w:tcPr>
            <w:tcW w:type="dxa" w:w="1426"/>
          </w:tcPr>
          <w:p>
            <w:pPr>
              <w:spacing w:after="20"/>
              <w:jc w:val="right"/>
            </w:pPr>
            <w:r>
              <w:rPr>
                <w:color w:val="1C3A36"/>
                <w:sz w:val="16"/>
              </w:rPr>
              <w:t>5,507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41.3%</w:t>
            </w:r>
          </w:p>
        </w:tc>
        <w:tc>
          <w:tcPr>
            <w:tcW w:type="dxa" w:w="1426"/>
            <w:shd w:val="clear" w:color="auto" w:fill="F6F1E6"/>
          </w:tcPr>
          <w:p>
            <w:pPr>
              <w:spacing w:after="20"/>
              <w:jc w:val="right"/>
            </w:pPr>
            <w:r>
              <w:rPr>
                <w:b/>
                <w:color w:val="1C3A36"/>
                <w:sz w:val="16"/>
              </w:rPr>
              <w:t>41.1%</w:t>
            </w:r>
          </w:p>
        </w:tc>
        <w:tc>
          <w:tcPr>
            <w:tcW w:type="dxa" w:w="1426"/>
            <w:shd w:val="clear" w:color="auto" w:fill="F6F1E6"/>
          </w:tcPr>
          <w:p>
            <w:pPr>
              <w:spacing w:after="20"/>
              <w:jc w:val="right"/>
            </w:pPr>
            <w:r>
              <w:rPr>
                <w:b/>
                <w:color w:val="1C3A36"/>
                <w:sz w:val="16"/>
              </w:rPr>
              <w:t>40.9%</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3,793</w:t>
            </w:r>
          </w:p>
        </w:tc>
        <w:tc>
          <w:tcPr>
            <w:tcW w:type="dxa" w:w="1426"/>
          </w:tcPr>
          <w:p>
            <w:pPr>
              <w:spacing w:after="20"/>
              <w:jc w:val="right"/>
            </w:pPr>
            <w:r>
              <w:rPr>
                <w:color w:val="1C3A36"/>
                <w:sz w:val="16"/>
              </w:rPr>
              <w:t>3,943</w:t>
            </w:r>
          </w:p>
        </w:tc>
        <w:tc>
          <w:tcPr>
            <w:tcW w:type="dxa" w:w="1426"/>
          </w:tcPr>
          <w:p>
            <w:pPr>
              <w:spacing w:after="20"/>
              <w:jc w:val="right"/>
            </w:pPr>
            <w:r>
              <w:rPr>
                <w:color w:val="1C3A36"/>
                <w:sz w:val="16"/>
              </w:rPr>
              <w:t>4,014</w:t>
            </w:r>
          </w:p>
        </w:tc>
        <w:tc>
          <w:tcPr>
            <w:tcW w:type="dxa" w:w="1426"/>
          </w:tcPr>
          <w:p>
            <w:pPr>
              <w:spacing w:after="20"/>
              <w:jc w:val="right"/>
            </w:pPr>
            <w:r>
              <w:rPr>
                <w:color w:val="1C3A36"/>
                <w:sz w:val="16"/>
              </w:rPr>
              <w:t>4,042</w:t>
            </w:r>
          </w:p>
        </w:tc>
        <w:tc>
          <w:tcPr>
            <w:tcW w:type="dxa" w:w="1426"/>
          </w:tcPr>
          <w:p>
            <w:pPr>
              <w:spacing w:after="20"/>
              <w:jc w:val="right"/>
            </w:pPr>
            <w:r>
              <w:rPr>
                <w:color w:val="1C3A36"/>
                <w:sz w:val="16"/>
              </w:rPr>
              <w:t>4,072</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33.5%</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32.1%</w:t>
            </w:r>
          </w:p>
        </w:tc>
        <w:tc>
          <w:tcPr>
            <w:tcW w:type="dxa" w:w="1426"/>
          </w:tcPr>
          <w:p>
            <w:pPr>
              <w:spacing w:after="20"/>
              <w:jc w:val="right"/>
            </w:pPr>
            <w:r>
              <w:rPr>
                <w:color w:val="1C3A36"/>
                <w:sz w:val="16"/>
              </w:rPr>
              <w:t>31.1%</w:t>
            </w:r>
          </w:p>
        </w:tc>
        <w:tc>
          <w:tcPr>
            <w:tcW w:type="dxa" w:w="1426"/>
          </w:tcPr>
          <w:p>
            <w:pPr>
              <w:spacing w:after="20"/>
              <w:jc w:val="right"/>
            </w:pPr>
            <w:r>
              <w:rPr>
                <w:color w:val="1C3A36"/>
                <w:sz w:val="16"/>
              </w:rPr>
              <w:t>30.2%</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8,416</w:t>
            </w:r>
          </w:p>
        </w:tc>
        <w:tc>
          <w:tcPr>
            <w:tcW w:type="dxa" w:w="1296"/>
          </w:tcPr>
          <w:p>
            <w:pPr>
              <w:spacing w:after="20"/>
              <w:jc w:val="right"/>
            </w:pPr>
            <w:r>
              <w:rPr>
                <w:color w:val="1C3A36"/>
                <w:sz w:val="17"/>
              </w:rPr>
              <w:t>74.4%</w:t>
            </w:r>
          </w:p>
        </w:tc>
        <w:tc>
          <w:tcPr>
            <w:tcW w:type="dxa" w:w="1944"/>
          </w:tcPr>
          <w:p>
            <w:pPr>
              <w:spacing w:after="20"/>
              <w:jc w:val="right"/>
            </w:pPr>
            <w:r>
              <w:rPr>
                <w:color w:val="1C3A36"/>
                <w:sz w:val="17"/>
              </w:rPr>
              <w:t>9,458</w:t>
            </w:r>
          </w:p>
        </w:tc>
        <w:tc>
          <w:tcPr>
            <w:tcW w:type="dxa" w:w="1296"/>
          </w:tcPr>
          <w:p>
            <w:pPr>
              <w:spacing w:after="20"/>
              <w:jc w:val="right"/>
            </w:pPr>
            <w:r>
              <w:rPr>
                <w:color w:val="1C3A36"/>
                <w:sz w:val="17"/>
              </w:rPr>
              <w:t>70.2%</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10.3%</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14.2%</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1,021</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1,277</w:t>
            </w:r>
          </w:p>
        </w:tc>
        <w:tc>
          <w:tcPr>
            <w:tcW w:type="dxa" w:w="1296"/>
          </w:tcPr>
          <w:p>
            <w:pPr>
              <w:spacing w:after="20"/>
              <w:jc w:val="right"/>
            </w:pPr>
            <w:r>
              <w:rPr>
                <w:color w:val="1C3A36"/>
                <w:sz w:val="17"/>
              </w:rPr>
              <w:t>9.5%</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568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646</w:t>
            </w:r>
          </w:p>
        </w:tc>
        <w:tc>
          <w:tcPr>
            <w:tcW w:type="dxa" w:w="1296"/>
          </w:tcPr>
          <w:p>
            <w:pPr>
              <w:spacing w:after="20"/>
              <w:jc w:val="right"/>
            </w:pPr>
            <w:r>
              <w:rPr>
                <w:color w:val="1C3A36"/>
                <w:sz w:val="17"/>
              </w:rPr>
              <w:t>4.8%</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1.4%</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11,310</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13,477</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1.79 a share. Stopped, EGP 5.90. The difference, EGP 4.11 a share or EGP 8,174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0.86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2,212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15.49%</w:t>
            </w:r>
          </w:p>
        </w:tc>
        <w:tc>
          <w:tcPr>
            <w:tcW w:type="dxa" w:w="1512"/>
          </w:tcPr>
          <w:p>
            <w:pPr>
              <w:spacing w:after="20"/>
              <w:jc w:val="right"/>
            </w:pPr>
            <w:r>
              <w:rPr>
                <w:color w:val="1C3A36"/>
                <w:sz w:val="17"/>
              </w:rPr>
              <w:t>15.49%</w:t>
            </w:r>
          </w:p>
        </w:tc>
        <w:tc>
          <w:tcPr>
            <w:tcW w:type="dxa" w:w="4248"/>
          </w:tcPr>
          <w:p>
            <w:pPr>
              <w:spacing w:after="20"/>
            </w:pPr>
            <w:r>
              <w:rPr>
                <w:color w:val="1C3A36"/>
                <w:sz w:val="17"/>
              </w:rPr>
              <w:t>99.7% dollar, carried at local-equivalent cost on that year's currency wedge of 7.4%</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24.62%</w:t>
            </w:r>
          </w:p>
        </w:tc>
        <w:tc>
          <w:tcPr>
            <w:tcW w:type="dxa" w:w="1512"/>
            <w:shd w:val="clear" w:color="auto" w:fill="F6F1E6"/>
          </w:tcPr>
          <w:p>
            <w:pPr>
              <w:spacing w:after="20"/>
              <w:jc w:val="right"/>
            </w:pPr>
            <w:r>
              <w:rPr>
                <w:b/>
                <w:color w:val="1C3A36"/>
                <w:sz w:val="17"/>
              </w:rPr>
              <w:t>24.62%</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7.4% in FY2026/27, giving a local-equivalent 19.99%, gliding to 2.5% in FY2030/31 and 14.54%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The dollar leg's local-equivalent cost sits below the 16.63% normalised risk-free rate in FY2028/29 (15.63%), FY2029/30 (14.54%), FY2030/31 (14.54%), because the currency wedge in those years (3.5%, 2.5%, 2.5%) is smaller than the gap between the 11.7% coupon and that rate. It is left as built, because the wedge is the study's one currency path and the debt may not carry a second. A same-currency borrower does not normally borrow below its sovereign, so the construction with every leg floored at the 23.00% sovereign yield plus the company's own spread over the policy rate — which its facilities print as nil — is priced in the table below: EGP 0.98 a share on the carried-through cash-flow lens against EGP 1.79, a difference of EGP -0.80.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1.79</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1.79</w:t>
            </w:r>
          </w:p>
        </w:tc>
        <w:tc>
          <w:tcPr>
            <w:tcW w:type="dxa" w:w="950"/>
          </w:tcPr>
          <w:p>
            <w:pPr>
              <w:spacing w:after="20"/>
              <w:jc w:val="right"/>
            </w:pPr>
            <w:r>
              <w:rPr>
                <w:color w:val="1C3A36"/>
                <w:sz w:val="15"/>
              </w:rPr>
              <w:t>+0.00</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0.37</w:t>
            </w:r>
          </w:p>
        </w:tc>
        <w:tc>
          <w:tcPr>
            <w:tcW w:type="dxa" w:w="950"/>
          </w:tcPr>
          <w:p>
            <w:pPr>
              <w:spacing w:after="20"/>
              <w:jc w:val="right"/>
            </w:pPr>
            <w:r>
              <w:rPr>
                <w:color w:val="1C3A36"/>
                <w:sz w:val="15"/>
              </w:rPr>
              <w:t>-1.42</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1.68</w:t>
            </w:r>
          </w:p>
        </w:tc>
        <w:tc>
          <w:tcPr>
            <w:tcW w:type="dxa" w:w="950"/>
          </w:tcPr>
          <w:p>
            <w:pPr>
              <w:spacing w:after="20"/>
              <w:jc w:val="right"/>
            </w:pPr>
            <w:r>
              <w:rPr>
                <w:color w:val="1C3A36"/>
                <w:sz w:val="15"/>
              </w:rPr>
              <w:t>-0.10</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0.98</w:t>
            </w:r>
          </w:p>
        </w:tc>
        <w:tc>
          <w:tcPr>
            <w:tcW w:type="dxa" w:w="950"/>
          </w:tcPr>
          <w:p>
            <w:pPr>
              <w:spacing w:after="20"/>
              <w:jc w:val="right"/>
            </w:pPr>
            <w:r>
              <w:rPr>
                <w:color w:val="1C3A36"/>
                <w:sz w:val="15"/>
              </w:rPr>
              <w:t>-0.80</w:t>
            </w:r>
          </w:p>
        </w:tc>
        <w:tc>
          <w:tcPr>
            <w:tcW w:type="dxa" w:w="3139"/>
          </w:tcPr>
          <w:p>
            <w:pPr>
              <w:spacing w:after="20"/>
            </w:pPr>
            <w:r>
              <w:rPr>
                <w:color w:val="1C3A36"/>
                <w:sz w:val="15"/>
              </w:rPr>
              <w:t>A same-currency corporate cannot normally borrow below its sovereign, and the local facility does (its dollar leg sits below the normalised risk-free rate in 3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2.86</w:t>
            </w:r>
          </w:p>
        </w:tc>
        <w:tc>
          <w:tcPr>
            <w:tcW w:type="dxa" w:w="950"/>
          </w:tcPr>
          <w:p>
            <w:pPr>
              <w:spacing w:after="20"/>
              <w:jc w:val="right"/>
            </w:pPr>
            <w:r>
              <w:rPr>
                <w:color w:val="1C3A36"/>
                <w:sz w:val="15"/>
              </w:rPr>
              <w:t>+1.07</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-0.13</w:t>
            </w:r>
          </w:p>
        </w:tc>
        <w:tc>
          <w:tcPr>
            <w:tcW w:type="dxa" w:w="950"/>
          </w:tcPr>
          <w:p>
            <w:pPr>
              <w:spacing w:after="20"/>
              <w:jc w:val="right"/>
            </w:pPr>
            <w:r>
              <w:rPr>
                <w:color w:val="1C3A36"/>
                <w:sz w:val="15"/>
              </w:rPr>
              <w:t>-1.91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2.02</w:t>
            </w:r>
          </w:p>
        </w:tc>
        <w:tc>
          <w:tcPr>
            <w:tcW w:type="dxa" w:w="950"/>
          </w:tcPr>
          <w:p>
            <w:pPr>
              <w:spacing w:after="20"/>
              <w:jc w:val="right"/>
            </w:pPr>
            <w:r>
              <w:rPr>
                <w:color w:val="1C3A36"/>
                <w:sz w:val="15"/>
              </w:rPr>
              <w:t>+0.23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0.92</w:t>
            </w:r>
          </w:p>
        </w:tc>
        <w:tc>
          <w:tcPr>
            <w:tcW w:type="dxa" w:w="950"/>
          </w:tcPr>
          <w:p>
            <w:pPr>
              <w:spacing w:after="20"/>
              <w:jc w:val="right"/>
            </w:pPr>
            <w:r>
              <w:rPr>
                <w:color w:val="1C3A36"/>
                <w:sz w:val="15"/>
              </w:rPr>
              <w:t>-0.86</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2.62</w:t>
            </w:r>
          </w:p>
        </w:tc>
        <w:tc>
          <w:tcPr>
            <w:tcW w:type="dxa" w:w="950"/>
          </w:tcPr>
          <w:p>
            <w:pPr>
              <w:spacing w:after="20"/>
              <w:jc w:val="right"/>
            </w:pPr>
            <w:r>
              <w:rPr>
                <w:color w:val="1C3A36"/>
                <w:sz w:val="15"/>
              </w:rPr>
              <w:t>+0.84</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1.55</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(-1.91) and glide (-1.42);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-1.08</w:t>
            </w:r>
          </w:p>
        </w:tc>
        <w:tc>
          <w:tcPr>
            <w:tcW w:type="dxa" w:w="1483"/>
          </w:tcPr>
          <w:p>
            <w:pPr>
              <w:spacing w:after="20"/>
              <w:jc w:val="right"/>
            </w:pPr>
            <w:r>
              <w:rPr>
                <w:color w:val="1C3A36"/>
                <w:sz w:val="17"/>
              </w:rPr>
              <w:t>0.49</w:t>
            </w:r>
          </w:p>
        </w:tc>
        <w:tc>
          <w:tcPr>
            <w:tcW w:type="dxa" w:w="1483"/>
          </w:tcPr>
          <w:p>
            <w:pPr>
              <w:spacing w:after="20"/>
              <w:jc w:val="right"/>
            </w:pPr>
            <w:r>
              <w:rPr>
                <w:color w:val="1C3A36"/>
                <w:sz w:val="17"/>
              </w:rPr>
              <w:t>2.05</w:t>
            </w:r>
          </w:p>
        </w:tc>
        <w:tc>
          <w:tcPr>
            <w:tcW w:type="dxa" w:w="1483"/>
          </w:tcPr>
          <w:p>
            <w:pPr>
              <w:spacing w:after="20"/>
              <w:jc w:val="right"/>
            </w:pPr>
            <w:r>
              <w:rPr>
                <w:color w:val="1C3A36"/>
                <w:sz w:val="17"/>
              </w:rPr>
              <w:t>3.61</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-1.30</w:t>
            </w:r>
          </w:p>
        </w:tc>
        <w:tc>
          <w:tcPr>
            <w:tcW w:type="dxa" w:w="1483"/>
          </w:tcPr>
          <w:p>
            <w:pPr>
              <w:spacing w:after="20"/>
              <w:jc w:val="right"/>
            </w:pPr>
            <w:r>
              <w:rPr>
                <w:color w:val="1C3A36"/>
                <w:sz w:val="17"/>
              </w:rPr>
              <w:t>0.16</w:t>
            </w:r>
          </w:p>
        </w:tc>
        <w:tc>
          <w:tcPr>
            <w:tcW w:type="dxa" w:w="1483"/>
          </w:tcPr>
          <w:p>
            <w:pPr>
              <w:spacing w:after="20"/>
              <w:jc w:val="right"/>
            </w:pPr>
            <w:r>
              <w:rPr>
                <w:color w:val="1C3A36"/>
                <w:sz w:val="17"/>
              </w:rPr>
              <w:t>1.63</w:t>
            </w:r>
          </w:p>
        </w:tc>
        <w:tc>
          <w:tcPr>
            <w:tcW w:type="dxa" w:w="1483"/>
          </w:tcPr>
          <w:p>
            <w:pPr>
              <w:spacing w:after="20"/>
              <w:jc w:val="right"/>
            </w:pPr>
            <w:r>
              <w:rPr>
                <w:color w:val="1C3A36"/>
                <w:sz w:val="17"/>
              </w:rPr>
              <w:t>3.09</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-2.88</w:t>
            </w:r>
          </w:p>
        </w:tc>
        <w:tc>
          <w:tcPr>
            <w:tcW w:type="dxa" w:w="1483"/>
          </w:tcPr>
          <w:p>
            <w:pPr>
              <w:spacing w:after="20"/>
              <w:jc w:val="right"/>
            </w:pPr>
            <w:r>
              <w:rPr>
                <w:color w:val="1C3A36"/>
                <w:sz w:val="17"/>
              </w:rPr>
              <w:t>-1.51</w:t>
            </w:r>
          </w:p>
        </w:tc>
        <w:tc>
          <w:tcPr>
            <w:tcW w:type="dxa" w:w="1483"/>
          </w:tcPr>
          <w:p>
            <w:pPr>
              <w:spacing w:after="20"/>
              <w:jc w:val="right"/>
            </w:pPr>
            <w:r>
              <w:rPr>
                <w:color w:val="1C3A36"/>
                <w:sz w:val="17"/>
              </w:rPr>
              <w:t>-0.14</w:t>
            </w:r>
          </w:p>
        </w:tc>
        <w:tc>
          <w:tcPr>
            <w:tcW w:type="dxa" w:w="1483"/>
          </w:tcPr>
          <w:p>
            <w:pPr>
              <w:spacing w:after="20"/>
              <w:jc w:val="right"/>
            </w:pPr>
            <w:r>
              <w:rPr>
                <w:color w:val="1C3A36"/>
                <w:sz w:val="17"/>
              </w:rPr>
              <w:t>1.23</w:t>
            </w:r>
          </w:p>
        </w:tc>
        <w:tc>
          <w:tcPr>
            <w:tcW w:type="dxa" w:w="1483"/>
          </w:tcPr>
          <w:p>
            <w:pPr>
              <w:spacing w:after="20"/>
              <w:jc w:val="right"/>
            </w:pPr>
            <w:r>
              <w:rPr>
                <w:color w:val="1C3A36"/>
                <w:sz w:val="17"/>
              </w:rPr>
              <w:t>2.59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-2.95</w:t>
            </w:r>
          </w:p>
        </w:tc>
        <w:tc>
          <w:tcPr>
            <w:tcW w:type="dxa" w:w="1483"/>
          </w:tcPr>
          <w:p>
            <w:pPr>
              <w:spacing w:after="20"/>
              <w:jc w:val="right"/>
            </w:pPr>
            <w:r>
              <w:rPr>
                <w:color w:val="1C3A36"/>
                <w:sz w:val="17"/>
              </w:rPr>
              <w:t>-1.65</w:t>
            </w:r>
          </w:p>
        </w:tc>
        <w:tc>
          <w:tcPr>
            <w:tcW w:type="dxa" w:w="1483"/>
          </w:tcPr>
          <w:p>
            <w:pPr>
              <w:spacing w:after="20"/>
              <w:jc w:val="right"/>
            </w:pPr>
            <w:r>
              <w:rPr>
                <w:color w:val="1C3A36"/>
                <w:sz w:val="17"/>
              </w:rPr>
              <w:t>-0.34</w:t>
            </w:r>
          </w:p>
        </w:tc>
        <w:tc>
          <w:tcPr>
            <w:tcW w:type="dxa" w:w="1483"/>
          </w:tcPr>
          <w:p>
            <w:pPr>
              <w:spacing w:after="20"/>
              <w:jc w:val="right"/>
            </w:pPr>
            <w:r>
              <w:rPr>
                <w:color w:val="1C3A36"/>
                <w:sz w:val="17"/>
              </w:rPr>
              <w:t>0.97</w:t>
            </w:r>
          </w:p>
        </w:tc>
        <w:tc>
          <w:tcPr>
            <w:tcW w:type="dxa" w:w="1483"/>
          </w:tcPr>
          <w:p>
            <w:pPr>
              <w:spacing w:after="20"/>
              <w:jc w:val="right"/>
            </w:pPr>
            <w:r>
              <w:rPr>
                <w:color w:val="1C3A36"/>
                <w:sz w:val="17"/>
              </w:rPr>
              <w:t>2.27</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-3.02</w:t>
            </w:r>
          </w:p>
        </w:tc>
        <w:tc>
          <w:tcPr>
            <w:tcW w:type="dxa" w:w="1483"/>
          </w:tcPr>
          <w:p>
            <w:pPr>
              <w:spacing w:after="20"/>
              <w:jc w:val="right"/>
            </w:pPr>
            <w:r>
              <w:rPr>
                <w:color w:val="1C3A36"/>
                <w:sz w:val="17"/>
              </w:rPr>
              <w:t>-1.78</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1.96</w:t>
            </w:r>
          </w:p>
        </w:tc>
      </w:tr>
    </w:tbl>
    <w:p>
      <w:pPr>
        <w:spacing w:after="40"/>
      </w:pPr>
    </w:p>
    <w:p>
      <w:pPr>
        <w:spacing w:after="200" w:before="0"/>
      </w:pPr>
      <w:r>
        <w:rPr>
          <w:b w:val="0"/>
          <w:i/>
          <w:color w:val="6E7B77"/>
          <w:sz w:val="17"/>
        </w:rPr>
        <w:t>Table 19.  The highest cell in the grid is EGP 3.61,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-2.88 to 2.59</w:t>
            </w:r>
          </w:p>
        </w:tc>
        <w:tc>
          <w:tcPr>
            <w:tcW w:type="dxa" w:w="1152"/>
            <w:shd w:val="clear" w:color="auto" w:fill="F6F1E6"/>
          </w:tcPr>
          <w:p>
            <w:pPr>
              <w:spacing w:after="20"/>
              <w:jc w:val="right"/>
            </w:pPr>
            <w:r>
              <w:rPr>
                <w:b/>
                <w:color w:val="1C3A36"/>
                <w:sz w:val="16"/>
              </w:rPr>
              <w:t>5.47</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1.79 to 5.90</w:t>
            </w:r>
          </w:p>
        </w:tc>
        <w:tc>
          <w:tcPr>
            <w:tcW w:type="dxa" w:w="1152"/>
          </w:tcPr>
          <w:p>
            <w:pPr>
              <w:spacing w:after="20"/>
              <w:jc w:val="right"/>
            </w:pPr>
            <w:r>
              <w:rPr>
                <w:color w:val="1C3A36"/>
                <w:sz w:val="16"/>
              </w:rPr>
              <w:t>4.11</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-0.13 to 1.79</w:t>
            </w:r>
          </w:p>
        </w:tc>
        <w:tc>
          <w:tcPr>
            <w:tcW w:type="dxa" w:w="1152"/>
          </w:tcPr>
          <w:p>
            <w:pPr>
              <w:spacing w:after="20"/>
              <w:jc w:val="right"/>
            </w:pPr>
            <w:r>
              <w:rPr>
                <w:color w:val="1C3A36"/>
                <w:sz w:val="16"/>
              </w:rPr>
              <w:t>1.91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1.79 to 2.86</w:t>
            </w:r>
          </w:p>
        </w:tc>
        <w:tc>
          <w:tcPr>
            <w:tcW w:type="dxa" w:w="1152"/>
          </w:tcPr>
          <w:p>
            <w:pPr>
              <w:spacing w:after="20"/>
              <w:jc w:val="right"/>
            </w:pPr>
            <w:r>
              <w:rPr>
                <w:color w:val="1C3A36"/>
                <w:sz w:val="16"/>
              </w:rPr>
              <w:t>1.07</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-0.53 to 0.49</w:t>
            </w:r>
          </w:p>
        </w:tc>
        <w:tc>
          <w:tcPr>
            <w:tcW w:type="dxa" w:w="1152"/>
          </w:tcPr>
          <w:p>
            <w:pPr>
              <w:spacing w:after="20"/>
              <w:jc w:val="right"/>
            </w:pPr>
            <w:r>
              <w:rPr>
                <w:color w:val="1C3A36"/>
                <w:sz w:val="16"/>
              </w:rPr>
              <w:t>1.02</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0.92 to 1.79</w:t>
            </w:r>
          </w:p>
        </w:tc>
        <w:tc>
          <w:tcPr>
            <w:tcW w:type="dxa" w:w="1152"/>
          </w:tcPr>
          <w:p>
            <w:pPr>
              <w:spacing w:after="20"/>
              <w:jc w:val="right"/>
            </w:pPr>
            <w:r>
              <w:rPr>
                <w:color w:val="1C3A36"/>
                <w:sz w:val="16"/>
              </w:rPr>
              <w:t>0.86</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0.98 to 1.79</w:t>
            </w:r>
          </w:p>
        </w:tc>
        <w:tc>
          <w:tcPr>
            <w:tcW w:type="dxa" w:w="1152"/>
          </w:tcPr>
          <w:p>
            <w:pPr>
              <w:spacing w:after="20"/>
              <w:jc w:val="right"/>
            </w:pPr>
            <w:r>
              <w:rPr>
                <w:color w:val="1C3A36"/>
                <w:sz w:val="16"/>
              </w:rPr>
              <w:t>0.80</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1.79 to 2.02</w:t>
            </w:r>
          </w:p>
        </w:tc>
        <w:tc>
          <w:tcPr>
            <w:tcW w:type="dxa" w:w="1152"/>
          </w:tcPr>
          <w:p>
            <w:pPr>
              <w:spacing w:after="20"/>
              <w:jc w:val="right"/>
            </w:pPr>
            <w:r>
              <w:rPr>
                <w:color w:val="1C3A36"/>
                <w:sz w:val="16"/>
              </w:rPr>
              <w:t>0.23</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1.68 to 1.79</w:t>
            </w:r>
          </w:p>
        </w:tc>
        <w:tc>
          <w:tcPr>
            <w:tcW w:type="dxa" w:w="1152"/>
          </w:tcPr>
          <w:p>
            <w:pPr>
              <w:spacing w:after="20"/>
              <w:jc w:val="right"/>
            </w:pPr>
            <w:r>
              <w:rPr>
                <w:color w:val="1C3A36"/>
                <w:sz w:val="16"/>
              </w:rPr>
              <w:t>0.10</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1.79 to 1.79</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2.86 instead of EGP 1.79.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14.41,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1.79</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5.90</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4.11</w:t>
            </w:r>
          </w:p>
        </w:tc>
      </w:tr>
      <w:tr>
        <w:trPr>
          <w:cantSplit/>
        </w:trP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0.00</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15.47</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15.47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1.91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0.33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0.84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65.2% of enterprise value on the carried-through case and 40.7% on the stopped case. The explicit years are a construction window: free cash flow to the firm is positive in 5 of the five years and negative in the other 0, and their present value is EGP 3,493 million against a terminal block of EGP 6,548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11,310</w:t>
            </w:r>
          </w:p>
        </w:tc>
        <w:tc>
          <w:tcPr>
            <w:tcW w:type="dxa" w:w="893"/>
          </w:tcPr>
          <w:p>
            <w:pPr>
              <w:spacing w:after="20"/>
              <w:jc w:val="right"/>
            </w:pPr>
            <w:r>
              <w:rPr>
                <w:color w:val="1C3A36"/>
                <w:sz w:val="14"/>
              </w:rPr>
              <w:t>11,958</w:t>
            </w:r>
          </w:p>
        </w:tc>
        <w:tc>
          <w:tcPr>
            <w:tcW w:type="dxa" w:w="893"/>
          </w:tcPr>
          <w:p>
            <w:pPr>
              <w:spacing w:after="20"/>
              <w:jc w:val="right"/>
            </w:pPr>
            <w:r>
              <w:rPr>
                <w:color w:val="1C3A36"/>
                <w:sz w:val="14"/>
              </w:rPr>
              <w:t>12,507</w:t>
            </w:r>
          </w:p>
        </w:tc>
        <w:tc>
          <w:tcPr>
            <w:tcW w:type="dxa" w:w="893"/>
          </w:tcPr>
          <w:p>
            <w:pPr>
              <w:spacing w:after="20"/>
              <w:jc w:val="right"/>
            </w:pPr>
            <w:r>
              <w:rPr>
                <w:color w:val="1C3A36"/>
                <w:sz w:val="14"/>
              </w:rPr>
              <w:t>12,986</w:t>
            </w:r>
          </w:p>
        </w:tc>
        <w:tc>
          <w:tcPr>
            <w:tcW w:type="dxa" w:w="893"/>
          </w:tcPr>
          <w:p>
            <w:pPr>
              <w:spacing w:after="20"/>
              <w:jc w:val="right"/>
            </w:pPr>
            <w:r>
              <w:rPr>
                <w:color w:val="1C3A36"/>
                <w:sz w:val="14"/>
              </w:rPr>
              <w:t>13,477</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6,146</w:t>
            </w:r>
          </w:p>
        </w:tc>
        <w:tc>
          <w:tcPr>
            <w:tcW w:type="dxa" w:w="893"/>
          </w:tcPr>
          <w:p>
            <w:pPr>
              <w:spacing w:after="20"/>
              <w:jc w:val="right"/>
            </w:pPr>
            <w:r>
              <w:rPr>
                <w:color w:val="1C3A36"/>
                <w:sz w:val="14"/>
              </w:rPr>
              <w:t>6,590</w:t>
            </w:r>
          </w:p>
        </w:tc>
        <w:tc>
          <w:tcPr>
            <w:tcW w:type="dxa" w:w="893"/>
          </w:tcPr>
          <w:p>
            <w:pPr>
              <w:spacing w:after="20"/>
              <w:jc w:val="right"/>
            </w:pPr>
            <w:r>
              <w:rPr>
                <w:color w:val="1C3A36"/>
                <w:sz w:val="14"/>
              </w:rPr>
              <w:t>7,012</w:t>
            </w:r>
          </w:p>
        </w:tc>
        <w:tc>
          <w:tcPr>
            <w:tcW w:type="dxa" w:w="893"/>
          </w:tcPr>
          <w:p>
            <w:pPr>
              <w:spacing w:after="20"/>
              <w:jc w:val="right"/>
            </w:pPr>
            <w:r>
              <w:rPr>
                <w:color w:val="1C3A36"/>
                <w:sz w:val="14"/>
              </w:rPr>
              <w:t>7,406</w:t>
            </w:r>
          </w:p>
        </w:tc>
        <w:tc>
          <w:tcPr>
            <w:tcW w:type="dxa" w:w="893"/>
          </w:tcPr>
          <w:p>
            <w:pPr>
              <w:spacing w:after="20"/>
              <w:jc w:val="right"/>
            </w:pPr>
            <w:r>
              <w:rPr>
                <w:color w:val="1C3A36"/>
                <w:sz w:val="14"/>
              </w:rPr>
              <w:t>7,806</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5,165</w:t>
            </w:r>
          </w:p>
        </w:tc>
        <w:tc>
          <w:tcPr>
            <w:tcW w:type="dxa" w:w="893"/>
            <w:shd w:val="clear" w:color="auto" w:fill="F6F1E6"/>
          </w:tcPr>
          <w:p>
            <w:pPr>
              <w:spacing w:after="20"/>
              <w:jc w:val="right"/>
            </w:pPr>
            <w:r>
              <w:rPr>
                <w:b/>
                <w:color w:val="1C3A36"/>
                <w:sz w:val="14"/>
              </w:rPr>
              <w:t>5,369</w:t>
            </w:r>
          </w:p>
        </w:tc>
        <w:tc>
          <w:tcPr>
            <w:tcW w:type="dxa" w:w="893"/>
            <w:shd w:val="clear" w:color="auto" w:fill="F6F1E6"/>
          </w:tcPr>
          <w:p>
            <w:pPr>
              <w:spacing w:after="20"/>
              <w:jc w:val="right"/>
            </w:pPr>
            <w:r>
              <w:rPr>
                <w:b/>
                <w:color w:val="1C3A36"/>
                <w:sz w:val="14"/>
              </w:rPr>
              <w:t>5,495</w:t>
            </w:r>
          </w:p>
        </w:tc>
        <w:tc>
          <w:tcPr>
            <w:tcW w:type="dxa" w:w="893"/>
            <w:shd w:val="clear" w:color="auto" w:fill="F6F1E6"/>
          </w:tcPr>
          <w:p>
            <w:pPr>
              <w:spacing w:after="20"/>
              <w:jc w:val="right"/>
            </w:pPr>
            <w:r>
              <w:rPr>
                <w:b/>
                <w:color w:val="1C3A36"/>
                <w:sz w:val="14"/>
              </w:rPr>
              <w:t>5,580</w:t>
            </w:r>
          </w:p>
        </w:tc>
        <w:tc>
          <w:tcPr>
            <w:tcW w:type="dxa" w:w="893"/>
            <w:shd w:val="clear" w:color="auto" w:fill="F6F1E6"/>
          </w:tcPr>
          <w:p>
            <w:pPr>
              <w:spacing w:after="20"/>
              <w:jc w:val="right"/>
            </w:pPr>
            <w:r>
              <w:rPr>
                <w:b/>
                <w:color w:val="1C3A36"/>
                <w:sz w:val="14"/>
              </w:rPr>
              <w:t>5,671</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882</w:t>
            </w:r>
          </w:p>
        </w:tc>
        <w:tc>
          <w:tcPr>
            <w:tcW w:type="dxa" w:w="893"/>
          </w:tcPr>
          <w:p>
            <w:pPr>
              <w:spacing w:after="20"/>
              <w:jc w:val="right"/>
            </w:pPr>
            <w:r>
              <w:rPr>
                <w:color w:val="1C3A36"/>
                <w:sz w:val="14"/>
              </w:rPr>
              <w:t>932</w:t>
            </w:r>
          </w:p>
        </w:tc>
        <w:tc>
          <w:tcPr>
            <w:tcW w:type="dxa" w:w="893"/>
          </w:tcPr>
          <w:p>
            <w:pPr>
              <w:spacing w:after="20"/>
              <w:jc w:val="right"/>
            </w:pPr>
            <w:r>
              <w:rPr>
                <w:color w:val="1C3A36"/>
                <w:sz w:val="14"/>
              </w:rPr>
              <w:t>977</w:t>
            </w:r>
          </w:p>
        </w:tc>
        <w:tc>
          <w:tcPr>
            <w:tcW w:type="dxa" w:w="893"/>
          </w:tcPr>
          <w:p>
            <w:pPr>
              <w:spacing w:after="20"/>
              <w:jc w:val="right"/>
            </w:pPr>
            <w:r>
              <w:rPr>
                <w:color w:val="1C3A36"/>
                <w:sz w:val="14"/>
              </w:rPr>
              <w:t>1,023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423</w:t>
            </w:r>
          </w:p>
        </w:tc>
        <w:tc>
          <w:tcPr>
            <w:tcW w:type="dxa" w:w="893"/>
          </w:tcPr>
          <w:p>
            <w:pPr>
              <w:spacing w:after="20"/>
              <w:jc w:val="right"/>
            </w:pPr>
            <w:r>
              <w:rPr>
                <w:color w:val="1C3A36"/>
                <w:sz w:val="14"/>
              </w:rPr>
              <w:t>449</w:t>
            </w:r>
          </w:p>
        </w:tc>
        <w:tc>
          <w:tcPr>
            <w:tcW w:type="dxa" w:w="893"/>
          </w:tcPr>
          <w:p>
            <w:pPr>
              <w:spacing w:after="20"/>
              <w:jc w:val="right"/>
            </w:pPr>
            <w:r>
              <w:rPr>
                <w:color w:val="1C3A36"/>
                <w:sz w:val="14"/>
              </w:rPr>
              <w:t>471</w:t>
            </w:r>
          </w:p>
        </w:tc>
        <w:tc>
          <w:tcPr>
            <w:tcW w:type="dxa" w:w="893"/>
          </w:tcPr>
          <w:p>
            <w:pPr>
              <w:spacing w:after="20"/>
              <w:jc w:val="right"/>
            </w:pPr>
            <w:r>
              <w:rPr>
                <w:color w:val="1C3A36"/>
                <w:sz w:val="14"/>
              </w:rPr>
              <w:t>495</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3,793</w:t>
            </w:r>
          </w:p>
        </w:tc>
        <w:tc>
          <w:tcPr>
            <w:tcW w:type="dxa" w:w="893"/>
            <w:shd w:val="clear" w:color="auto" w:fill="F6F1E6"/>
          </w:tcPr>
          <w:p>
            <w:pPr>
              <w:spacing w:after="20"/>
              <w:jc w:val="right"/>
            </w:pPr>
            <w:r>
              <w:rPr>
                <w:b/>
                <w:color w:val="1C3A36"/>
                <w:sz w:val="14"/>
              </w:rPr>
              <w:t>3,943</w:t>
            </w:r>
          </w:p>
        </w:tc>
        <w:tc>
          <w:tcPr>
            <w:tcW w:type="dxa" w:w="893"/>
            <w:shd w:val="clear" w:color="auto" w:fill="F6F1E6"/>
          </w:tcPr>
          <w:p>
            <w:pPr>
              <w:spacing w:after="20"/>
              <w:jc w:val="right"/>
            </w:pPr>
            <w:r>
              <w:rPr>
                <w:b/>
                <w:color w:val="1C3A36"/>
                <w:sz w:val="14"/>
              </w:rPr>
              <w:t>4,014</w:t>
            </w:r>
          </w:p>
        </w:tc>
        <w:tc>
          <w:tcPr>
            <w:tcW w:type="dxa" w:w="893"/>
            <w:shd w:val="clear" w:color="auto" w:fill="F6F1E6"/>
          </w:tcPr>
          <w:p>
            <w:pPr>
              <w:spacing w:after="20"/>
              <w:jc w:val="right"/>
            </w:pPr>
            <w:r>
              <w:rPr>
                <w:b/>
                <w:color w:val="1C3A36"/>
                <w:sz w:val="14"/>
              </w:rPr>
              <w:t>4,042</w:t>
            </w:r>
          </w:p>
        </w:tc>
        <w:tc>
          <w:tcPr>
            <w:tcW w:type="dxa" w:w="893"/>
            <w:shd w:val="clear" w:color="auto" w:fill="F6F1E6"/>
          </w:tcPr>
          <w:p>
            <w:pPr>
              <w:spacing w:after="20"/>
              <w:jc w:val="right"/>
            </w:pPr>
            <w:r>
              <w:rPr>
                <w:b/>
                <w:color w:val="1C3A36"/>
                <w:sz w:val="14"/>
              </w:rPr>
              <w:t>4,072</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4,684</w:t>
            </w:r>
          </w:p>
        </w:tc>
        <w:tc>
          <w:tcPr>
            <w:tcW w:type="dxa" w:w="893"/>
            <w:shd w:val="clear" w:color="auto" w:fill="F6F1E6"/>
          </w:tcPr>
          <w:p>
            <w:pPr>
              <w:spacing w:after="20"/>
              <w:jc w:val="right"/>
            </w:pPr>
            <w:r>
              <w:rPr>
                <w:b/>
                <w:color w:val="1C3A36"/>
                <w:sz w:val="14"/>
              </w:rPr>
              <w:t>4,952</w:t>
            </w:r>
          </w:p>
        </w:tc>
        <w:tc>
          <w:tcPr>
            <w:tcW w:type="dxa" w:w="893"/>
            <w:shd w:val="clear" w:color="auto" w:fill="F6F1E6"/>
          </w:tcPr>
          <w:p>
            <w:pPr>
              <w:spacing w:after="20"/>
              <w:jc w:val="right"/>
            </w:pPr>
            <w:r>
              <w:rPr>
                <w:b/>
                <w:color w:val="1C3A36"/>
                <w:sz w:val="14"/>
              </w:rPr>
              <w:t>5,161</w:t>
            </w:r>
          </w:p>
        </w:tc>
        <w:tc>
          <w:tcPr>
            <w:tcW w:type="dxa" w:w="893"/>
            <w:shd w:val="clear" w:color="auto" w:fill="F6F1E6"/>
          </w:tcPr>
          <w:p>
            <w:pPr>
              <w:spacing w:after="20"/>
              <w:jc w:val="right"/>
            </w:pPr>
            <w:r>
              <w:rPr>
                <w:b/>
                <w:color w:val="1C3A36"/>
                <w:sz w:val="14"/>
              </w:rPr>
              <w:t>5,334</w:t>
            </w:r>
          </w:p>
        </w:tc>
        <w:tc>
          <w:tcPr>
            <w:tcW w:type="dxa" w:w="893"/>
            <w:shd w:val="clear" w:color="auto" w:fill="F6F1E6"/>
          </w:tcPr>
          <w:p>
            <w:pPr>
              <w:spacing w:after="20"/>
              <w:jc w:val="right"/>
            </w:pPr>
            <w:r>
              <w:rPr>
                <w:b/>
                <w:color w:val="1C3A36"/>
                <w:sz w:val="14"/>
              </w:rPr>
              <w:t>5,507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44.9%</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43.0%</w:t>
            </w:r>
          </w:p>
        </w:tc>
        <w:tc>
          <w:tcPr>
            <w:tcW w:type="dxa" w:w="893"/>
          </w:tcPr>
          <w:p>
            <w:pPr>
              <w:spacing w:after="20"/>
              <w:jc w:val="right"/>
            </w:pPr>
            <w:r>
              <w:rPr>
                <w:color w:val="1C3A36"/>
                <w:sz w:val="14"/>
              </w:rPr>
              <w:t>42.1%</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41.4%</w:t>
            </w:r>
          </w:p>
        </w:tc>
        <w:tc>
          <w:tcPr>
            <w:tcW w:type="dxa" w:w="893"/>
          </w:tcPr>
          <w:p>
            <w:pPr>
              <w:spacing w:after="20"/>
              <w:jc w:val="right"/>
            </w:pPr>
            <w:r>
              <w:rPr>
                <w:color w:val="1C3A36"/>
                <w:sz w:val="14"/>
              </w:rPr>
              <w:t>41.4%</w:t>
            </w:r>
          </w:p>
        </w:tc>
        <w:tc>
          <w:tcPr>
            <w:tcW w:type="dxa" w:w="893"/>
          </w:tcPr>
          <w:p>
            <w:pPr>
              <w:spacing w:after="20"/>
              <w:jc w:val="right"/>
            </w:pPr>
            <w:r>
              <w:rPr>
                <w:color w:val="1C3A36"/>
                <w:sz w:val="14"/>
              </w:rPr>
              <w:t>41.3%</w:t>
            </w:r>
          </w:p>
        </w:tc>
        <w:tc>
          <w:tcPr>
            <w:tcW w:type="dxa" w:w="893"/>
          </w:tcPr>
          <w:p>
            <w:pPr>
              <w:spacing w:after="20"/>
              <w:jc w:val="right"/>
            </w:pPr>
            <w:r>
              <w:rPr>
                <w:color w:val="1C3A36"/>
                <w:sz w:val="14"/>
              </w:rPr>
              <w:t>41.1%</w:t>
            </w:r>
          </w:p>
        </w:tc>
        <w:tc>
          <w:tcPr>
            <w:tcW w:type="dxa" w:w="893"/>
          </w:tcPr>
          <w:p>
            <w:pPr>
              <w:spacing w:after="20"/>
              <w:jc w:val="right"/>
            </w:pPr>
            <w:r>
              <w:rPr>
                <w:color w:val="1C3A36"/>
                <w:sz w:val="14"/>
              </w:rPr>
              <w:t>40.9%</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3,233</w:t>
            </w:r>
          </w:p>
        </w:tc>
        <w:tc>
          <w:tcPr>
            <w:tcW w:type="dxa" w:w="1426"/>
          </w:tcPr>
          <w:p>
            <w:pPr>
              <w:spacing w:after="20"/>
              <w:jc w:val="right"/>
            </w:pPr>
            <w:r>
              <w:rPr>
                <w:color w:val="1C3A36"/>
                <w:sz w:val="16"/>
              </w:rPr>
              <w:t>3,440</w:t>
            </w:r>
          </w:p>
        </w:tc>
        <w:tc>
          <w:tcPr>
            <w:tcW w:type="dxa" w:w="1426"/>
          </w:tcPr>
          <w:p>
            <w:pPr>
              <w:spacing w:after="20"/>
              <w:jc w:val="right"/>
            </w:pPr>
            <w:r>
              <w:rPr>
                <w:color w:val="1C3A36"/>
                <w:sz w:val="16"/>
              </w:rPr>
              <w:t>3,345</w:t>
            </w:r>
          </w:p>
        </w:tc>
        <w:tc>
          <w:tcPr>
            <w:tcW w:type="dxa" w:w="1426"/>
          </w:tcPr>
          <w:p>
            <w:pPr>
              <w:spacing w:after="20"/>
              <w:jc w:val="right"/>
            </w:pPr>
            <w:r>
              <w:rPr>
                <w:color w:val="1C3A36"/>
                <w:sz w:val="16"/>
              </w:rPr>
              <w:t>2,640</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830</w:t>
            </w:r>
          </w:p>
        </w:tc>
        <w:tc>
          <w:tcPr>
            <w:tcW w:type="dxa" w:w="1426"/>
          </w:tcPr>
          <w:p>
            <w:pPr>
              <w:spacing w:after="20"/>
              <w:jc w:val="right"/>
            </w:pPr>
            <w:r>
              <w:rPr>
                <w:color w:val="1C3A36"/>
                <w:sz w:val="16"/>
              </w:rPr>
              <w:t>877</w:t>
            </w:r>
          </w:p>
        </w:tc>
        <w:tc>
          <w:tcPr>
            <w:tcW w:type="dxa" w:w="1426"/>
          </w:tcPr>
          <w:p>
            <w:pPr>
              <w:spacing w:after="20"/>
              <w:jc w:val="right"/>
            </w:pPr>
            <w:r>
              <w:rPr>
                <w:color w:val="1C3A36"/>
                <w:sz w:val="16"/>
              </w:rPr>
              <w:t>917</w:t>
            </w:r>
          </w:p>
        </w:tc>
        <w:tc>
          <w:tcPr>
            <w:tcW w:type="dxa" w:w="1426"/>
          </w:tcPr>
          <w:p>
            <w:pPr>
              <w:spacing w:after="20"/>
              <w:jc w:val="right"/>
            </w:pPr>
            <w:r>
              <w:rPr>
                <w:color w:val="1C3A36"/>
                <w:sz w:val="16"/>
              </w:rPr>
              <w:t>953</w:t>
            </w:r>
          </w:p>
        </w:tc>
        <w:tc>
          <w:tcPr>
            <w:tcW w:type="dxa" w:w="1426"/>
          </w:tcPr>
          <w:p>
            <w:pPr>
              <w:spacing w:after="20"/>
              <w:jc w:val="right"/>
            </w:pPr>
            <w:r>
              <w:rPr>
                <w:color w:val="1C3A36"/>
                <w:sz w:val="16"/>
              </w:rPr>
              <w:t>989</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2,782</w:t>
            </w:r>
          </w:p>
        </w:tc>
        <w:tc>
          <w:tcPr>
            <w:tcW w:type="dxa" w:w="1426"/>
          </w:tcPr>
          <w:p>
            <w:pPr>
              <w:spacing w:after="20"/>
              <w:jc w:val="right"/>
            </w:pPr>
            <w:r>
              <w:rPr>
                <w:color w:val="1C3A36"/>
                <w:sz w:val="16"/>
              </w:rPr>
              <w:t>2,983</w:t>
            </w:r>
          </w:p>
        </w:tc>
        <w:tc>
          <w:tcPr>
            <w:tcW w:type="dxa" w:w="1426"/>
          </w:tcPr>
          <w:p>
            <w:pPr>
              <w:spacing w:after="20"/>
              <w:jc w:val="right"/>
            </w:pPr>
            <w:r>
              <w:rPr>
                <w:color w:val="1C3A36"/>
                <w:sz w:val="16"/>
              </w:rPr>
              <w:t>3,175</w:t>
            </w:r>
          </w:p>
        </w:tc>
        <w:tc>
          <w:tcPr>
            <w:tcW w:type="dxa" w:w="1426"/>
          </w:tcPr>
          <w:p>
            <w:pPr>
              <w:spacing w:after="20"/>
              <w:jc w:val="right"/>
            </w:pPr>
            <w:r>
              <w:rPr>
                <w:color w:val="1C3A36"/>
                <w:sz w:val="16"/>
              </w:rPr>
              <w:t>3,353</w:t>
            </w:r>
          </w:p>
        </w:tc>
        <w:tc>
          <w:tcPr>
            <w:tcW w:type="dxa" w:w="1426"/>
          </w:tcPr>
          <w:p>
            <w:pPr>
              <w:spacing w:after="20"/>
              <w:jc w:val="right"/>
            </w:pPr>
            <w:r>
              <w:rPr>
                <w:color w:val="1C3A36"/>
                <w:sz w:val="16"/>
              </w:rPr>
              <w:t>3,534</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1,400</w:t>
            </w:r>
          </w:p>
        </w:tc>
        <w:tc>
          <w:tcPr>
            <w:tcW w:type="dxa" w:w="1426"/>
          </w:tcPr>
          <w:p>
            <w:pPr>
              <w:spacing w:after="20"/>
              <w:jc w:val="right"/>
            </w:pPr>
            <w:r>
              <w:rPr>
                <w:color w:val="1C3A36"/>
                <w:sz w:val="16"/>
              </w:rPr>
              <w:t>1,502</w:t>
            </w:r>
          </w:p>
        </w:tc>
        <w:tc>
          <w:tcPr>
            <w:tcW w:type="dxa" w:w="1426"/>
          </w:tcPr>
          <w:p>
            <w:pPr>
              <w:spacing w:after="20"/>
              <w:jc w:val="right"/>
            </w:pPr>
            <w:r>
              <w:rPr>
                <w:color w:val="1C3A36"/>
                <w:sz w:val="16"/>
              </w:rPr>
              <w:t>1,598</w:t>
            </w:r>
          </w:p>
        </w:tc>
        <w:tc>
          <w:tcPr>
            <w:tcW w:type="dxa" w:w="1426"/>
          </w:tcPr>
          <w:p>
            <w:pPr>
              <w:spacing w:after="20"/>
              <w:jc w:val="right"/>
            </w:pPr>
            <w:r>
              <w:rPr>
                <w:color w:val="1C3A36"/>
                <w:sz w:val="16"/>
              </w:rPr>
              <w:t>1,688</w:t>
            </w:r>
          </w:p>
        </w:tc>
        <w:tc>
          <w:tcPr>
            <w:tcW w:type="dxa" w:w="1426"/>
          </w:tcPr>
          <w:p>
            <w:pPr>
              <w:spacing w:after="20"/>
              <w:jc w:val="right"/>
            </w:pPr>
            <w:r>
              <w:rPr>
                <w:color w:val="1C3A36"/>
                <w:sz w:val="16"/>
              </w:rPr>
              <w:t>1,779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2,212</w:t>
            </w:r>
          </w:p>
        </w:tc>
        <w:tc>
          <w:tcPr>
            <w:tcW w:type="dxa" w:w="1426"/>
          </w:tcPr>
          <w:p>
            <w:pPr>
              <w:spacing w:after="20"/>
              <w:jc w:val="right"/>
            </w:pPr>
            <w:r>
              <w:rPr>
                <w:color w:val="1C3A36"/>
                <w:sz w:val="16"/>
              </w:rPr>
              <w:t>2,359</w:t>
            </w:r>
          </w:p>
        </w:tc>
        <w:tc>
          <w:tcPr>
            <w:tcW w:type="dxa" w:w="1426"/>
          </w:tcPr>
          <w:p>
            <w:pPr>
              <w:spacing w:after="20"/>
              <w:jc w:val="right"/>
            </w:pPr>
            <w:r>
              <w:rPr>
                <w:color w:val="1C3A36"/>
                <w:sz w:val="16"/>
              </w:rPr>
              <w:t>2,494</w:t>
            </w:r>
          </w:p>
        </w:tc>
        <w:tc>
          <w:tcPr>
            <w:tcW w:type="dxa" w:w="1426"/>
          </w:tcPr>
          <w:p>
            <w:pPr>
              <w:spacing w:after="20"/>
              <w:jc w:val="right"/>
            </w:pPr>
            <w:r>
              <w:rPr>
                <w:color w:val="1C3A36"/>
                <w:sz w:val="16"/>
              </w:rPr>
              <w:t>2,618</w:t>
            </w:r>
          </w:p>
        </w:tc>
        <w:tc>
          <w:tcPr>
            <w:tcW w:type="dxa" w:w="1426"/>
          </w:tcPr>
          <w:p>
            <w:pPr>
              <w:spacing w:after="20"/>
              <w:jc w:val="right"/>
            </w:pPr>
            <w:r>
              <w:rPr>
                <w:color w:val="1C3A36"/>
                <w:sz w:val="16"/>
              </w:rPr>
              <w:t>2,744</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147</w:t>
            </w:r>
          </w:p>
        </w:tc>
        <w:tc>
          <w:tcPr>
            <w:tcW w:type="dxa" w:w="1426"/>
          </w:tcPr>
          <w:p>
            <w:pPr>
              <w:spacing w:after="20"/>
              <w:jc w:val="right"/>
            </w:pPr>
            <w:r>
              <w:rPr>
                <w:color w:val="1C3A36"/>
                <w:sz w:val="16"/>
              </w:rPr>
              <w:t>135</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126</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684</w:t>
            </w:r>
          </w:p>
        </w:tc>
        <w:tc>
          <w:tcPr>
            <w:tcW w:type="dxa" w:w="1426"/>
            <w:shd w:val="clear" w:color="auto" w:fill="F6F1E6"/>
          </w:tcPr>
          <w:p>
            <w:pPr>
              <w:spacing w:after="20"/>
              <w:jc w:val="right"/>
            </w:pPr>
            <w:r>
              <w:rPr>
                <w:b/>
                <w:color w:val="1C3A36"/>
                <w:sz w:val="16"/>
              </w:rPr>
              <w:t>683</w:t>
            </w:r>
          </w:p>
        </w:tc>
        <w:tc>
          <w:tcPr>
            <w:tcW w:type="dxa" w:w="1426"/>
            <w:shd w:val="clear" w:color="auto" w:fill="F6F1E6"/>
          </w:tcPr>
          <w:p>
            <w:pPr>
              <w:spacing w:after="20"/>
              <w:jc w:val="right"/>
            </w:pPr>
            <w:r>
              <w:rPr>
                <w:b/>
                <w:color w:val="1C3A36"/>
                <w:sz w:val="16"/>
              </w:rPr>
              <w:t>957</w:t>
            </w:r>
          </w:p>
        </w:tc>
        <w:tc>
          <w:tcPr>
            <w:tcW w:type="dxa" w:w="1426"/>
            <w:shd w:val="clear" w:color="auto" w:fill="F6F1E6"/>
          </w:tcPr>
          <w:p>
            <w:pPr>
              <w:spacing w:after="20"/>
              <w:jc w:val="right"/>
            </w:pPr>
            <w:r>
              <w:rPr>
                <w:b/>
                <w:color w:val="1C3A36"/>
                <w:sz w:val="16"/>
              </w:rPr>
              <w:t>1,825</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12,507</w:t>
            </w:r>
          </w:p>
        </w:tc>
        <w:tc>
          <w:tcPr>
            <w:tcW w:type="dxa" w:w="2016"/>
          </w:tcPr>
          <w:p>
            <w:pPr>
              <w:spacing w:after="20"/>
              <w:jc w:val="right"/>
            </w:pPr>
            <w:r>
              <w:rPr>
                <w:color w:val="1C3A36"/>
                <w:sz w:val="16"/>
              </w:rPr>
              <w:t>12,986</w:t>
            </w:r>
          </w:p>
        </w:tc>
        <w:tc>
          <w:tcPr>
            <w:tcW w:type="dxa" w:w="2016"/>
          </w:tcPr>
          <w:p>
            <w:pPr>
              <w:spacing w:after="20"/>
              <w:jc w:val="right"/>
            </w:pPr>
            <w:r>
              <w:rPr>
                <w:color w:val="1C3A36"/>
                <w:sz w:val="16"/>
              </w:rPr>
              <w:t>13,477</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5,495</w:t>
            </w:r>
          </w:p>
        </w:tc>
        <w:tc>
          <w:tcPr>
            <w:tcW w:type="dxa" w:w="2016"/>
          </w:tcPr>
          <w:p>
            <w:pPr>
              <w:spacing w:after="20"/>
              <w:jc w:val="right"/>
            </w:pPr>
            <w:r>
              <w:rPr>
                <w:color w:val="1C3A36"/>
                <w:sz w:val="16"/>
              </w:rPr>
              <w:t>5,580</w:t>
            </w:r>
          </w:p>
        </w:tc>
        <w:tc>
          <w:tcPr>
            <w:tcW w:type="dxa" w:w="2016"/>
          </w:tcPr>
          <w:p>
            <w:pPr>
              <w:spacing w:after="20"/>
              <w:jc w:val="right"/>
            </w:pPr>
            <w:r>
              <w:rPr>
                <w:color w:val="1C3A36"/>
                <w:sz w:val="16"/>
              </w:rPr>
              <w:t>5,671</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5,161</w:t>
            </w:r>
          </w:p>
        </w:tc>
        <w:tc>
          <w:tcPr>
            <w:tcW w:type="dxa" w:w="2016"/>
            <w:shd w:val="clear" w:color="auto" w:fill="F6F1E6"/>
          </w:tcPr>
          <w:p>
            <w:pPr>
              <w:spacing w:after="20"/>
              <w:jc w:val="right"/>
            </w:pPr>
            <w:r>
              <w:rPr>
                <w:b/>
                <w:color w:val="1C3A36"/>
                <w:sz w:val="16"/>
              </w:rPr>
              <w:t>5,334</w:t>
            </w:r>
          </w:p>
        </w:tc>
        <w:tc>
          <w:tcPr>
            <w:tcW w:type="dxa" w:w="2016"/>
            <w:shd w:val="clear" w:color="auto" w:fill="F6F1E6"/>
          </w:tcPr>
          <w:p>
            <w:pPr>
              <w:spacing w:after="20"/>
              <w:jc w:val="right"/>
            </w:pPr>
            <w:r>
              <w:rPr>
                <w:b/>
                <w:color w:val="1C3A36"/>
                <w:sz w:val="16"/>
              </w:rPr>
              <w:t>5,507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1,338</w:t>
            </w:r>
          </w:p>
        </w:tc>
        <w:tc>
          <w:tcPr>
            <w:tcW w:type="dxa" w:w="2016"/>
          </w:tcPr>
          <w:p>
            <w:pPr>
              <w:spacing w:after="20"/>
              <w:jc w:val="right"/>
            </w:pPr>
            <w:r>
              <w:rPr>
                <w:color w:val="1C3A36"/>
                <w:sz w:val="16"/>
              </w:rPr>
              <w:t>461</w:t>
            </w:r>
          </w:p>
        </w:tc>
        <w:tc>
          <w:tcPr>
            <w:tcW w:type="dxa" w:w="2016"/>
          </w:tcPr>
          <w:p>
            <w:pPr>
              <w:spacing w:after="20"/>
              <w:jc w:val="right"/>
            </w:pPr>
            <w:r>
              <w:rPr>
                <w:color w:val="1C3A36"/>
                <w:sz w:val="16"/>
              </w:rPr>
              <w:t>1,093</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14,700</w:t>
            </w:r>
          </w:p>
        </w:tc>
        <w:tc>
          <w:tcPr>
            <w:tcW w:type="dxa" w:w="2016"/>
          </w:tcPr>
          <w:p>
            <w:pPr>
              <w:spacing w:after="20"/>
              <w:jc w:val="right"/>
            </w:pPr>
            <w:r>
              <w:rPr>
                <w:color w:val="1C3A36"/>
                <w:sz w:val="16"/>
              </w:rPr>
              <w:t>15,588</w:t>
            </w:r>
          </w:p>
        </w:tc>
        <w:tc>
          <w:tcPr>
            <w:tcW w:type="dxa" w:w="2016"/>
          </w:tcPr>
          <w:p>
            <w:pPr>
              <w:spacing w:after="20"/>
              <w:jc w:val="right"/>
            </w:pPr>
            <w:r>
              <w:rPr>
                <w:color w:val="1C3A36"/>
                <w:sz w:val="16"/>
              </w:rPr>
              <w:t>17,913</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1,437</w:t>
            </w:r>
          </w:p>
        </w:tc>
        <w:tc>
          <w:tcPr>
            <w:tcW w:type="dxa" w:w="2016"/>
          </w:tcPr>
          <w:p>
            <w:pPr>
              <w:spacing w:after="20"/>
              <w:jc w:val="right"/>
            </w:pPr>
            <w:r>
              <w:rPr>
                <w:color w:val="1C3A36"/>
                <w:sz w:val="16"/>
              </w:rPr>
              <w:t>1,256</w:t>
            </w:r>
          </w:p>
        </w:tc>
        <w:tc>
          <w:tcPr>
            <w:tcW w:type="dxa" w:w="2016"/>
          </w:tcPr>
          <w:p>
            <w:pPr>
              <w:spacing w:after="20"/>
              <w:jc w:val="right"/>
            </w:pPr>
            <w:r>
              <w:rPr>
                <w:color w:val="1C3A36"/>
                <w:sz w:val="16"/>
              </w:rPr>
              <w:t>480</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10,993</w:t>
            </w:r>
          </w:p>
        </w:tc>
        <w:tc>
          <w:tcPr>
            <w:tcW w:type="dxa" w:w="2016"/>
            <w:shd w:val="clear" w:color="auto" w:fill="F6F1E6"/>
          </w:tcPr>
          <w:p>
            <w:pPr>
              <w:spacing w:after="20"/>
              <w:jc w:val="right"/>
            </w:pPr>
            <w:r>
              <w:rPr>
                <w:b/>
                <w:color w:val="1C3A36"/>
                <w:sz w:val="16"/>
              </w:rPr>
              <w:t>10,119</w:t>
            </w:r>
          </w:p>
        </w:tc>
        <w:tc>
          <w:tcPr>
            <w:tcW w:type="dxa" w:w="2016"/>
            <w:shd w:val="clear" w:color="auto" w:fill="F6F1E6"/>
          </w:tcPr>
          <w:p>
            <w:pPr>
              <w:spacing w:after="20"/>
              <w:jc w:val="right"/>
            </w:pPr>
            <w:r>
              <w:rPr>
                <w:b/>
                <w:color w:val="1C3A36"/>
                <w:sz w:val="16"/>
              </w:rPr>
              <w:t>7,637</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187</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297</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13,579</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8,966</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8,564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9,428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6,724</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3.38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3.56 a share.</w:t>
      </w:r>
    </w:p>
    <w:p>
      <w:pPr>
        <w:spacing w:after="120" w:before="0"/>
      </w:pPr>
      <w:r>
        <w:rPr>
          <w:b w:val="0"/>
          <w:i w:val="0"/>
          <w:color w:val="1C3A36"/>
          <w:sz w:val="19"/>
        </w:rPr>
        <w:t>On both sides of the contested judgement.  With the programme carried through the claim is worth EGP 3.38 a share (EGP 0.00 to 3.56 across the volatility range); with the programme stopped the enterprise value rises to EGP 21,754 million and the same claim is worth EGP 6.32 (EGP 6.22 to 6.46).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13,579m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2.26 a share, and at 60% over seven years EGP 4.16.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2.26</w:t>
            </w:r>
          </w:p>
        </w:tc>
        <w:tc>
          <w:tcPr>
            <w:tcW w:type="dxa" w:w="1541"/>
          </w:tcPr>
          <w:p>
            <w:pPr>
              <w:spacing w:after="20"/>
              <w:jc w:val="right"/>
            </w:pPr>
            <w:r>
              <w:rPr>
                <w:color w:val="1C3A36"/>
                <w:sz w:val="17"/>
              </w:rPr>
              <w:t>2.34</w:t>
            </w:r>
          </w:p>
        </w:tc>
        <w:tc>
          <w:tcPr>
            <w:tcW w:type="dxa" w:w="1541"/>
          </w:tcPr>
          <w:p>
            <w:pPr>
              <w:spacing w:after="20"/>
              <w:jc w:val="right"/>
            </w:pPr>
            <w:r>
              <w:rPr>
                <w:color w:val="1C3A36"/>
                <w:sz w:val="17"/>
              </w:rPr>
              <w:t>2.53</w:t>
            </w:r>
          </w:p>
        </w:tc>
        <w:tc>
          <w:tcPr>
            <w:tcW w:type="dxa" w:w="1541"/>
          </w:tcPr>
          <w:p>
            <w:pPr>
              <w:spacing w:after="20"/>
              <w:jc w:val="right"/>
            </w:pPr>
            <w:r>
              <w:rPr>
                <w:color w:val="1C3A36"/>
                <w:sz w:val="17"/>
              </w:rPr>
              <w:t>2.74</w:t>
            </w:r>
          </w:p>
        </w:tc>
        <w:tc>
          <w:tcPr>
            <w:tcW w:type="dxa" w:w="1541"/>
          </w:tcPr>
          <w:p>
            <w:pPr>
              <w:spacing w:after="20"/>
              <w:jc w:val="right"/>
            </w:pPr>
            <w:r>
              <w:rPr>
                <w:color w:val="1C3A36"/>
                <w:sz w:val="17"/>
              </w:rPr>
              <w:t>2.84</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3.17</w:t>
            </w:r>
          </w:p>
        </w:tc>
        <w:tc>
          <w:tcPr>
            <w:tcW w:type="dxa" w:w="1541"/>
          </w:tcPr>
          <w:p>
            <w:pPr>
              <w:spacing w:after="20"/>
              <w:jc w:val="right"/>
            </w:pPr>
            <w:r>
              <w:rPr>
                <w:color w:val="1C3A36"/>
                <w:sz w:val="17"/>
              </w:rPr>
              <w:t>3.23</w:t>
            </w:r>
          </w:p>
        </w:tc>
        <w:tc>
          <w:tcPr>
            <w:tcW w:type="dxa" w:w="1541"/>
          </w:tcPr>
          <w:p>
            <w:pPr>
              <w:spacing w:after="20"/>
              <w:jc w:val="right"/>
            </w:pPr>
            <w:r>
              <w:rPr>
                <w:color w:val="1C3A36"/>
                <w:sz w:val="17"/>
              </w:rPr>
              <w:t>3.38</w:t>
            </w:r>
          </w:p>
        </w:tc>
        <w:tc>
          <w:tcPr>
            <w:tcW w:type="dxa" w:w="1541"/>
          </w:tcPr>
          <w:p>
            <w:pPr>
              <w:spacing w:after="20"/>
              <w:jc w:val="right"/>
            </w:pPr>
            <w:r>
              <w:rPr>
                <w:color w:val="1C3A36"/>
                <w:sz w:val="17"/>
              </w:rPr>
              <w:t>3.56</w:t>
            </w:r>
          </w:p>
        </w:tc>
        <w:tc>
          <w:tcPr>
            <w:tcW w:type="dxa" w:w="1541"/>
          </w:tcPr>
          <w:p>
            <w:pPr>
              <w:spacing w:after="20"/>
              <w:jc w:val="right"/>
            </w:pPr>
            <w:r>
              <w:rPr>
                <w:color w:val="1C3A36"/>
                <w:sz w:val="17"/>
              </w:rPr>
              <w:t>3.65</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3.80</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3.95</w:t>
            </w:r>
          </w:p>
        </w:tc>
        <w:tc>
          <w:tcPr>
            <w:tcW w:type="dxa" w:w="1541"/>
          </w:tcPr>
          <w:p>
            <w:pPr>
              <w:spacing w:after="20"/>
              <w:jc w:val="right"/>
            </w:pPr>
            <w:r>
              <w:rPr>
                <w:color w:val="1C3A36"/>
                <w:sz w:val="17"/>
              </w:rPr>
              <w:t>4.09</w:t>
            </w:r>
          </w:p>
        </w:tc>
        <w:tc>
          <w:tcPr>
            <w:tcW w:type="dxa" w:w="1541"/>
          </w:tcPr>
          <w:p>
            <w:pPr>
              <w:spacing w:after="20"/>
              <w:jc w:val="right"/>
            </w:pPr>
            <w:r>
              <w:rPr>
                <w:color w:val="1C3A36"/>
                <w:sz w:val="17"/>
              </w:rPr>
              <w:t>4.16</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3.23 a share, at 55% EGP 3.56.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-0.78</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0.26</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-1.79</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-12.62</w:t>
            </w:r>
          </w:p>
        </w:tc>
        <w:tc>
          <w:tcPr>
            <w:tcW w:type="dxa" w:w="5904"/>
          </w:tcPr>
          <w:p>
            <w:pPr>
              <w:spacing w:after="20"/>
            </w:pPr>
            <w:r>
              <w:rPr>
                <w:color w:val="1C3A36"/>
                <w:sz w:val="16"/>
              </w:rPr>
              <w:t>The discount rate, and only the discount rate. At about 11.0%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1.06</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297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