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9.91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9.1</w:t>
            </w:r>
          </w:p>
        </w:tc>
        <w:tc>
          <w:tcPr>
            <w:tcW w:type="dxa" w:w="1368"/>
          </w:tcPr>
          <w:p>
            <w:pPr>
              <w:spacing w:after="20"/>
            </w:pPr>
            <w:r>
              <w:rPr>
                <w:color w:val="1C3A36"/>
                <w:sz w:val="15"/>
              </w:rPr>
              <w:t>2026-08-06</w:t>
            </w:r>
          </w:p>
        </w:tc>
        <w:tc>
          <w:tcPr>
            <w:tcW w:type="dxa" w:w="3845"/>
          </w:tcPr>
          <w:p>
            <w:pPr>
              <w:spacing w:after="20"/>
            </w:pPr>
            <w:r>
              <w:rPr>
                <w:color w:val="1C3A36"/>
                <w:sz w:val="15"/>
              </w:rPr>
              <w:t>AMOC closing price on the Egyptian Exchange, 6 August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1.33, 1.28, 1.12, 1.145, 1.13, 1.115, 1.1, 1.095</w:t>
            </w:r>
          </w:p>
        </w:tc>
        <w:tc>
          <w:tcPr>
            <w:tcW w:type="dxa" w:w="1368"/>
          </w:tcPr>
          <w:p>
            <w:pPr>
              <w:spacing w:after="20"/>
            </w:pPr>
            <w:r>
              <w:rPr>
                <w:color w:val="1C3A36"/>
                <w:sz w:val="15"/>
              </w:rPr>
              <w:t>2026-08-06</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0.1171, 0.1024, 0.0878, 0.0732, 0.0683</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54.4, 59.97, 65.24, 70.01, 74.8</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-3.2%</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