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9.91 a share against a market price of EGP 9.10. Fair value sits -8.9% BELOW the price; equivalently the price stands -8.2% ABOVE fair value. The weighted range is EGP 4.93 to 16.73 and the price is outside it. Every one of the four lenses lands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7.47, -17.9%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9.10 is fair if AMOC sustains a gross margin of 9.31% in every forecast year and in perpetuity. The twelve months just filed ran 9.65% and the six months to June 2026 ran 12.43%. The market price therefore requires a margin BELOW what this company has just reported and well inside the range it has printed since 2021. A buyer at EGP 9.10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54%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4.93</w:t>
            </w:r>
          </w:p>
        </w:tc>
        <w:tc>
          <w:tcPr>
            <w:tcW w:type="dxa" w:w="1037"/>
          </w:tcPr>
          <w:p>
            <w:pPr>
              <w:spacing w:after="20"/>
              <w:jc w:val="right"/>
            </w:pPr>
            <w:r>
              <w:rPr>
                <w:color w:val="1C3A36"/>
                <w:sz w:val="18"/>
              </w:rPr>
              <w:t>9.91</w:t>
            </w:r>
          </w:p>
        </w:tc>
        <w:tc>
          <w:tcPr>
            <w:tcW w:type="dxa" w:w="1037"/>
          </w:tcPr>
          <w:p>
            <w:pPr>
              <w:spacing w:after="20"/>
              <w:jc w:val="right"/>
            </w:pPr>
            <w:r>
              <w:rPr>
                <w:color w:val="1C3A36"/>
                <w:sz w:val="18"/>
              </w:rPr>
              <w:t>16.73</w:t>
            </w:r>
          </w:p>
        </w:tc>
        <w:tc>
          <w:tcPr>
            <w:tcW w:type="dxa" w:w="893"/>
          </w:tcPr>
          <w:p>
            <w:pPr>
              <w:spacing w:after="20"/>
              <w:jc w:val="right"/>
            </w:pPr>
            <w:r>
              <w:rPr>
                <w:color w:val="1C3A36"/>
                <w:sz w:val="18"/>
              </w:rPr>
              <w:t>45%</w:t>
            </w:r>
          </w:p>
        </w:tc>
        <w:tc>
          <w:tcPr>
            <w:tcW w:type="dxa" w:w="1037"/>
          </w:tcPr>
          <w:p>
            <w:pPr>
              <w:spacing w:after="20"/>
              <w:jc w:val="right"/>
            </w:pPr>
            <w:r>
              <w:rPr>
                <w:color w:val="1C3A36"/>
                <w:sz w:val="18"/>
              </w:rPr>
              <w:t>8.9%</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6.68</w:t>
            </w:r>
          </w:p>
        </w:tc>
        <w:tc>
          <w:tcPr>
            <w:tcW w:type="dxa" w:w="1037"/>
          </w:tcPr>
          <w:p>
            <w:pPr>
              <w:spacing w:after="20"/>
              <w:jc w:val="right"/>
            </w:pPr>
            <w:r>
              <w:rPr>
                <w:color w:val="1C3A36"/>
                <w:sz w:val="18"/>
              </w:rPr>
              <w:t>8.32</w:t>
            </w:r>
          </w:p>
        </w:tc>
        <w:tc>
          <w:tcPr>
            <w:tcW w:type="dxa" w:w="1037"/>
          </w:tcPr>
          <w:p>
            <w:pPr>
              <w:spacing w:after="20"/>
              <w:jc w:val="right"/>
            </w:pPr>
            <w:r>
              <w:rPr>
                <w:color w:val="1C3A36"/>
                <w:sz w:val="18"/>
              </w:rPr>
              <w:t>9.96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-8.6%</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6.51</w:t>
            </w:r>
          </w:p>
        </w:tc>
        <w:tc>
          <w:tcPr>
            <w:tcW w:type="dxa" w:w="1037"/>
          </w:tcPr>
          <w:p>
            <w:pPr>
              <w:spacing w:after="20"/>
              <w:jc w:val="right"/>
            </w:pPr>
            <w:r>
              <w:rPr>
                <w:color w:val="1C3A36"/>
                <w:sz w:val="18"/>
              </w:rPr>
              <w:t>8.39</w:t>
            </w:r>
          </w:p>
        </w:tc>
        <w:tc>
          <w:tcPr>
            <w:tcW w:type="dxa" w:w="1037"/>
          </w:tcPr>
          <w:p>
            <w:pPr>
              <w:spacing w:after="20"/>
              <w:jc w:val="right"/>
            </w:pPr>
            <w:r>
              <w:rPr>
                <w:color w:val="1C3A36"/>
                <w:sz w:val="18"/>
              </w:rPr>
              <w:t>10.26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-7.8%</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893"/>
          </w:tcPr>
          <w:p>
            <w:pPr>
              <w:spacing w:after="20"/>
              <w:jc w:val="right"/>
            </w:pPr>
            <w:r>
              <w:rPr>
                <w:color w:val="1C3A36"/>
                <w:sz w:val="18"/>
              </w:rPr>
              <w:t>15%</w:t>
            </w:r>
          </w:p>
        </w:tc>
        <w:tc>
          <w:tcPr>
            <w:tcW w:type="dxa" w:w="1037"/>
          </w:tcPr>
          <w:p>
            <w:pPr>
              <w:spacing w:after="20"/>
              <w:jc w:val="right"/>
            </w:pPr>
            <w:r>
              <w:rPr>
                <w:color w:val="1C3A36"/>
                <w:sz w:val="18"/>
              </w:rPr>
              <w:t>-31.6%</w:t>
            </w:r>
          </w:p>
        </w:tc>
      </w:tr>
      <w:tr>
        <w:tc>
          <w:tcPr>
            <w:tcW w:type="dxa" w:w="2232"/>
            <w:shd w:val="clear" w:color="auto" w:fill="F6F1E6"/>
          </w:tcPr>
          <w:p>
            <w:pPr>
              <w:spacing w:after="20"/>
            </w:pPr>
            <w:r>
              <w:rPr>
                <w:b/>
                <w:color w:val="1C3A36"/>
                <w:sz w:val="18"/>
              </w:rPr>
              <w:t>WEIGHTED CENTRAL</w:t>
            </w:r>
          </w:p>
        </w:tc>
        <w:tc>
          <w:tcPr>
            <w:tcW w:type="dxa" w:w="2736"/>
            <w:shd w:val="clear" w:color="auto" w:fill="F6F1E6"/>
          </w:tcPr>
          <w:p>
            <w:pPr>
              <w:spacing w:after="20"/>
            </w:pPr>
            <w:r>
              <w:rPr>
                <w:b/>
                <w:color w:val="1C3A36"/>
                <w:sz w:val="18"/>
              </w:rPr>
              <w:t>the four, weighted</w:t>
            </w:r>
          </w:p>
        </w:tc>
        <w:tc>
          <w:tcPr>
            <w:tcW w:type="dxa" w:w="1037"/>
            <w:shd w:val="clear" w:color="auto" w:fill="F6F1E6"/>
          </w:tcPr>
          <w:p>
            <w:pPr>
              <w:spacing w:after="20"/>
              <w:jc w:val="right"/>
            </w:pPr>
            <w:r>
              <w:rPr>
                <w:b/>
                <w:color w:val="1C3A36"/>
                <w:sz w:val="18"/>
              </w:rPr>
              <w:t>4.93</w:t>
            </w:r>
          </w:p>
        </w:tc>
        <w:tc>
          <w:tcPr>
            <w:tcW w:type="dxa" w:w="1037"/>
            <w:shd w:val="clear" w:color="auto" w:fill="F6F1E6"/>
          </w:tcPr>
          <w:p>
            <w:pPr>
              <w:spacing w:after="20"/>
              <w:jc w:val="right"/>
            </w:pPr>
            <w:r>
              <w:rPr>
                <w:b/>
                <w:color w:val="1C3A36"/>
                <w:sz w:val="18"/>
              </w:rPr>
              <w:t>9.91</w:t>
            </w:r>
          </w:p>
        </w:tc>
        <w:tc>
          <w:tcPr>
            <w:tcW w:type="dxa" w:w="1037"/>
            <w:shd w:val="clear" w:color="auto" w:fill="F6F1E6"/>
          </w:tcPr>
          <w:p>
            <w:pPr>
              <w:spacing w:after="20"/>
              <w:jc w:val="right"/>
            </w:pPr>
            <w:r>
              <w:rPr>
                <w:b/>
                <w:color w:val="1C3A36"/>
                <w:sz w:val="18"/>
              </w:rPr>
              <w:t>16.73</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8.9%</w:t>
            </w:r>
          </w:p>
        </w:tc>
      </w:tr>
    </w:tbl>
    <w:p>
      <w:pPr>
        <w:spacing w:after="40"/>
      </w:pPr>
    </w:p>
    <w:p>
      <w:pPr>
        <w:spacing w:after="200" w:before="0"/>
      </w:pPr>
      <w:r>
        <w:rPr>
          <w:b w:val="0"/>
          <w:i/>
          <w:color w:val="6E7B77"/>
          <w:sz w:val="17"/>
        </w:rPr>
        <w:t>Table 1 — the four lenses. The bear and bull columns of the weighted row are WEIGHTED with the same 45/20/20/15 weights as the base column. The widest single lens spans EGP 4.74–16.73; that is reported as an ENVELOPE, not as the range of a weighted estimate. The previous edition labelled a row "weighted central" and then took the minimum and maximum across all four lenses, both of which came from the cash-flow lens alone, overstating the published spread by about two and a half times.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football field. The price (red dashed) sits above every lens base and above the top of the weighted range. It falls inside only the cash-flow lens’s bull tail, which is five favourable driver moves at once.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25.5%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6.16  (-37.9%)</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6.56  (-33.8%)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6.39  (-35.6%)</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134.30%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-34.30%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-34.3%,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47,476</w:t>
            </w:r>
          </w:p>
        </w:tc>
        <w:tc>
          <w:tcPr>
            <w:tcW w:type="dxa" w:w="1238"/>
          </w:tcPr>
          <w:p>
            <w:pPr>
              <w:spacing w:after="20"/>
              <w:jc w:val="right"/>
            </w:pPr>
            <w:r>
              <w:rPr>
                <w:color w:val="1C3A36"/>
                <w:sz w:val="17"/>
              </w:rPr>
              <w:t>52,437</w:t>
            </w:r>
          </w:p>
        </w:tc>
        <w:tc>
          <w:tcPr>
            <w:tcW w:type="dxa" w:w="1238"/>
          </w:tcPr>
          <w:p>
            <w:pPr>
              <w:spacing w:after="20"/>
              <w:jc w:val="right"/>
            </w:pPr>
            <w:r>
              <w:rPr>
                <w:color w:val="1C3A36"/>
                <w:sz w:val="17"/>
              </w:rPr>
              <w:t>57,154</w:t>
            </w:r>
          </w:p>
        </w:tc>
        <w:tc>
          <w:tcPr>
            <w:tcW w:type="dxa" w:w="1238"/>
          </w:tcPr>
          <w:p>
            <w:pPr>
              <w:spacing w:after="20"/>
              <w:jc w:val="right"/>
            </w:pPr>
            <w:r>
              <w:rPr>
                <w:color w:val="1C3A36"/>
                <w:sz w:val="17"/>
              </w:rPr>
              <w:t>61,463</w:t>
            </w:r>
          </w:p>
        </w:tc>
        <w:tc>
          <w:tcPr>
            <w:tcW w:type="dxa" w:w="1238"/>
          </w:tcPr>
          <w:p>
            <w:pPr>
              <w:spacing w:after="20"/>
              <w:jc w:val="right"/>
            </w:pPr>
            <w:r>
              <w:rPr>
                <w:color w:val="1C3A36"/>
                <w:sz w:val="17"/>
              </w:rPr>
              <w:t>65,800</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4,980</w:t>
            </w:r>
          </w:p>
        </w:tc>
        <w:tc>
          <w:tcPr>
            <w:tcW w:type="dxa" w:w="1238"/>
            <w:shd w:val="clear" w:color="auto" w:fill="F6F1E6"/>
          </w:tcPr>
          <w:p>
            <w:pPr>
              <w:spacing w:after="20"/>
              <w:jc w:val="right"/>
            </w:pPr>
            <w:r>
              <w:rPr>
                <w:b/>
                <w:color w:val="1C3A36"/>
                <w:sz w:val="17"/>
              </w:rPr>
              <w:t>5,393</w:t>
            </w:r>
          </w:p>
        </w:tc>
        <w:tc>
          <w:tcPr>
            <w:tcW w:type="dxa" w:w="1238"/>
            <w:shd w:val="clear" w:color="auto" w:fill="F6F1E6"/>
          </w:tcPr>
          <w:p>
            <w:pPr>
              <w:spacing w:after="20"/>
              <w:jc w:val="right"/>
            </w:pPr>
            <w:r>
              <w:rPr>
                <w:b/>
                <w:color w:val="1C3A36"/>
                <w:sz w:val="17"/>
              </w:rPr>
              <w:t>5,754</w:t>
            </w:r>
          </w:p>
        </w:tc>
        <w:tc>
          <w:tcPr>
            <w:tcW w:type="dxa" w:w="1238"/>
            <w:shd w:val="clear" w:color="auto" w:fill="F6F1E6"/>
          </w:tcPr>
          <w:p>
            <w:pPr>
              <w:spacing w:after="20"/>
              <w:jc w:val="right"/>
            </w:pPr>
            <w:r>
              <w:rPr>
                <w:b/>
                <w:color w:val="1C3A36"/>
                <w:sz w:val="17"/>
              </w:rPr>
              <w:t>6,048</w:t>
            </w:r>
          </w:p>
        </w:tc>
        <w:tc>
          <w:tcPr>
            <w:tcW w:type="dxa" w:w="1238"/>
            <w:shd w:val="clear" w:color="auto" w:fill="F6F1E6"/>
          </w:tcPr>
          <w:p>
            <w:pPr>
              <w:spacing w:after="20"/>
              <w:jc w:val="right"/>
            </w:pPr>
            <w:r>
              <w:rPr>
                <w:b/>
                <w:color w:val="1C3A36"/>
                <w:sz w:val="17"/>
              </w:rPr>
              <w:t>6,321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9.49%</w:t>
            </w:r>
          </w:p>
        </w:tc>
        <w:tc>
          <w:tcPr>
            <w:tcW w:type="dxa" w:w="1238"/>
          </w:tcPr>
          <w:p>
            <w:pPr>
              <w:spacing w:after="20"/>
              <w:jc w:val="right"/>
            </w:pPr>
            <w:r>
              <w:rPr>
                <w:color w:val="1C3A36"/>
                <w:sz w:val="17"/>
              </w:rPr>
              <w:t>9.32%</w:t>
            </w:r>
          </w:p>
        </w:tc>
        <w:tc>
          <w:tcPr>
            <w:tcW w:type="dxa" w:w="1238"/>
          </w:tcPr>
          <w:p>
            <w:pPr>
              <w:spacing w:after="20"/>
              <w:jc w:val="right"/>
            </w:pPr>
            <w:r>
              <w:rPr>
                <w:color w:val="1C3A36"/>
                <w:sz w:val="17"/>
              </w:rPr>
              <w:t>9.15%</w:t>
            </w:r>
          </w:p>
        </w:tc>
        <w:tc>
          <w:tcPr>
            <w:tcW w:type="dxa" w:w="1238"/>
          </w:tcPr>
          <w:p>
            <w:pPr>
              <w:spacing w:after="20"/>
              <w:jc w:val="right"/>
            </w:pPr>
            <w:r>
              <w:rPr>
                <w:color w:val="1C3A36"/>
                <w:sz w:val="17"/>
              </w:rPr>
              <w:t>8.96%</w:t>
            </w:r>
          </w:p>
        </w:tc>
        <w:tc>
          <w:tcPr>
            <w:tcW w:type="dxa" w:w="1238"/>
          </w:tcPr>
          <w:p>
            <w:pPr>
              <w:spacing w:after="20"/>
              <w:jc w:val="right"/>
            </w:pPr>
            <w:r>
              <w:rPr>
                <w:color w:val="1C3A36"/>
                <w:sz w:val="17"/>
              </w:rPr>
              <w:t>8.76%</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2,990</w:t>
            </w:r>
          </w:p>
        </w:tc>
        <w:tc>
          <w:tcPr>
            <w:tcW w:type="dxa" w:w="1238"/>
          </w:tcPr>
          <w:p>
            <w:pPr>
              <w:spacing w:after="20"/>
              <w:jc w:val="right"/>
            </w:pPr>
            <w:r>
              <w:rPr>
                <w:color w:val="1C3A36"/>
                <w:sz w:val="17"/>
              </w:rPr>
              <w:t>3,143</w:t>
            </w:r>
          </w:p>
        </w:tc>
        <w:tc>
          <w:tcPr>
            <w:tcW w:type="dxa" w:w="1238"/>
          </w:tcPr>
          <w:p>
            <w:pPr>
              <w:spacing w:after="20"/>
              <w:jc w:val="right"/>
            </w:pPr>
            <w:r>
              <w:rPr>
                <w:color w:val="1C3A36"/>
                <w:sz w:val="17"/>
              </w:rPr>
              <w:t>3,245</w:t>
            </w:r>
          </w:p>
        </w:tc>
        <w:tc>
          <w:tcPr>
            <w:tcW w:type="dxa" w:w="1238"/>
          </w:tcPr>
          <w:p>
            <w:pPr>
              <w:spacing w:after="20"/>
              <w:jc w:val="right"/>
            </w:pPr>
            <w:r>
              <w:rPr>
                <w:color w:val="1C3A36"/>
                <w:sz w:val="17"/>
              </w:rPr>
              <w:t>3,289</w:t>
            </w:r>
          </w:p>
        </w:tc>
        <w:tc>
          <w:tcPr>
            <w:tcW w:type="dxa" w:w="1238"/>
          </w:tcPr>
          <w:p>
            <w:pPr>
              <w:spacing w:after="20"/>
              <w:jc w:val="right"/>
            </w:pPr>
            <w:r>
              <w:rPr>
                <w:color w:val="1C3A36"/>
                <w:sz w:val="17"/>
              </w:rPr>
              <w:t>3,300</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2,809</w:t>
            </w:r>
          </w:p>
        </w:tc>
        <w:tc>
          <w:tcPr>
            <w:tcW w:type="dxa" w:w="1238"/>
          </w:tcPr>
          <w:p>
            <w:pPr>
              <w:spacing w:after="20"/>
              <w:jc w:val="right"/>
            </w:pPr>
            <w:r>
              <w:rPr>
                <w:color w:val="1C3A36"/>
                <w:sz w:val="17"/>
              </w:rPr>
              <w:t>2,952</w:t>
            </w:r>
          </w:p>
        </w:tc>
        <w:tc>
          <w:tcPr>
            <w:tcW w:type="dxa" w:w="1238"/>
          </w:tcPr>
          <w:p>
            <w:pPr>
              <w:spacing w:after="20"/>
              <w:jc w:val="right"/>
            </w:pPr>
            <w:r>
              <w:rPr>
                <w:color w:val="1C3A36"/>
                <w:sz w:val="17"/>
              </w:rPr>
              <w:t>3,043</w:t>
            </w:r>
          </w:p>
        </w:tc>
        <w:tc>
          <w:tcPr>
            <w:tcW w:type="dxa" w:w="1238"/>
          </w:tcPr>
          <w:p>
            <w:pPr>
              <w:spacing w:after="20"/>
              <w:jc w:val="right"/>
            </w:pPr>
            <w:r>
              <w:rPr>
                <w:color w:val="1C3A36"/>
                <w:sz w:val="17"/>
              </w:rPr>
              <w:t>3,074</w:t>
            </w:r>
          </w:p>
        </w:tc>
        <w:tc>
          <w:tcPr>
            <w:tcW w:type="dxa" w:w="1238"/>
          </w:tcPr>
          <w:p>
            <w:pPr>
              <w:spacing w:after="20"/>
              <w:jc w:val="right"/>
            </w:pPr>
            <w:r>
              <w:rPr>
                <w:color w:val="1C3A36"/>
                <w:sz w:val="17"/>
              </w:rPr>
              <w:t>3,070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2,063</w:t>
            </w:r>
          </w:p>
        </w:tc>
        <w:tc>
          <w:tcPr>
            <w:tcW w:type="dxa" w:w="1238"/>
          </w:tcPr>
          <w:p>
            <w:pPr>
              <w:spacing w:after="20"/>
              <w:jc w:val="right"/>
            </w:pPr>
            <w:r>
              <w:rPr>
                <w:color w:val="1C3A36"/>
                <w:sz w:val="17"/>
              </w:rPr>
              <w:t>2,168</w:t>
            </w:r>
          </w:p>
        </w:tc>
        <w:tc>
          <w:tcPr>
            <w:tcW w:type="dxa" w:w="1238"/>
          </w:tcPr>
          <w:p>
            <w:pPr>
              <w:spacing w:after="20"/>
              <w:jc w:val="right"/>
            </w:pPr>
            <w:r>
              <w:rPr>
                <w:color w:val="1C3A36"/>
                <w:sz w:val="17"/>
              </w:rPr>
              <w:t>2,235</w:t>
            </w:r>
          </w:p>
        </w:tc>
        <w:tc>
          <w:tcPr>
            <w:tcW w:type="dxa" w:w="1238"/>
          </w:tcPr>
          <w:p>
            <w:pPr>
              <w:spacing w:after="20"/>
              <w:jc w:val="right"/>
            </w:pPr>
            <w:r>
              <w:rPr>
                <w:color w:val="1C3A36"/>
                <w:sz w:val="17"/>
              </w:rPr>
              <w:t>2,257</w:t>
            </w:r>
          </w:p>
        </w:tc>
        <w:tc>
          <w:tcPr>
            <w:tcW w:type="dxa" w:w="1238"/>
          </w:tcPr>
          <w:p>
            <w:pPr>
              <w:spacing w:after="20"/>
              <w:jc w:val="right"/>
            </w:pPr>
            <w:r>
              <w:rPr>
                <w:color w:val="1C3A36"/>
                <w:sz w:val="17"/>
              </w:rPr>
              <w:t>2,255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398</w:t>
            </w:r>
          </w:p>
        </w:tc>
        <w:tc>
          <w:tcPr>
            <w:tcW w:type="dxa" w:w="1238"/>
          </w:tcPr>
          <w:p>
            <w:pPr>
              <w:spacing w:after="20"/>
              <w:jc w:val="right"/>
            </w:pPr>
            <w:r>
              <w:rPr>
                <w:color w:val="1C3A36"/>
                <w:sz w:val="17"/>
              </w:rPr>
              <w:t>390</w:t>
            </w:r>
          </w:p>
        </w:tc>
        <w:tc>
          <w:tcPr>
            <w:tcW w:type="dxa" w:w="1238"/>
          </w:tcPr>
          <w:p>
            <w:pPr>
              <w:spacing w:after="20"/>
              <w:jc w:val="right"/>
            </w:pPr>
            <w:r>
              <w:rPr>
                <w:color w:val="1C3A36"/>
                <w:sz w:val="17"/>
              </w:rPr>
              <w:t>369</w:t>
            </w:r>
          </w:p>
        </w:tc>
        <w:tc>
          <w:tcPr>
            <w:tcW w:type="dxa" w:w="1238"/>
          </w:tcPr>
          <w:p>
            <w:pPr>
              <w:spacing w:after="20"/>
              <w:jc w:val="right"/>
            </w:pPr>
            <w:r>
              <w:rPr>
                <w:color w:val="1C3A36"/>
                <w:sz w:val="17"/>
              </w:rPr>
              <w:t>335</w:t>
            </w:r>
          </w:p>
        </w:tc>
        <w:tc>
          <w:tcPr>
            <w:tcW w:type="dxa" w:w="1238"/>
          </w:tcPr>
          <w:p>
            <w:pPr>
              <w:spacing w:after="20"/>
              <w:jc w:val="right"/>
            </w:pPr>
            <w:r>
              <w:rPr>
                <w:color w:val="1C3A36"/>
                <w:sz w:val="17"/>
              </w:rPr>
              <w:t>336</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1,666</w:t>
            </w:r>
          </w:p>
        </w:tc>
        <w:tc>
          <w:tcPr>
            <w:tcW w:type="dxa" w:w="1238"/>
            <w:shd w:val="clear" w:color="auto" w:fill="F6F1E6"/>
          </w:tcPr>
          <w:p>
            <w:pPr>
              <w:spacing w:after="20"/>
              <w:jc w:val="right"/>
            </w:pPr>
            <w:r>
              <w:rPr>
                <w:b/>
                <w:color w:val="1C3A36"/>
                <w:sz w:val="17"/>
              </w:rPr>
              <w:t>1,767</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1,889</w:t>
            </w:r>
          </w:p>
        </w:tc>
        <w:tc>
          <w:tcPr>
            <w:tcW w:type="dxa" w:w="1238"/>
            <w:shd w:val="clear" w:color="auto" w:fill="F6F1E6"/>
          </w:tcPr>
          <w:p>
            <w:pPr>
              <w:spacing w:after="20"/>
              <w:jc w:val="right"/>
            </w:pPr>
            <w:r>
              <w:rPr>
                <w:b/>
                <w:color w:val="1C3A36"/>
                <w:sz w:val="17"/>
              </w:rPr>
              <w:t>1,876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1,307</w:t>
            </w:r>
          </w:p>
        </w:tc>
        <w:tc>
          <w:tcPr>
            <w:tcW w:type="dxa" w:w="1238"/>
            <w:shd w:val="clear" w:color="auto" w:fill="F6F1E6"/>
          </w:tcPr>
          <w:p>
            <w:pPr>
              <w:spacing w:after="20"/>
              <w:jc w:val="right"/>
            </w:pPr>
            <w:r>
              <w:rPr>
                <w:b/>
                <w:color w:val="1C3A36"/>
                <w:sz w:val="17"/>
              </w:rPr>
              <w:t>1,130</w:t>
            </w:r>
          </w:p>
        </w:tc>
        <w:tc>
          <w:tcPr>
            <w:tcW w:type="dxa" w:w="1238"/>
            <w:shd w:val="clear" w:color="auto" w:fill="F6F1E6"/>
          </w:tcPr>
          <w:p>
            <w:pPr>
              <w:spacing w:after="20"/>
              <w:jc w:val="right"/>
            </w:pPr>
            <w:r>
              <w:rPr>
                <w:b/>
                <w:color w:val="1C3A36"/>
                <w:sz w:val="17"/>
              </w:rPr>
              <w:t>977</w:t>
            </w:r>
          </w:p>
        </w:tc>
        <w:tc>
          <w:tcPr>
            <w:tcW w:type="dxa" w:w="1238"/>
            <w:shd w:val="clear" w:color="auto" w:fill="F6F1E6"/>
          </w:tcPr>
          <w:p>
            <w:pPr>
              <w:spacing w:after="20"/>
              <w:jc w:val="right"/>
            </w:pPr>
            <w:r>
              <w:rPr>
                <w:b/>
                <w:color w:val="1C3A36"/>
                <w:sz w:val="17"/>
              </w:rPr>
              <w:t>841</w:t>
            </w:r>
          </w:p>
        </w:tc>
        <w:tc>
          <w:tcPr>
            <w:tcW w:type="dxa" w:w="1238"/>
            <w:shd w:val="clear" w:color="auto" w:fill="F6F1E6"/>
          </w:tcPr>
          <w:p>
            <w:pPr>
              <w:spacing w:after="20"/>
              <w:jc w:val="right"/>
            </w:pPr>
            <w:r>
              <w:rPr>
                <w:b/>
                <w:color w:val="1C3A36"/>
                <w:sz w:val="17"/>
              </w:rPr>
              <w:t>707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4,962</w:t>
            </w:r>
          </w:p>
        </w:tc>
        <w:tc>
          <w:tcPr>
            <w:tcW w:type="dxa" w:w="1296"/>
          </w:tcPr>
          <w:p>
            <w:pPr>
              <w:spacing w:after="20"/>
              <w:jc w:val="right"/>
            </w:pPr>
            <w:r>
              <w:rPr>
                <w:color w:val="1C3A36"/>
                <w:sz w:val="17"/>
              </w:rPr>
              <w:t>3.84</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5,912</w:t>
            </w:r>
          </w:p>
        </w:tc>
        <w:tc>
          <w:tcPr>
            <w:tcW w:type="dxa" w:w="1296"/>
          </w:tcPr>
          <w:p>
            <w:pPr>
              <w:spacing w:after="20"/>
              <w:jc w:val="right"/>
            </w:pPr>
            <w:r>
              <w:rPr>
                <w:color w:val="1C3A36"/>
                <w:sz w:val="17"/>
              </w:rPr>
              <w:t>4.58</w:t>
            </w:r>
          </w:p>
        </w:tc>
        <w:tc>
          <w:tcPr>
            <w:tcW w:type="dxa" w:w="3600"/>
          </w:tcPr>
          <w:p>
            <w:pPr>
              <w:spacing w:after="20"/>
            </w:pPr>
            <w:r>
              <w:rPr>
                <w:color w:val="1C3A36"/>
                <w:sz w:val="17"/>
              </w:rPr>
              <w:t>54.4%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10,874</w:t>
            </w:r>
          </w:p>
        </w:tc>
        <w:tc>
          <w:tcPr>
            <w:tcW w:type="dxa" w:w="1296"/>
            <w:shd w:val="clear" w:color="auto" w:fill="F6F1E6"/>
          </w:tcPr>
          <w:p>
            <w:pPr>
              <w:spacing w:after="20"/>
              <w:jc w:val="right"/>
            </w:pPr>
            <w:r>
              <w:rPr>
                <w:b/>
                <w:color w:val="1C3A36"/>
                <w:sz w:val="17"/>
              </w:rPr>
              <w:t>8.42</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13,876</w:t>
            </w:r>
          </w:p>
        </w:tc>
        <w:tc>
          <w:tcPr>
            <w:tcW w:type="dxa" w:w="1296"/>
          </w:tcPr>
          <w:p>
            <w:pPr>
              <w:spacing w:after="20"/>
              <w:jc w:val="right"/>
            </w:pPr>
            <w:r>
              <w:rPr>
                <w:color w:val="1C3A36"/>
                <w:sz w:val="17"/>
              </w:rPr>
              <w:t>10.74</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(411)</w:t>
            </w:r>
          </w:p>
        </w:tc>
        <w:tc>
          <w:tcPr>
            <w:tcW w:type="dxa" w:w="1296"/>
          </w:tcPr>
          <w:p>
            <w:pPr>
              <w:spacing w:after="20"/>
              <w:jc w:val="right"/>
            </w:pPr>
            <w:r>
              <w:rPr>
                <w:color w:val="1C3A36"/>
                <w:sz w:val="17"/>
              </w:rPr>
              <w:t>(0.32)</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12,804</w:t>
            </w:r>
          </w:p>
        </w:tc>
        <w:tc>
          <w:tcPr>
            <w:tcW w:type="dxa" w:w="1296"/>
            <w:shd w:val="clear" w:color="auto" w:fill="F6F1E6"/>
          </w:tcPr>
          <w:p>
            <w:pPr>
              <w:spacing w:after="20"/>
              <w:jc w:val="right"/>
            </w:pPr>
            <w:r>
              <w:rPr>
                <w:b/>
                <w:color w:val="1C3A36"/>
                <w:sz w:val="17"/>
              </w:rPr>
              <w:t>9.91</w:t>
            </w:r>
          </w:p>
        </w:tc>
        <w:tc>
          <w:tcPr>
            <w:tcW w:type="dxa" w:w="3600"/>
            <w:shd w:val="clear" w:color="auto" w:fill="F6F1E6"/>
          </w:tcPr>
          <w:p>
            <w:pPr>
              <w:spacing w:after="20"/>
            </w:pPr>
            <w:r>
              <w:rPr>
                <w:b/>
                <w:color w:val="1C3A36"/>
                <w:sz w:val="17"/>
              </w:rPr>
              <w:t>against a price of 9.10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0.83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25.4%.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25.4% return, the terminal block reinvests 27.6% of profit. That is ABOVE the final explicit year’s 16.8%, so the terminal block is funded rather than flattered — a step of +10.77%, disclosed here because it RAISES nothing and a reader is entitled to see it either way. Terminal value carries 54.4%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6.81%; the four-period average implies far less. The terminal growth sensitivity in section 1.11 shows why the choice barely matters here: because the reinvestment identity FUNDS growth before crediting it, the value moves only from EGP 9.28 at 3% to 9.91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7.54</w:t>
            </w:r>
          </w:p>
        </w:tc>
        <w:tc>
          <w:tcPr>
            <w:tcW w:type="dxa" w:w="1080"/>
          </w:tcPr>
          <w:p>
            <w:pPr>
              <w:spacing w:after="20"/>
              <w:jc w:val="right"/>
            </w:pPr>
            <w:r>
              <w:rPr>
                <w:color w:val="1C3A36"/>
                <w:sz w:val="17"/>
              </w:rPr>
              <w:t>8.73</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11.10</w:t>
            </w:r>
          </w:p>
        </w:tc>
        <w:tc>
          <w:tcPr>
            <w:tcW w:type="dxa" w:w="1080"/>
          </w:tcPr>
          <w:p>
            <w:pPr>
              <w:spacing w:after="20"/>
              <w:jc w:val="right"/>
            </w:pPr>
            <w:r>
              <w:rPr>
                <w:color w:val="1C3A36"/>
                <w:sz w:val="17"/>
              </w:rPr>
              <w:t>12.29</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6.33</w:t>
            </w:r>
          </w:p>
        </w:tc>
        <w:tc>
          <w:tcPr>
            <w:tcW w:type="dxa" w:w="1080"/>
          </w:tcPr>
          <w:p>
            <w:pPr>
              <w:spacing w:after="20"/>
              <w:jc w:val="right"/>
            </w:pPr>
            <w:r>
              <w:rPr>
                <w:color w:val="1C3A36"/>
                <w:sz w:val="17"/>
              </w:rPr>
              <w:t>8.02</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11.55</w:t>
            </w:r>
          </w:p>
        </w:tc>
        <w:tc>
          <w:tcPr>
            <w:tcW w:type="dxa" w:w="1080"/>
          </w:tcPr>
          <w:p>
            <w:pPr>
              <w:spacing w:after="20"/>
              <w:jc w:val="right"/>
            </w:pPr>
            <w:r>
              <w:rPr>
                <w:color w:val="1C3A36"/>
                <w:sz w:val="17"/>
              </w:rPr>
              <w:t>13.35</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8.62</w:t>
            </w:r>
          </w:p>
        </w:tc>
        <w:tc>
          <w:tcPr>
            <w:tcW w:type="dxa" w:w="1080"/>
          </w:tcPr>
          <w:p>
            <w:pPr>
              <w:spacing w:after="20"/>
              <w:jc w:val="right"/>
            </w:pPr>
            <w:r>
              <w:rPr>
                <w:color w:val="1C3A36"/>
                <w:sz w:val="17"/>
              </w:rPr>
              <w:t>9.26</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10.57</w:t>
            </w:r>
          </w:p>
        </w:tc>
        <w:tc>
          <w:tcPr>
            <w:tcW w:type="dxa" w:w="1080"/>
          </w:tcPr>
          <w:p>
            <w:pPr>
              <w:spacing w:after="20"/>
              <w:jc w:val="right"/>
            </w:pPr>
            <w:r>
              <w:rPr>
                <w:color w:val="1C3A36"/>
                <w:sz w:val="17"/>
              </w:rPr>
              <w:t>11.24</w:t>
            </w:r>
          </w:p>
        </w:tc>
      </w:tr>
      <w:tr>
        <w:tc>
          <w:tcPr>
            <w:tcW w:type="dxa" w:w="4104"/>
          </w:tcPr>
          <w:p>
            <w:pPr>
              <w:spacing w:after="20"/>
            </w:pPr>
            <w:r>
              <w:rPr>
                <w:color w:val="1C3A36"/>
                <w:sz w:val="17"/>
              </w:rPr>
              <w:t>Beta</w:t>
            </w:r>
          </w:p>
        </w:tc>
        <w:tc>
          <w:tcPr>
            <w:tcW w:type="dxa" w:w="1080"/>
          </w:tcPr>
          <w:p>
            <w:pPr>
              <w:spacing w:after="20"/>
              <w:jc w:val="right"/>
            </w:pPr>
            <w:r>
              <w:rPr>
                <w:color w:val="1C3A36"/>
                <w:sz w:val="17"/>
              </w:rPr>
              <w:t>11.60</w:t>
            </w:r>
          </w:p>
        </w:tc>
        <w:tc>
          <w:tcPr>
            <w:tcW w:type="dxa" w:w="1080"/>
          </w:tcPr>
          <w:p>
            <w:pPr>
              <w:spacing w:after="20"/>
              <w:jc w:val="right"/>
            </w:pPr>
            <w:r>
              <w:rPr>
                <w:color w:val="1C3A36"/>
                <w:sz w:val="17"/>
              </w:rPr>
              <w:t>10.43</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8.95</w:t>
            </w:r>
          </w:p>
        </w:tc>
        <w:tc>
          <w:tcPr>
            <w:tcW w:type="dxa" w:w="1080"/>
          </w:tcPr>
          <w:p>
            <w:pPr>
              <w:spacing w:after="20"/>
              <w:jc w:val="right"/>
            </w:pPr>
            <w:r>
              <w:rPr>
                <w:color w:val="1C3A36"/>
                <w:sz w:val="17"/>
              </w:rPr>
              <w:t>8.46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11.77</w:t>
            </w:r>
          </w:p>
        </w:tc>
        <w:tc>
          <w:tcPr>
            <w:tcW w:type="dxa" w:w="1080"/>
          </w:tcPr>
          <w:p>
            <w:pPr>
              <w:spacing w:after="20"/>
              <w:jc w:val="right"/>
            </w:pPr>
            <w:r>
              <w:rPr>
                <w:color w:val="1C3A36"/>
                <w:sz w:val="17"/>
              </w:rPr>
              <w:t>10.84</w:t>
            </w:r>
          </w:p>
        </w:tc>
        <w:tc>
          <w:tcPr>
            <w:tcW w:type="dxa" w:w="1080"/>
          </w:tcPr>
          <w:p>
            <w:pPr>
              <w:spacing w:after="20"/>
              <w:jc w:val="right"/>
            </w:pPr>
            <w:r>
              <w:rPr>
                <w:color w:val="1C3A36"/>
                <w:sz w:val="17"/>
              </w:rPr>
              <w:t>9.91</w:t>
            </w:r>
          </w:p>
        </w:tc>
        <w:tc>
          <w:tcPr>
            <w:tcW w:type="dxa" w:w="1080"/>
          </w:tcPr>
          <w:p>
            <w:pPr>
              <w:spacing w:after="20"/>
              <w:jc w:val="right"/>
            </w:pPr>
            <w:r>
              <w:rPr>
                <w:color w:val="1C3A36"/>
                <w:sz w:val="17"/>
              </w:rPr>
              <w:t>8.99</w:t>
            </w:r>
          </w:p>
        </w:tc>
        <w:tc>
          <w:tcPr>
            <w:tcW w:type="dxa" w:w="1080"/>
          </w:tcPr>
          <w:p>
            <w:pPr>
              <w:spacing w:after="20"/>
              <w:jc w:val="right"/>
            </w:pPr>
            <w:r>
              <w:rPr>
                <w:color w:val="1C3A36"/>
                <w:sz w:val="17"/>
              </w:rPr>
              <w:t>8.06</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9.28</w:t>
            </w:r>
          </w:p>
        </w:tc>
        <w:tc>
          <w:tcPr>
            <w:tcW w:type="dxa" w:w="1080"/>
          </w:tcPr>
          <w:p>
            <w:pPr>
              <w:spacing w:after="20"/>
              <w:jc w:val="right"/>
            </w:pPr>
            <w:r>
              <w:rPr>
                <w:color w:val="1C3A36"/>
                <w:sz w:val="17"/>
              </w:rPr>
              <w:t>9.41</w:t>
            </w:r>
          </w:p>
        </w:tc>
        <w:tc>
          <w:tcPr>
            <w:tcW w:type="dxa" w:w="1080"/>
          </w:tcPr>
          <w:p>
            <w:pPr>
              <w:spacing w:after="20"/>
              <w:jc w:val="right"/>
            </w:pPr>
            <w:r>
              <w:rPr>
                <w:color w:val="1C3A36"/>
                <w:sz w:val="17"/>
              </w:rPr>
              <w:t>9.55</w:t>
            </w:r>
          </w:p>
        </w:tc>
        <w:tc>
          <w:tcPr>
            <w:tcW w:type="dxa" w:w="1080"/>
          </w:tcPr>
          <w:p>
            <w:pPr>
              <w:spacing w:after="20"/>
              <w:jc w:val="right"/>
            </w:pPr>
            <w:r>
              <w:rPr>
                <w:color w:val="1C3A36"/>
                <w:sz w:val="17"/>
              </w:rPr>
              <w:t>9.72</w:t>
            </w:r>
          </w:p>
        </w:tc>
        <w:tc>
          <w:tcPr>
            <w:tcW w:type="dxa" w:w="1080"/>
          </w:tcPr>
          <w:p>
            <w:pPr>
              <w:spacing w:after="20"/>
              <w:jc w:val="right"/>
            </w:pPr>
            <w:r>
              <w:rPr>
                <w:color w:val="1C3A36"/>
                <w:sz w:val="17"/>
              </w:rPr>
              <w:t>9.91</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1.19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10.18</w:t>
            </w:r>
          </w:p>
        </w:tc>
        <w:tc>
          <w:tcPr>
            <w:tcW w:type="dxa" w:w="1224"/>
          </w:tcPr>
          <w:p>
            <w:pPr>
              <w:spacing w:after="20"/>
              <w:jc w:val="right"/>
            </w:pPr>
            <w:r>
              <w:rPr>
                <w:color w:val="1C3A36"/>
                <w:sz w:val="17"/>
              </w:rPr>
              <w:t>10.38</w:t>
            </w:r>
          </w:p>
        </w:tc>
        <w:tc>
          <w:tcPr>
            <w:tcW w:type="dxa" w:w="1224"/>
          </w:tcPr>
          <w:p>
            <w:pPr>
              <w:spacing w:after="20"/>
              <w:jc w:val="right"/>
            </w:pPr>
            <w:r>
              <w:rPr>
                <w:color w:val="1C3A36"/>
                <w:sz w:val="17"/>
              </w:rPr>
              <w:t>10.62</w:t>
            </w:r>
          </w:p>
        </w:tc>
        <w:tc>
          <w:tcPr>
            <w:tcW w:type="dxa" w:w="1224"/>
          </w:tcPr>
          <w:p>
            <w:pPr>
              <w:spacing w:after="20"/>
              <w:jc w:val="right"/>
            </w:pPr>
            <w:r>
              <w:rPr>
                <w:color w:val="1C3A36"/>
                <w:sz w:val="17"/>
              </w:rPr>
              <w:t>10.90</w:t>
            </w:r>
          </w:p>
        </w:tc>
        <w:tc>
          <w:tcPr>
            <w:tcW w:type="dxa" w:w="1224"/>
          </w:tcPr>
          <w:p>
            <w:pPr>
              <w:spacing w:after="20"/>
              <w:jc w:val="right"/>
            </w:pPr>
            <w:r>
              <w:rPr>
                <w:color w:val="1C3A36"/>
                <w:sz w:val="17"/>
              </w:rPr>
              <w:t>11.25</w:t>
            </w:r>
          </w:p>
        </w:tc>
      </w:tr>
      <w:tr>
        <w:tc>
          <w:tcPr>
            <w:tcW w:type="dxa" w:w="3384"/>
          </w:tcPr>
          <w:p>
            <w:pPr>
              <w:spacing w:after="20"/>
            </w:pPr>
            <w:r>
              <w:rPr>
                <w:color w:val="1C3A36"/>
                <w:sz w:val="17"/>
              </w:rPr>
              <w:t>17.14%</w:t>
            </w:r>
          </w:p>
        </w:tc>
        <w:tc>
          <w:tcPr>
            <w:tcW w:type="dxa" w:w="1224"/>
          </w:tcPr>
          <w:p>
            <w:pPr>
              <w:spacing w:after="20"/>
              <w:jc w:val="right"/>
            </w:pPr>
            <w:r>
              <w:rPr>
                <w:color w:val="1C3A36"/>
                <w:sz w:val="17"/>
              </w:rPr>
              <w:t>9.70</w:t>
            </w:r>
          </w:p>
        </w:tc>
        <w:tc>
          <w:tcPr>
            <w:tcW w:type="dxa" w:w="1224"/>
          </w:tcPr>
          <w:p>
            <w:pPr>
              <w:spacing w:after="20"/>
              <w:jc w:val="right"/>
            </w:pPr>
            <w:r>
              <w:rPr>
                <w:color w:val="1C3A36"/>
                <w:sz w:val="17"/>
              </w:rPr>
              <w:t>9.86</w:t>
            </w:r>
          </w:p>
        </w:tc>
        <w:tc>
          <w:tcPr>
            <w:tcW w:type="dxa" w:w="1224"/>
          </w:tcPr>
          <w:p>
            <w:pPr>
              <w:spacing w:after="20"/>
              <w:jc w:val="right"/>
            </w:pPr>
            <w:r>
              <w:rPr>
                <w:color w:val="1C3A36"/>
                <w:sz w:val="17"/>
              </w:rPr>
              <w:t>10.04</w:t>
            </w:r>
          </w:p>
        </w:tc>
        <w:tc>
          <w:tcPr>
            <w:tcW w:type="dxa" w:w="1224"/>
          </w:tcPr>
          <w:p>
            <w:pPr>
              <w:spacing w:after="20"/>
              <w:jc w:val="right"/>
            </w:pPr>
            <w:r>
              <w:rPr>
                <w:color w:val="1C3A36"/>
                <w:sz w:val="17"/>
              </w:rPr>
              <w:t>10.26</w:t>
            </w:r>
          </w:p>
        </w:tc>
        <w:tc>
          <w:tcPr>
            <w:tcW w:type="dxa" w:w="1224"/>
          </w:tcPr>
          <w:p>
            <w:pPr>
              <w:spacing w:after="20"/>
              <w:jc w:val="right"/>
            </w:pPr>
            <w:r>
              <w:rPr>
                <w:color w:val="1C3A36"/>
                <w:sz w:val="17"/>
              </w:rPr>
              <w:t>10.52</w:t>
            </w:r>
          </w:p>
        </w:tc>
      </w:tr>
      <w:tr>
        <w:tc>
          <w:tcPr>
            <w:tcW w:type="dxa" w:w="3384"/>
          </w:tcPr>
          <w:p>
            <w:pPr>
              <w:spacing w:after="20"/>
            </w:pPr>
            <w:r>
              <w:rPr>
                <w:color w:val="1C3A36"/>
                <w:sz w:val="17"/>
              </w:rPr>
              <w:t>18.14%</w:t>
            </w:r>
          </w:p>
        </w:tc>
        <w:tc>
          <w:tcPr>
            <w:tcW w:type="dxa" w:w="1224"/>
          </w:tcPr>
          <w:p>
            <w:pPr>
              <w:spacing w:after="20"/>
              <w:jc w:val="right"/>
            </w:pPr>
            <w:r>
              <w:rPr>
                <w:color w:val="1C3A36"/>
                <w:sz w:val="17"/>
              </w:rPr>
              <w:t>9.28</w:t>
            </w:r>
          </w:p>
        </w:tc>
        <w:tc>
          <w:tcPr>
            <w:tcW w:type="dxa" w:w="1224"/>
          </w:tcPr>
          <w:p>
            <w:pPr>
              <w:spacing w:after="20"/>
              <w:jc w:val="right"/>
            </w:pPr>
            <w:r>
              <w:rPr>
                <w:color w:val="1C3A36"/>
                <w:sz w:val="17"/>
              </w:rPr>
              <w:t>9.41</w:t>
            </w:r>
          </w:p>
        </w:tc>
        <w:tc>
          <w:tcPr>
            <w:tcW w:type="dxa" w:w="1224"/>
          </w:tcPr>
          <w:p>
            <w:pPr>
              <w:spacing w:after="20"/>
              <w:jc w:val="right"/>
            </w:pPr>
            <w:r>
              <w:rPr>
                <w:color w:val="1C3A36"/>
                <w:sz w:val="17"/>
              </w:rPr>
              <w:t>9.55</w:t>
            </w:r>
          </w:p>
        </w:tc>
        <w:tc>
          <w:tcPr>
            <w:tcW w:type="dxa" w:w="1224"/>
          </w:tcPr>
          <w:p>
            <w:pPr>
              <w:spacing w:after="20"/>
              <w:jc w:val="right"/>
            </w:pPr>
            <w:r>
              <w:rPr>
                <w:color w:val="1C3A36"/>
                <w:sz w:val="17"/>
              </w:rPr>
              <w:t>9.72</w:t>
            </w:r>
          </w:p>
        </w:tc>
        <w:tc>
          <w:tcPr>
            <w:tcW w:type="dxa" w:w="1224"/>
          </w:tcPr>
          <w:p>
            <w:pPr>
              <w:spacing w:after="20"/>
              <w:jc w:val="right"/>
            </w:pPr>
            <w:r>
              <w:rPr>
                <w:color w:val="1C3A36"/>
                <w:sz w:val="17"/>
              </w:rPr>
              <w:t>9.91</w:t>
            </w:r>
          </w:p>
        </w:tc>
      </w:tr>
      <w:tr>
        <w:tc>
          <w:tcPr>
            <w:tcW w:type="dxa" w:w="3384"/>
          </w:tcPr>
          <w:p>
            <w:pPr>
              <w:spacing w:after="20"/>
            </w:pPr>
            <w:r>
              <w:rPr>
                <w:color w:val="1C3A36"/>
                <w:sz w:val="17"/>
              </w:rPr>
              <w:t>19.14%</w:t>
            </w:r>
          </w:p>
        </w:tc>
        <w:tc>
          <w:tcPr>
            <w:tcW w:type="dxa" w:w="1224"/>
          </w:tcPr>
          <w:p>
            <w:pPr>
              <w:spacing w:after="20"/>
              <w:jc w:val="right"/>
            </w:pPr>
            <w:r>
              <w:rPr>
                <w:color w:val="1C3A36"/>
                <w:sz w:val="17"/>
              </w:rPr>
              <w:t>8.92</w:t>
            </w:r>
          </w:p>
        </w:tc>
        <w:tc>
          <w:tcPr>
            <w:tcW w:type="dxa" w:w="1224"/>
          </w:tcPr>
          <w:p>
            <w:pPr>
              <w:spacing w:after="20"/>
              <w:jc w:val="right"/>
            </w:pPr>
            <w:r>
              <w:rPr>
                <w:color w:val="1C3A36"/>
                <w:sz w:val="17"/>
              </w:rPr>
              <w:t>9.02</w:t>
            </w:r>
          </w:p>
        </w:tc>
        <w:tc>
          <w:tcPr>
            <w:tcW w:type="dxa" w:w="1224"/>
          </w:tcPr>
          <w:p>
            <w:pPr>
              <w:spacing w:after="20"/>
              <w:jc w:val="right"/>
            </w:pPr>
            <w:r>
              <w:rPr>
                <w:color w:val="1C3A36"/>
                <w:sz w:val="17"/>
              </w:rPr>
              <w:t>9.13</w:t>
            </w:r>
          </w:p>
        </w:tc>
        <w:tc>
          <w:tcPr>
            <w:tcW w:type="dxa" w:w="1224"/>
          </w:tcPr>
          <w:p>
            <w:pPr>
              <w:spacing w:after="20"/>
              <w:jc w:val="right"/>
            </w:pPr>
            <w:r>
              <w:rPr>
                <w:color w:val="1C3A36"/>
                <w:sz w:val="17"/>
              </w:rPr>
              <w:t>9.26</w:t>
            </w:r>
          </w:p>
        </w:tc>
        <w:tc>
          <w:tcPr>
            <w:tcW w:type="dxa" w:w="1224"/>
          </w:tcPr>
          <w:p>
            <w:pPr>
              <w:spacing w:after="20"/>
              <w:jc w:val="right"/>
            </w:pPr>
            <w:r>
              <w:rPr>
                <w:color w:val="1C3A36"/>
                <w:sz w:val="17"/>
              </w:rPr>
              <w:t>9.41</w:t>
            </w:r>
          </w:p>
        </w:tc>
      </w:tr>
      <w:tr>
        <w:tc>
          <w:tcPr>
            <w:tcW w:type="dxa" w:w="3384"/>
          </w:tcPr>
          <w:p>
            <w:pPr>
              <w:spacing w:after="20"/>
            </w:pPr>
            <w:r>
              <w:rPr>
                <w:color w:val="1C3A36"/>
                <w:sz w:val="17"/>
              </w:rPr>
              <w:t>20.14%</w:t>
            </w:r>
          </w:p>
        </w:tc>
        <w:tc>
          <w:tcPr>
            <w:tcW w:type="dxa" w:w="1224"/>
          </w:tcPr>
          <w:p>
            <w:pPr>
              <w:spacing w:after="20"/>
              <w:jc w:val="right"/>
            </w:pPr>
            <w:r>
              <w:rPr>
                <w:color w:val="1C3A36"/>
                <w:sz w:val="17"/>
              </w:rPr>
              <w:t>8.60</w:t>
            </w:r>
          </w:p>
        </w:tc>
        <w:tc>
          <w:tcPr>
            <w:tcW w:type="dxa" w:w="1224"/>
          </w:tcPr>
          <w:p>
            <w:pPr>
              <w:spacing w:after="20"/>
              <w:jc w:val="right"/>
            </w:pPr>
            <w:r>
              <w:rPr>
                <w:color w:val="1C3A36"/>
                <w:sz w:val="17"/>
              </w:rPr>
              <w:t>8.67</w:t>
            </w:r>
          </w:p>
        </w:tc>
        <w:tc>
          <w:tcPr>
            <w:tcW w:type="dxa" w:w="1224"/>
          </w:tcPr>
          <w:p>
            <w:pPr>
              <w:spacing w:after="20"/>
              <w:jc w:val="right"/>
            </w:pPr>
            <w:r>
              <w:rPr>
                <w:color w:val="1C3A36"/>
                <w:sz w:val="17"/>
              </w:rPr>
              <w:t>8.76</w:t>
            </w:r>
          </w:p>
        </w:tc>
        <w:tc>
          <w:tcPr>
            <w:tcW w:type="dxa" w:w="1224"/>
          </w:tcPr>
          <w:p>
            <w:pPr>
              <w:spacing w:after="20"/>
              <w:jc w:val="right"/>
            </w:pPr>
            <w:r>
              <w:rPr>
                <w:color w:val="1C3A36"/>
                <w:sz w:val="17"/>
              </w:rPr>
              <w:t>8.86</w:t>
            </w:r>
          </w:p>
        </w:tc>
        <w:tc>
          <w:tcPr>
            <w:tcW w:type="dxa" w:w="1224"/>
          </w:tcPr>
          <w:p>
            <w:pPr>
              <w:spacing w:after="20"/>
              <w:jc w:val="right"/>
            </w:pPr>
            <w:r>
              <w:rPr>
                <w:color w:val="1C3A36"/>
                <w:sz w:val="17"/>
              </w:rPr>
              <w:t>8.98</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are not a single lever moved twice — they are FIVE drivers moved together, which is why they are much wider than any single row in Table 15. They are joint-worst and joint-best cases and no probability attaches to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1.0%</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0.97x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1.03x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2.0%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-2.0%</w:t>
            </w:r>
          </w:p>
        </w:tc>
      </w:tr>
      <w:tr>
        <w:tc>
          <w:tcPr>
            <w:tcW w:type="dxa" w:w="4392"/>
          </w:tcPr>
          <w:p>
            <w:pPr>
              <w:spacing w:after="20"/>
            </w:pPr>
            <w:r>
              <w:rPr>
                <w:color w:val="1C3A36"/>
                <w:sz w:val="17"/>
              </w:rPr>
              <w:t>Terminal growth rate</w:t>
            </w:r>
          </w:p>
        </w:tc>
        <w:tc>
          <w:tcPr>
            <w:tcW w:type="dxa" w:w="1512"/>
          </w:tcPr>
          <w:p>
            <w:pPr>
              <w:spacing w:after="20"/>
              <w:jc w:val="right"/>
            </w:pPr>
            <w:r>
              <w:rPr>
                <w:color w:val="1C3A36"/>
                <w:sz w:val="17"/>
              </w:rPr>
              <w:t>3.0%</w:t>
            </w:r>
          </w:p>
        </w:tc>
        <w:tc>
          <w:tcPr>
            <w:tcW w:type="dxa" w:w="1512"/>
          </w:tcPr>
          <w:p>
            <w:pPr>
              <w:spacing w:after="20"/>
              <w:jc w:val="right"/>
            </w:pPr>
            <w:r>
              <w:rPr>
                <w:color w:val="1C3A36"/>
                <w:sz w:val="17"/>
              </w:rPr>
              <w:t>7%</w:t>
            </w:r>
          </w:p>
        </w:tc>
        <w:tc>
          <w:tcPr>
            <w:tcW w:type="dxa" w:w="1512"/>
          </w:tcPr>
          <w:p>
            <w:pPr>
              <w:spacing w:after="20"/>
              <w:jc w:val="right"/>
            </w:pPr>
            <w:r>
              <w:rPr>
                <w:color w:val="1C3A36"/>
                <w:sz w:val="17"/>
              </w:rPr>
              <w:t>6.0%</w:t>
            </w:r>
          </w:p>
        </w:tc>
      </w:tr>
      <w:tr>
        <w:tc>
          <w:tcPr>
            <w:tcW w:type="dxa" w:w="4392"/>
            <w:shd w:val="clear" w:color="auto" w:fill="F6F1E6"/>
          </w:tcPr>
          <w:p>
            <w:pPr>
              <w:spacing w:after="20"/>
            </w:pPr>
            <w:r>
              <w:rPr>
                <w:b/>
                <w:color w:val="1C3A36"/>
                <w:sz w:val="17"/>
              </w:rPr>
              <w:t>RESULTING FAIR VALUE, cash-flow lens</w:t>
            </w:r>
          </w:p>
        </w:tc>
        <w:tc>
          <w:tcPr>
            <w:tcW w:type="dxa" w:w="1512"/>
            <w:shd w:val="clear" w:color="auto" w:fill="F6F1E6"/>
          </w:tcPr>
          <w:p>
            <w:pPr>
              <w:spacing w:after="20"/>
              <w:jc w:val="right"/>
            </w:pPr>
            <w:r>
              <w:rPr>
                <w:b/>
                <w:color w:val="1C3A36"/>
                <w:sz w:val="17"/>
              </w:rPr>
              <w:t>4.93</w:t>
            </w:r>
          </w:p>
        </w:tc>
        <w:tc>
          <w:tcPr>
            <w:tcW w:type="dxa" w:w="1512"/>
            <w:shd w:val="clear" w:color="auto" w:fill="F6F1E6"/>
          </w:tcPr>
          <w:p>
            <w:pPr>
              <w:spacing w:after="20"/>
              <w:jc w:val="right"/>
            </w:pPr>
            <w:r>
              <w:rPr>
                <w:b/>
                <w:color w:val="1C3A36"/>
                <w:sz w:val="17"/>
              </w:rPr>
              <w:t>9.91</w:t>
            </w:r>
          </w:p>
        </w:tc>
        <w:tc>
          <w:tcPr>
            <w:tcW w:type="dxa" w:w="1512"/>
            <w:shd w:val="clear" w:color="auto" w:fill="F6F1E6"/>
          </w:tcPr>
          <w:p>
            <w:pPr>
              <w:spacing w:after="20"/>
              <w:jc w:val="right"/>
            </w:pPr>
            <w:r>
              <w:rPr>
                <w:b/>
                <w:color w:val="1C3A36"/>
                <w:sz w:val="17"/>
              </w:rPr>
              <w:t>16.73</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2.97 times enterprise value to EBITDA and 7.1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2.97 times TRAILING EBITDA through the same bridge: EGP 8.32.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1.679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8.39.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-34.6%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-27.9%</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6.39</w:t>
            </w:r>
          </w:p>
        </w:tc>
        <w:tc>
          <w:tcPr>
            <w:tcW w:type="dxa" w:w="1224"/>
          </w:tcPr>
          <w:p>
            <w:pPr>
              <w:spacing w:after="20"/>
              <w:jc w:val="right"/>
            </w:pPr>
            <w:r>
              <w:rPr>
                <w:color w:val="1C3A36"/>
                <w:sz w:val="17"/>
              </w:rPr>
              <w:t>-29.8%</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6.16</w:t>
            </w:r>
          </w:p>
        </w:tc>
        <w:tc>
          <w:tcPr>
            <w:tcW w:type="dxa" w:w="1224"/>
          </w:tcPr>
          <w:p>
            <w:pPr>
              <w:spacing w:after="20"/>
              <w:jc w:val="right"/>
            </w:pPr>
            <w:r>
              <w:rPr>
                <w:color w:val="1C3A36"/>
                <w:sz w:val="17"/>
              </w:rPr>
              <w:t>-32.3%</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6.19</w:t>
            </w:r>
          </w:p>
        </w:tc>
        <w:tc>
          <w:tcPr>
            <w:tcW w:type="dxa" w:w="1224"/>
          </w:tcPr>
          <w:p>
            <w:pPr>
              <w:spacing w:after="20"/>
              <w:jc w:val="right"/>
            </w:pPr>
            <w:r>
              <w:rPr>
                <w:color w:val="1C3A36"/>
                <w:sz w:val="17"/>
              </w:rPr>
              <w:t>-32.0%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5.97</w:t>
            </w:r>
          </w:p>
        </w:tc>
        <w:tc>
          <w:tcPr>
            <w:tcW w:type="dxa" w:w="1224"/>
          </w:tcPr>
          <w:p>
            <w:pPr>
              <w:spacing w:after="20"/>
              <w:jc w:val="right"/>
            </w:pPr>
            <w:r>
              <w:rPr>
                <w:color w:val="1C3A36"/>
                <w:sz w:val="17"/>
              </w:rPr>
              <w:t>-34.4%</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7.47</w:t>
            </w:r>
          </w:p>
        </w:tc>
        <w:tc>
          <w:tcPr>
            <w:tcW w:type="dxa" w:w="1224"/>
            <w:shd w:val="clear" w:color="auto" w:fill="F6F1E6"/>
          </w:tcPr>
          <w:p>
            <w:pPr>
              <w:spacing w:after="20"/>
              <w:jc w:val="right"/>
            </w:pPr>
            <w:r>
              <w:rPr>
                <w:b/>
                <w:color w:val="1C3A36"/>
                <w:sz w:val="17"/>
              </w:rPr>
              <w:t>-17.9%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17.9%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8.00;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10.21.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9.10 a share on any internally consistent arithmetic this study can construct.</w:t>
      </w:r>
    </w:p>
    <w:p>
      <w:pPr>
        <w:spacing w:after="80" w:before="200"/>
      </w:pPr>
      <w:r>
        <w:rPr>
          <w:b/>
          <w:i w:val="0"/>
          <w:color w:val="1C3A36"/>
          <w:sz w:val="24"/>
        </w:rPr>
        <w:t>1.14  What a buyer at EGP 9.10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9.31% sustained in EVERY forecast year and in perpetuity, against a base year of 9.65% — that is a REDUCTION of 0.34%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9.31%.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9.10</w:t>
            </w:r>
          </w:p>
        </w:tc>
        <w:tc>
          <w:tcPr>
            <w:tcW w:type="dxa" w:w="2376"/>
          </w:tcPr>
          <w:p>
            <w:pPr>
              <w:spacing w:after="20"/>
              <w:jc w:val="right"/>
            </w:pPr>
            <w:r>
              <w:rPr>
                <w:color w:val="1C3A36"/>
                <w:sz w:val="17"/>
              </w:rPr>
              <w:t>100.0%</w:t>
            </w:r>
          </w:p>
        </w:tc>
        <w:tc>
          <w:tcPr>
            <w:tcW w:type="dxa" w:w="2376"/>
          </w:tcPr>
          <w:p>
            <w:pPr>
              <w:spacing w:after="20"/>
              <w:jc w:val="right"/>
            </w:pPr>
            <w:r>
              <w:rPr>
                <w:color w:val="1C3A36"/>
                <w:sz w:val="17"/>
              </w:rPr>
              <w:t>100.0%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9.91</w:t>
            </w:r>
          </w:p>
        </w:tc>
        <w:tc>
          <w:tcPr>
            <w:tcW w:type="dxa" w:w="2376"/>
          </w:tcPr>
          <w:p>
            <w:pPr>
              <w:spacing w:after="20"/>
              <w:jc w:val="right"/>
            </w:pPr>
            <w:r>
              <w:rPr>
                <w:color w:val="1C3A36"/>
                <w:sz w:val="17"/>
              </w:rPr>
              <w:t>46.3%</w:t>
            </w:r>
          </w:p>
        </w:tc>
        <w:tc>
          <w:tcPr>
            <w:tcW w:type="dxa" w:w="2376"/>
          </w:tcPr>
          <w:p>
            <w:pPr>
              <w:spacing w:after="20"/>
              <w:jc w:val="right"/>
            </w:pPr>
            <w:r>
              <w:rPr>
                <w:color w:val="1C3A36"/>
                <w:sz w:val="17"/>
              </w:rPr>
              <w:t>69.0%</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weighted fair value</w:t>
            </w:r>
          </w:p>
        </w:tc>
        <w:tc>
          <w:tcPr>
            <w:tcW w:type="dxa" w:w="3456"/>
          </w:tcPr>
          <w:p>
            <w:pPr>
              <w:spacing w:after="20"/>
            </w:pPr>
            <w:r>
              <w:rPr>
                <w:color w:val="1C3A36"/>
                <w:sz w:val="17"/>
              </w:rPr>
              <w:t>EGP 9.91  (range 4.93–16.73)</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9.10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1.19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fair value (under EGP 9.91)</w:t>
            </w:r>
          </w:p>
        </w:tc>
        <w:tc>
          <w:tcPr>
            <w:tcW w:type="dxa" w:w="2736"/>
          </w:tcPr>
          <w:p>
            <w:pPr>
              <w:spacing w:after="20"/>
              <w:jc w:val="right"/>
            </w:pPr>
            <w:r>
              <w:rPr>
                <w:color w:val="1C3A36"/>
                <w:sz w:val="18"/>
              </w:rPr>
              <w:t>63.8%</w:t>
            </w:r>
          </w:p>
        </w:tc>
      </w:tr>
      <w:tr>
        <w:tc>
          <w:tcPr>
            <w:tcW w:type="dxa" w:w="6048"/>
          </w:tcPr>
          <w:p>
            <w:pPr>
              <w:spacing w:after="20"/>
            </w:pPr>
            <w:r>
              <w:rPr>
                <w:color w:val="1C3A36"/>
                <w:sz w:val="18"/>
              </w:rPr>
              <w:t>EGP 9.91 to 7.50</w:t>
            </w:r>
          </w:p>
        </w:tc>
        <w:tc>
          <w:tcPr>
            <w:tcW w:type="dxa" w:w="2736"/>
          </w:tcPr>
          <w:p>
            <w:pPr>
              <w:spacing w:after="20"/>
              <w:jc w:val="right"/>
            </w:pPr>
            <w:r>
              <w:rPr>
                <w:color w:val="1C3A36"/>
                <w:sz w:val="18"/>
              </w:rPr>
              <w:t>-50.0%</w:t>
            </w:r>
          </w:p>
        </w:tc>
      </w:tr>
      <w:tr>
        <w:tc>
          <w:tcPr>
            <w:tcW w:type="dxa" w:w="6048"/>
          </w:tcPr>
          <w:p>
            <w:pPr>
              <w:spacing w:after="20"/>
            </w:pPr>
            <w:r>
              <w:rPr>
                <w:color w:val="1C3A36"/>
                <w:sz w:val="18"/>
              </w:rPr>
              <w:t>EGP 7.50 to 9.10</w:t>
            </w:r>
          </w:p>
        </w:tc>
        <w:tc>
          <w:tcPr>
            <w:tcW w:type="dxa" w:w="2736"/>
          </w:tcPr>
          <w:p>
            <w:pPr>
              <w:spacing w:after="20"/>
              <w:jc w:val="right"/>
            </w:pPr>
            <w:r>
              <w:rPr>
                <w:color w:val="1C3A36"/>
                <w:sz w:val="18"/>
              </w:rPr>
              <w:t>30.7%</w:t>
            </w:r>
          </w:p>
        </w:tc>
      </w:tr>
      <w:tr>
        <w:tc>
          <w:tcPr>
            <w:tcW w:type="dxa" w:w="6048"/>
          </w:tcPr>
          <w:p>
            <w:pPr>
              <w:spacing w:after="20"/>
            </w:pPr>
            <w:r>
              <w:rPr>
                <w:color w:val="1C3A36"/>
                <w:sz w:val="18"/>
              </w:rPr>
              <w:t>EGP 9.10 to 11.00</w:t>
            </w:r>
          </w:p>
        </w:tc>
        <w:tc>
          <w:tcPr>
            <w:tcW w:type="dxa" w:w="2736"/>
          </w:tcPr>
          <w:p>
            <w:pPr>
              <w:spacing w:after="20"/>
              <w:jc w:val="right"/>
            </w:pPr>
            <w:r>
              <w:rPr>
                <w:color w:val="1C3A36"/>
                <w:sz w:val="18"/>
              </w:rPr>
              <w:t>36.3%</w:t>
            </w:r>
          </w:p>
        </w:tc>
      </w:tr>
      <w:tr>
        <w:tc>
          <w:tcPr>
            <w:tcW w:type="dxa" w:w="6048"/>
          </w:tcPr>
          <w:p>
            <w:pPr>
              <w:spacing w:after="20"/>
            </w:pPr>
            <w:r>
              <w:rPr>
                <w:color w:val="1C3A36"/>
                <w:sz w:val="18"/>
              </w:rPr>
              <w:t>Above EGP 11.00</w:t>
            </w:r>
          </w:p>
        </w:tc>
        <w:tc>
          <w:tcPr>
            <w:tcW w:type="dxa" w:w="2736"/>
          </w:tcPr>
          <w:p>
            <w:pPr>
              <w:spacing w:after="20"/>
              <w:jc w:val="right"/>
            </w:pPr>
            <w:r>
              <w:rPr>
                <w:color w:val="1C3A36"/>
                <w:sz w:val="18"/>
              </w:rPr>
              <w:t>19.3%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52,456</w:t>
            </w:r>
          </w:p>
        </w:tc>
        <w:tc>
          <w:tcPr>
            <w:tcW w:type="dxa" w:w="950"/>
          </w:tcPr>
          <w:p>
            <w:pPr>
              <w:spacing w:after="20"/>
              <w:jc w:val="right"/>
            </w:pPr>
            <w:r>
              <w:rPr>
                <w:color w:val="1C3A36"/>
                <w:sz w:val="15"/>
              </w:rPr>
              <w:t>57,830</w:t>
            </w:r>
          </w:p>
        </w:tc>
        <w:tc>
          <w:tcPr>
            <w:tcW w:type="dxa" w:w="950"/>
          </w:tcPr>
          <w:p>
            <w:pPr>
              <w:spacing w:after="20"/>
              <w:jc w:val="right"/>
            </w:pPr>
            <w:r>
              <w:rPr>
                <w:color w:val="1C3A36"/>
                <w:sz w:val="15"/>
              </w:rPr>
              <w:t>62,908</w:t>
            </w:r>
          </w:p>
        </w:tc>
        <w:tc>
          <w:tcPr>
            <w:tcW w:type="dxa" w:w="950"/>
          </w:tcPr>
          <w:p>
            <w:pPr>
              <w:spacing w:after="20"/>
              <w:jc w:val="right"/>
            </w:pPr>
            <w:r>
              <w:rPr>
                <w:color w:val="1C3A36"/>
                <w:sz w:val="15"/>
              </w:rPr>
              <w:t>67,511</w:t>
            </w:r>
          </w:p>
        </w:tc>
        <w:tc>
          <w:tcPr>
            <w:tcW w:type="dxa" w:w="950"/>
          </w:tcPr>
          <w:p>
            <w:pPr>
              <w:spacing w:after="20"/>
              <w:jc w:val="right"/>
            </w:pPr>
            <w:r>
              <w:rPr>
                <w:color w:val="1C3A36"/>
                <w:sz w:val="15"/>
              </w:rPr>
              <w:t>72,121</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47,476</w:t>
            </w:r>
          </w:p>
        </w:tc>
        <w:tc>
          <w:tcPr>
            <w:tcW w:type="dxa" w:w="950"/>
          </w:tcPr>
          <w:p>
            <w:pPr>
              <w:spacing w:after="20"/>
              <w:jc w:val="right"/>
            </w:pPr>
            <w:r>
              <w:rPr>
                <w:color w:val="1C3A36"/>
                <w:sz w:val="15"/>
              </w:rPr>
              <w:t>52,437</w:t>
            </w:r>
          </w:p>
        </w:tc>
        <w:tc>
          <w:tcPr>
            <w:tcW w:type="dxa" w:w="950"/>
          </w:tcPr>
          <w:p>
            <w:pPr>
              <w:spacing w:after="20"/>
              <w:jc w:val="right"/>
            </w:pPr>
            <w:r>
              <w:rPr>
                <w:color w:val="1C3A36"/>
                <w:sz w:val="15"/>
              </w:rPr>
              <w:t>57,154</w:t>
            </w:r>
          </w:p>
        </w:tc>
        <w:tc>
          <w:tcPr>
            <w:tcW w:type="dxa" w:w="950"/>
          </w:tcPr>
          <w:p>
            <w:pPr>
              <w:spacing w:after="20"/>
              <w:jc w:val="right"/>
            </w:pPr>
            <w:r>
              <w:rPr>
                <w:color w:val="1C3A36"/>
                <w:sz w:val="15"/>
              </w:rPr>
              <w:t>61,463</w:t>
            </w:r>
          </w:p>
        </w:tc>
        <w:tc>
          <w:tcPr>
            <w:tcW w:type="dxa" w:w="950"/>
          </w:tcPr>
          <w:p>
            <w:pPr>
              <w:spacing w:after="20"/>
              <w:jc w:val="right"/>
            </w:pPr>
            <w:r>
              <w:rPr>
                <w:color w:val="1C3A36"/>
                <w:sz w:val="15"/>
              </w:rPr>
              <w:t>65,800</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4,980</w:t>
            </w:r>
          </w:p>
        </w:tc>
        <w:tc>
          <w:tcPr>
            <w:tcW w:type="dxa" w:w="950"/>
          </w:tcPr>
          <w:p>
            <w:pPr>
              <w:spacing w:after="20"/>
              <w:jc w:val="right"/>
            </w:pPr>
            <w:r>
              <w:rPr>
                <w:color w:val="1C3A36"/>
                <w:sz w:val="15"/>
              </w:rPr>
              <w:t>5,393</w:t>
            </w:r>
          </w:p>
        </w:tc>
        <w:tc>
          <w:tcPr>
            <w:tcW w:type="dxa" w:w="950"/>
          </w:tcPr>
          <w:p>
            <w:pPr>
              <w:spacing w:after="20"/>
              <w:jc w:val="right"/>
            </w:pPr>
            <w:r>
              <w:rPr>
                <w:color w:val="1C3A36"/>
                <w:sz w:val="15"/>
              </w:rPr>
              <w:t>5,754</w:t>
            </w:r>
          </w:p>
        </w:tc>
        <w:tc>
          <w:tcPr>
            <w:tcW w:type="dxa" w:w="950"/>
          </w:tcPr>
          <w:p>
            <w:pPr>
              <w:spacing w:after="20"/>
              <w:jc w:val="right"/>
            </w:pPr>
            <w:r>
              <w:rPr>
                <w:color w:val="1C3A36"/>
                <w:sz w:val="15"/>
              </w:rPr>
              <w:t>6,048</w:t>
            </w:r>
          </w:p>
        </w:tc>
        <w:tc>
          <w:tcPr>
            <w:tcW w:type="dxa" w:w="950"/>
          </w:tcPr>
          <w:p>
            <w:pPr>
              <w:spacing w:after="20"/>
              <w:jc w:val="right"/>
            </w:pPr>
            <w:r>
              <w:rPr>
                <w:color w:val="1C3A36"/>
                <w:sz w:val="15"/>
              </w:rPr>
              <w:t>6,321</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9.5%</w:t>
            </w:r>
          </w:p>
        </w:tc>
        <w:tc>
          <w:tcPr>
            <w:tcW w:type="dxa" w:w="950"/>
          </w:tcPr>
          <w:p>
            <w:pPr>
              <w:spacing w:after="20"/>
              <w:jc w:val="right"/>
            </w:pPr>
            <w:r>
              <w:rPr>
                <w:color w:val="1C3A36"/>
                <w:sz w:val="15"/>
              </w:rPr>
              <w:t>9.3%</w:t>
            </w:r>
          </w:p>
        </w:tc>
        <w:tc>
          <w:tcPr>
            <w:tcW w:type="dxa" w:w="950"/>
          </w:tcPr>
          <w:p>
            <w:pPr>
              <w:spacing w:after="20"/>
              <w:jc w:val="right"/>
            </w:pPr>
            <w:r>
              <w:rPr>
                <w:color w:val="1C3A36"/>
                <w:sz w:val="15"/>
              </w:rPr>
              <w:t>9.1%</w:t>
            </w:r>
          </w:p>
        </w:tc>
        <w:tc>
          <w:tcPr>
            <w:tcW w:type="dxa" w:w="950"/>
          </w:tcPr>
          <w:p>
            <w:pPr>
              <w:spacing w:after="20"/>
              <w:jc w:val="right"/>
            </w:pPr>
            <w:r>
              <w:rPr>
                <w:color w:val="1C3A36"/>
                <w:sz w:val="15"/>
              </w:rPr>
              <w:t>9.0%</w:t>
            </w:r>
          </w:p>
        </w:tc>
        <w:tc>
          <w:tcPr>
            <w:tcW w:type="dxa" w:w="950"/>
          </w:tcPr>
          <w:p>
            <w:pPr>
              <w:spacing w:after="20"/>
              <w:jc w:val="right"/>
            </w:pPr>
            <w:r>
              <w:rPr>
                <w:color w:val="1C3A36"/>
                <w:sz w:val="15"/>
              </w:rPr>
              <w:t>8.8%</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2,809</w:t>
            </w:r>
          </w:p>
        </w:tc>
        <w:tc>
          <w:tcPr>
            <w:tcW w:type="dxa" w:w="950"/>
          </w:tcPr>
          <w:p>
            <w:pPr>
              <w:spacing w:after="20"/>
              <w:jc w:val="right"/>
            </w:pPr>
            <w:r>
              <w:rPr>
                <w:color w:val="1C3A36"/>
                <w:sz w:val="15"/>
              </w:rPr>
              <w:t>2,952</w:t>
            </w:r>
          </w:p>
        </w:tc>
        <w:tc>
          <w:tcPr>
            <w:tcW w:type="dxa" w:w="950"/>
          </w:tcPr>
          <w:p>
            <w:pPr>
              <w:spacing w:after="20"/>
              <w:jc w:val="right"/>
            </w:pPr>
            <w:r>
              <w:rPr>
                <w:color w:val="1C3A36"/>
                <w:sz w:val="15"/>
              </w:rPr>
              <w:t>3,043</w:t>
            </w:r>
          </w:p>
        </w:tc>
        <w:tc>
          <w:tcPr>
            <w:tcW w:type="dxa" w:w="950"/>
          </w:tcPr>
          <w:p>
            <w:pPr>
              <w:spacing w:after="20"/>
              <w:jc w:val="right"/>
            </w:pPr>
            <w:r>
              <w:rPr>
                <w:color w:val="1C3A36"/>
                <w:sz w:val="15"/>
              </w:rPr>
              <w:t>3,074</w:t>
            </w:r>
          </w:p>
        </w:tc>
        <w:tc>
          <w:tcPr>
            <w:tcW w:type="dxa" w:w="950"/>
          </w:tcPr>
          <w:p>
            <w:pPr>
              <w:spacing w:after="20"/>
              <w:jc w:val="right"/>
            </w:pPr>
            <w:r>
              <w:rPr>
                <w:color w:val="1C3A36"/>
                <w:sz w:val="15"/>
              </w:rPr>
              <w:t>3,070</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509</w:t>
            </w:r>
          </w:p>
        </w:tc>
        <w:tc>
          <w:tcPr>
            <w:tcW w:type="dxa" w:w="950"/>
          </w:tcPr>
          <w:p>
            <w:pPr>
              <w:spacing w:after="20"/>
              <w:jc w:val="right"/>
            </w:pPr>
            <w:r>
              <w:rPr>
                <w:color w:val="1C3A36"/>
                <w:sz w:val="15"/>
              </w:rPr>
              <w:t>375</w:t>
            </w:r>
          </w:p>
        </w:tc>
        <w:tc>
          <w:tcPr>
            <w:tcW w:type="dxa" w:w="950"/>
          </w:tcPr>
          <w:p>
            <w:pPr>
              <w:spacing w:after="20"/>
              <w:jc w:val="right"/>
            </w:pPr>
            <w:r>
              <w:rPr>
                <w:color w:val="1C3A36"/>
                <w:sz w:val="15"/>
              </w:rPr>
              <w:t>270</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121</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2,464</w:t>
            </w:r>
          </w:p>
        </w:tc>
        <w:tc>
          <w:tcPr>
            <w:tcW w:type="dxa" w:w="950"/>
          </w:tcPr>
          <w:p>
            <w:pPr>
              <w:spacing w:after="20"/>
              <w:jc w:val="right"/>
            </w:pPr>
            <w:r>
              <w:rPr>
                <w:color w:val="1C3A36"/>
                <w:sz w:val="15"/>
              </w:rPr>
              <w:t>2,471</w:t>
            </w:r>
          </w:p>
        </w:tc>
        <w:tc>
          <w:tcPr>
            <w:tcW w:type="dxa" w:w="950"/>
          </w:tcPr>
          <w:p>
            <w:pPr>
              <w:spacing w:after="20"/>
              <w:jc w:val="right"/>
            </w:pPr>
            <w:r>
              <w:rPr>
                <w:color w:val="1C3A36"/>
                <w:sz w:val="15"/>
              </w:rPr>
              <w:t>2,460</w:t>
            </w:r>
          </w:p>
        </w:tc>
        <w:tc>
          <w:tcPr>
            <w:tcW w:type="dxa" w:w="950"/>
          </w:tcPr>
          <w:p>
            <w:pPr>
              <w:spacing w:after="20"/>
              <w:jc w:val="right"/>
            </w:pPr>
            <w:r>
              <w:rPr>
                <w:color w:val="1C3A36"/>
                <w:sz w:val="15"/>
              </w:rPr>
              <w:t>2,422</w:t>
            </w:r>
          </w:p>
        </w:tc>
        <w:tc>
          <w:tcPr>
            <w:tcW w:type="dxa" w:w="950"/>
          </w:tcPr>
          <w:p>
            <w:pPr>
              <w:spacing w:after="20"/>
              <w:jc w:val="right"/>
            </w:pPr>
            <w:r>
              <w:rPr>
                <w:color w:val="1C3A36"/>
                <w:sz w:val="15"/>
              </w:rPr>
              <w:t>2,370</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3,788</w:t>
            </w:r>
          </w:p>
        </w:tc>
        <w:tc>
          <w:tcPr>
            <w:tcW w:type="dxa" w:w="1037"/>
          </w:tcPr>
          <w:p>
            <w:pPr>
              <w:spacing w:after="20"/>
              <w:jc w:val="right"/>
            </w:pPr>
            <w:r>
              <w:rPr>
                <w:color w:val="1C3A36"/>
                <w:sz w:val="16"/>
              </w:rPr>
              <w:t>4,177</w:t>
            </w:r>
          </w:p>
        </w:tc>
        <w:tc>
          <w:tcPr>
            <w:tcW w:type="dxa" w:w="1037"/>
          </w:tcPr>
          <w:p>
            <w:pPr>
              <w:spacing w:after="20"/>
              <w:jc w:val="right"/>
            </w:pPr>
            <w:r>
              <w:rPr>
                <w:color w:val="1C3A36"/>
                <w:sz w:val="16"/>
              </w:rPr>
              <w:t>4,546</w:t>
            </w:r>
          </w:p>
        </w:tc>
        <w:tc>
          <w:tcPr>
            <w:tcW w:type="dxa" w:w="1037"/>
          </w:tcPr>
          <w:p>
            <w:pPr>
              <w:spacing w:after="20"/>
              <w:jc w:val="right"/>
            </w:pPr>
            <w:r>
              <w:rPr>
                <w:color w:val="1C3A36"/>
                <w:sz w:val="16"/>
              </w:rPr>
              <w:t>4,881</w:t>
            </w:r>
          </w:p>
        </w:tc>
        <w:tc>
          <w:tcPr>
            <w:tcW w:type="dxa" w:w="1037"/>
          </w:tcPr>
          <w:p>
            <w:pPr>
              <w:spacing w:after="20"/>
              <w:jc w:val="right"/>
            </w:pPr>
            <w:r>
              <w:rPr>
                <w:color w:val="1C3A36"/>
                <w:sz w:val="16"/>
              </w:rPr>
              <w:t>5,217</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5,074</w:t>
            </w:r>
          </w:p>
        </w:tc>
        <w:tc>
          <w:tcPr>
            <w:tcW w:type="dxa" w:w="1037"/>
            <w:shd w:val="clear" w:color="auto" w:fill="F6F1E6"/>
          </w:tcPr>
          <w:p>
            <w:pPr>
              <w:spacing w:after="20"/>
              <w:jc w:val="right"/>
            </w:pPr>
            <w:r>
              <w:rPr>
                <w:b/>
                <w:color w:val="1C3A36"/>
                <w:sz w:val="16"/>
              </w:rPr>
              <w:t>5,476</w:t>
            </w:r>
          </w:p>
        </w:tc>
        <w:tc>
          <w:tcPr>
            <w:tcW w:type="dxa" w:w="1037"/>
            <w:shd w:val="clear" w:color="auto" w:fill="F6F1E6"/>
          </w:tcPr>
          <w:p>
            <w:pPr>
              <w:spacing w:after="20"/>
              <w:jc w:val="right"/>
            </w:pPr>
            <w:r>
              <w:rPr>
                <w:b/>
                <w:color w:val="1C3A36"/>
                <w:sz w:val="16"/>
              </w:rPr>
              <w:t>5,869</w:t>
            </w:r>
          </w:p>
        </w:tc>
        <w:tc>
          <w:tcPr>
            <w:tcW w:type="dxa" w:w="1037"/>
            <w:shd w:val="clear" w:color="auto" w:fill="F6F1E6"/>
          </w:tcPr>
          <w:p>
            <w:pPr>
              <w:spacing w:after="20"/>
              <w:jc w:val="right"/>
            </w:pPr>
            <w:r>
              <w:rPr>
                <w:b/>
                <w:color w:val="1C3A36"/>
                <w:sz w:val="16"/>
              </w:rPr>
              <w:t>6,237</w:t>
            </w:r>
          </w:p>
        </w:tc>
        <w:tc>
          <w:tcPr>
            <w:tcW w:type="dxa" w:w="1037"/>
            <w:shd w:val="clear" w:color="auto" w:fill="F6F1E6"/>
          </w:tcPr>
          <w:p>
            <w:pPr>
              <w:spacing w:after="20"/>
              <w:jc w:val="right"/>
            </w:pPr>
            <w:r>
              <w:rPr>
                <w:b/>
                <w:color w:val="1C3A36"/>
                <w:sz w:val="16"/>
              </w:rPr>
              <w:t>6,615</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2,525</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1,521</w:t>
            </w:r>
          </w:p>
        </w:tc>
        <w:tc>
          <w:tcPr>
            <w:tcW w:type="dxa" w:w="1037"/>
          </w:tcPr>
          <w:p>
            <w:pPr>
              <w:spacing w:after="20"/>
              <w:jc w:val="right"/>
            </w:pPr>
            <w:r>
              <w:rPr>
                <w:color w:val="1C3A36"/>
                <w:sz w:val="16"/>
              </w:rPr>
              <w:t>1,045</w:t>
            </w:r>
          </w:p>
        </w:tc>
        <w:tc>
          <w:tcPr>
            <w:tcW w:type="dxa" w:w="1037"/>
          </w:tcPr>
          <w:p>
            <w:pPr>
              <w:spacing w:after="20"/>
              <w:jc w:val="right"/>
            </w:pPr>
            <w:r>
              <w:rPr>
                <w:color w:val="1C3A36"/>
                <w:sz w:val="16"/>
              </w:rPr>
              <w:t>557</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-2,508</w:t>
            </w:r>
          </w:p>
        </w:tc>
        <w:tc>
          <w:tcPr>
            <w:tcW w:type="dxa" w:w="1037"/>
          </w:tcPr>
          <w:p>
            <w:pPr>
              <w:spacing w:after="20"/>
              <w:jc w:val="right"/>
            </w:pPr>
            <w:r>
              <w:rPr>
                <w:color w:val="1C3A36"/>
                <w:sz w:val="16"/>
              </w:rPr>
              <w:t>-2,004</w:t>
            </w:r>
          </w:p>
        </w:tc>
        <w:tc>
          <w:tcPr>
            <w:tcW w:type="dxa" w:w="1037"/>
          </w:tcPr>
          <w:p>
            <w:pPr>
              <w:spacing w:after="20"/>
              <w:jc w:val="right"/>
            </w:pPr>
            <w:r>
              <w:rPr>
                <w:color w:val="1C3A36"/>
                <w:sz w:val="16"/>
              </w:rPr>
              <w:t>-1,505</w:t>
            </w:r>
          </w:p>
        </w:tc>
        <w:tc>
          <w:tcPr>
            <w:tcW w:type="dxa" w:w="1037"/>
          </w:tcPr>
          <w:p>
            <w:pPr>
              <w:spacing w:after="20"/>
              <w:jc w:val="right"/>
            </w:pPr>
            <w:r>
              <w:rPr>
                <w:color w:val="1C3A36"/>
                <w:sz w:val="16"/>
              </w:rPr>
              <w:t>-1,028</w:t>
            </w:r>
          </w:p>
        </w:tc>
        <w:tc>
          <w:tcPr>
            <w:tcW w:type="dxa" w:w="1037"/>
          </w:tcPr>
          <w:p>
            <w:pPr>
              <w:spacing w:after="20"/>
              <w:jc w:val="right"/>
            </w:pPr>
            <w:r>
              <w:rPr>
                <w:color w:val="1C3A36"/>
                <w:sz w:val="16"/>
              </w:rPr>
              <w:t>-540</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5,979</w:t>
            </w:r>
          </w:p>
        </w:tc>
        <w:tc>
          <w:tcPr>
            <w:tcW w:type="dxa" w:w="1037"/>
          </w:tcPr>
          <w:p>
            <w:pPr>
              <w:spacing w:after="20"/>
              <w:jc w:val="right"/>
            </w:pPr>
            <w:r>
              <w:rPr>
                <w:color w:val="1C3A36"/>
                <w:sz w:val="16"/>
              </w:rPr>
              <w:t>5,887</w:t>
            </w:r>
          </w:p>
        </w:tc>
        <w:tc>
          <w:tcPr>
            <w:tcW w:type="dxa" w:w="1037"/>
          </w:tcPr>
          <w:p>
            <w:pPr>
              <w:spacing w:after="20"/>
              <w:jc w:val="right"/>
            </w:pPr>
            <w:r>
              <w:rPr>
                <w:color w:val="1C3A36"/>
                <w:sz w:val="16"/>
              </w:rPr>
              <w:t>5,796</w:t>
            </w:r>
          </w:p>
        </w:tc>
        <w:tc>
          <w:tcPr>
            <w:tcW w:type="dxa" w:w="1037"/>
          </w:tcPr>
          <w:p>
            <w:pPr>
              <w:spacing w:after="20"/>
              <w:jc w:val="right"/>
            </w:pPr>
            <w:r>
              <w:rPr>
                <w:color w:val="1C3A36"/>
                <w:sz w:val="16"/>
              </w:rPr>
              <w:t>5,706</w:t>
            </w:r>
          </w:p>
        </w:tc>
        <w:tc>
          <w:tcPr>
            <w:tcW w:type="dxa" w:w="1037"/>
          </w:tcPr>
          <w:p>
            <w:pPr>
              <w:spacing w:after="20"/>
              <w:jc w:val="right"/>
            </w:pPr>
            <w:r>
              <w:rPr>
                <w:color w:val="1C3A36"/>
                <w:sz w:val="16"/>
              </w:rPr>
              <w:t>5,618</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2,063</w:t>
            </w:r>
          </w:p>
        </w:tc>
        <w:tc>
          <w:tcPr>
            <w:tcW w:type="dxa" w:w="1195"/>
          </w:tcPr>
          <w:p>
            <w:pPr>
              <w:spacing w:after="20"/>
              <w:jc w:val="right"/>
            </w:pPr>
            <w:r>
              <w:rPr>
                <w:color w:val="1C3A36"/>
                <w:sz w:val="16"/>
              </w:rPr>
              <w:t>2,168</w:t>
            </w:r>
          </w:p>
        </w:tc>
        <w:tc>
          <w:tcPr>
            <w:tcW w:type="dxa" w:w="1195"/>
          </w:tcPr>
          <w:p>
            <w:pPr>
              <w:spacing w:after="20"/>
              <w:jc w:val="right"/>
            </w:pPr>
            <w:r>
              <w:rPr>
                <w:color w:val="1C3A36"/>
                <w:sz w:val="16"/>
              </w:rPr>
              <w:t>2,235</w:t>
            </w:r>
          </w:p>
        </w:tc>
        <w:tc>
          <w:tcPr>
            <w:tcW w:type="dxa" w:w="1195"/>
          </w:tcPr>
          <w:p>
            <w:pPr>
              <w:spacing w:after="20"/>
              <w:jc w:val="right"/>
            </w:pPr>
            <w:r>
              <w:rPr>
                <w:color w:val="1C3A36"/>
                <w:sz w:val="16"/>
              </w:rPr>
              <w:t>2,257</w:t>
            </w:r>
          </w:p>
        </w:tc>
        <w:tc>
          <w:tcPr>
            <w:tcW w:type="dxa" w:w="1195"/>
          </w:tcPr>
          <w:p>
            <w:pPr>
              <w:spacing w:after="20"/>
              <w:jc w:val="right"/>
            </w:pPr>
            <w:r>
              <w:rPr>
                <w:color w:val="1C3A36"/>
                <w:sz w:val="16"/>
              </w:rPr>
              <w:t>2,255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(398)</w:t>
            </w:r>
          </w:p>
        </w:tc>
        <w:tc>
          <w:tcPr>
            <w:tcW w:type="dxa" w:w="1195"/>
          </w:tcPr>
          <w:p>
            <w:pPr>
              <w:spacing w:after="20"/>
              <w:jc w:val="right"/>
            </w:pPr>
            <w:r>
              <w:rPr>
                <w:color w:val="1C3A36"/>
                <w:sz w:val="16"/>
              </w:rPr>
              <w:t>(390)</w:t>
            </w:r>
          </w:p>
        </w:tc>
        <w:tc>
          <w:tcPr>
            <w:tcW w:type="dxa" w:w="1195"/>
          </w:tcPr>
          <w:p>
            <w:pPr>
              <w:spacing w:after="20"/>
              <w:jc w:val="right"/>
            </w:pPr>
            <w:r>
              <w:rPr>
                <w:color w:val="1C3A36"/>
                <w:sz w:val="16"/>
              </w:rPr>
              <w:t>(369)</w:t>
            </w:r>
          </w:p>
        </w:tc>
        <w:tc>
          <w:tcPr>
            <w:tcW w:type="dxa" w:w="1195"/>
          </w:tcPr>
          <w:p>
            <w:pPr>
              <w:spacing w:after="20"/>
              <w:jc w:val="right"/>
            </w:pPr>
            <w:r>
              <w:rPr>
                <w:color w:val="1C3A36"/>
                <w:sz w:val="16"/>
              </w:rPr>
              <w:t>(335)</w:t>
            </w:r>
          </w:p>
        </w:tc>
        <w:tc>
          <w:tcPr>
            <w:tcW w:type="dxa" w:w="1195"/>
          </w:tcPr>
          <w:p>
            <w:pPr>
              <w:spacing w:after="20"/>
              <w:jc w:val="right"/>
            </w:pPr>
            <w:r>
              <w:rPr>
                <w:color w:val="1C3A36"/>
                <w:sz w:val="16"/>
              </w:rPr>
              <w:t>(336)</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1,666</w:t>
            </w:r>
          </w:p>
        </w:tc>
        <w:tc>
          <w:tcPr>
            <w:tcW w:type="dxa" w:w="1195"/>
            <w:shd w:val="clear" w:color="auto" w:fill="F6F1E6"/>
          </w:tcPr>
          <w:p>
            <w:pPr>
              <w:spacing w:after="20"/>
              <w:jc w:val="right"/>
            </w:pPr>
            <w:r>
              <w:rPr>
                <w:b/>
                <w:color w:val="1C3A36"/>
                <w:sz w:val="16"/>
              </w:rPr>
              <w:t>1,767</w:t>
            </w:r>
          </w:p>
        </w:tc>
        <w:tc>
          <w:tcPr>
            <w:tcW w:type="dxa" w:w="1195"/>
            <w:shd w:val="clear" w:color="auto" w:fill="F6F1E6"/>
          </w:tcPr>
          <w:p>
            <w:pPr>
              <w:spacing w:after="20"/>
              <w:jc w:val="right"/>
            </w:pPr>
            <w:r>
              <w:rPr>
                <w:b/>
                <w:color w:val="1C3A36"/>
                <w:sz w:val="16"/>
              </w:rPr>
              <w:t>1,842</w:t>
            </w:r>
          </w:p>
        </w:tc>
        <w:tc>
          <w:tcPr>
            <w:tcW w:type="dxa" w:w="1195"/>
            <w:shd w:val="clear" w:color="auto" w:fill="F6F1E6"/>
          </w:tcPr>
          <w:p>
            <w:pPr>
              <w:spacing w:after="20"/>
              <w:jc w:val="right"/>
            </w:pPr>
            <w:r>
              <w:rPr>
                <w:b/>
                <w:color w:val="1C3A36"/>
                <w:sz w:val="16"/>
              </w:rPr>
              <w:t>1,889</w:t>
            </w:r>
          </w:p>
        </w:tc>
        <w:tc>
          <w:tcPr>
            <w:tcW w:type="dxa" w:w="1195"/>
            <w:shd w:val="clear" w:color="auto" w:fill="F6F1E6"/>
          </w:tcPr>
          <w:p>
            <w:pPr>
              <w:spacing w:after="20"/>
              <w:jc w:val="right"/>
            </w:pPr>
            <w:r>
              <w:rPr>
                <w:b/>
                <w:color w:val="1C3A36"/>
                <w:sz w:val="16"/>
              </w:rPr>
              <w:t>1,876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40.7%</w:t>
            </w:r>
          </w:p>
        </w:tc>
        <w:tc>
          <w:tcPr>
            <w:tcW w:type="dxa" w:w="1195"/>
          </w:tcPr>
          <w:p>
            <w:pPr>
              <w:spacing w:after="20"/>
              <w:jc w:val="right"/>
            </w:pPr>
            <w:r>
              <w:rPr>
                <w:color w:val="1C3A36"/>
                <w:sz w:val="16"/>
              </w:rPr>
              <w:t>39.6%</w:t>
            </w:r>
          </w:p>
        </w:tc>
        <w:tc>
          <w:tcPr>
            <w:tcW w:type="dxa" w:w="1195"/>
          </w:tcPr>
          <w:p>
            <w:pPr>
              <w:spacing w:after="20"/>
              <w:jc w:val="right"/>
            </w:pPr>
            <w:r>
              <w:rPr>
                <w:color w:val="1C3A36"/>
                <w:sz w:val="16"/>
              </w:rPr>
              <w:t>38.1%</w:t>
            </w:r>
          </w:p>
        </w:tc>
        <w:tc>
          <w:tcPr>
            <w:tcW w:type="dxa" w:w="1195"/>
          </w:tcPr>
          <w:p>
            <w:pPr>
              <w:spacing w:after="20"/>
              <w:jc w:val="right"/>
            </w:pPr>
            <w:r>
              <w:rPr>
                <w:color w:val="1C3A36"/>
                <w:sz w:val="16"/>
              </w:rPr>
              <w:t>36.2%</w:t>
            </w:r>
          </w:p>
        </w:tc>
        <w:tc>
          <w:tcPr>
            <w:tcW w:type="dxa" w:w="1195"/>
          </w:tcPr>
          <w:p>
            <w:pPr>
              <w:spacing w:after="20"/>
              <w:jc w:val="right"/>
            </w:pPr>
            <w:r>
              <w:rPr>
                <w:color w:val="1C3A36"/>
                <w:sz w:val="16"/>
              </w:rPr>
              <w:t>34.1%</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11.60 to 8.46,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11,753mn — 0.1432% of the capital structure. A 500 basis-point error in the cost of debt moves the weighted cost of capital by 0.56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31.91% and the cash-flow lens is EGP 8.00. On GROSS rather than net debt weights — the construction this study rejects, because it counts the cash pile twice — the lens is EGP 9.92.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3,043</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270</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1.905</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13.34</w:t>
            </w:r>
          </w:p>
        </w:tc>
      </w:tr>
    </w:tbl>
    <w:p>
      <w:pPr>
        <w:spacing w:after="40"/>
      </w:pPr>
    </w:p>
    <w:p>
      <w:pPr>
        <w:spacing w:after="200" w:before="0"/>
      </w:pPr>
      <w:r>
        <w:rPr>
          <w:b w:val="0"/>
          <w:i/>
          <w:color w:val="6E7B77"/>
          <w:sz w:val="17"/>
        </w:rPr>
        <w:t>Table C.1 — Expert 1. Range EGP 9.53 to 18.10 on a 5.0x to 9.5x multiple band. This is the HIGHEST of the three and it is still 46.5%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1,967</w:t>
            </w:r>
          </w:p>
        </w:tc>
        <w:tc>
          <w:tcPr>
            <w:tcW w:type="dxa" w:w="1296"/>
          </w:tcPr>
          <w:p>
            <w:pPr>
              <w:spacing w:after="20"/>
              <w:jc w:val="right"/>
            </w:pPr>
            <w:r>
              <w:rPr>
                <w:color w:val="1C3A36"/>
                <w:sz w:val="16"/>
              </w:rPr>
              <w:t>1,963</w:t>
            </w:r>
          </w:p>
        </w:tc>
        <w:tc>
          <w:tcPr>
            <w:tcW w:type="dxa" w:w="1296"/>
          </w:tcPr>
          <w:p>
            <w:pPr>
              <w:spacing w:after="20"/>
              <w:jc w:val="right"/>
            </w:pPr>
            <w:r>
              <w:rPr>
                <w:color w:val="1C3A36"/>
                <w:sz w:val="16"/>
              </w:rPr>
              <w:t>1,957</w:t>
            </w:r>
          </w:p>
        </w:tc>
        <w:tc>
          <w:tcPr>
            <w:tcW w:type="dxa" w:w="1296"/>
          </w:tcPr>
          <w:p>
            <w:pPr>
              <w:spacing w:after="20"/>
              <w:jc w:val="right"/>
            </w:pPr>
            <w:r>
              <w:rPr>
                <w:color w:val="1C3A36"/>
                <w:sz w:val="16"/>
              </w:rPr>
              <w:t>1,941</w:t>
            </w:r>
          </w:p>
        </w:tc>
        <w:tc>
          <w:tcPr>
            <w:tcW w:type="dxa" w:w="1296"/>
          </w:tcPr>
          <w:p>
            <w:pPr>
              <w:spacing w:after="20"/>
              <w:jc w:val="right"/>
            </w:pPr>
            <w:r>
              <w:rPr>
                <w:color w:val="1C3A36"/>
                <w:sz w:val="16"/>
              </w:rPr>
              <w:t>1,879</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1,543</w:t>
            </w:r>
          </w:p>
        </w:tc>
        <w:tc>
          <w:tcPr>
            <w:tcW w:type="dxa" w:w="1296"/>
          </w:tcPr>
          <w:p>
            <w:pPr>
              <w:spacing w:after="20"/>
              <w:jc w:val="right"/>
            </w:pPr>
            <w:r>
              <w:rPr>
                <w:color w:val="1C3A36"/>
                <w:sz w:val="16"/>
              </w:rPr>
              <w:t>1,252</w:t>
            </w:r>
          </w:p>
        </w:tc>
        <w:tc>
          <w:tcPr>
            <w:tcW w:type="dxa" w:w="1296"/>
          </w:tcPr>
          <w:p>
            <w:pPr>
              <w:spacing w:after="20"/>
              <w:jc w:val="right"/>
            </w:pPr>
            <w:r>
              <w:rPr>
                <w:color w:val="1C3A36"/>
                <w:sz w:val="16"/>
              </w:rPr>
              <w:t>1,030</w:t>
            </w:r>
          </w:p>
        </w:tc>
        <w:tc>
          <w:tcPr>
            <w:tcW w:type="dxa" w:w="1296"/>
          </w:tcPr>
          <w:p>
            <w:pPr>
              <w:spacing w:after="20"/>
              <w:jc w:val="right"/>
            </w:pPr>
            <w:r>
              <w:rPr>
                <w:color w:val="1C3A36"/>
                <w:sz w:val="16"/>
              </w:rPr>
              <w:t>853</w:t>
            </w:r>
          </w:p>
        </w:tc>
        <w:tc>
          <w:tcPr>
            <w:tcW w:type="dxa" w:w="1296"/>
          </w:tcPr>
          <w:p>
            <w:pPr>
              <w:spacing w:after="20"/>
              <w:jc w:val="right"/>
            </w:pPr>
            <w:r>
              <w:rPr>
                <w:color w:val="1C3A36"/>
                <w:sz w:val="16"/>
              </w:rPr>
              <w:t>695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5,373</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4,542</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9,915</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7.68</w:t>
            </w:r>
          </w:p>
        </w:tc>
      </w:tr>
    </w:tbl>
    <w:p>
      <w:pPr>
        <w:spacing w:after="40"/>
      </w:pPr>
    </w:p>
    <w:p>
      <w:pPr>
        <w:spacing w:after="200" w:before="0"/>
      </w:pPr>
      <w:r>
        <w:rPr>
          <w:b w:val="0"/>
          <w:i/>
          <w:color w:val="6E7B77"/>
          <w:sz w:val="17"/>
        </w:rPr>
        <w:t>Table C.2 — Expert 2. Range EGP 6.29 to 7.37. This is the LOWEST of the three at -15.6%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2,778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4,103</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11,557</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10.86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779</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1,105</w:t>
            </w:r>
          </w:p>
        </w:tc>
        <w:tc>
          <w:tcPr>
            <w:tcW w:type="dxa" w:w="1224"/>
          </w:tcPr>
          <w:p>
            <w:pPr>
              <w:spacing w:after="20"/>
              <w:jc w:val="right"/>
            </w:pPr>
            <w:r>
              <w:rPr>
                <w:color w:val="1C3A36"/>
                <w:sz w:val="17"/>
              </w:rPr>
              <w:t>1,134</w:t>
            </w:r>
          </w:p>
        </w:tc>
        <w:tc>
          <w:tcPr>
            <w:tcW w:type="dxa" w:w="1224"/>
          </w:tcPr>
          <w:p>
            <w:pPr>
              <w:spacing w:after="20"/>
              <w:jc w:val="right"/>
            </w:pPr>
            <w:r>
              <w:rPr>
                <w:color w:val="1C3A36"/>
                <w:sz w:val="17"/>
              </w:rPr>
              <w:t>1,124</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13.21%</w:t>
            </w:r>
          </w:p>
        </w:tc>
        <w:tc>
          <w:tcPr>
            <w:tcW w:type="dxa" w:w="1224"/>
          </w:tcPr>
          <w:p>
            <w:pPr>
              <w:spacing w:after="20"/>
              <w:jc w:val="right"/>
            </w:pPr>
            <w:r>
              <w:rPr>
                <w:color w:val="1C3A36"/>
                <w:sz w:val="17"/>
              </w:rPr>
              <w:t>16.96%</w:t>
            </w:r>
          </w:p>
        </w:tc>
        <w:tc>
          <w:tcPr>
            <w:tcW w:type="dxa" w:w="1224"/>
          </w:tcPr>
          <w:p>
            <w:pPr>
              <w:spacing w:after="20"/>
              <w:jc w:val="right"/>
            </w:pPr>
            <w:r>
              <w:rPr>
                <w:color w:val="1C3A36"/>
                <w:sz w:val="17"/>
              </w:rPr>
              <w:t>17.44%</w:t>
            </w:r>
          </w:p>
        </w:tc>
        <w:tc>
          <w:tcPr>
            <w:tcW w:type="dxa" w:w="1224"/>
          </w:tcPr>
          <w:p>
            <w:pPr>
              <w:spacing w:after="20"/>
              <w:jc w:val="right"/>
            </w:pPr>
            <w:r>
              <w:rPr>
                <w:color w:val="1C3A36"/>
                <w:sz w:val="17"/>
              </w:rPr>
              <w:t>17.06%</w:t>
            </w:r>
          </w:p>
        </w:tc>
        <w:tc>
          <w:tcPr>
            <w:tcW w:type="dxa" w:w="1224"/>
          </w:tcPr>
          <w:p>
            <w:pPr>
              <w:spacing w:after="20"/>
              <w:jc w:val="right"/>
            </w:pPr>
            <w:r>
              <w:rPr>
                <w:color w:val="1C3A36"/>
                <w:sz w:val="17"/>
              </w:rPr>
              <w:t>15.95%</w:t>
            </w:r>
          </w:p>
        </w:tc>
      </w:tr>
    </w:tbl>
    <w:p>
      <w:pPr>
        <w:spacing w:after="40"/>
      </w:pPr>
    </w:p>
    <w:p>
      <w:pPr>
        <w:spacing w:after="200" w:before="0"/>
      </w:pPr>
      <w:r>
        <w:rPr>
          <w:b w:val="0"/>
          <w:i/>
          <w:color w:val="6E7B77"/>
          <w:sz w:val="17"/>
        </w:rPr>
        <w:t>Table C.3 — Expert 3. Range EGP 8.67 to 10.21.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13.34</w:t>
            </w:r>
          </w:p>
        </w:tc>
        <w:tc>
          <w:tcPr>
            <w:tcW w:type="dxa" w:w="1728"/>
          </w:tcPr>
          <w:p>
            <w:pPr>
              <w:spacing w:after="20"/>
              <w:jc w:val="right"/>
            </w:pPr>
            <w:r>
              <w:rPr>
                <w:color w:val="1C3A36"/>
                <w:sz w:val="17"/>
              </w:rPr>
              <w:t>9.53–18.10</w:t>
            </w:r>
          </w:p>
        </w:tc>
        <w:tc>
          <w:tcPr>
            <w:tcW w:type="dxa" w:w="1296"/>
          </w:tcPr>
          <w:p>
            <w:pPr>
              <w:spacing w:after="20"/>
              <w:jc w:val="right"/>
            </w:pPr>
            <w:r>
              <w:rPr>
                <w:color w:val="1C3A36"/>
                <w:sz w:val="17"/>
              </w:rPr>
              <w:t>46.5%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7.68</w:t>
            </w:r>
          </w:p>
        </w:tc>
        <w:tc>
          <w:tcPr>
            <w:tcW w:type="dxa" w:w="1728"/>
          </w:tcPr>
          <w:p>
            <w:pPr>
              <w:spacing w:after="20"/>
              <w:jc w:val="right"/>
            </w:pPr>
            <w:r>
              <w:rPr>
                <w:color w:val="1C3A36"/>
                <w:sz w:val="17"/>
              </w:rPr>
              <w:t>6.29–7.37</w:t>
            </w:r>
          </w:p>
        </w:tc>
        <w:tc>
          <w:tcPr>
            <w:tcW w:type="dxa" w:w="1296"/>
          </w:tcPr>
          <w:p>
            <w:pPr>
              <w:spacing w:after="20"/>
              <w:jc w:val="right"/>
            </w:pPr>
            <w:r>
              <w:rPr>
                <w:color w:val="1C3A36"/>
                <w:sz w:val="17"/>
              </w:rPr>
              <w:t>-15.6%</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10.86</w:t>
            </w:r>
          </w:p>
        </w:tc>
        <w:tc>
          <w:tcPr>
            <w:tcW w:type="dxa" w:w="1728"/>
          </w:tcPr>
          <w:p>
            <w:pPr>
              <w:spacing w:after="20"/>
              <w:jc w:val="right"/>
            </w:pPr>
            <w:r>
              <w:rPr>
                <w:color w:val="1C3A36"/>
                <w:sz w:val="17"/>
              </w:rPr>
              <w:t>8.67–10.21</w:t>
            </w:r>
          </w:p>
        </w:tc>
        <w:tc>
          <w:tcPr>
            <w:tcW w:type="dxa" w:w="1296"/>
          </w:tcPr>
          <w:p>
            <w:pPr>
              <w:spacing w:after="20"/>
              <w:jc w:val="right"/>
            </w:pPr>
            <w:r>
              <w:rPr>
                <w:color w:val="1C3A36"/>
                <w:sz w:val="17"/>
              </w:rPr>
              <w:t>19.3%</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10.86</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19.3%</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