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Emirates Integrated Telecommunications Company PJSC (DFM: DU) — Bibliography and Source Register</w:t>
      </w:r>
    </w:p>
    <w:p>
      <w:pPr>
        <w:spacing w:after="100" w:before="0"/>
      </w:pPr>
      <w:r>
        <w:rPr>
          <w:b w:val="0"/>
          <w:i w:val="0"/>
          <w:color w:val="6E7B77"/>
          <w:sz w:val="19"/>
        </w:rPr>
        <w:t>Companion document to the valuation study dated 9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8568"/>
      </w:tblGrid>
      <w:tr>
        <w:tc>
          <w:tcPr>
            <w:tcW w:type="dxa" w:w="1584"/>
            <w:shd w:val="clear" w:color="auto" w:fill="EAF0EE"/>
          </w:tcPr>
          <w:p>
            <w:pPr>
              <w:spacing w:after="20"/>
            </w:pPr>
            <w:r>
              <w:rPr>
                <w:b/>
                <w:color w:val="1C3A36"/>
                <w:sz w:val="16"/>
              </w:rPr>
              <w:t>Layer</w:t>
            </w:r>
          </w:p>
        </w:tc>
        <w:tc>
          <w:tcPr>
            <w:tcW w:type="dxa" w:w="8568"/>
            <w:shd w:val="clear" w:color="auto" w:fill="EAF0EE"/>
          </w:tcPr>
          <w:p>
            <w:pPr>
              <w:spacing w:after="20"/>
            </w:pPr>
            <w:r>
              <w:rPr>
                <w:b/>
                <w:color w:val="1C3A36"/>
                <w:sz w:val="16"/>
              </w:rPr>
              <w:t>What it covers</w:t>
            </w:r>
          </w:p>
        </w:tc>
      </w:tr>
      <w:tr>
        <w:tc>
          <w:tcPr>
            <w:tcW w:type="dxa" w:w="1584"/>
          </w:tcPr>
          <w:p>
            <w:pPr>
              <w:spacing w:after="20"/>
            </w:pPr>
            <w:r>
              <w:rPr>
                <w:color w:val="1C3A36"/>
                <w:sz w:val="16"/>
              </w:rPr>
              <w:t>Company</w:t>
            </w:r>
          </w:p>
        </w:tc>
        <w:tc>
          <w:tcPr>
            <w:tcW w:type="dxa" w:w="8568"/>
          </w:tcPr>
          <w:p>
            <w:pPr>
              <w:spacing w:after="20"/>
            </w:pPr>
            <w:r>
              <w:rPr>
                <w:color w:val="1C3A36"/>
                <w:sz w:val="16"/>
              </w:rPr>
              <w:t>the company's own audited/reviewed statements, filings, releases and investor presentations — the only permitted source for its reported historicals</w:t>
            </w:r>
          </w:p>
        </w:tc>
      </w:tr>
      <w:tr>
        <w:tc>
          <w:tcPr>
            <w:tcW w:type="dxa" w:w="1584"/>
          </w:tcPr>
          <w:p>
            <w:pPr>
              <w:spacing w:after="20"/>
            </w:pPr>
            <w:r>
              <w:rPr>
                <w:color w:val="1C3A36"/>
                <w:sz w:val="16"/>
              </w:rPr>
              <w:t>Industry</w:t>
            </w:r>
          </w:p>
        </w:tc>
        <w:tc>
          <w:tcPr>
            <w:tcW w:type="dxa" w:w="8568"/>
          </w:tcPr>
          <w:p>
            <w:pPr>
              <w:spacing w:after="20"/>
            </w:pPr>
            <w:r>
              <w:rPr>
                <w:color w:val="1C3A36"/>
                <w:sz w:val="16"/>
              </w:rPr>
              <w:t>peers, the regulator, sector pricing and multiples</w:t>
            </w:r>
          </w:p>
        </w:tc>
      </w:tr>
      <w:tr>
        <w:tc>
          <w:tcPr>
            <w:tcW w:type="dxa" w:w="1584"/>
          </w:tcPr>
          <w:p>
            <w:pPr>
              <w:spacing w:after="20"/>
            </w:pPr>
            <w:r>
              <w:rPr>
                <w:color w:val="1C3A36"/>
                <w:sz w:val="16"/>
              </w:rPr>
              <w:t>Country</w:t>
            </w:r>
          </w:p>
        </w:tc>
        <w:tc>
          <w:tcPr>
            <w:tcW w:type="dxa" w:w="8568"/>
          </w:tcPr>
          <w:p>
            <w:pPr>
              <w:spacing w:after="20"/>
            </w:pPr>
            <w:r>
              <w:rPr>
                <w:color w:val="1C3A36"/>
                <w:sz w:val="16"/>
              </w:rPr>
              <w:t>UAE macro, rates, the sovereign, the fiscal regime</w:t>
            </w:r>
          </w:p>
        </w:tc>
      </w:tr>
      <w:tr>
        <w:tc>
          <w:tcPr>
            <w:tcW w:type="dxa" w:w="1584"/>
          </w:tcPr>
          <w:p>
            <w:pPr>
              <w:spacing w:after="20"/>
            </w:pPr>
            <w:r>
              <w:rPr>
                <w:color w:val="1C3A36"/>
                <w:sz w:val="16"/>
              </w:rPr>
              <w:t>Market</w:t>
            </w:r>
          </w:p>
        </w:tc>
        <w:tc>
          <w:tcPr>
            <w:tcW w:type="dxa" w:w="8568"/>
          </w:tcPr>
          <w:p>
            <w:pPr>
              <w:spacing w:after="20"/>
            </w:pPr>
            <w:r>
              <w:rPr>
                <w:color w:val="1C3A36"/>
                <w:sz w:val="16"/>
              </w:rPr>
              <w:t>exchange data: prices, the index, the beta regression</w:t>
            </w:r>
          </w:p>
        </w:tc>
      </w:tr>
      <w:tr>
        <w:tc>
          <w:tcPr>
            <w:tcW w:type="dxa" w:w="1584"/>
          </w:tcPr>
          <w:p>
            <w:pPr>
              <w:spacing w:after="20"/>
            </w:pPr>
            <w:r>
              <w:rPr>
                <w:color w:val="1C3A36"/>
                <w:sz w:val="16"/>
              </w:rPr>
              <w:t>House</w:t>
            </w:r>
          </w:p>
        </w:tc>
        <w:tc>
          <w:tcPr>
            <w:tcW w:type="dxa" w:w="8568"/>
          </w:tcPr>
          <w:p>
            <w:pPr>
              <w:spacing w:after="20"/>
            </w:pPr>
            <w:r>
              <w:rPr>
                <w:color w:val="1C3A36"/>
                <w:sz w:val="16"/>
              </w:rPr>
              <w:t>analyst judgements and constructions, each with its reasoning</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4248"/>
        <w:gridCol w:w="1224"/>
        <w:gridCol w:w="1296"/>
      </w:tblGrid>
      <w:tr>
        <w:tc>
          <w:tcPr>
            <w:tcW w:type="dxa" w:w="3312"/>
            <w:shd w:val="clear" w:color="auto" w:fill="EAF0EE"/>
          </w:tcPr>
          <w:p>
            <w:pPr>
              <w:spacing w:after="20"/>
            </w:pPr>
            <w:r>
              <w:rPr>
                <w:b/>
                <w:color w:val="1C3A36"/>
                <w:sz w:val="16"/>
              </w:rPr>
              <w:t>Document</w:t>
            </w:r>
          </w:p>
        </w:tc>
        <w:tc>
          <w:tcPr>
            <w:tcW w:type="dxa" w:w="4248"/>
            <w:shd w:val="clear" w:color="auto" w:fill="EAF0EE"/>
          </w:tcPr>
          <w:p>
            <w:pPr>
              <w:spacing w:after="20"/>
            </w:pPr>
            <w:r>
              <w:rPr>
                <w:b/>
                <w:color w:val="1C3A36"/>
                <w:sz w:val="16"/>
              </w:rPr>
              <w:t>What it provided</w:t>
            </w:r>
          </w:p>
        </w:tc>
        <w:tc>
          <w:tcPr>
            <w:tcW w:type="dxa" w:w="1224"/>
            <w:shd w:val="clear" w:color="auto" w:fill="EAF0EE"/>
          </w:tcPr>
          <w:p>
            <w:pPr>
              <w:spacing w:after="20"/>
            </w:pPr>
            <w:r>
              <w:rPr>
                <w:b/>
                <w:color w:val="1C3A36"/>
                <w:sz w:val="16"/>
              </w:rPr>
              <w:t>Date</w:t>
            </w:r>
          </w:p>
        </w:tc>
        <w:tc>
          <w:tcPr>
            <w:tcW w:type="dxa" w:w="1296"/>
            <w:shd w:val="clear" w:color="auto" w:fill="EAF0EE"/>
          </w:tcPr>
          <w:p>
            <w:pPr>
              <w:spacing w:after="20"/>
            </w:pPr>
            <w:r>
              <w:rPr>
                <w:b/>
                <w:color w:val="1C3A36"/>
                <w:sz w:val="16"/>
              </w:rPr>
              <w:t>Where read</w:t>
            </w:r>
          </w:p>
        </w:tc>
      </w:tr>
      <w:tr>
        <w:tc>
          <w:tcPr>
            <w:tcW w:type="dxa" w:w="3312"/>
          </w:tcPr>
          <w:p>
            <w:pPr>
              <w:spacing w:after="20"/>
            </w:pPr>
            <w:r>
              <w:rPr>
                <w:color w:val="1C3A36"/>
                <w:sz w:val="16"/>
              </w:rPr>
              <w:t>Integrated Annual Report 2025 (audited consolidated FS; KPMG Lower Gulf, unmodified opinion)</w:t>
            </w:r>
          </w:p>
        </w:tc>
        <w:tc>
          <w:tcPr>
            <w:tcW w:type="dxa" w:w="4248"/>
          </w:tcPr>
          <w:p>
            <w:pPr>
              <w:spacing w:after="20"/>
            </w:pPr>
            <w:r>
              <w:rPr>
                <w:color w:val="1C3A36"/>
                <w:sz w:val="16"/>
              </w:rPr>
              <w:t>FY2025 and re-presented FY2024: every income-statement, balance-sheet, cash-flow and segment line; notes 4-39 incl. borrowings (none), leases, tax/royalty, segments</w:t>
            </w:r>
          </w:p>
        </w:tc>
        <w:tc>
          <w:tcPr>
            <w:tcW w:type="dxa" w:w="1224"/>
          </w:tcPr>
          <w:p>
            <w:pPr>
              <w:spacing w:after="20"/>
            </w:pPr>
            <w:r>
              <w:rPr>
                <w:color w:val="1C3A36"/>
                <w:sz w:val="16"/>
              </w:rPr>
              <w:t>09-Feb-2026</w:t>
            </w:r>
          </w:p>
        </w:tc>
        <w:tc>
          <w:tcPr>
            <w:tcW w:type="dxa" w:w="1296"/>
          </w:tcPr>
          <w:p>
            <w:pPr>
              <w:spacing w:after="20"/>
            </w:pPr>
            <w:r>
              <w:rPr>
                <w:color w:val="1C3A36"/>
                <w:sz w:val="16"/>
              </w:rPr>
              <w:t>investors.du.ae</w:t>
            </w:r>
          </w:p>
        </w:tc>
      </w:tr>
      <w:tr>
        <w:tc>
          <w:tcPr>
            <w:tcW w:type="dxa" w:w="3312"/>
          </w:tcPr>
          <w:p>
            <w:pPr>
              <w:spacing w:after="20"/>
            </w:pPr>
            <w:r>
              <w:rPr>
                <w:color w:val="1C3A36"/>
                <w:sz w:val="16"/>
              </w:rPr>
              <w:t>Annual Report 2024 (audited; PwC, unqualified)</w:t>
            </w:r>
          </w:p>
        </w:tc>
        <w:tc>
          <w:tcPr>
            <w:tcW w:type="dxa" w:w="4248"/>
          </w:tcPr>
          <w:p>
            <w:pPr>
              <w:spacing w:after="20"/>
            </w:pPr>
            <w:r>
              <w:rPr>
                <w:color w:val="1C3A36"/>
                <w:sz w:val="16"/>
              </w:rPr>
              <w:t>FY2024 original presentation and FY2023 comparatives; the FY2023 royalty-accrual disclosure that makes the working-capital series like-for-like</w:t>
            </w:r>
          </w:p>
        </w:tc>
        <w:tc>
          <w:tcPr>
            <w:tcW w:type="dxa" w:w="1224"/>
          </w:tcPr>
          <w:p>
            <w:pPr>
              <w:spacing w:after="20"/>
            </w:pPr>
            <w:r>
              <w:rPr>
                <w:color w:val="1C3A36"/>
                <w:sz w:val="16"/>
              </w:rPr>
              <w:t>10-Feb-2025</w:t>
            </w:r>
          </w:p>
        </w:tc>
        <w:tc>
          <w:tcPr>
            <w:tcW w:type="dxa" w:w="1296"/>
          </w:tcPr>
          <w:p>
            <w:pPr>
              <w:spacing w:after="20"/>
            </w:pPr>
            <w:r>
              <w:rPr>
                <w:color w:val="1C3A36"/>
                <w:sz w:val="16"/>
              </w:rPr>
              <w:t>investors.du.ae</w:t>
            </w:r>
          </w:p>
        </w:tc>
      </w:tr>
      <w:tr>
        <w:tc>
          <w:tcPr>
            <w:tcW w:type="dxa" w:w="3312"/>
          </w:tcPr>
          <w:p>
            <w:pPr>
              <w:spacing w:after="20"/>
            </w:pPr>
            <w:r>
              <w:rPr>
                <w:color w:val="1C3A36"/>
                <w:sz w:val="16"/>
              </w:rPr>
              <w:t>Annual Report 2023 (audited; PwC, unqualified)</w:t>
            </w:r>
          </w:p>
        </w:tc>
        <w:tc>
          <w:tcPr>
            <w:tcW w:type="dxa" w:w="4248"/>
          </w:tcPr>
          <w:p>
            <w:pPr>
              <w:spacing w:after="20"/>
            </w:pPr>
            <w:r>
              <w:rPr>
                <w:color w:val="1C3A36"/>
                <w:sz w:val="16"/>
              </w:rPr>
              <w:t>FY2023 and complete FY2022 comparatives; the pre-2024 royalty construction (Note 27) that defines Framing B</w:t>
            </w:r>
          </w:p>
        </w:tc>
        <w:tc>
          <w:tcPr>
            <w:tcW w:type="dxa" w:w="1224"/>
          </w:tcPr>
          <w:p>
            <w:pPr>
              <w:spacing w:after="20"/>
            </w:pPr>
            <w:r>
              <w:rPr>
                <w:color w:val="1C3A36"/>
                <w:sz w:val="16"/>
              </w:rPr>
              <w:t>13-Feb-2024</w:t>
            </w:r>
          </w:p>
        </w:tc>
        <w:tc>
          <w:tcPr>
            <w:tcW w:type="dxa" w:w="1296"/>
          </w:tcPr>
          <w:p>
            <w:pPr>
              <w:spacing w:after="20"/>
            </w:pPr>
            <w:r>
              <w:rPr>
                <w:color w:val="1C3A36"/>
                <w:sz w:val="16"/>
              </w:rPr>
              <w:t>investors.du.ae</w:t>
            </w:r>
          </w:p>
        </w:tc>
      </w:tr>
      <w:tr>
        <w:tc>
          <w:tcPr>
            <w:tcW w:type="dxa" w:w="3312"/>
          </w:tcPr>
          <w:p>
            <w:pPr>
              <w:spacing w:after="20"/>
            </w:pPr>
            <w:r>
              <w:rPr>
                <w:color w:val="1C3A36"/>
                <w:sz w:val="16"/>
              </w:rPr>
              <w:t>H1-2026 condensed consolidated interim FS (KPMG ISRE 2410 review)</w:t>
            </w:r>
          </w:p>
        </w:tc>
        <w:tc>
          <w:tcPr>
            <w:tcW w:type="dxa" w:w="4248"/>
          </w:tcPr>
          <w:p>
            <w:pPr>
              <w:spacing w:after="20"/>
            </w:pPr>
            <w:r>
              <w:rPr>
                <w:color w:val="1C3A36"/>
                <w:sz w:val="16"/>
              </w:rPr>
              <w:t>H1/Q2-2026 actuals; the 30-Jun-2026 balance sheet; the licence-term note; the royalty-regime note; dividend record</w:t>
            </w:r>
          </w:p>
        </w:tc>
        <w:tc>
          <w:tcPr>
            <w:tcW w:type="dxa" w:w="1224"/>
          </w:tcPr>
          <w:p>
            <w:pPr>
              <w:spacing w:after="20"/>
            </w:pPr>
            <w:r>
              <w:rPr>
                <w:color w:val="1C3A36"/>
                <w:sz w:val="16"/>
              </w:rPr>
              <w:t>22-Jul-2026</w:t>
            </w:r>
          </w:p>
        </w:tc>
        <w:tc>
          <w:tcPr>
            <w:tcW w:type="dxa" w:w="1296"/>
          </w:tcPr>
          <w:p>
            <w:pPr>
              <w:spacing w:after="20"/>
            </w:pPr>
            <w:r>
              <w:rPr>
                <w:color w:val="1C3A36"/>
                <w:sz w:val="16"/>
              </w:rPr>
              <w:t>investors.du.ae</w:t>
            </w:r>
          </w:p>
        </w:tc>
      </w:tr>
      <w:tr>
        <w:tc>
          <w:tcPr>
            <w:tcW w:type="dxa" w:w="3312"/>
          </w:tcPr>
          <w:p>
            <w:pPr>
              <w:spacing w:after="20"/>
            </w:pPr>
            <w:r>
              <w:rPr>
                <w:color w:val="1C3A36"/>
                <w:sz w:val="16"/>
              </w:rPr>
              <w:t>Q1-2026 condensed consolidated interim FS (KPMG review)</w:t>
            </w:r>
          </w:p>
        </w:tc>
        <w:tc>
          <w:tcPr>
            <w:tcW w:type="dxa" w:w="4248"/>
          </w:tcPr>
          <w:p>
            <w:pPr>
              <w:spacing w:after="20"/>
            </w:pPr>
            <w:r>
              <w:rPr>
                <w:color w:val="1C3A36"/>
                <w:sz w:val="16"/>
              </w:rPr>
              <w:t>Q1-2026 actuals</w:t>
            </w:r>
          </w:p>
        </w:tc>
        <w:tc>
          <w:tcPr>
            <w:tcW w:type="dxa" w:w="1224"/>
          </w:tcPr>
          <w:p>
            <w:pPr>
              <w:spacing w:after="20"/>
            </w:pPr>
            <w:r>
              <w:rPr>
                <w:color w:val="1C3A36"/>
                <w:sz w:val="16"/>
              </w:rPr>
              <w:t>22-Apr-2026</w:t>
            </w:r>
          </w:p>
        </w:tc>
        <w:tc>
          <w:tcPr>
            <w:tcW w:type="dxa" w:w="1296"/>
          </w:tcPr>
          <w:p>
            <w:pPr>
              <w:spacing w:after="20"/>
            </w:pPr>
            <w:r>
              <w:rPr>
                <w:color w:val="1C3A36"/>
                <w:sz w:val="16"/>
              </w:rPr>
              <w:t>investors.du.ae</w:t>
            </w:r>
          </w:p>
        </w:tc>
      </w:tr>
      <w:tr>
        <w:tc>
          <w:tcPr>
            <w:tcW w:type="dxa" w:w="3312"/>
          </w:tcPr>
          <w:p>
            <w:pPr>
              <w:spacing w:after="20"/>
            </w:pPr>
            <w:r>
              <w:rPr>
                <w:color w:val="1C3A36"/>
                <w:sz w:val="16"/>
              </w:rPr>
              <w:t>Q2-2026 earnings release + analyst presentation</w:t>
            </w:r>
          </w:p>
        </w:tc>
        <w:tc>
          <w:tcPr>
            <w:tcW w:type="dxa" w:w="4248"/>
          </w:tcPr>
          <w:p>
            <w:pPr>
              <w:spacing w:after="20"/>
            </w:pPr>
            <w:r>
              <w:rPr>
                <w:color w:val="1C3A36"/>
                <w:sz w:val="16"/>
              </w:rPr>
              <w:t>subscribers, ARPU, capex intensity, revised FY2026 guidance, interim dividend</w:t>
            </w:r>
          </w:p>
        </w:tc>
        <w:tc>
          <w:tcPr>
            <w:tcW w:type="dxa" w:w="1224"/>
          </w:tcPr>
          <w:p>
            <w:pPr>
              <w:spacing w:after="20"/>
            </w:pPr>
            <w:r>
              <w:rPr>
                <w:color w:val="1C3A36"/>
                <w:sz w:val="16"/>
              </w:rPr>
              <w:t>23-Jul-2026</w:t>
            </w:r>
          </w:p>
        </w:tc>
        <w:tc>
          <w:tcPr>
            <w:tcW w:type="dxa" w:w="1296"/>
          </w:tcPr>
          <w:p>
            <w:pPr>
              <w:spacing w:after="20"/>
            </w:pPr>
            <w:r>
              <w:rPr>
                <w:color w:val="1C3A36"/>
                <w:sz w:val="16"/>
              </w:rPr>
              <w:t>investors.du.ae</w:t>
            </w:r>
          </w:p>
        </w:tc>
      </w:tr>
      <w:tr>
        <w:tc>
          <w:tcPr>
            <w:tcW w:type="dxa" w:w="3312"/>
          </w:tcPr>
          <w:p>
            <w:pPr>
              <w:spacing w:after="20"/>
            </w:pPr>
            <w:r>
              <w:rPr>
                <w:color w:val="1C3A36"/>
                <w:sz w:val="16"/>
              </w:rPr>
              <w:t>Q4/FY2025 results presentation</w:t>
            </w:r>
          </w:p>
        </w:tc>
        <w:tc>
          <w:tcPr>
            <w:tcW w:type="dxa" w:w="4248"/>
          </w:tcPr>
          <w:p>
            <w:pPr>
              <w:spacing w:after="20"/>
            </w:pPr>
            <w:r>
              <w:rPr>
                <w:color w:val="1C3A36"/>
                <w:sz w:val="16"/>
              </w:rPr>
              <w:t>FY2025 KPIs, subscriber base, original FY2026 guidance, dividend and payout record</w:t>
            </w:r>
          </w:p>
        </w:tc>
        <w:tc>
          <w:tcPr>
            <w:tcW w:type="dxa" w:w="1224"/>
          </w:tcPr>
          <w:p>
            <w:pPr>
              <w:spacing w:after="20"/>
            </w:pPr>
            <w:r>
              <w:rPr>
                <w:color w:val="1C3A36"/>
                <w:sz w:val="16"/>
              </w:rPr>
              <w:t>10-Feb-2026</w:t>
            </w:r>
          </w:p>
        </w:tc>
        <w:tc>
          <w:tcPr>
            <w:tcW w:type="dxa" w:w="1296"/>
          </w:tcPr>
          <w:p>
            <w:pPr>
              <w:spacing w:after="20"/>
            </w:pPr>
            <w:r>
              <w:rPr>
                <w:color w:val="1C3A36"/>
                <w:sz w:val="16"/>
              </w:rPr>
              <w:t>investors.du.ae</w:t>
            </w:r>
          </w:p>
        </w:tc>
      </w:tr>
      <w:tr>
        <w:tc>
          <w:tcPr>
            <w:tcW w:type="dxa" w:w="3312"/>
          </w:tcPr>
          <w:p>
            <w:pPr>
              <w:spacing w:after="20"/>
            </w:pPr>
            <w:r>
              <w:rPr>
                <w:color w:val="1C3A36"/>
                <w:sz w:val="16"/>
              </w:rPr>
              <w:t>UAE MoF T-bond auction results; Emirates Islamic AED yield sheet</w:t>
            </w:r>
          </w:p>
        </w:tc>
        <w:tc>
          <w:tcPr>
            <w:tcW w:type="dxa" w:w="4248"/>
          </w:tcPr>
          <w:p>
            <w:pPr>
              <w:spacing w:after="20"/>
            </w:pPr>
            <w:r>
              <w:rPr>
                <w:color w:val="1C3A36"/>
                <w:sz w:val="16"/>
              </w:rPr>
              <w:t>the AED risk-free anchor and curve context</w:t>
            </w:r>
          </w:p>
        </w:tc>
        <w:tc>
          <w:tcPr>
            <w:tcW w:type="dxa" w:w="1224"/>
          </w:tcPr>
          <w:p>
            <w:pPr>
              <w:spacing w:after="20"/>
            </w:pPr>
            <w:r>
              <w:rPr>
                <w:color w:val="1C3A36"/>
                <w:sz w:val="16"/>
              </w:rPr>
              <w:t>Jul/Aug-2026</w:t>
            </w:r>
          </w:p>
        </w:tc>
        <w:tc>
          <w:tcPr>
            <w:tcW w:type="dxa" w:w="1296"/>
          </w:tcPr>
          <w:p>
            <w:pPr>
              <w:spacing w:after="20"/>
            </w:pPr>
            <w:r>
              <w:rPr>
                <w:color w:val="1C3A36"/>
                <w:sz w:val="16"/>
              </w:rPr>
              <w:t>public market data</w:t>
            </w:r>
          </w:p>
        </w:tc>
      </w:tr>
      <w:tr>
        <w:tc>
          <w:tcPr>
            <w:tcW w:type="dxa" w:w="3312"/>
          </w:tcPr>
          <w:p>
            <w:pPr>
              <w:spacing w:after="20"/>
            </w:pPr>
            <w:r>
              <w:rPr>
                <w:color w:val="1C3A36"/>
                <w:sz w:val="16"/>
              </w:rPr>
              <w:t>Damodaran country risk dataset (ctryprem)</w:t>
            </w:r>
          </w:p>
        </w:tc>
        <w:tc>
          <w:tcPr>
            <w:tcW w:type="dxa" w:w="4248"/>
          </w:tcPr>
          <w:p>
            <w:pPr>
              <w:spacing w:after="20"/>
            </w:pPr>
            <w:r>
              <w:rPr>
                <w:color w:val="1C3A36"/>
                <w:sz w:val="16"/>
              </w:rPr>
              <w:t>UAE rating-based default spread and equity risk premium; the live implied US premium</w:t>
            </w:r>
          </w:p>
        </w:tc>
        <w:tc>
          <w:tcPr>
            <w:tcW w:type="dxa" w:w="1224"/>
          </w:tcPr>
          <w:p>
            <w:pPr>
              <w:spacing w:after="20"/>
            </w:pPr>
            <w:r>
              <w:rPr>
                <w:color w:val="1C3A36"/>
                <w:sz w:val="16"/>
              </w:rPr>
              <w:t>05-Jan-2026 / 01-Aug-2026</w:t>
            </w:r>
          </w:p>
        </w:tc>
        <w:tc>
          <w:tcPr>
            <w:tcW w:type="dxa" w:w="1296"/>
          </w:tcPr>
          <w:p>
            <w:pPr>
              <w:spacing w:after="20"/>
            </w:pPr>
            <w:r>
              <w:rPr>
                <w:color w:val="1C3A36"/>
                <w:sz w:val="16"/>
              </w:rPr>
              <w:t>pages.stern.nyu.edu/~adamodar</w:t>
            </w:r>
          </w:p>
        </w:tc>
      </w:tr>
      <w:tr>
        <w:tc>
          <w:tcPr>
            <w:tcW w:type="dxa" w:w="3312"/>
          </w:tcPr>
          <w:p>
            <w:pPr>
              <w:spacing w:after="20"/>
            </w:pPr>
            <w:r>
              <w:rPr>
                <w:color w:val="1C3A36"/>
                <w:sz w:val="16"/>
              </w:rPr>
              <w:t>DFM official index API + cross-validated Yahoo history</w:t>
            </w:r>
          </w:p>
        </w:tc>
        <w:tc>
          <w:tcPr>
            <w:tcW w:type="dxa" w:w="4248"/>
          </w:tcPr>
          <w:p>
            <w:pPr>
              <w:spacing w:after="20"/>
            </w:pPr>
            <w:r>
              <w:rPr>
                <w:color w:val="1C3A36"/>
                <w:sz w:val="16"/>
              </w:rPr>
              <w:t>the DFM General Index series behind the beta regression (identical closes on all 307 overlapping sessions)</w:t>
            </w:r>
          </w:p>
        </w:tc>
        <w:tc>
          <w:tcPr>
            <w:tcW w:type="dxa" w:w="1224"/>
          </w:tcPr>
          <w:p>
            <w:pPr>
              <w:spacing w:after="20"/>
            </w:pPr>
            <w:r>
              <w:rPr>
                <w:color w:val="1C3A36"/>
                <w:sz w:val="16"/>
              </w:rPr>
              <w:t>2021-2026</w:t>
            </w:r>
          </w:p>
        </w:tc>
        <w:tc>
          <w:tcPr>
            <w:tcW w:type="dxa" w:w="1296"/>
          </w:tcPr>
          <w:p>
            <w:pPr>
              <w:spacing w:after="20"/>
            </w:pPr>
            <w:r>
              <w:rPr>
                <w:color w:val="1C3A36"/>
                <w:sz w:val="16"/>
              </w:rPr>
              <w:t>api2.dfm.ae / finance.yahoo.com</w:t>
            </w:r>
          </w:p>
        </w:tc>
      </w:tr>
      <w:tr>
        <w:tc>
          <w:tcPr>
            <w:tcW w:type="dxa" w:w="3312"/>
          </w:tcPr>
          <w:p>
            <w:pPr>
              <w:spacing w:after="20"/>
            </w:pPr>
            <w:r>
              <w:rPr>
                <w:color w:val="1C3A36"/>
                <w:sz w:val="16"/>
              </w:rPr>
              <w:t>stc USD sukuk curve quotes</w:t>
            </w:r>
          </w:p>
        </w:tc>
        <w:tc>
          <w:tcPr>
            <w:tcW w:type="dxa" w:w="4248"/>
          </w:tcPr>
          <w:p>
            <w:pPr>
              <w:spacing w:after="20"/>
            </w:pPr>
            <w:r>
              <w:rPr>
                <w:color w:val="1C3A36"/>
                <w:sz w:val="16"/>
              </w:rPr>
              <w:t>the GCC telecom credit spread behind the marginal cost of debt</w:t>
            </w:r>
          </w:p>
        </w:tc>
        <w:tc>
          <w:tcPr>
            <w:tcW w:type="dxa" w:w="1224"/>
          </w:tcPr>
          <w:p>
            <w:pPr>
              <w:spacing w:after="20"/>
            </w:pPr>
            <w:r>
              <w:rPr>
                <w:color w:val="1C3A36"/>
                <w:sz w:val="16"/>
              </w:rPr>
              <w:t>06-Aug-2026</w:t>
            </w:r>
          </w:p>
        </w:tc>
        <w:tc>
          <w:tcPr>
            <w:tcW w:type="dxa" w:w="1296"/>
          </w:tcPr>
          <w:p>
            <w:pPr>
              <w:spacing w:after="20"/>
            </w:pPr>
            <w:r>
              <w:rPr>
                <w:color w:val="1C3A36"/>
                <w:sz w:val="16"/>
              </w:rPr>
              <w:t>public market data</w:t>
            </w:r>
          </w:p>
        </w:tc>
      </w:tr>
      <w:tr>
        <w:tc>
          <w:tcPr>
            <w:tcW w:type="dxa" w:w="3312"/>
          </w:tcPr>
          <w:p>
            <w:pPr>
              <w:spacing w:after="20"/>
            </w:pPr>
            <w:r>
              <w:rPr>
                <w:color w:val="1C3A36"/>
                <w:sz w:val="16"/>
              </w:rPr>
              <w:t>Mobily FY2025 and H1-2026 results announcements (Saudi Exchange issuer filings) and FY2025 earnings release</w:t>
            </w:r>
          </w:p>
        </w:tc>
        <w:tc>
          <w:tcPr>
            <w:tcW w:type="dxa" w:w="4248"/>
          </w:tcPr>
          <w:p>
            <w:pPr>
              <w:spacing w:after="20"/>
            </w:pPr>
            <w:r>
              <w:rPr>
                <w:color w:val="1C3A36"/>
                <w:sz w:val="16"/>
              </w:rPr>
              <w:t>the justified price/earnings multiple and the peer dividend-yield anchor, both re-derived from filed earnings after the first edition used a stale aggregator figure: trailing EPS SAR 4.76 = FY2025 4.51 + H1-2026 2.32 - H1-2025 2.07, giving 12.9x on the 06-Aug-2026 close of SAR 61.30 (the market-cap route ties independently)</w:t>
            </w:r>
          </w:p>
        </w:tc>
        <w:tc>
          <w:tcPr>
            <w:tcW w:type="dxa" w:w="1224"/>
          </w:tcPr>
          <w:p>
            <w:pPr>
              <w:spacing w:after="20"/>
            </w:pPr>
            <w:r>
              <w:rPr>
                <w:color w:val="1C3A36"/>
                <w:sz w:val="16"/>
              </w:rPr>
              <w:t>06-Aug-2026</w:t>
            </w:r>
          </w:p>
        </w:tc>
        <w:tc>
          <w:tcPr>
            <w:tcW w:type="dxa" w:w="1296"/>
          </w:tcPr>
          <w:p>
            <w:pPr>
              <w:spacing w:after="20"/>
            </w:pPr>
            <w:r>
              <w:rPr>
                <w:color w:val="1C3A36"/>
                <w:sz w:val="16"/>
              </w:rPr>
              <w:t>saudiexchange.sa / mobily.com.sa</w:t>
            </w:r>
          </w:p>
        </w:tc>
      </w:tr>
      <w:tr>
        <w:tc>
          <w:tcPr>
            <w:tcW w:type="dxa" w:w="3312"/>
          </w:tcPr>
          <w:p>
            <w:pPr>
              <w:spacing w:after="20"/>
            </w:pPr>
            <w:r>
              <w:rPr>
                <w:color w:val="1C3A36"/>
                <w:sz w:val="16"/>
              </w:rPr>
              <w:t>e&amp; FY2025, H1-2025 and H1-2026 results releases</w:t>
            </w:r>
          </w:p>
        </w:tc>
        <w:tc>
          <w:tcPr>
            <w:tcW w:type="dxa" w:w="4248"/>
          </w:tcPr>
          <w:p>
            <w:pPr>
              <w:spacing w:after="20"/>
            </w:pPr>
            <w:r>
              <w:rPr>
                <w:color w:val="1C3A36"/>
                <w:sz w:val="16"/>
              </w:rPr>
              <w:t>the second filing-derived peer multiple: trailing EPS AED 1.33 reported-attributable, 15.7x on the 06-Aug-2026 close of AED 20.98. NOTE the basis trap: e&amp;'s own H1-2026 release quotes the H1-2025 comparative on an ADJUSTED basis, which if used fabricates a 12.6x</w:t>
            </w:r>
          </w:p>
        </w:tc>
        <w:tc>
          <w:tcPr>
            <w:tcW w:type="dxa" w:w="1224"/>
          </w:tcPr>
          <w:p>
            <w:pPr>
              <w:spacing w:after="20"/>
            </w:pPr>
            <w:r>
              <w:rPr>
                <w:color w:val="1C3A36"/>
                <w:sz w:val="16"/>
              </w:rPr>
              <w:t>06-Aug-2026</w:t>
            </w:r>
          </w:p>
        </w:tc>
        <w:tc>
          <w:tcPr>
            <w:tcW w:type="dxa" w:w="1296"/>
          </w:tcPr>
          <w:p>
            <w:pPr>
              <w:spacing w:after="20"/>
            </w:pPr>
            <w:r>
              <w:rPr>
                <w:color w:val="1C3A36"/>
                <w:sz w:val="16"/>
              </w:rPr>
              <w:t>eand.com</w:t>
            </w:r>
          </w:p>
        </w:tc>
      </w:tr>
      <w:tr>
        <w:tc>
          <w:tcPr>
            <w:tcW w:type="dxa" w:w="3312"/>
          </w:tcPr>
          <w:p>
            <w:pPr>
              <w:spacing w:after="20"/>
            </w:pPr>
            <w:r>
              <w:rPr>
                <w:color w:val="1C3A36"/>
                <w:sz w:val="16"/>
              </w:rPr>
              <w:t>du dividend-distribution disclosure to DFM, Ref RME/14/2026</w:t>
            </w:r>
          </w:p>
        </w:tc>
        <w:tc>
          <w:tcPr>
            <w:tcW w:type="dxa" w:w="4248"/>
          </w:tcPr>
          <w:p>
            <w:pPr>
              <w:spacing w:after="20"/>
            </w:pPr>
            <w:r>
              <w:rPr>
                <w:color w:val="1C3A36"/>
                <w:sz w:val="16"/>
              </w:rPr>
              <w:t>the interim dividend timetable that determines which dividends are still in the anchor price: ex-date 31-Jul-2026, record 03-Aug-2026, payment 21-Aug-2026</w:t>
            </w:r>
          </w:p>
        </w:tc>
        <w:tc>
          <w:tcPr>
            <w:tcW w:type="dxa" w:w="1224"/>
          </w:tcPr>
          <w:p>
            <w:pPr>
              <w:spacing w:after="20"/>
            </w:pPr>
            <w:r>
              <w:rPr>
                <w:color w:val="1C3A36"/>
                <w:sz w:val="16"/>
              </w:rPr>
              <w:t>2026-07-31</w:t>
            </w:r>
          </w:p>
        </w:tc>
        <w:tc>
          <w:tcPr>
            <w:tcW w:type="dxa" w:w="1296"/>
          </w:tcPr>
          <w:p>
            <w:pPr>
              <w:spacing w:after="20"/>
            </w:pPr>
            <w:r>
              <w:rPr>
                <w:color w:val="1C3A36"/>
                <w:sz w:val="16"/>
              </w:rPr>
              <w:t>du filing via DFM</w:t>
            </w:r>
          </w:p>
        </w:tc>
      </w:tr>
      <w:tr>
        <w:tc>
          <w:tcPr>
            <w:tcW w:type="dxa" w:w="3312"/>
          </w:tcPr>
          <w:p>
            <w:pPr>
              <w:spacing w:after="20"/>
            </w:pPr>
            <w:r>
              <w:rPr>
                <w:color w:val="1C3A36"/>
                <w:sz w:val="16"/>
              </w:rPr>
              <w:t>du disclosure announcement, "Extension of Federal Royalty Scheme for the Period 2027-2029"</w:t>
            </w:r>
          </w:p>
        </w:tc>
        <w:tc>
          <w:tcPr>
            <w:tcW w:type="dxa" w:w="4248"/>
          </w:tcPr>
          <w:p>
            <w:pPr>
              <w:spacing w:after="20"/>
            </w:pPr>
            <w:r>
              <w:rPr>
                <w:color w:val="1C3A36"/>
                <w:sz w:val="16"/>
              </w:rPr>
              <w:t>the settled 2027-2029 fiscal regime, including the express retention of the AED 1.8bn combined annual floor</w:t>
            </w:r>
          </w:p>
        </w:tc>
        <w:tc>
          <w:tcPr>
            <w:tcW w:type="dxa" w:w="1224"/>
          </w:tcPr>
          <w:p>
            <w:pPr>
              <w:spacing w:after="20"/>
            </w:pPr>
            <w:r>
              <w:rPr>
                <w:color w:val="1C3A36"/>
                <w:sz w:val="16"/>
              </w:rPr>
              <w:t>2026-07-24</w:t>
            </w:r>
          </w:p>
        </w:tc>
        <w:tc>
          <w:tcPr>
            <w:tcW w:type="dxa" w:w="1296"/>
          </w:tcPr>
          <w:p>
            <w:pPr>
              <w:spacing w:after="20"/>
            </w:pPr>
            <w:r>
              <w:rPr>
                <w:color w:val="1C3A36"/>
                <w:sz w:val="16"/>
              </w:rPr>
              <w:t>du company disclosure</w:t>
            </w:r>
          </w:p>
        </w:tc>
      </w:tr>
      <w:tr>
        <w:tc>
          <w:tcPr>
            <w:tcW w:type="dxa" w:w="3312"/>
          </w:tcPr>
          <w:p>
            <w:pPr>
              <w:spacing w:after="20"/>
            </w:pPr>
            <w:r>
              <w:rPr>
                <w:color w:val="1C3A36"/>
                <w:sz w:val="16"/>
              </w:rPr>
              <w:t>IMF World Economic Outlook (Apr-2026) and July-2026 Update</w:t>
            </w:r>
          </w:p>
        </w:tc>
        <w:tc>
          <w:tcPr>
            <w:tcW w:type="dxa" w:w="4248"/>
          </w:tcPr>
          <w:p>
            <w:pPr>
              <w:spacing w:after="20"/>
            </w:pPr>
            <w:r>
              <w:rPr>
                <w:color w:val="1C3A36"/>
                <w:sz w:val="16"/>
              </w:rPr>
              <w:t>UAE and regional growth/inflation; the war's macro baseline</w:t>
            </w:r>
          </w:p>
        </w:tc>
        <w:tc>
          <w:tcPr>
            <w:tcW w:type="dxa" w:w="1224"/>
          </w:tcPr>
          <w:p>
            <w:pPr>
              <w:spacing w:after="20"/>
            </w:pPr>
            <w:r>
              <w:rPr>
                <w:color w:val="1C3A36"/>
                <w:sz w:val="16"/>
              </w:rPr>
              <w:t>Apr/Jul-2026</w:t>
            </w:r>
          </w:p>
        </w:tc>
        <w:tc>
          <w:tcPr>
            <w:tcW w:type="dxa" w:w="1296"/>
          </w:tcPr>
          <w:p>
            <w:pPr>
              <w:spacing w:after="20"/>
            </w:pPr>
            <w:r>
              <w:rPr>
                <w:color w:val="1C3A36"/>
                <w:sz w:val="16"/>
              </w:rPr>
              <w:t>imf.org</w:t>
            </w:r>
          </w:p>
        </w:tc>
      </w:tr>
    </w:tbl>
    <w:p>
      <w:pPr>
        <w:spacing w:after="40"/>
      </w:pPr>
    </w:p>
    <w:p>
      <w:pPr>
        <w:spacing w:after="80" w:before="240"/>
      </w:pPr>
      <w:r>
        <w:rPr>
          <w:b/>
          <w:i w:val="0"/>
          <w:color w:val="1C3A36"/>
          <w:sz w:val="26"/>
        </w:rPr>
        <w:t>The full input register</w:t>
      </w:r>
    </w:p>
    <w:p>
      <w:pPr>
        <w:spacing w:after="60" w:before="160"/>
      </w:pPr>
      <w:r>
        <w:rPr>
          <w:b/>
          <w:i w:val="0"/>
          <w:color w:val="1C3A36"/>
          <w:sz w:val="22"/>
        </w:rPr>
        <w:t>Market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spot</w:t>
            </w:r>
          </w:p>
        </w:tc>
        <w:tc>
          <w:tcPr>
            <w:tcW w:type="dxa" w:w="1656"/>
          </w:tcPr>
          <w:p>
            <w:pPr>
              <w:spacing w:after="20"/>
            </w:pPr>
            <w:r>
              <w:rPr>
                <w:color w:val="1C3A36"/>
                <w:sz w:val="14"/>
              </w:rPr>
              <w:t>11.38</w:t>
            </w:r>
          </w:p>
        </w:tc>
        <w:tc>
          <w:tcPr>
            <w:tcW w:type="dxa" w:w="5904"/>
          </w:tcPr>
          <w:p>
            <w:pPr>
              <w:spacing w:after="20"/>
            </w:pPr>
            <w:r>
              <w:rPr>
                <w:color w:val="1C3A36"/>
                <w:sz w:val="14"/>
              </w:rPr>
              <w:t>DFM close for DU on 7 September 2026 — THE LATEST SESSION IN THIS NAME'S OWN DAILY PRICE HISTORY, which is also the close the 07-Sep-2026 roll-forward struck this name's price cone on. RE-STRUCK 08-09-2026, critique response findings F1/F30/S10/S11. The prior edition published AED 11.36 and dated it three different ways in three artefacts — 7 August on the masthead, 3 September in the register — and it is NEITHER: 11.36 is the 31 AUGUST close. It came in on a supplied price list dated 3 September, which records it as the 3-September close; the daily history says the 3-September close was 11.12. A supplied price is a hand-off, not a source, and this one was never put against the library the way another figure on the same list was on 6 September. The correction is recorded beside that list rather than the value silently replaced</w:t>
            </w:r>
          </w:p>
        </w:tc>
        <w:tc>
          <w:tcPr>
            <w:tcW w:type="dxa" w:w="1080"/>
          </w:tcPr>
          <w:p>
            <w:pPr>
              <w:spacing w:after="20"/>
            </w:pPr>
            <w:r>
              <w:rPr>
                <w:color w:val="1C3A36"/>
                <w:sz w:val="14"/>
              </w:rPr>
              <w:t>2026-09-07</w:t>
            </w:r>
          </w:p>
        </w:tc>
      </w:tr>
      <w:tr>
        <w:tc>
          <w:tcPr>
            <w:tcW w:type="dxa" w:w="1512"/>
          </w:tcPr>
          <w:p>
            <w:pPr>
              <w:spacing w:after="20"/>
            </w:pPr>
            <w:r>
              <w:rPr>
                <w:color w:val="1C3A36"/>
                <w:sz w:val="14"/>
              </w:rPr>
              <w:t>beta</w:t>
            </w:r>
          </w:p>
        </w:tc>
        <w:tc>
          <w:tcPr>
            <w:tcW w:type="dxa" w:w="1656"/>
          </w:tcPr>
          <w:p>
            <w:pPr>
              <w:spacing w:after="20"/>
            </w:pPr>
            <w:r>
              <w:rPr>
                <w:color w:val="1C3A36"/>
                <w:sz w:val="14"/>
              </w:rPr>
              <w:t>0.5569</w:t>
            </w:r>
          </w:p>
        </w:tc>
        <w:tc>
          <w:tcPr>
            <w:tcW w:type="dxa" w:w="5904"/>
          </w:tcPr>
          <w:p>
            <w:pPr>
              <w:spacing w:after="20"/>
            </w:pPr>
            <w:r>
              <w:rPr>
                <w:color w:val="1C3A36"/>
                <w:sz w:val="14"/>
              </w:rPr>
              <w:t>OWN-STOCK TIER-1 REGRESSION through beta_regression.own_stock_beta('DU','AE','DFM') -- the only sanctioned route; a study-local regression script is a hard fail (SIGCM clause 6). Weekly log-returns on the exchange's own realised trading week (W-FRI), 4.81 years to 2026-07-17, Dimson lead-lag corrected for thin trading: beta 0.5569, R2 0.141, n 249, SE 0.149, CI90 [0.31, 0.80] -- passes the usability gate (n&gt;=24, R2&gt;=5%, SE&lt;|beta|). Regressor: the FTSE ADX General Index, the published index series as of 2026-07-24. THE REGRESSOR IS A REGISTERED INTERIM AND THIS BETA IS THEREFORE NOT CONFORMING: INTERIM: DFM-listed name regressed against FTSE ADX General, by instruction 10-Aug-2026, because no DFM General series is held. Empirically the better-supported half of the substitution: over five years of weekly returns FADGI explains the six DFM names BETTER than it explains the ADX names it actually covers (median R2 0.240 vs 0.127; median beta 1.067 vs 1.037), and all six clear the R2&gt;=5% usability gate. HELD OPEN BY INSTRUCTION, 23-Aug-2026. A DFM General series IS now held at raw_indices/AE/DFMGI.csv (2015-01-05 to 2026-07-16), so the 10-Aug clause's replacement condition ('replace with a DFM index when one is supplied') is met and has been explicitly DECLINED for now: the nine DFM names stay on FTSE ADX General. DFMGI is HELD BUT NOT REGISTERED -- do not map ("AE","DFM") to it without a further instruction. The cost is measured, not nil: on the two names run both ways DFMGI has the higher explanatory power (AIRARABIA beta 0.812/R2 0.135 on FADGI vs 1.086/0.402 on DFMGI; EMPOWER 0.863/0.103 vs 0.652/0.157), moving beta by a quarter to a third in OPPOSITE directions -- so this is not a uniform bias a reader can correct for. Quote this note wherever the beta is quoted, and never call such a beta conforming. Cross-checks, published and never adopted: DFM General (du's own listing venue, from the registered series) 0.4613 (R2 0.201, n 250); equal-weight AE library composite 0.4309 (n 260, 27 names), which is a coverage artefact and not a regressor. SUPERSEDES 0.488, which came from a study-local script reading a copy of the index held inside this study directory, sampling its own weekly grid and applying no Dimson correction.</w:t>
            </w:r>
          </w:p>
        </w:tc>
        <w:tc>
          <w:tcPr>
            <w:tcW w:type="dxa" w:w="1080"/>
          </w:tcPr>
          <w:p>
            <w:pPr>
              <w:spacing w:after="20"/>
            </w:pPr>
            <w:r>
              <w:rPr>
                <w:color w:val="1C3A36"/>
                <w:sz w:val="14"/>
              </w:rPr>
              <w:t>2026-07-24</w:t>
            </w:r>
          </w:p>
        </w:tc>
      </w:tr>
    </w:tbl>
    <w:p>
      <w:pPr>
        <w:spacing w:after="40"/>
      </w:pPr>
    </w:p>
    <w:p>
      <w:pPr>
        <w:spacing w:after="60" w:before="160"/>
      </w:pPr>
      <w:r>
        <w:rPr>
          <w:b/>
          <w:i w:val="0"/>
          <w:color w:val="1C3A36"/>
          <w:sz w:val="22"/>
        </w:rPr>
        <w:t>Company layer — 167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shares_mn</w:t>
            </w:r>
          </w:p>
        </w:tc>
        <w:tc>
          <w:tcPr>
            <w:tcW w:type="dxa" w:w="1656"/>
          </w:tcPr>
          <w:p>
            <w:pPr>
              <w:spacing w:after="20"/>
            </w:pPr>
            <w:r>
              <w:rPr>
                <w:color w:val="1C3A36"/>
                <w:sz w:val="14"/>
              </w:rPr>
              <w:t>4,532.9</w:t>
            </w:r>
          </w:p>
        </w:tc>
        <w:tc>
          <w:tcPr>
            <w:tcW w:type="dxa" w:w="5904"/>
          </w:tcPr>
          <w:p>
            <w:pPr>
              <w:spacing w:after="20"/>
            </w:pPr>
            <w:r>
              <w:rPr>
                <w:color w:val="1C3A36"/>
                <w:sz w:val="14"/>
              </w:rPr>
              <w:t>Share capital note 27, audited FY2025 consolidated FS: 4,532,905,989 shares of AED 1 each, authorised, issued and fully paid, unchanged across FY2023-FY2025 and both 2026 interims</w:t>
            </w:r>
          </w:p>
        </w:tc>
        <w:tc>
          <w:tcPr>
            <w:tcW w:type="dxa" w:w="1080"/>
          </w:tcPr>
          <w:p>
            <w:pPr>
              <w:spacing w:after="20"/>
            </w:pPr>
            <w:r>
              <w:rPr>
                <w:color w:val="1C3A36"/>
                <w:sz w:val="14"/>
              </w:rPr>
              <w:t>2026-02-09</w:t>
            </w:r>
          </w:p>
        </w:tc>
      </w:tr>
      <w:tr>
        <w:tc>
          <w:tcPr>
            <w:tcW w:type="dxa" w:w="1512"/>
          </w:tcPr>
          <w:p>
            <w:pPr>
              <w:spacing w:after="20"/>
            </w:pPr>
            <w:r>
              <w:rPr>
                <w:color w:val="1C3A36"/>
                <w:sz w:val="14"/>
              </w:rPr>
              <w:t>div_between</w:t>
            </w:r>
          </w:p>
        </w:tc>
        <w:tc>
          <w:tcPr>
            <w:tcW w:type="dxa" w:w="1656"/>
          </w:tcPr>
          <w:p>
            <w:pPr>
              <w:spacing w:after="20"/>
            </w:pPr>
            <w:r>
              <w:rPr>
                <w:color w:val="1C3A36"/>
                <w:sz w:val="14"/>
              </w:rPr>
              <w:t>0.66</w:t>
            </w:r>
          </w:p>
        </w:tc>
        <w:tc>
          <w:tcPr>
            <w:tcW w:type="dxa" w:w="5904"/>
          </w:tcPr>
          <w:p>
            <w:pPr>
              <w:spacing w:after="20"/>
            </w:pPr>
            <w:r>
              <w:rPr>
                <w:color w:val="1C3A36"/>
                <w:sz w:val="14"/>
              </w:rPr>
              <w:t>Dividends whose EX-DATE falls between the 31-Dec-2025 valuation date and the 07-Sep-2026 anchor, and which are therefore no longer in the share price. IT IS NOT ONE DIVIDEND AND THE LABEL SAID IT WAS (critique finding F9, corrected 08-09-2026): AED 0.66 is the AED 0.40 FINAL FY2025 dividend PLUS the AED 0.26 H1-2026 INTERIM, and three artefacts called the whole sum 'the final dividend'. No further dividend went ex between the prior 7-Aug anchor and this one, so moving the anchor does not change the amount: the final FY2025 AED 0.40 (AGM 30-Mar-2026, paid 28-Apr-2026) PLUS the H1-2026 interim AED 0.26 — Board-approved 22-Jul-2026, EX-DATE 31-JULY-2026, record 03-Aug-2026, paid 21-Aug-2026, per du's own dividend disclosure to DFM (Ref RME/14/2026). CORRECTED 17-Aug-2026: the prior edition carried only 0.40, on the reasoning that the interim was declared but unpaid at the anchor so it 'stays in the share'. That applied the PAYMENT date; the correct test is the EX-date, which had passed six trading sessions before the anchor. The anchor spot of AED 12.30 is ex the 0.26, so every lens rolled to that anchor must be ex it too</w:t>
            </w:r>
          </w:p>
        </w:tc>
        <w:tc>
          <w:tcPr>
            <w:tcW w:type="dxa" w:w="1080"/>
          </w:tcPr>
          <w:p>
            <w:pPr>
              <w:spacing w:after="20"/>
            </w:pPr>
            <w:r>
              <w:rPr>
                <w:color w:val="1C3A36"/>
                <w:sz w:val="14"/>
              </w:rPr>
              <w:t>2026-07-31</w:t>
            </w:r>
          </w:p>
        </w:tc>
      </w:tr>
      <w:tr>
        <w:tc>
          <w:tcPr>
            <w:tcW w:type="dxa" w:w="1512"/>
          </w:tcPr>
          <w:p>
            <w:pPr>
              <w:spacing w:after="20"/>
            </w:pPr>
            <w:r>
              <w:rPr>
                <w:color w:val="1C3A36"/>
                <w:sz w:val="14"/>
              </w:rPr>
              <w:t>rev_fy23</w:t>
            </w:r>
          </w:p>
        </w:tc>
        <w:tc>
          <w:tcPr>
            <w:tcW w:type="dxa" w:w="1656"/>
          </w:tcPr>
          <w:p>
            <w:pPr>
              <w:spacing w:after="20"/>
            </w:pPr>
            <w:r>
              <w:rPr>
                <w:color w:val="1C3A36"/>
                <w:sz w:val="14"/>
              </w:rPr>
              <w:t>13,636.3</w:t>
            </w:r>
          </w:p>
        </w:tc>
        <w:tc>
          <w:tcPr>
            <w:tcW w:type="dxa" w:w="5904"/>
          </w:tcPr>
          <w:p>
            <w:pPr>
              <w:spacing w:after="20"/>
            </w:pPr>
            <w:r>
              <w:rPr>
                <w:color w:val="1C3A36"/>
                <w:sz w:val="14"/>
              </w:rPr>
              <w:t>Audited consolidated FS, Annual Report 2023, investors.du.ae (PwC, unqualified opinion 13-Feb-2024), consolidated statement of comprehensive income</w:t>
            </w:r>
          </w:p>
        </w:tc>
        <w:tc>
          <w:tcPr>
            <w:tcW w:type="dxa" w:w="1080"/>
          </w:tcPr>
          <w:p>
            <w:pPr>
              <w:spacing w:after="20"/>
            </w:pPr>
            <w:r>
              <w:rPr>
                <w:color w:val="1C3A36"/>
                <w:sz w:val="14"/>
              </w:rPr>
              <w:t>2024-02-13</w:t>
            </w:r>
          </w:p>
        </w:tc>
      </w:tr>
      <w:tr>
        <w:tc>
          <w:tcPr>
            <w:tcW w:type="dxa" w:w="1512"/>
          </w:tcPr>
          <w:p>
            <w:pPr>
              <w:spacing w:after="20"/>
            </w:pPr>
            <w:r>
              <w:rPr>
                <w:color w:val="1C3A36"/>
                <w:sz w:val="14"/>
              </w:rPr>
              <w:t>rev_fy24</w:t>
            </w:r>
          </w:p>
        </w:tc>
        <w:tc>
          <w:tcPr>
            <w:tcW w:type="dxa" w:w="1656"/>
          </w:tcPr>
          <w:p>
            <w:pPr>
              <w:spacing w:after="20"/>
            </w:pPr>
            <w:r>
              <w:rPr>
                <w:color w:val="1C3A36"/>
                <w:sz w:val="14"/>
              </w:rPr>
              <w:t>14,635.9</w:t>
            </w:r>
          </w:p>
        </w:tc>
        <w:tc>
          <w:tcPr>
            <w:tcW w:type="dxa" w:w="5904"/>
          </w:tcPr>
          <w:p>
            <w:pPr>
              <w:spacing w:after="20"/>
            </w:pPr>
            <w:r>
              <w:rPr>
                <w:color w:val="1C3A36"/>
                <w:sz w:val="14"/>
              </w:rPr>
              <w:t>Audited consolidated FS, Integrated Annual Report 2025, investors.du.ae (KPMG Lower Gulf, unmodified opinion 09-Feb-2026), FY2024 comparative (IFRS 18 re-presented, Note 39)</w:t>
            </w:r>
          </w:p>
        </w:tc>
        <w:tc>
          <w:tcPr>
            <w:tcW w:type="dxa" w:w="1080"/>
          </w:tcPr>
          <w:p>
            <w:pPr>
              <w:spacing w:after="20"/>
            </w:pPr>
            <w:r>
              <w:rPr>
                <w:color w:val="1C3A36"/>
                <w:sz w:val="14"/>
              </w:rPr>
              <w:t>2026-02-09</w:t>
            </w:r>
          </w:p>
        </w:tc>
      </w:tr>
      <w:tr>
        <w:tc>
          <w:tcPr>
            <w:tcW w:type="dxa" w:w="1512"/>
          </w:tcPr>
          <w:p>
            <w:pPr>
              <w:spacing w:after="20"/>
            </w:pPr>
            <w:r>
              <w:rPr>
                <w:color w:val="1C3A36"/>
                <w:sz w:val="14"/>
              </w:rPr>
              <w:t>rev_fy25</w:t>
            </w:r>
          </w:p>
        </w:tc>
        <w:tc>
          <w:tcPr>
            <w:tcW w:type="dxa" w:w="1656"/>
          </w:tcPr>
          <w:p>
            <w:pPr>
              <w:spacing w:after="20"/>
            </w:pPr>
            <w:r>
              <w:rPr>
                <w:color w:val="1C3A36"/>
                <w:sz w:val="14"/>
              </w:rPr>
              <w:t>15,905.4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ebitda_fy25</w:t>
            </w:r>
          </w:p>
        </w:tc>
        <w:tc>
          <w:tcPr>
            <w:tcW w:type="dxa" w:w="1656"/>
          </w:tcPr>
          <w:p>
            <w:pPr>
              <w:spacing w:after="20"/>
            </w:pPr>
            <w:r>
              <w:rPr>
                <w:color w:val="1C3A36"/>
                <w:sz w:val="14"/>
              </w:rPr>
              <w:t>7,338.4</w:t>
            </w:r>
          </w:p>
        </w:tc>
        <w:tc>
          <w:tcPr>
            <w:tcW w:type="dxa" w:w="5904"/>
          </w:tcPr>
          <w:p>
            <w:pPr>
              <w:spacing w:after="20"/>
            </w:pPr>
            <w:r>
              <w:rPr>
                <w:color w:val="1C3A36"/>
                <w:sz w:val="14"/>
              </w:rPr>
              <w:t>Audited consolidated FS, Integrated Annual Report 2025, investors.du.ae (KPMG Lower Gulf, unmodified opinion 09-Feb-2026): 'Operating profit before depreciation and amortization' printed on the face of the statement</w:t>
            </w:r>
          </w:p>
        </w:tc>
        <w:tc>
          <w:tcPr>
            <w:tcW w:type="dxa" w:w="1080"/>
          </w:tcPr>
          <w:p>
            <w:pPr>
              <w:spacing w:after="20"/>
            </w:pPr>
            <w:r>
              <w:rPr>
                <w:color w:val="1C3A36"/>
                <w:sz w:val="14"/>
              </w:rPr>
              <w:t>2026-02-09</w:t>
            </w:r>
          </w:p>
        </w:tc>
      </w:tr>
      <w:tr>
        <w:tc>
          <w:tcPr>
            <w:tcW w:type="dxa" w:w="1512"/>
          </w:tcPr>
          <w:p>
            <w:pPr>
              <w:spacing w:after="20"/>
            </w:pPr>
            <w:r>
              <w:rPr>
                <w:color w:val="1C3A36"/>
                <w:sz w:val="14"/>
              </w:rPr>
              <w:t>ebitda_fy24</w:t>
            </w:r>
          </w:p>
        </w:tc>
        <w:tc>
          <w:tcPr>
            <w:tcW w:type="dxa" w:w="1656"/>
          </w:tcPr>
          <w:p>
            <w:pPr>
              <w:spacing w:after="20"/>
            </w:pPr>
            <w:r>
              <w:rPr>
                <w:color w:val="1C3A36"/>
                <w:sz w:val="14"/>
              </w:rPr>
              <w:t>6,469.8</w:t>
            </w:r>
          </w:p>
        </w:tc>
        <w:tc>
          <w:tcPr>
            <w:tcW w:type="dxa" w:w="5904"/>
          </w:tcPr>
          <w:p>
            <w:pPr>
              <w:spacing w:after="20"/>
            </w:pPr>
            <w:r>
              <w:rPr>
                <w:color w:val="1C3A36"/>
                <w:sz w:val="14"/>
              </w:rPr>
              <w:t>Audited consolidated FS, Integrated Annual Report 2025, investors.du.ae (KPMG Lower Gulf, unmodified opinion 09-Feb-2026), FY2024 comparative on the face (IFRS 18)</w:t>
            </w:r>
          </w:p>
        </w:tc>
        <w:tc>
          <w:tcPr>
            <w:tcW w:type="dxa" w:w="1080"/>
          </w:tcPr>
          <w:p>
            <w:pPr>
              <w:spacing w:after="20"/>
            </w:pPr>
            <w:r>
              <w:rPr>
                <w:color w:val="1C3A36"/>
                <w:sz w:val="14"/>
              </w:rPr>
              <w:t>2026-02-09</w:t>
            </w:r>
          </w:p>
        </w:tc>
      </w:tr>
      <w:tr>
        <w:tc>
          <w:tcPr>
            <w:tcW w:type="dxa" w:w="1512"/>
          </w:tcPr>
          <w:p>
            <w:pPr>
              <w:spacing w:after="20"/>
            </w:pPr>
            <w:r>
              <w:rPr>
                <w:color w:val="1C3A36"/>
                <w:sz w:val="14"/>
              </w:rPr>
              <w:t>ebitda_fy23</w:t>
            </w:r>
          </w:p>
        </w:tc>
        <w:tc>
          <w:tcPr>
            <w:tcW w:type="dxa" w:w="1656"/>
          </w:tcPr>
          <w:p>
            <w:pPr>
              <w:spacing w:after="20"/>
            </w:pPr>
            <w:r>
              <w:rPr>
                <w:color w:val="1C3A36"/>
                <w:sz w:val="14"/>
              </w:rPr>
              <w:t>5,799.6</w:t>
            </w:r>
          </w:p>
        </w:tc>
        <w:tc>
          <w:tcPr>
            <w:tcW w:type="dxa" w:w="5904"/>
          </w:tcPr>
          <w:p>
            <w:pPr>
              <w:spacing w:after="20"/>
            </w:pPr>
            <w:r>
              <w:rPr>
                <w:color w:val="1C3A36"/>
                <w:sz w:val="14"/>
              </w:rPr>
              <w:t>DERIVED (flagged): FY2023 statements print no EBITDA line (pre-IFRS 18). Operating profit pre-royalty (rev - opex - ECL + other income = 3,601.324) + D&amp;A 2,198.277, every component audited (Audited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dna_fy23</w:t>
            </w:r>
          </w:p>
        </w:tc>
        <w:tc>
          <w:tcPr>
            <w:tcW w:type="dxa" w:w="1656"/>
          </w:tcPr>
          <w:p>
            <w:pPr>
              <w:spacing w:after="20"/>
            </w:pPr>
            <w:r>
              <w:rPr>
                <w:color w:val="1C3A36"/>
                <w:sz w:val="14"/>
              </w:rPr>
              <w:t>2,198.3</w:t>
            </w:r>
          </w:p>
        </w:tc>
        <w:tc>
          <w:tcPr>
            <w:tcW w:type="dxa" w:w="5904"/>
          </w:tcPr>
          <w:p>
            <w:pPr>
              <w:spacing w:after="20"/>
            </w:pPr>
            <w:r>
              <w:rPr>
                <w:color w:val="1C3A36"/>
                <w:sz w:val="14"/>
              </w:rPr>
              <w:t>Audited consolidated FS, Annual Report 2023, investors.du.ae (PwC, unqualified opinion 13-Feb-2024), Note 26 opex split: PP&amp;E depreciation 1,544.182 + right-of-use depreciation 445.042 + intangibles amortisation 209.053</w:t>
            </w:r>
          </w:p>
        </w:tc>
        <w:tc>
          <w:tcPr>
            <w:tcW w:type="dxa" w:w="1080"/>
          </w:tcPr>
          <w:p>
            <w:pPr>
              <w:spacing w:after="20"/>
            </w:pPr>
            <w:r>
              <w:rPr>
                <w:color w:val="1C3A36"/>
                <w:sz w:val="14"/>
              </w:rPr>
              <w:t>2024-02-13</w:t>
            </w:r>
          </w:p>
        </w:tc>
      </w:tr>
      <w:tr>
        <w:tc>
          <w:tcPr>
            <w:tcW w:type="dxa" w:w="1512"/>
          </w:tcPr>
          <w:p>
            <w:pPr>
              <w:spacing w:after="20"/>
            </w:pPr>
            <w:r>
              <w:rPr>
                <w:color w:val="1C3A36"/>
                <w:sz w:val="14"/>
              </w:rPr>
              <w:t>rev_fy22</w:t>
            </w:r>
          </w:p>
        </w:tc>
        <w:tc>
          <w:tcPr>
            <w:tcW w:type="dxa" w:w="1656"/>
          </w:tcPr>
          <w:p>
            <w:pPr>
              <w:spacing w:after="20"/>
            </w:pPr>
            <w:r>
              <w:rPr>
                <w:color w:val="1C3A36"/>
                <w:sz w:val="14"/>
              </w:rPr>
              <w:t>12,754.5</w:t>
            </w:r>
          </w:p>
        </w:tc>
        <w:tc>
          <w:tcPr>
            <w:tcW w:type="dxa" w:w="5904"/>
          </w:tcPr>
          <w:p>
            <w:pPr>
              <w:spacing w:after="20"/>
            </w:pPr>
            <w:r>
              <w:rPr>
                <w:color w:val="1C3A36"/>
                <w:sz w:val="14"/>
              </w:rPr>
              <w:t>Audited consolidated FS, Annual Report 2023, investors.du.ae (PwC, unqualified opinion 13-Feb-2024), FY2022 comparative on the face of the income statement</w:t>
            </w:r>
          </w:p>
        </w:tc>
        <w:tc>
          <w:tcPr>
            <w:tcW w:type="dxa" w:w="1080"/>
          </w:tcPr>
          <w:p>
            <w:pPr>
              <w:spacing w:after="20"/>
            </w:pPr>
            <w:r>
              <w:rPr>
                <w:color w:val="1C3A36"/>
                <w:sz w:val="14"/>
              </w:rPr>
              <w:t>2024-02-13</w:t>
            </w:r>
          </w:p>
        </w:tc>
      </w:tr>
      <w:tr>
        <w:tc>
          <w:tcPr>
            <w:tcW w:type="dxa" w:w="1512"/>
          </w:tcPr>
          <w:p>
            <w:pPr>
              <w:spacing w:after="20"/>
            </w:pPr>
            <w:r>
              <w:rPr>
                <w:color w:val="1C3A36"/>
                <w:sz w:val="14"/>
              </w:rPr>
              <w:t>ebitda_fy22</w:t>
            </w:r>
          </w:p>
        </w:tc>
        <w:tc>
          <w:tcPr>
            <w:tcW w:type="dxa" w:w="1656"/>
          </w:tcPr>
          <w:p>
            <w:pPr>
              <w:spacing w:after="20"/>
            </w:pPr>
            <w:r>
              <w:rPr>
                <w:color w:val="1C3A36"/>
                <w:sz w:val="14"/>
              </w:rPr>
              <w:t>5,142.9</w:t>
            </w:r>
          </w:p>
        </w:tc>
        <w:tc>
          <w:tcPr>
            <w:tcW w:type="dxa" w:w="5904"/>
          </w:tcPr>
          <w:p>
            <w:pPr>
              <w:spacing w:after="20"/>
            </w:pPr>
            <w:r>
              <w:rPr>
                <w:color w:val="1C3A36"/>
                <w:sz w:val="14"/>
              </w:rPr>
              <w:t>DERIVED (flagged), on the SAME construction as FY2023 so the series is like-for-like: revenue 12,754.492 less operating expenses 9,551.929 excluding D&amp;A 2,112.223, less expected credit losses 173.566, plus other income 1.637. Every component is an audited FY2022 comparative in Audited consolidated FS, Annual Report 2023, investors.du.ae (PwC, unqualified opinion 13-Feb-2024) (income statement and Note 26)</w:t>
            </w:r>
          </w:p>
        </w:tc>
        <w:tc>
          <w:tcPr>
            <w:tcW w:type="dxa" w:w="1080"/>
          </w:tcPr>
          <w:p>
            <w:pPr>
              <w:spacing w:after="20"/>
            </w:pPr>
            <w:r>
              <w:rPr>
                <w:color w:val="1C3A36"/>
                <w:sz w:val="14"/>
              </w:rPr>
              <w:t>2024-02-13</w:t>
            </w:r>
          </w:p>
        </w:tc>
      </w:tr>
      <w:tr>
        <w:tc>
          <w:tcPr>
            <w:tcW w:type="dxa" w:w="1512"/>
          </w:tcPr>
          <w:p>
            <w:pPr>
              <w:spacing w:after="20"/>
            </w:pPr>
            <w:r>
              <w:rPr>
                <w:color w:val="1C3A36"/>
                <w:sz w:val="14"/>
              </w:rPr>
              <w:t>dna_fy22</w:t>
            </w:r>
          </w:p>
        </w:tc>
        <w:tc>
          <w:tcPr>
            <w:tcW w:type="dxa" w:w="1656"/>
          </w:tcPr>
          <w:p>
            <w:pPr>
              <w:spacing w:after="20"/>
            </w:pPr>
            <w:r>
              <w:rPr>
                <w:color w:val="1C3A36"/>
                <w:sz w:val="14"/>
              </w:rPr>
              <w:t>2,112.2</w:t>
            </w:r>
          </w:p>
        </w:tc>
        <w:tc>
          <w:tcPr>
            <w:tcW w:type="dxa" w:w="5904"/>
          </w:tcPr>
          <w:p>
            <w:pPr>
              <w:spacing w:after="20"/>
            </w:pPr>
            <w:r>
              <w:rPr>
                <w:color w:val="1C3A36"/>
                <w:sz w:val="14"/>
              </w:rPr>
              <w:t>Audited consolidated FS, Annual Report 2023, investors.du.ae (PwC, unqualified opinion 13-Feb-2024), Note 26 FY2022 comparative: PP&amp;E depreciation 1,607.280 + right-of-use depreciation 350.859 + intangibles amortisation 154.084</w:t>
            </w:r>
          </w:p>
        </w:tc>
        <w:tc>
          <w:tcPr>
            <w:tcW w:type="dxa" w:w="1080"/>
          </w:tcPr>
          <w:p>
            <w:pPr>
              <w:spacing w:after="20"/>
            </w:pPr>
            <w:r>
              <w:rPr>
                <w:color w:val="1C3A36"/>
                <w:sz w:val="14"/>
              </w:rPr>
              <w:t>2024-02-13</w:t>
            </w:r>
          </w:p>
        </w:tc>
      </w:tr>
      <w:tr>
        <w:tc>
          <w:tcPr>
            <w:tcW w:type="dxa" w:w="1512"/>
          </w:tcPr>
          <w:p>
            <w:pPr>
              <w:spacing w:after="20"/>
            </w:pPr>
            <w:r>
              <w:rPr>
                <w:color w:val="1C3A36"/>
                <w:sz w:val="14"/>
              </w:rPr>
              <w:t>dna_fy24</w:t>
            </w:r>
          </w:p>
        </w:tc>
        <w:tc>
          <w:tcPr>
            <w:tcW w:type="dxa" w:w="1656"/>
          </w:tcPr>
          <w:p>
            <w:pPr>
              <w:spacing w:after="20"/>
            </w:pPr>
            <w:r>
              <w:rPr>
                <w:color w:val="1C3A36"/>
                <w:sz w:val="14"/>
              </w:rPr>
              <w:t>2,153.6</w:t>
            </w:r>
          </w:p>
        </w:tc>
        <w:tc>
          <w:tcPr>
            <w:tcW w:type="dxa" w:w="5904"/>
          </w:tcPr>
          <w:p>
            <w:pPr>
              <w:spacing w:after="20"/>
            </w:pPr>
            <w:r>
              <w:rPr>
                <w:color w:val="1C3A36"/>
                <w:sz w:val="14"/>
              </w:rPr>
              <w:t>Audited consolidated FS, Annual Report 2024, investors.du.ae (PwC, unqualified opinion 10-Feb-2025), Note 31 split: PP&amp;E 1,569.189 + ROU 374.505 + intangibles 209.896</w:t>
            </w:r>
          </w:p>
        </w:tc>
        <w:tc>
          <w:tcPr>
            <w:tcW w:type="dxa" w:w="1080"/>
          </w:tcPr>
          <w:p>
            <w:pPr>
              <w:spacing w:after="20"/>
            </w:pPr>
            <w:r>
              <w:rPr>
                <w:color w:val="1C3A36"/>
                <w:sz w:val="14"/>
              </w:rPr>
              <w:t>2025-02-10</w:t>
            </w:r>
          </w:p>
        </w:tc>
      </w:tr>
      <w:tr>
        <w:tc>
          <w:tcPr>
            <w:tcW w:type="dxa" w:w="1512"/>
          </w:tcPr>
          <w:p>
            <w:pPr>
              <w:spacing w:after="20"/>
            </w:pPr>
            <w:r>
              <w:rPr>
                <w:color w:val="1C3A36"/>
                <w:sz w:val="14"/>
              </w:rPr>
              <w:t>dna_fy25</w:t>
            </w:r>
          </w:p>
        </w:tc>
        <w:tc>
          <w:tcPr>
            <w:tcW w:type="dxa" w:w="1656"/>
          </w:tcPr>
          <w:p>
            <w:pPr>
              <w:spacing w:after="20"/>
            </w:pPr>
            <w:r>
              <w:rPr>
                <w:color w:val="1C3A36"/>
                <w:sz w:val="14"/>
              </w:rPr>
              <w:t>2,167.9</w:t>
            </w:r>
          </w:p>
        </w:tc>
        <w:tc>
          <w:tcPr>
            <w:tcW w:type="dxa" w:w="5904"/>
          </w:tcPr>
          <w:p>
            <w:pPr>
              <w:spacing w:after="20"/>
            </w:pPr>
            <w:r>
              <w:rPr>
                <w:color w:val="1C3A36"/>
                <w:sz w:val="14"/>
              </w:rPr>
              <w:t>Audited consolidated FS, Integrated Annual Report 2025, investors.du.ae (KPMG Lower Gulf, unmodified opinion 09-Feb-2026), Note 31 split: PP&amp;E 1,557.989 + ROU 364.063 + intangibles 245.881</w:t>
            </w:r>
          </w:p>
        </w:tc>
        <w:tc>
          <w:tcPr>
            <w:tcW w:type="dxa" w:w="1080"/>
          </w:tcPr>
          <w:p>
            <w:pPr>
              <w:spacing w:after="20"/>
            </w:pPr>
            <w:r>
              <w:rPr>
                <w:color w:val="1C3A36"/>
                <w:sz w:val="14"/>
              </w:rPr>
              <w:t>2026-02-09</w:t>
            </w:r>
          </w:p>
        </w:tc>
      </w:tr>
      <w:tr>
        <w:tc>
          <w:tcPr>
            <w:tcW w:type="dxa" w:w="1512"/>
          </w:tcPr>
          <w:p>
            <w:pPr>
              <w:spacing w:after="20"/>
            </w:pPr>
            <w:r>
              <w:rPr>
                <w:color w:val="1C3A36"/>
                <w:sz w:val="14"/>
              </w:rPr>
              <w:t>op_fy25</w:t>
            </w:r>
          </w:p>
        </w:tc>
        <w:tc>
          <w:tcPr>
            <w:tcW w:type="dxa" w:w="1656"/>
          </w:tcPr>
          <w:p>
            <w:pPr>
              <w:spacing w:after="20"/>
            </w:pPr>
            <w:r>
              <w:rPr>
                <w:color w:val="1C3A36"/>
                <w:sz w:val="14"/>
              </w:rPr>
              <w:t>5,170.5</w:t>
            </w:r>
          </w:p>
        </w:tc>
        <w:tc>
          <w:tcPr>
            <w:tcW w:type="dxa" w:w="5904"/>
          </w:tcPr>
          <w:p>
            <w:pPr>
              <w:spacing w:after="20"/>
            </w:pPr>
            <w:r>
              <w:rPr>
                <w:color w:val="1C3A36"/>
                <w:sz w:val="14"/>
              </w:rPr>
              <w:t>Audited consolidated FS, Integrated Annual Report 2025, investors.du.ae (KPMG Lower Gulf, unmodified opinion 09-Feb-2026), operating profit on the face</w:t>
            </w:r>
          </w:p>
        </w:tc>
        <w:tc>
          <w:tcPr>
            <w:tcW w:type="dxa" w:w="1080"/>
          </w:tcPr>
          <w:p>
            <w:pPr>
              <w:spacing w:after="20"/>
            </w:pPr>
            <w:r>
              <w:rPr>
                <w:color w:val="1C3A36"/>
                <w:sz w:val="14"/>
              </w:rPr>
              <w:t>2026-02-09</w:t>
            </w:r>
          </w:p>
        </w:tc>
      </w:tr>
      <w:tr>
        <w:tc>
          <w:tcPr>
            <w:tcW w:type="dxa" w:w="1512"/>
          </w:tcPr>
          <w:p>
            <w:pPr>
              <w:spacing w:after="20"/>
            </w:pPr>
            <w:r>
              <w:rPr>
                <w:color w:val="1C3A36"/>
                <w:sz w:val="14"/>
              </w:rPr>
              <w:t>op_fy24</w:t>
            </w:r>
          </w:p>
        </w:tc>
        <w:tc>
          <w:tcPr>
            <w:tcW w:type="dxa" w:w="1656"/>
          </w:tcPr>
          <w:p>
            <w:pPr>
              <w:spacing w:after="20"/>
            </w:pPr>
            <w:r>
              <w:rPr>
                <w:color w:val="1C3A36"/>
                <w:sz w:val="14"/>
              </w:rPr>
              <w:t>4,316.2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int_inc_fy25</w:t>
            </w:r>
          </w:p>
        </w:tc>
        <w:tc>
          <w:tcPr>
            <w:tcW w:type="dxa" w:w="1656"/>
          </w:tcPr>
          <w:p>
            <w:pPr>
              <w:spacing w:after="20"/>
            </w:pPr>
            <w:r>
              <w:rPr>
                <w:color w:val="1C3A36"/>
                <w:sz w:val="14"/>
              </w:rPr>
              <w:t>74.672</w:t>
            </w:r>
          </w:p>
        </w:tc>
        <w:tc>
          <w:tcPr>
            <w:tcW w:type="dxa" w:w="5904"/>
          </w:tcPr>
          <w:p>
            <w:pPr>
              <w:spacing w:after="20"/>
            </w:pPr>
            <w:r>
              <w:rPr>
                <w:color w:val="1C3A36"/>
                <w:sz w:val="14"/>
              </w:rPr>
              <w:t>Audited consolidated FS, Integrated Annual Report 2025, investors.du.ae (KPMG Lower Gulf, unmodified opinion 09-Feb-2026), interest income (Note 32)</w:t>
            </w:r>
          </w:p>
        </w:tc>
        <w:tc>
          <w:tcPr>
            <w:tcW w:type="dxa" w:w="1080"/>
          </w:tcPr>
          <w:p>
            <w:pPr>
              <w:spacing w:after="20"/>
            </w:pPr>
            <w:r>
              <w:rPr>
                <w:color w:val="1C3A36"/>
                <w:sz w:val="14"/>
              </w:rPr>
              <w:t>2026-02-09</w:t>
            </w:r>
          </w:p>
        </w:tc>
      </w:tr>
      <w:tr>
        <w:tc>
          <w:tcPr>
            <w:tcW w:type="dxa" w:w="1512"/>
          </w:tcPr>
          <w:p>
            <w:pPr>
              <w:spacing w:after="20"/>
            </w:pPr>
            <w:r>
              <w:rPr>
                <w:color w:val="1C3A36"/>
                <w:sz w:val="14"/>
              </w:rPr>
              <w:t>int_inc_fy24</w:t>
            </w:r>
          </w:p>
        </w:tc>
        <w:tc>
          <w:tcPr>
            <w:tcW w:type="dxa" w:w="1656"/>
          </w:tcPr>
          <w:p>
            <w:pPr>
              <w:spacing w:after="20"/>
            </w:pPr>
            <w:r>
              <w:rPr>
                <w:color w:val="1C3A36"/>
                <w:sz w:val="14"/>
              </w:rPr>
              <w:t>82.214</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int_exp_fy25</w:t>
            </w:r>
          </w:p>
        </w:tc>
        <w:tc>
          <w:tcPr>
            <w:tcW w:type="dxa" w:w="1656"/>
          </w:tcPr>
          <w:p>
            <w:pPr>
              <w:spacing w:after="20"/>
            </w:pPr>
            <w:r>
              <w:rPr>
                <w:color w:val="1C3A36"/>
                <w:sz w:val="14"/>
              </w:rPr>
              <w:t>95.054</w:t>
            </w:r>
          </w:p>
        </w:tc>
        <w:tc>
          <w:tcPr>
            <w:tcW w:type="dxa" w:w="5904"/>
          </w:tcPr>
          <w:p>
            <w:pPr>
              <w:spacing w:after="20"/>
            </w:pPr>
            <w:r>
              <w:rPr>
                <w:color w:val="1C3A36"/>
                <w:sz w:val="14"/>
              </w:rPr>
              <w:t>Audited consolidated FS, Integrated Annual Report 2025, investors.du.ae (KPMG Lower Gulf, unmodified opinion 09-Feb-2026), interest expense (Note 32; principally lease interest 71.094)</w:t>
            </w:r>
          </w:p>
        </w:tc>
        <w:tc>
          <w:tcPr>
            <w:tcW w:type="dxa" w:w="1080"/>
          </w:tcPr>
          <w:p>
            <w:pPr>
              <w:spacing w:after="20"/>
            </w:pPr>
            <w:r>
              <w:rPr>
                <w:color w:val="1C3A36"/>
                <w:sz w:val="14"/>
              </w:rPr>
              <w:t>2026-02-09</w:t>
            </w:r>
          </w:p>
        </w:tc>
      </w:tr>
      <w:tr>
        <w:tc>
          <w:tcPr>
            <w:tcW w:type="dxa" w:w="1512"/>
          </w:tcPr>
          <w:p>
            <w:pPr>
              <w:spacing w:after="20"/>
            </w:pPr>
            <w:r>
              <w:rPr>
                <w:color w:val="1C3A36"/>
                <w:sz w:val="14"/>
              </w:rPr>
              <w:t>int_exp_fy24</w:t>
            </w:r>
          </w:p>
        </w:tc>
        <w:tc>
          <w:tcPr>
            <w:tcW w:type="dxa" w:w="1656"/>
          </w:tcPr>
          <w:p>
            <w:pPr>
              <w:spacing w:after="20"/>
            </w:pPr>
            <w:r>
              <w:rPr>
                <w:color w:val="1C3A36"/>
                <w:sz w:val="14"/>
              </w:rPr>
              <w:t>89.77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assoc_fy25</w:t>
            </w:r>
          </w:p>
        </w:tc>
        <w:tc>
          <w:tcPr>
            <w:tcW w:type="dxa" w:w="1656"/>
          </w:tcPr>
          <w:p>
            <w:pPr>
              <w:spacing w:after="20"/>
            </w:pPr>
            <w:r>
              <w:rPr>
                <w:color w:val="1C3A36"/>
                <w:sz w:val="14"/>
              </w:rPr>
              <w:t>-0.894</w:t>
            </w:r>
          </w:p>
        </w:tc>
        <w:tc>
          <w:tcPr>
            <w:tcW w:type="dxa" w:w="5904"/>
          </w:tcPr>
          <w:p>
            <w:pPr>
              <w:spacing w:after="20"/>
            </w:pPr>
            <w:r>
              <w:rPr>
                <w:color w:val="1C3A36"/>
                <w:sz w:val="14"/>
              </w:rPr>
              <w:t>Audited consolidated FS, Integrated Annual Report 2025, investors.du.ae (KPMG Lower Gulf, unmodified opinion 09-Feb-2026), share of loss on equity-accounted investments</w:t>
            </w:r>
          </w:p>
        </w:tc>
        <w:tc>
          <w:tcPr>
            <w:tcW w:type="dxa" w:w="1080"/>
          </w:tcPr>
          <w:p>
            <w:pPr>
              <w:spacing w:after="20"/>
            </w:pPr>
            <w:r>
              <w:rPr>
                <w:color w:val="1C3A36"/>
                <w:sz w:val="14"/>
              </w:rPr>
              <w:t>2026-02-09</w:t>
            </w:r>
          </w:p>
        </w:tc>
      </w:tr>
      <w:tr>
        <w:tc>
          <w:tcPr>
            <w:tcW w:type="dxa" w:w="1512"/>
          </w:tcPr>
          <w:p>
            <w:pPr>
              <w:spacing w:after="20"/>
            </w:pPr>
            <w:r>
              <w:rPr>
                <w:color w:val="1C3A36"/>
                <w:sz w:val="14"/>
              </w:rPr>
              <w:t>pbt_fy25</w:t>
            </w:r>
          </w:p>
        </w:tc>
        <w:tc>
          <w:tcPr>
            <w:tcW w:type="dxa" w:w="1656"/>
          </w:tcPr>
          <w:p>
            <w:pPr>
              <w:spacing w:after="20"/>
            </w:pPr>
            <w:r>
              <w:rPr>
                <w:color w:val="1C3A36"/>
                <w:sz w:val="14"/>
              </w:rPr>
              <w:t>5,149.1</w:t>
            </w:r>
          </w:p>
        </w:tc>
        <w:tc>
          <w:tcPr>
            <w:tcW w:type="dxa" w:w="5904"/>
          </w:tcPr>
          <w:p>
            <w:pPr>
              <w:spacing w:after="20"/>
            </w:pPr>
            <w:r>
              <w:rPr>
                <w:color w:val="1C3A36"/>
                <w:sz w:val="14"/>
              </w:rPr>
              <w:t>Audited consolidated FS, Integrated Annual Report 2025, investors.du.ae (KPMG Lower Gulf, unmodified opinion 09-Feb-2026), profit before federal royalty and income tax</w:t>
            </w:r>
          </w:p>
        </w:tc>
        <w:tc>
          <w:tcPr>
            <w:tcW w:type="dxa" w:w="1080"/>
          </w:tcPr>
          <w:p>
            <w:pPr>
              <w:spacing w:after="20"/>
            </w:pPr>
            <w:r>
              <w:rPr>
                <w:color w:val="1C3A36"/>
                <w:sz w:val="14"/>
              </w:rPr>
              <w:t>2026-02-09</w:t>
            </w:r>
          </w:p>
        </w:tc>
      </w:tr>
      <w:tr>
        <w:tc>
          <w:tcPr>
            <w:tcW w:type="dxa" w:w="1512"/>
          </w:tcPr>
          <w:p>
            <w:pPr>
              <w:spacing w:after="20"/>
            </w:pPr>
            <w:r>
              <w:rPr>
                <w:color w:val="1C3A36"/>
                <w:sz w:val="14"/>
              </w:rPr>
              <w:t>pbt_fy24</w:t>
            </w:r>
          </w:p>
        </w:tc>
        <w:tc>
          <w:tcPr>
            <w:tcW w:type="dxa" w:w="1656"/>
          </w:tcPr>
          <w:p>
            <w:pPr>
              <w:spacing w:after="20"/>
            </w:pPr>
            <w:r>
              <w:rPr>
                <w:color w:val="1C3A36"/>
                <w:sz w:val="14"/>
              </w:rPr>
              <w:t>4,306.2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pbt_fy23</w:t>
            </w:r>
          </w:p>
        </w:tc>
        <w:tc>
          <w:tcPr>
            <w:tcW w:type="dxa" w:w="1656"/>
          </w:tcPr>
          <w:p>
            <w:pPr>
              <w:spacing w:after="20"/>
            </w:pPr>
            <w:r>
              <w:rPr>
                <w:color w:val="1C3A36"/>
                <w:sz w:val="14"/>
              </w:rPr>
              <w:t>3,558.5</w:t>
            </w:r>
          </w:p>
        </w:tc>
        <w:tc>
          <w:tcPr>
            <w:tcW w:type="dxa" w:w="5904"/>
          </w:tcPr>
          <w:p>
            <w:pPr>
              <w:spacing w:after="20"/>
            </w:pPr>
            <w:r>
              <w:rPr>
                <w:color w:val="1C3A36"/>
                <w:sz w:val="14"/>
              </w:rPr>
              <w:t>DERIVED (flagged): profit 1,667.851 + total federal royalty 1,890.650 (revenue leg 1,400.199 + profit leg 490.451, Note 27, Audited consolidated FS, Annual Report 2023, investors.du.ae (PwC, unqualified opinion 13-Feb-2024)) — the pre-royalty profit the FY2023 statement layout never prints as one line</w:t>
            </w:r>
          </w:p>
        </w:tc>
        <w:tc>
          <w:tcPr>
            <w:tcW w:type="dxa" w:w="1080"/>
          </w:tcPr>
          <w:p>
            <w:pPr>
              <w:spacing w:after="20"/>
            </w:pPr>
            <w:r>
              <w:rPr>
                <w:color w:val="1C3A36"/>
                <w:sz w:val="14"/>
              </w:rPr>
              <w:t>2024-02-13</w:t>
            </w:r>
          </w:p>
        </w:tc>
      </w:tr>
      <w:tr>
        <w:tc>
          <w:tcPr>
            <w:tcW w:type="dxa" w:w="1512"/>
          </w:tcPr>
          <w:p>
            <w:pPr>
              <w:spacing w:after="20"/>
            </w:pPr>
            <w:r>
              <w:rPr>
                <w:color w:val="1C3A36"/>
                <w:sz w:val="14"/>
              </w:rPr>
              <w:t>royalty_fy25</w:t>
            </w:r>
          </w:p>
        </w:tc>
        <w:tc>
          <w:tcPr>
            <w:tcW w:type="dxa" w:w="1656"/>
          </w:tcPr>
          <w:p>
            <w:pPr>
              <w:spacing w:after="20"/>
            </w:pPr>
            <w:r>
              <w:rPr>
                <w:color w:val="1C3A36"/>
                <w:sz w:val="14"/>
              </w:rPr>
              <w:t>1,956.6</w:t>
            </w:r>
          </w:p>
        </w:tc>
        <w:tc>
          <w:tcPr>
            <w:tcW w:type="dxa" w:w="5904"/>
          </w:tcPr>
          <w:p>
            <w:pPr>
              <w:spacing w:after="20"/>
            </w:pPr>
            <w:r>
              <w:rPr>
                <w:color w:val="1C3A36"/>
                <w:sz w:val="14"/>
              </w:rPr>
              <w:t>Audited consolidated FS, Integrated Annual Report 2025, investors.du.ae (KPMG Lower Gulf, unmodified opinion 09-Feb-2026), federal royalty on the face</w:t>
            </w:r>
          </w:p>
        </w:tc>
        <w:tc>
          <w:tcPr>
            <w:tcW w:type="dxa" w:w="1080"/>
          </w:tcPr>
          <w:p>
            <w:pPr>
              <w:spacing w:after="20"/>
            </w:pPr>
            <w:r>
              <w:rPr>
                <w:color w:val="1C3A36"/>
                <w:sz w:val="14"/>
              </w:rPr>
              <w:t>2026-02-09</w:t>
            </w:r>
          </w:p>
        </w:tc>
      </w:tr>
      <w:tr>
        <w:tc>
          <w:tcPr>
            <w:tcW w:type="dxa" w:w="1512"/>
          </w:tcPr>
          <w:p>
            <w:pPr>
              <w:spacing w:after="20"/>
            </w:pPr>
            <w:r>
              <w:rPr>
                <w:color w:val="1C3A36"/>
                <w:sz w:val="14"/>
              </w:rPr>
              <w:t>royalty_fy24</w:t>
            </w:r>
          </w:p>
        </w:tc>
        <w:tc>
          <w:tcPr>
            <w:tcW w:type="dxa" w:w="1656"/>
          </w:tcPr>
          <w:p>
            <w:pPr>
              <w:spacing w:after="20"/>
            </w:pPr>
            <w:r>
              <w:rPr>
                <w:color w:val="1C3A36"/>
                <w:sz w:val="14"/>
              </w:rPr>
              <w:t>1,571.6</w:t>
            </w:r>
          </w:p>
        </w:tc>
        <w:tc>
          <w:tcPr>
            <w:tcW w:type="dxa" w:w="5904"/>
          </w:tcPr>
          <w:p>
            <w:pPr>
              <w:spacing w:after="20"/>
            </w:pPr>
            <w:r>
              <w:rPr>
                <w:color w:val="1C3A36"/>
                <w:sz w:val="14"/>
              </w:rPr>
              <w:t>Audited consolidated FS, Integrated Annual Report 2025, investors.du.ae (KPMG Lower Gulf, unmodified opinion 09-Feb-2026), FY2024 comparative (IFRS 18)</w:t>
            </w:r>
          </w:p>
        </w:tc>
        <w:tc>
          <w:tcPr>
            <w:tcW w:type="dxa" w:w="1080"/>
          </w:tcPr>
          <w:p>
            <w:pPr>
              <w:spacing w:after="20"/>
            </w:pPr>
            <w:r>
              <w:rPr>
                <w:color w:val="1C3A36"/>
                <w:sz w:val="14"/>
              </w:rPr>
              <w:t>2026-02-09</w:t>
            </w:r>
          </w:p>
        </w:tc>
      </w:tr>
      <w:tr>
        <w:tc>
          <w:tcPr>
            <w:tcW w:type="dxa" w:w="1512"/>
          </w:tcPr>
          <w:p>
            <w:pPr>
              <w:spacing w:after="20"/>
            </w:pPr>
            <w:r>
              <w:rPr>
                <w:color w:val="1C3A36"/>
                <w:sz w:val="14"/>
              </w:rPr>
              <w:t>royalty_fy23</w:t>
            </w:r>
          </w:p>
        </w:tc>
        <w:tc>
          <w:tcPr>
            <w:tcW w:type="dxa" w:w="1656"/>
          </w:tcPr>
          <w:p>
            <w:pPr>
              <w:spacing w:after="20"/>
            </w:pPr>
            <w:r>
              <w:rPr>
                <w:color w:val="1C3A36"/>
                <w:sz w:val="14"/>
              </w:rPr>
              <w:t>1,890.7</w:t>
            </w:r>
          </w:p>
        </w:tc>
        <w:tc>
          <w:tcPr>
            <w:tcW w:type="dxa" w:w="5904"/>
          </w:tcPr>
          <w:p>
            <w:pPr>
              <w:spacing w:after="20"/>
            </w:pPr>
            <w:r>
              <w:rPr>
                <w:color w:val="1C3A36"/>
                <w:sz w:val="14"/>
              </w:rPr>
              <w:t>Audited consolidated FS, Annual Report 2023, investors.du.ae (PwC, unqualified opinion 13-Feb-2024), Note 27: royalty on regulated revenue 1,400.199 + royalty on regulated profit 490.451</w:t>
            </w:r>
          </w:p>
        </w:tc>
        <w:tc>
          <w:tcPr>
            <w:tcW w:type="dxa" w:w="1080"/>
          </w:tcPr>
          <w:p>
            <w:pPr>
              <w:spacing w:after="20"/>
            </w:pPr>
            <w:r>
              <w:rPr>
                <w:color w:val="1C3A36"/>
                <w:sz w:val="14"/>
              </w:rPr>
              <w:t>2024-02-13</w:t>
            </w:r>
          </w:p>
        </w:tc>
      </w:tr>
      <w:tr>
        <w:tc>
          <w:tcPr>
            <w:tcW w:type="dxa" w:w="1512"/>
          </w:tcPr>
          <w:p>
            <w:pPr>
              <w:spacing w:after="20"/>
            </w:pPr>
            <w:r>
              <w:rPr>
                <w:color w:val="1C3A36"/>
                <w:sz w:val="14"/>
              </w:rPr>
              <w:t>tax_fy25</w:t>
            </w:r>
          </w:p>
        </w:tc>
        <w:tc>
          <w:tcPr>
            <w:tcW w:type="dxa" w:w="1656"/>
          </w:tcPr>
          <w:p>
            <w:pPr>
              <w:spacing w:after="20"/>
            </w:pPr>
            <w:r>
              <w:rPr>
                <w:color w:val="1C3A36"/>
                <w:sz w:val="14"/>
              </w:rPr>
              <w:t>287.4</w:t>
            </w:r>
          </w:p>
        </w:tc>
        <w:tc>
          <w:tcPr>
            <w:tcW w:type="dxa" w:w="5904"/>
          </w:tcPr>
          <w:p>
            <w:pPr>
              <w:spacing w:after="20"/>
            </w:pPr>
            <w:r>
              <w:rPr>
                <w:color w:val="1C3A36"/>
                <w:sz w:val="14"/>
              </w:rPr>
              <w:t>Audited consolidated FS, Integrated Annual Report 2025, investors.du.ae (KPMG Lower Gulf, unmodified opinion 09-Feb-2026), income tax expense on the face</w:t>
            </w:r>
          </w:p>
        </w:tc>
        <w:tc>
          <w:tcPr>
            <w:tcW w:type="dxa" w:w="1080"/>
          </w:tcPr>
          <w:p>
            <w:pPr>
              <w:spacing w:after="20"/>
            </w:pPr>
            <w:r>
              <w:rPr>
                <w:color w:val="1C3A36"/>
                <w:sz w:val="14"/>
              </w:rPr>
              <w:t>2026-02-09</w:t>
            </w:r>
          </w:p>
        </w:tc>
      </w:tr>
      <w:tr>
        <w:tc>
          <w:tcPr>
            <w:tcW w:type="dxa" w:w="1512"/>
          </w:tcPr>
          <w:p>
            <w:pPr>
              <w:spacing w:after="20"/>
            </w:pPr>
            <w:r>
              <w:rPr>
                <w:color w:val="1C3A36"/>
                <w:sz w:val="14"/>
              </w:rPr>
              <w:t>tax_fy24</w:t>
            </w:r>
          </w:p>
        </w:tc>
        <w:tc>
          <w:tcPr>
            <w:tcW w:type="dxa" w:w="1656"/>
          </w:tcPr>
          <w:p>
            <w:pPr>
              <w:spacing w:after="20"/>
            </w:pPr>
            <w:r>
              <w:rPr>
                <w:color w:val="1C3A36"/>
                <w:sz w:val="14"/>
              </w:rPr>
              <w:t>247.0</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np_fy23</w:t>
            </w:r>
          </w:p>
        </w:tc>
        <w:tc>
          <w:tcPr>
            <w:tcW w:type="dxa" w:w="1656"/>
          </w:tcPr>
          <w:p>
            <w:pPr>
              <w:spacing w:after="20"/>
            </w:pPr>
            <w:r>
              <w:rPr>
                <w:color w:val="1C3A36"/>
                <w:sz w:val="14"/>
              </w:rPr>
              <w:t>1,667.9</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np_fy24</w:t>
            </w:r>
          </w:p>
        </w:tc>
        <w:tc>
          <w:tcPr>
            <w:tcW w:type="dxa" w:w="1656"/>
          </w:tcPr>
          <w:p>
            <w:pPr>
              <w:spacing w:after="20"/>
            </w:pPr>
            <w:r>
              <w:rPr>
                <w:color w:val="1C3A36"/>
                <w:sz w:val="14"/>
              </w:rPr>
              <w:t>2,487.5</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np_fy25</w:t>
            </w:r>
          </w:p>
        </w:tc>
        <w:tc>
          <w:tcPr>
            <w:tcW w:type="dxa" w:w="1656"/>
          </w:tcPr>
          <w:p>
            <w:pPr>
              <w:spacing w:after="20"/>
            </w:pPr>
            <w:r>
              <w:rPr>
                <w:color w:val="1C3A36"/>
                <w:sz w:val="14"/>
              </w:rPr>
              <w:t>2,905.1</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eps_fy23</w:t>
            </w:r>
          </w:p>
        </w:tc>
        <w:tc>
          <w:tcPr>
            <w:tcW w:type="dxa" w:w="1656"/>
          </w:tcPr>
          <w:p>
            <w:pPr>
              <w:spacing w:after="20"/>
            </w:pPr>
            <w:r>
              <w:rPr>
                <w:color w:val="1C3A36"/>
                <w:sz w:val="14"/>
              </w:rPr>
              <w:t>0.37</w:t>
            </w:r>
          </w:p>
        </w:tc>
        <w:tc>
          <w:tcPr>
            <w:tcW w:type="dxa" w:w="5904"/>
          </w:tcPr>
          <w:p>
            <w:pPr>
              <w:spacing w:after="20"/>
            </w:pPr>
            <w:r>
              <w:rPr>
                <w:color w:val="1C3A36"/>
                <w:sz w:val="14"/>
              </w:rPr>
              <w:t>Audited consolidated FS, Annual Report 2023, investors.du.ae (PwC, unqualified opinion 13-Feb-2024), Note 29</w:t>
            </w:r>
          </w:p>
        </w:tc>
        <w:tc>
          <w:tcPr>
            <w:tcW w:type="dxa" w:w="1080"/>
          </w:tcPr>
          <w:p>
            <w:pPr>
              <w:spacing w:after="20"/>
            </w:pPr>
            <w:r>
              <w:rPr>
                <w:color w:val="1C3A36"/>
                <w:sz w:val="14"/>
              </w:rPr>
              <w:t>2024-02-13</w:t>
            </w:r>
          </w:p>
        </w:tc>
      </w:tr>
      <w:tr>
        <w:tc>
          <w:tcPr>
            <w:tcW w:type="dxa" w:w="1512"/>
          </w:tcPr>
          <w:p>
            <w:pPr>
              <w:spacing w:after="20"/>
            </w:pPr>
            <w:r>
              <w:rPr>
                <w:color w:val="1C3A36"/>
                <w:sz w:val="14"/>
              </w:rPr>
              <w:t>eps_fy24</w:t>
            </w:r>
          </w:p>
        </w:tc>
        <w:tc>
          <w:tcPr>
            <w:tcW w:type="dxa" w:w="1656"/>
          </w:tcPr>
          <w:p>
            <w:pPr>
              <w:spacing w:after="20"/>
            </w:pPr>
            <w:r>
              <w:rPr>
                <w:color w:val="1C3A36"/>
                <w:sz w:val="14"/>
              </w:rPr>
              <w:t>0.55</w:t>
            </w:r>
          </w:p>
        </w:tc>
        <w:tc>
          <w:tcPr>
            <w:tcW w:type="dxa" w:w="5904"/>
          </w:tcPr>
          <w:p>
            <w:pPr>
              <w:spacing w:after="20"/>
            </w:pPr>
            <w:r>
              <w:rPr>
                <w:color w:val="1C3A36"/>
                <w:sz w:val="14"/>
              </w:rPr>
              <w:t>Audited consolidated FS, Integrated Annual Report 2025, investors.du.ae (KPMG Lower Gulf, unmodified opinion 09-Feb-2026), Note 33 comparative</w:t>
            </w:r>
          </w:p>
        </w:tc>
        <w:tc>
          <w:tcPr>
            <w:tcW w:type="dxa" w:w="1080"/>
          </w:tcPr>
          <w:p>
            <w:pPr>
              <w:spacing w:after="20"/>
            </w:pPr>
            <w:r>
              <w:rPr>
                <w:color w:val="1C3A36"/>
                <w:sz w:val="14"/>
              </w:rPr>
              <w:t>2026-02-09</w:t>
            </w:r>
          </w:p>
        </w:tc>
      </w:tr>
      <w:tr>
        <w:tc>
          <w:tcPr>
            <w:tcW w:type="dxa" w:w="1512"/>
          </w:tcPr>
          <w:p>
            <w:pPr>
              <w:spacing w:after="20"/>
            </w:pPr>
            <w:r>
              <w:rPr>
                <w:color w:val="1C3A36"/>
                <w:sz w:val="14"/>
              </w:rPr>
              <w:t>eps_fy25</w:t>
            </w:r>
          </w:p>
        </w:tc>
        <w:tc>
          <w:tcPr>
            <w:tcW w:type="dxa" w:w="1656"/>
          </w:tcPr>
          <w:p>
            <w:pPr>
              <w:spacing w:after="20"/>
            </w:pPr>
            <w:r>
              <w:rPr>
                <w:color w:val="1C3A36"/>
                <w:sz w:val="14"/>
              </w:rPr>
              <w:t>0.64</w:t>
            </w:r>
          </w:p>
        </w:tc>
        <w:tc>
          <w:tcPr>
            <w:tcW w:type="dxa" w:w="5904"/>
          </w:tcPr>
          <w:p>
            <w:pPr>
              <w:spacing w:after="20"/>
            </w:pPr>
            <w:r>
              <w:rPr>
                <w:color w:val="1C3A36"/>
                <w:sz w:val="14"/>
              </w:rPr>
              <w:t>Audited consolidated FS, Integrated Annual Report 2025, investors.du.ae (KPMG Lower Gulf, unmodified opinion 09-Feb-2026), Note 33</w:t>
            </w:r>
          </w:p>
        </w:tc>
        <w:tc>
          <w:tcPr>
            <w:tcW w:type="dxa" w:w="1080"/>
          </w:tcPr>
          <w:p>
            <w:pPr>
              <w:spacing w:after="20"/>
            </w:pPr>
            <w:r>
              <w:rPr>
                <w:color w:val="1C3A36"/>
                <w:sz w:val="14"/>
              </w:rPr>
              <w:t>2026-02-09</w:t>
            </w:r>
          </w:p>
        </w:tc>
      </w:tr>
      <w:tr>
        <w:tc>
          <w:tcPr>
            <w:tcW w:type="dxa" w:w="1512"/>
          </w:tcPr>
          <w:p>
            <w:pPr>
              <w:spacing w:after="20"/>
            </w:pPr>
            <w:r>
              <w:rPr>
                <w:color w:val="1C3A36"/>
                <w:sz w:val="14"/>
              </w:rPr>
              <w:t>tax_eff</w:t>
            </w:r>
          </w:p>
        </w:tc>
        <w:tc>
          <w:tcPr>
            <w:tcW w:type="dxa" w:w="1656"/>
          </w:tcPr>
          <w:p>
            <w:pPr>
              <w:spacing w:after="20"/>
            </w:pPr>
            <w:r>
              <w:rPr>
                <w:color w:val="1C3A36"/>
                <w:sz w:val="14"/>
              </w:rPr>
              <w:t>0.4357</w:t>
            </w:r>
          </w:p>
        </w:tc>
        <w:tc>
          <w:tcPr>
            <w:tcW w:type="dxa" w:w="5904"/>
          </w:tcPr>
          <w:p>
            <w:pPr>
              <w:spacing w:after="20"/>
            </w:pPr>
            <w:r>
              <w:rPr>
                <w:color w:val="1C3A36"/>
                <w:sz w:val="14"/>
              </w:rPr>
              <w:t>Combined federal royalty + income tax charge / profit before both, audited FY2025: (1,956.602 + 287.435) / 5,149.122 = 43.57% (Note 26 states 43.6%; FY2024 44.7%). Regime: Cabinet decision 8/38 of 2023 — 38% federal royalty on total UAE regulated and non-regulated profits + 9% corporate income tax, combined floor AED 1.8bn/yr, legislated for 2024-2026</w:t>
            </w:r>
          </w:p>
        </w:tc>
        <w:tc>
          <w:tcPr>
            <w:tcW w:type="dxa" w:w="1080"/>
          </w:tcPr>
          <w:p>
            <w:pPr>
              <w:spacing w:after="20"/>
            </w:pPr>
            <w:r>
              <w:rPr>
                <w:color w:val="1C3A36"/>
                <w:sz w:val="14"/>
              </w:rPr>
              <w:t>2026-02-09</w:t>
            </w:r>
          </w:p>
        </w:tc>
      </w:tr>
      <w:tr>
        <w:tc>
          <w:tcPr>
            <w:tcW w:type="dxa" w:w="1512"/>
          </w:tcPr>
          <w:p>
            <w:pPr>
              <w:spacing w:after="20"/>
            </w:pPr>
            <w:r>
              <w:rPr>
                <w:color w:val="1C3A36"/>
                <w:sz w:val="14"/>
              </w:rPr>
              <w:t>royalty_fy24_original</w:t>
            </w:r>
          </w:p>
        </w:tc>
        <w:tc>
          <w:tcPr>
            <w:tcW w:type="dxa" w:w="1656"/>
          </w:tcPr>
          <w:p>
            <w:pPr>
              <w:spacing w:after="20"/>
            </w:pPr>
            <w:r>
              <w:rPr>
                <w:color w:val="1C3A36"/>
                <w:sz w:val="14"/>
              </w:rPr>
              <w:t>1,675.9</w:t>
            </w:r>
          </w:p>
        </w:tc>
        <w:tc>
          <w:tcPr>
            <w:tcW w:type="dxa" w:w="5904"/>
          </w:tcPr>
          <w:p>
            <w:pPr>
              <w:spacing w:after="20"/>
            </w:pPr>
            <w:r>
              <w:rPr>
                <w:color w:val="1C3A36"/>
                <w:sz w:val="14"/>
              </w:rPr>
              <w:t>FY2024 federal royalty as ORIGINALLY presented in the FY2024 audited statements (it included prior-period adjustments), against the 1,571.649 IFRS 18 re-presented comparative on the face of the FY2025 statements which this model carries. REGISTERED 08-09-2026: the bibliography's source-discrepancy note quoted an effective rate of 44.7% on this basis and the figure was TYPED, because the model held no input it could be computed from. A figure that is real and that the model cannot produce means the model is what is missing</w:t>
            </w:r>
          </w:p>
        </w:tc>
        <w:tc>
          <w:tcPr>
            <w:tcW w:type="dxa" w:w="1080"/>
          </w:tcPr>
          <w:p>
            <w:pPr>
              <w:spacing w:after="20"/>
            </w:pPr>
            <w:r>
              <w:rPr>
                <w:color w:val="1C3A36"/>
                <w:sz w:val="14"/>
              </w:rPr>
              <w:t>2025-02-10</w:t>
            </w:r>
          </w:p>
        </w:tc>
      </w:tr>
      <w:tr>
        <w:tc>
          <w:tcPr>
            <w:tcW w:type="dxa" w:w="1512"/>
          </w:tcPr>
          <w:p>
            <w:pPr>
              <w:spacing w:after="20"/>
            </w:pPr>
            <w:r>
              <w:rPr>
                <w:color w:val="1C3A36"/>
                <w:sz w:val="14"/>
              </w:rPr>
              <w:t>fiscal_floor</w:t>
            </w:r>
          </w:p>
        </w:tc>
        <w:tc>
          <w:tcPr>
            <w:tcW w:type="dxa" w:w="1656"/>
          </w:tcPr>
          <w:p>
            <w:pPr>
              <w:spacing w:after="20"/>
            </w:pPr>
            <w:r>
              <w:rPr>
                <w:color w:val="1C3A36"/>
                <w:sz w:val="14"/>
              </w:rPr>
              <w:t>1,800.0</w:t>
            </w:r>
          </w:p>
        </w:tc>
        <w:tc>
          <w:tcPr>
            <w:tcW w:type="dxa" w:w="5904"/>
          </w:tcPr>
          <w:p>
            <w:pPr>
              <w:spacing w:after="20"/>
            </w:pPr>
            <w:r>
              <w:rPr>
                <w:color w:val="1C3A36"/>
                <w:sz w:val="14"/>
              </w:rPr>
              <w:t>AED 1.8 BILLION COMBINED ANNUAL FLOOR on the federal royalty plus corporate income tax — Cabinet decision 8/38 of 2023 for 2024-2026, and EXPRESSLY RETAINED in the Ministry of Finance extension for 2027-2029 that du disclosed itself on 24-Jul-2026 ('Extension of Federal Royalty Scheme for the Period 2027-2029'). REGISTERED AND MODELLED 08-09-2026, critique finding F28: the prior edition named this floor in the headline block, in section 1.7 and in this register as the key feature of the extension, and applied a flat 43.57% rate in every year and every scenario without it. It does not bind in the base case and the model now SAYS so rather than assuming it, and it does bind in a deep bear and under Framing B</w:t>
            </w:r>
          </w:p>
        </w:tc>
        <w:tc>
          <w:tcPr>
            <w:tcW w:type="dxa" w:w="1080"/>
          </w:tcPr>
          <w:p>
            <w:pPr>
              <w:spacing w:after="20"/>
            </w:pPr>
            <w:r>
              <w:rPr>
                <w:color w:val="1C3A36"/>
                <w:sz w:val="14"/>
              </w:rPr>
              <w:t>2026-07-24</w:t>
            </w:r>
          </w:p>
        </w:tc>
      </w:tr>
      <w:tr>
        <w:tc>
          <w:tcPr>
            <w:tcW w:type="dxa" w:w="1512"/>
          </w:tcPr>
          <w:p>
            <w:pPr>
              <w:spacing w:after="20"/>
            </w:pPr>
            <w:r>
              <w:rPr>
                <w:color w:val="1C3A36"/>
                <w:sz w:val="14"/>
              </w:rPr>
              <w:t>reg_share</w:t>
            </w:r>
          </w:p>
        </w:tc>
        <w:tc>
          <w:tcPr>
            <w:tcW w:type="dxa" w:w="1656"/>
          </w:tcPr>
          <w:p>
            <w:pPr>
              <w:spacing w:after="20"/>
            </w:pPr>
            <w:r>
              <w:rPr>
                <w:color w:val="1C3A36"/>
                <w:sz w:val="14"/>
              </w:rPr>
              <w:t>0.69</w:t>
            </w:r>
          </w:p>
        </w:tc>
        <w:tc>
          <w:tcPr>
            <w:tcW w:type="dxa" w:w="5904"/>
          </w:tcPr>
          <w:p>
            <w:pPr>
              <w:spacing w:after="20"/>
            </w:pPr>
            <w:r>
              <w:rPr>
                <w:color w:val="1C3A36"/>
                <w:sz w:val="14"/>
              </w:rPr>
              <w:t>Regulated revenue share under the PRE-2024 regime, audited FY2023 Note 27: total regulated revenue 9,410.136 / total revenue 13,636.340 = 69.0% — the revenue base for Framing B of the contested judgement</w:t>
            </w:r>
          </w:p>
        </w:tc>
        <w:tc>
          <w:tcPr>
            <w:tcW w:type="dxa" w:w="1080"/>
          </w:tcPr>
          <w:p>
            <w:pPr>
              <w:spacing w:after="20"/>
            </w:pPr>
            <w:r>
              <w:rPr>
                <w:color w:val="1C3A36"/>
                <w:sz w:val="14"/>
              </w:rPr>
              <w:t>2024-02-13</w:t>
            </w:r>
          </w:p>
        </w:tc>
      </w:tr>
      <w:tr>
        <w:tc>
          <w:tcPr>
            <w:tcW w:type="dxa" w:w="1512"/>
          </w:tcPr>
          <w:p>
            <w:pPr>
              <w:spacing w:after="20"/>
            </w:pPr>
            <w:r>
              <w:rPr>
                <w:color w:val="1C3A36"/>
                <w:sz w:val="14"/>
              </w:rPr>
              <w:t>royB_rev_rate</w:t>
            </w:r>
          </w:p>
        </w:tc>
        <w:tc>
          <w:tcPr>
            <w:tcW w:type="dxa" w:w="1656"/>
          </w:tcPr>
          <w:p>
            <w:pPr>
              <w:spacing w:after="20"/>
            </w:pPr>
            <w:r>
              <w:rPr>
                <w:color w:val="1C3A36"/>
                <w:sz w:val="14"/>
              </w:rPr>
              <w:t>0.15</w:t>
            </w:r>
          </w:p>
        </w:tc>
        <w:tc>
          <w:tcPr>
            <w:tcW w:type="dxa" w:w="5904"/>
          </w:tcPr>
          <w:p>
            <w:pPr>
              <w:spacing w:after="20"/>
            </w:pPr>
            <w:r>
              <w:rPr>
                <w:color w:val="1C3A36"/>
                <w:sz w:val="14"/>
              </w:rPr>
              <w:t>Pre-2024 royalty construction, leg 1: 15% of regulated revenue (Audited consolidated FS, Annual Report 2023, investors.du.ae (PwC, unqualified opinion 13-Feb-2024), Note 27)</w:t>
            </w:r>
          </w:p>
        </w:tc>
        <w:tc>
          <w:tcPr>
            <w:tcW w:type="dxa" w:w="1080"/>
          </w:tcPr>
          <w:p>
            <w:pPr>
              <w:spacing w:after="20"/>
            </w:pPr>
            <w:r>
              <w:rPr>
                <w:color w:val="1C3A36"/>
                <w:sz w:val="14"/>
              </w:rPr>
              <w:t>2024-02-13</w:t>
            </w:r>
          </w:p>
        </w:tc>
      </w:tr>
      <w:tr>
        <w:tc>
          <w:tcPr>
            <w:tcW w:type="dxa" w:w="1512"/>
          </w:tcPr>
          <w:p>
            <w:pPr>
              <w:spacing w:after="20"/>
            </w:pPr>
            <w:r>
              <w:rPr>
                <w:color w:val="1C3A36"/>
                <w:sz w:val="14"/>
              </w:rPr>
              <w:t>royB_prof_rate</w:t>
            </w:r>
          </w:p>
        </w:tc>
        <w:tc>
          <w:tcPr>
            <w:tcW w:type="dxa" w:w="1656"/>
          </w:tcPr>
          <w:p>
            <w:pPr>
              <w:spacing w:after="20"/>
            </w:pPr>
            <w:r>
              <w:rPr>
                <w:color w:val="1C3A36"/>
                <w:sz w:val="14"/>
              </w:rPr>
              <w:t>0.3</w:t>
            </w:r>
          </w:p>
        </w:tc>
        <w:tc>
          <w:tcPr>
            <w:tcW w:type="dxa" w:w="5904"/>
          </w:tcPr>
          <w:p>
            <w:pPr>
              <w:spacing w:after="20"/>
            </w:pPr>
            <w:r>
              <w:rPr>
                <w:color w:val="1C3A36"/>
                <w:sz w:val="14"/>
              </w:rPr>
              <w:t>Pre-2024 royalty construction, leg 2: 30% of regulated profit after deducting the revenue-leg royalty (Audited consolidated FS, Annual Report 2023, investors.du.ae (PwC, unqualified opinion 13-Feb-2024), Note 27)</w:t>
            </w:r>
          </w:p>
        </w:tc>
        <w:tc>
          <w:tcPr>
            <w:tcW w:type="dxa" w:w="1080"/>
          </w:tcPr>
          <w:p>
            <w:pPr>
              <w:spacing w:after="20"/>
            </w:pPr>
            <w:r>
              <w:rPr>
                <w:color w:val="1C3A36"/>
                <w:sz w:val="14"/>
              </w:rPr>
              <w:t>2024-02-13</w:t>
            </w:r>
          </w:p>
        </w:tc>
      </w:tr>
      <w:tr>
        <w:tc>
          <w:tcPr>
            <w:tcW w:type="dxa" w:w="1512"/>
          </w:tcPr>
          <w:p>
            <w:pPr>
              <w:spacing w:after="20"/>
            </w:pPr>
            <w:r>
              <w:rPr>
                <w:color w:val="1C3A36"/>
                <w:sz w:val="14"/>
              </w:rPr>
              <w:t>ppe_fy23</w:t>
            </w:r>
          </w:p>
        </w:tc>
        <w:tc>
          <w:tcPr>
            <w:tcW w:type="dxa" w:w="1656"/>
          </w:tcPr>
          <w:p>
            <w:pPr>
              <w:spacing w:after="20"/>
            </w:pPr>
            <w:r>
              <w:rPr>
                <w:color w:val="1C3A36"/>
                <w:sz w:val="14"/>
              </w:rPr>
              <w:t>9,722.7</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ppe_fy24</w:t>
            </w:r>
          </w:p>
        </w:tc>
        <w:tc>
          <w:tcPr>
            <w:tcW w:type="dxa" w:w="1656"/>
          </w:tcPr>
          <w:p>
            <w:pPr>
              <w:spacing w:after="20"/>
            </w:pPr>
            <w:r>
              <w:rPr>
                <w:color w:val="1C3A36"/>
                <w:sz w:val="14"/>
              </w:rPr>
              <w:t>9,838.4</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ppe_fy25</w:t>
            </w:r>
          </w:p>
        </w:tc>
        <w:tc>
          <w:tcPr>
            <w:tcW w:type="dxa" w:w="1656"/>
          </w:tcPr>
          <w:p>
            <w:pPr>
              <w:spacing w:after="20"/>
            </w:pPr>
            <w:r>
              <w:rPr>
                <w:color w:val="1C3A36"/>
                <w:sz w:val="14"/>
              </w:rPr>
              <w:t>10,288.8</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rou_fy23</w:t>
            </w:r>
          </w:p>
        </w:tc>
        <w:tc>
          <w:tcPr>
            <w:tcW w:type="dxa" w:w="1656"/>
          </w:tcPr>
          <w:p>
            <w:pPr>
              <w:spacing w:after="20"/>
            </w:pPr>
            <w:r>
              <w:rPr>
                <w:color w:val="1C3A36"/>
                <w:sz w:val="14"/>
              </w:rPr>
              <w:t>1,597.2</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rou_fy24</w:t>
            </w:r>
          </w:p>
        </w:tc>
        <w:tc>
          <w:tcPr>
            <w:tcW w:type="dxa" w:w="1656"/>
          </w:tcPr>
          <w:p>
            <w:pPr>
              <w:spacing w:after="20"/>
            </w:pPr>
            <w:r>
              <w:rPr>
                <w:color w:val="1C3A36"/>
                <w:sz w:val="14"/>
              </w:rPr>
              <w:t>1,657.2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rou_fy25</w:t>
            </w:r>
          </w:p>
        </w:tc>
        <w:tc>
          <w:tcPr>
            <w:tcW w:type="dxa" w:w="1656"/>
          </w:tcPr>
          <w:p>
            <w:pPr>
              <w:spacing w:after="20"/>
            </w:pPr>
            <w:r>
              <w:rPr>
                <w:color w:val="1C3A36"/>
                <w:sz w:val="14"/>
              </w:rPr>
              <w:t>1,515.4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intang_fy23</w:t>
            </w:r>
          </w:p>
        </w:tc>
        <w:tc>
          <w:tcPr>
            <w:tcW w:type="dxa" w:w="1656"/>
          </w:tcPr>
          <w:p>
            <w:pPr>
              <w:spacing w:after="20"/>
            </w:pPr>
            <w:r>
              <w:rPr>
                <w:color w:val="1C3A36"/>
                <w:sz w:val="14"/>
              </w:rPr>
              <w:t>1,110.8</w:t>
            </w:r>
          </w:p>
        </w:tc>
        <w:tc>
          <w:tcPr>
            <w:tcW w:type="dxa" w:w="5904"/>
          </w:tcPr>
          <w:p>
            <w:pPr>
              <w:spacing w:after="20"/>
            </w:pPr>
            <w:r>
              <w:rPr>
                <w:color w:val="1C3A36"/>
                <w:sz w:val="14"/>
              </w:rPr>
              <w:t>Audited consolidated FS, Annual Report 2023, investors.du.ae (PwC, unqualified opinion 13-Feb-2024) ('Intangible assets and goodwill', one line pre-2024)</w:t>
            </w:r>
          </w:p>
        </w:tc>
        <w:tc>
          <w:tcPr>
            <w:tcW w:type="dxa" w:w="1080"/>
          </w:tcPr>
          <w:p>
            <w:pPr>
              <w:spacing w:after="20"/>
            </w:pPr>
            <w:r>
              <w:rPr>
                <w:color w:val="1C3A36"/>
                <w:sz w:val="14"/>
              </w:rPr>
              <w:t>2024-02-13</w:t>
            </w:r>
          </w:p>
        </w:tc>
      </w:tr>
      <w:tr>
        <w:tc>
          <w:tcPr>
            <w:tcW w:type="dxa" w:w="1512"/>
          </w:tcPr>
          <w:p>
            <w:pPr>
              <w:spacing w:after="20"/>
            </w:pPr>
            <w:r>
              <w:rPr>
                <w:color w:val="1C3A36"/>
                <w:sz w:val="14"/>
              </w:rPr>
              <w:t>intang_fy24</w:t>
            </w:r>
          </w:p>
        </w:tc>
        <w:tc>
          <w:tcPr>
            <w:tcW w:type="dxa" w:w="1656"/>
          </w:tcPr>
          <w:p>
            <w:pPr>
              <w:spacing w:after="20"/>
            </w:pPr>
            <w:r>
              <w:rPr>
                <w:color w:val="1C3A36"/>
                <w:sz w:val="14"/>
              </w:rPr>
              <w:t>846.9</w:t>
            </w:r>
          </w:p>
        </w:tc>
        <w:tc>
          <w:tcPr>
            <w:tcW w:type="dxa" w:w="5904"/>
          </w:tcPr>
          <w:p>
            <w:pPr>
              <w:spacing w:after="20"/>
            </w:pPr>
            <w:r>
              <w:rPr>
                <w:color w:val="1C3A36"/>
                <w:sz w:val="14"/>
              </w:rPr>
              <w:t>Audited consolidated FS, Integrated Annual Report 2025, investors.du.ae (KPMG Lower Gulf, unmodified opinion 09-Feb-2026), FY2024 comparative (intangibles excl. goodwill)</w:t>
            </w:r>
          </w:p>
        </w:tc>
        <w:tc>
          <w:tcPr>
            <w:tcW w:type="dxa" w:w="1080"/>
          </w:tcPr>
          <w:p>
            <w:pPr>
              <w:spacing w:after="20"/>
            </w:pPr>
            <w:r>
              <w:rPr>
                <w:color w:val="1C3A36"/>
                <w:sz w:val="14"/>
              </w:rPr>
              <w:t>2026-02-09</w:t>
            </w:r>
          </w:p>
        </w:tc>
      </w:tr>
      <w:tr>
        <w:tc>
          <w:tcPr>
            <w:tcW w:type="dxa" w:w="1512"/>
          </w:tcPr>
          <w:p>
            <w:pPr>
              <w:spacing w:after="20"/>
            </w:pPr>
            <w:r>
              <w:rPr>
                <w:color w:val="1C3A36"/>
                <w:sz w:val="14"/>
              </w:rPr>
              <w:t>intang_fy25</w:t>
            </w:r>
          </w:p>
        </w:tc>
        <w:tc>
          <w:tcPr>
            <w:tcW w:type="dxa" w:w="1656"/>
          </w:tcPr>
          <w:p>
            <w:pPr>
              <w:spacing w:after="20"/>
            </w:pPr>
            <w:r>
              <w:rPr>
                <w:color w:val="1C3A36"/>
                <w:sz w:val="14"/>
              </w:rPr>
              <w:t>869.6</w:t>
            </w:r>
          </w:p>
        </w:tc>
        <w:tc>
          <w:tcPr>
            <w:tcW w:type="dxa" w:w="5904"/>
          </w:tcPr>
          <w:p>
            <w:pPr>
              <w:spacing w:after="20"/>
            </w:pPr>
            <w:r>
              <w:rPr>
                <w:color w:val="1C3A36"/>
                <w:sz w:val="14"/>
              </w:rPr>
              <w:t>Audited consolidated FS, Integrated Annual Report 2025, investors.du.ae (KPMG Lower Gulf, unmodified opinion 09-Feb-2026) (software 297.272 + capital work in progress 571.459 + TDRA licence NBV 0.869, Note 8)</w:t>
            </w:r>
          </w:p>
        </w:tc>
        <w:tc>
          <w:tcPr>
            <w:tcW w:type="dxa" w:w="1080"/>
          </w:tcPr>
          <w:p>
            <w:pPr>
              <w:spacing w:after="20"/>
            </w:pPr>
            <w:r>
              <w:rPr>
                <w:color w:val="1C3A36"/>
                <w:sz w:val="14"/>
              </w:rPr>
              <w:t>2026-02-09</w:t>
            </w:r>
          </w:p>
        </w:tc>
      </w:tr>
      <w:tr>
        <w:tc>
          <w:tcPr>
            <w:tcW w:type="dxa" w:w="1512"/>
          </w:tcPr>
          <w:p>
            <w:pPr>
              <w:spacing w:after="20"/>
            </w:pPr>
            <w:r>
              <w:rPr>
                <w:color w:val="1C3A36"/>
                <w:sz w:val="14"/>
              </w:rPr>
              <w:t>goodwill_fy25</w:t>
            </w:r>
          </w:p>
        </w:tc>
        <w:tc>
          <w:tcPr>
            <w:tcW w:type="dxa" w:w="1656"/>
          </w:tcPr>
          <w:p>
            <w:pPr>
              <w:spacing w:after="20"/>
            </w:pPr>
            <w:r>
              <w:rPr>
                <w:color w:val="1C3A36"/>
                <w:sz w:val="14"/>
              </w:rPr>
              <w:t>413.2</w:t>
            </w:r>
          </w:p>
        </w:tc>
        <w:tc>
          <w:tcPr>
            <w:tcW w:type="dxa" w:w="5904"/>
          </w:tcPr>
          <w:p>
            <w:pPr>
              <w:spacing w:after="20"/>
            </w:pPr>
            <w:r>
              <w:rPr>
                <w:color w:val="1C3A36"/>
                <w:sz w:val="14"/>
              </w:rPr>
              <w:t>Audited consolidated FS, Integrated Annual Report 2025, investors.du.ae (KPMG Lower Gulf, unmodified opinion 09-Feb-2026), Note 9 (unchanged from FY2024)</w:t>
            </w:r>
          </w:p>
        </w:tc>
        <w:tc>
          <w:tcPr>
            <w:tcW w:type="dxa" w:w="1080"/>
          </w:tcPr>
          <w:p>
            <w:pPr>
              <w:spacing w:after="20"/>
            </w:pPr>
            <w:r>
              <w:rPr>
                <w:color w:val="1C3A36"/>
                <w:sz w:val="14"/>
              </w:rPr>
              <w:t>2026-02-09</w:t>
            </w:r>
          </w:p>
        </w:tc>
      </w:tr>
      <w:tr>
        <w:tc>
          <w:tcPr>
            <w:tcW w:type="dxa" w:w="1512"/>
          </w:tcPr>
          <w:p>
            <w:pPr>
              <w:spacing w:after="20"/>
            </w:pPr>
            <w:r>
              <w:rPr>
                <w:color w:val="1C3A36"/>
                <w:sz w:val="14"/>
              </w:rPr>
              <w:t>inv_fy23</w:t>
            </w:r>
          </w:p>
        </w:tc>
        <w:tc>
          <w:tcPr>
            <w:tcW w:type="dxa" w:w="1656"/>
          </w:tcPr>
          <w:p>
            <w:pPr>
              <w:spacing w:after="20"/>
            </w:pPr>
            <w:r>
              <w:rPr>
                <w:color w:val="1C3A36"/>
                <w:sz w:val="14"/>
              </w:rPr>
              <w:t>101.7</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inv_fy24</w:t>
            </w:r>
          </w:p>
        </w:tc>
        <w:tc>
          <w:tcPr>
            <w:tcW w:type="dxa" w:w="1656"/>
          </w:tcPr>
          <w:p>
            <w:pPr>
              <w:spacing w:after="20"/>
            </w:pPr>
            <w:r>
              <w:rPr>
                <w:color w:val="1C3A36"/>
                <w:sz w:val="14"/>
              </w:rPr>
              <w:t>175.6</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inv_fy25</w:t>
            </w:r>
          </w:p>
        </w:tc>
        <w:tc>
          <w:tcPr>
            <w:tcW w:type="dxa" w:w="1656"/>
          </w:tcPr>
          <w:p>
            <w:pPr>
              <w:spacing w:after="20"/>
            </w:pPr>
            <w:r>
              <w:rPr>
                <w:color w:val="1C3A36"/>
                <w:sz w:val="14"/>
              </w:rPr>
              <w:t>175.5</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recv_fy23</w:t>
            </w:r>
          </w:p>
        </w:tc>
        <w:tc>
          <w:tcPr>
            <w:tcW w:type="dxa" w:w="1656"/>
          </w:tcPr>
          <w:p>
            <w:pPr>
              <w:spacing w:after="20"/>
            </w:pPr>
            <w:r>
              <w:rPr>
                <w:color w:val="1C3A36"/>
                <w:sz w:val="14"/>
              </w:rPr>
              <w:t>2,224.0</w:t>
            </w:r>
          </w:p>
        </w:tc>
        <w:tc>
          <w:tcPr>
            <w:tcW w:type="dxa" w:w="5904"/>
          </w:tcPr>
          <w:p>
            <w:pPr>
              <w:spacing w:after="20"/>
            </w:pPr>
            <w:r>
              <w:rPr>
                <w:color w:val="1C3A36"/>
                <w:sz w:val="14"/>
              </w:rPr>
              <w:t>Audited consolidated FS, Annual Report 2023, investors.du.ae (PwC, unqualified opinion 13-Feb-2024) ('Trade receivables, contract assets and other assets', current)</w:t>
            </w:r>
          </w:p>
        </w:tc>
        <w:tc>
          <w:tcPr>
            <w:tcW w:type="dxa" w:w="1080"/>
          </w:tcPr>
          <w:p>
            <w:pPr>
              <w:spacing w:after="20"/>
            </w:pPr>
            <w:r>
              <w:rPr>
                <w:color w:val="1C3A36"/>
                <w:sz w:val="14"/>
              </w:rPr>
              <w:t>2024-02-13</w:t>
            </w:r>
          </w:p>
        </w:tc>
      </w:tr>
      <w:tr>
        <w:tc>
          <w:tcPr>
            <w:tcW w:type="dxa" w:w="1512"/>
          </w:tcPr>
          <w:p>
            <w:pPr>
              <w:spacing w:after="20"/>
            </w:pPr>
            <w:r>
              <w:rPr>
                <w:color w:val="1C3A36"/>
                <w:sz w:val="14"/>
              </w:rPr>
              <w:t>recv_fy24</w:t>
            </w:r>
          </w:p>
        </w:tc>
        <w:tc>
          <w:tcPr>
            <w:tcW w:type="dxa" w:w="1656"/>
          </w:tcPr>
          <w:p>
            <w:pPr>
              <w:spacing w:after="20"/>
            </w:pPr>
            <w:r>
              <w:rPr>
                <w:color w:val="1C3A36"/>
                <w:sz w:val="14"/>
              </w:rPr>
              <w:t>2,128.6</w:t>
            </w:r>
          </w:p>
        </w:tc>
        <w:tc>
          <w:tcPr>
            <w:tcW w:type="dxa" w:w="5904"/>
          </w:tcPr>
          <w:p>
            <w:pPr>
              <w:spacing w:after="20"/>
            </w:pPr>
            <w:r>
              <w:rPr>
                <w:color w:val="1C3A36"/>
                <w:sz w:val="14"/>
              </w:rPr>
              <w:t>Audited consolidated FS, Integrated Annual Report 2025, investors.du.ae (KPMG Lower Gulf, unmodified opinion 09-Feb-2026), FY2024 comparative (trade receivables and contract assets, current)</w:t>
            </w:r>
          </w:p>
        </w:tc>
        <w:tc>
          <w:tcPr>
            <w:tcW w:type="dxa" w:w="1080"/>
          </w:tcPr>
          <w:p>
            <w:pPr>
              <w:spacing w:after="20"/>
            </w:pPr>
            <w:r>
              <w:rPr>
                <w:color w:val="1C3A36"/>
                <w:sz w:val="14"/>
              </w:rPr>
              <w:t>2026-02-09</w:t>
            </w:r>
          </w:p>
        </w:tc>
      </w:tr>
      <w:tr>
        <w:tc>
          <w:tcPr>
            <w:tcW w:type="dxa" w:w="1512"/>
          </w:tcPr>
          <w:p>
            <w:pPr>
              <w:spacing w:after="20"/>
            </w:pPr>
            <w:r>
              <w:rPr>
                <w:color w:val="1C3A36"/>
                <w:sz w:val="14"/>
              </w:rPr>
              <w:t>recv_fy25</w:t>
            </w:r>
          </w:p>
        </w:tc>
        <w:tc>
          <w:tcPr>
            <w:tcW w:type="dxa" w:w="1656"/>
          </w:tcPr>
          <w:p>
            <w:pPr>
              <w:spacing w:after="20"/>
            </w:pPr>
            <w:r>
              <w:rPr>
                <w:color w:val="1C3A36"/>
                <w:sz w:val="14"/>
              </w:rPr>
              <w:t>2,222.5</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ccost_fy23</w:t>
            </w:r>
          </w:p>
        </w:tc>
        <w:tc>
          <w:tcPr>
            <w:tcW w:type="dxa" w:w="1656"/>
          </w:tcPr>
          <w:p>
            <w:pPr>
              <w:spacing w:after="20"/>
            </w:pPr>
            <w:r>
              <w:rPr>
                <w:color w:val="1C3A36"/>
                <w:sz w:val="14"/>
              </w:rPr>
              <w:t>341.9</w:t>
            </w:r>
          </w:p>
        </w:tc>
        <w:tc>
          <w:tcPr>
            <w:tcW w:type="dxa" w:w="5904"/>
          </w:tcPr>
          <w:p>
            <w:pPr>
              <w:spacing w:after="20"/>
            </w:pPr>
            <w:r>
              <w:rPr>
                <w:color w:val="1C3A36"/>
                <w:sz w:val="14"/>
              </w:rPr>
              <w:t>Audited consolidated FS, Annual Report 2023, investors.du.ae (PwC, unqualified opinion 13-Feb-2024) (contract costs, current)</w:t>
            </w:r>
          </w:p>
        </w:tc>
        <w:tc>
          <w:tcPr>
            <w:tcW w:type="dxa" w:w="1080"/>
          </w:tcPr>
          <w:p>
            <w:pPr>
              <w:spacing w:after="20"/>
            </w:pPr>
            <w:r>
              <w:rPr>
                <w:color w:val="1C3A36"/>
                <w:sz w:val="14"/>
              </w:rPr>
              <w:t>2024-02-13</w:t>
            </w:r>
          </w:p>
        </w:tc>
      </w:tr>
      <w:tr>
        <w:tc>
          <w:tcPr>
            <w:tcW w:type="dxa" w:w="1512"/>
          </w:tcPr>
          <w:p>
            <w:pPr>
              <w:spacing w:after="20"/>
            </w:pPr>
            <w:r>
              <w:rPr>
                <w:color w:val="1C3A36"/>
                <w:sz w:val="14"/>
              </w:rPr>
              <w:t>ccost_fy24</w:t>
            </w:r>
          </w:p>
        </w:tc>
        <w:tc>
          <w:tcPr>
            <w:tcW w:type="dxa" w:w="1656"/>
          </w:tcPr>
          <w:p>
            <w:pPr>
              <w:spacing w:after="20"/>
            </w:pPr>
            <w:r>
              <w:rPr>
                <w:color w:val="1C3A36"/>
                <w:sz w:val="14"/>
              </w:rPr>
              <w:t>361.6</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ccost_fy25</w:t>
            </w:r>
          </w:p>
        </w:tc>
        <w:tc>
          <w:tcPr>
            <w:tcW w:type="dxa" w:w="1656"/>
          </w:tcPr>
          <w:p>
            <w:pPr>
              <w:spacing w:after="20"/>
            </w:pPr>
            <w:r>
              <w:rPr>
                <w:color w:val="1C3A36"/>
                <w:sz w:val="14"/>
              </w:rPr>
              <w:t>442.4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relparty_a_fy23</w:t>
            </w:r>
          </w:p>
        </w:tc>
        <w:tc>
          <w:tcPr>
            <w:tcW w:type="dxa" w:w="1656"/>
          </w:tcPr>
          <w:p>
            <w:pPr>
              <w:spacing w:after="20"/>
            </w:pPr>
            <w:r>
              <w:rPr>
                <w:color w:val="1C3A36"/>
                <w:sz w:val="14"/>
              </w:rPr>
              <w:t>53.449</w:t>
            </w:r>
          </w:p>
        </w:tc>
        <w:tc>
          <w:tcPr>
            <w:tcW w:type="dxa" w:w="5904"/>
          </w:tcPr>
          <w:p>
            <w:pPr>
              <w:spacing w:after="20"/>
            </w:pPr>
            <w:r>
              <w:rPr>
                <w:color w:val="1C3A36"/>
                <w:sz w:val="14"/>
              </w:rPr>
              <w:t>Audited consolidated FS, Annual Report 2023, investors.du.ae (PwC, unqualified opinion 13-Feb-2024) (due from related parties)</w:t>
            </w:r>
          </w:p>
        </w:tc>
        <w:tc>
          <w:tcPr>
            <w:tcW w:type="dxa" w:w="1080"/>
          </w:tcPr>
          <w:p>
            <w:pPr>
              <w:spacing w:after="20"/>
            </w:pPr>
            <w:r>
              <w:rPr>
                <w:color w:val="1C3A36"/>
                <w:sz w:val="14"/>
              </w:rPr>
              <w:t>2024-02-13</w:t>
            </w:r>
          </w:p>
        </w:tc>
      </w:tr>
      <w:tr>
        <w:tc>
          <w:tcPr>
            <w:tcW w:type="dxa" w:w="1512"/>
          </w:tcPr>
          <w:p>
            <w:pPr>
              <w:spacing w:after="20"/>
            </w:pPr>
            <w:r>
              <w:rPr>
                <w:color w:val="1C3A36"/>
                <w:sz w:val="14"/>
              </w:rPr>
              <w:t>relparty_a_fy24</w:t>
            </w:r>
          </w:p>
        </w:tc>
        <w:tc>
          <w:tcPr>
            <w:tcW w:type="dxa" w:w="1656"/>
          </w:tcPr>
          <w:p>
            <w:pPr>
              <w:spacing w:after="20"/>
            </w:pPr>
            <w:r>
              <w:rPr>
                <w:color w:val="1C3A36"/>
                <w:sz w:val="14"/>
              </w:rPr>
              <w:t>21.732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relparty_a_fy25</w:t>
            </w:r>
          </w:p>
        </w:tc>
        <w:tc>
          <w:tcPr>
            <w:tcW w:type="dxa" w:w="1656"/>
          </w:tcPr>
          <w:p>
            <w:pPr>
              <w:spacing w:after="20"/>
            </w:pPr>
            <w:r>
              <w:rPr>
                <w:color w:val="1C3A36"/>
                <w:sz w:val="14"/>
              </w:rPr>
              <w:t>27.481</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othca_fy23</w:t>
            </w:r>
          </w:p>
        </w:tc>
        <w:tc>
          <w:tcPr>
            <w:tcW w:type="dxa" w:w="1656"/>
          </w:tcPr>
          <w:p>
            <w:pPr>
              <w:spacing w:after="20"/>
            </w:pPr>
            <w:r>
              <w:rPr>
                <w:color w:val="1C3A36"/>
                <w:sz w:val="14"/>
              </w:rPr>
              <w:t>0</w:t>
            </w:r>
          </w:p>
        </w:tc>
        <w:tc>
          <w:tcPr>
            <w:tcW w:type="dxa" w:w="5904"/>
          </w:tcPr>
          <w:p>
            <w:pPr>
              <w:spacing w:after="20"/>
            </w:pPr>
            <w:r>
              <w:rPr>
                <w:color w:val="1C3A36"/>
                <w:sz w:val="14"/>
              </w:rPr>
              <w:t>Audited consolidated FS, Annual Report 2023, investors.du.ae (PwC, unqualified opinion 13-Feb-2024) — other non-financial assets are not a separate current line in the FY2023 layout (folded into trade receivables and other assets); carried at zero to avoid double-counting</w:t>
            </w:r>
          </w:p>
        </w:tc>
        <w:tc>
          <w:tcPr>
            <w:tcW w:type="dxa" w:w="1080"/>
          </w:tcPr>
          <w:p>
            <w:pPr>
              <w:spacing w:after="20"/>
            </w:pPr>
            <w:r>
              <w:rPr>
                <w:color w:val="1C3A36"/>
                <w:sz w:val="14"/>
              </w:rPr>
              <w:t>2024-02-13</w:t>
            </w:r>
          </w:p>
        </w:tc>
      </w:tr>
      <w:tr>
        <w:tc>
          <w:tcPr>
            <w:tcW w:type="dxa" w:w="1512"/>
          </w:tcPr>
          <w:p>
            <w:pPr>
              <w:spacing w:after="20"/>
            </w:pPr>
            <w:r>
              <w:rPr>
                <w:color w:val="1C3A36"/>
                <w:sz w:val="14"/>
              </w:rPr>
              <w:t>othca_fy24</w:t>
            </w:r>
          </w:p>
        </w:tc>
        <w:tc>
          <w:tcPr>
            <w:tcW w:type="dxa" w:w="1656"/>
          </w:tcPr>
          <w:p>
            <w:pPr>
              <w:spacing w:after="20"/>
            </w:pPr>
            <w:r>
              <w:rPr>
                <w:color w:val="1C3A36"/>
                <w:sz w:val="14"/>
              </w:rPr>
              <w:t>324.3</w:t>
            </w:r>
          </w:p>
        </w:tc>
        <w:tc>
          <w:tcPr>
            <w:tcW w:type="dxa" w:w="5904"/>
          </w:tcPr>
          <w:p>
            <w:pPr>
              <w:spacing w:after="20"/>
            </w:pPr>
            <w:r>
              <w:rPr>
                <w:color w:val="1C3A36"/>
                <w:sz w:val="14"/>
              </w:rPr>
              <w:t>Audited consolidated FS, Integrated Annual Report 2025, investors.du.ae (KPMG Lower Gulf, unmodified opinion 09-Feb-2026), FY2024 comparative (other non-financial assets, current)</w:t>
            </w:r>
          </w:p>
        </w:tc>
        <w:tc>
          <w:tcPr>
            <w:tcW w:type="dxa" w:w="1080"/>
          </w:tcPr>
          <w:p>
            <w:pPr>
              <w:spacing w:after="20"/>
            </w:pPr>
            <w:r>
              <w:rPr>
                <w:color w:val="1C3A36"/>
                <w:sz w:val="14"/>
              </w:rPr>
              <w:t>2026-02-09</w:t>
            </w:r>
          </w:p>
        </w:tc>
      </w:tr>
      <w:tr>
        <w:tc>
          <w:tcPr>
            <w:tcW w:type="dxa" w:w="1512"/>
          </w:tcPr>
          <w:p>
            <w:pPr>
              <w:spacing w:after="20"/>
            </w:pPr>
            <w:r>
              <w:rPr>
                <w:color w:val="1C3A36"/>
                <w:sz w:val="14"/>
              </w:rPr>
              <w:t>othca_fy25</w:t>
            </w:r>
          </w:p>
        </w:tc>
        <w:tc>
          <w:tcPr>
            <w:tcW w:type="dxa" w:w="1656"/>
          </w:tcPr>
          <w:p>
            <w:pPr>
              <w:spacing w:after="20"/>
            </w:pPr>
            <w:r>
              <w:rPr>
                <w:color w:val="1C3A36"/>
                <w:sz w:val="14"/>
              </w:rPr>
              <w:t>416.8</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cash_fy23</w:t>
            </w:r>
          </w:p>
        </w:tc>
        <w:tc>
          <w:tcPr>
            <w:tcW w:type="dxa" w:w="1656"/>
          </w:tcPr>
          <w:p>
            <w:pPr>
              <w:spacing w:after="20"/>
            </w:pPr>
            <w:r>
              <w:rPr>
                <w:color w:val="1C3A36"/>
                <w:sz w:val="14"/>
              </w:rPr>
              <w:t>610.0</w:t>
            </w:r>
          </w:p>
        </w:tc>
        <w:tc>
          <w:tcPr>
            <w:tcW w:type="dxa" w:w="5904"/>
          </w:tcPr>
          <w:p>
            <w:pPr>
              <w:spacing w:after="20"/>
            </w:pPr>
            <w:r>
              <w:rPr>
                <w:color w:val="1C3A36"/>
                <w:sz w:val="14"/>
              </w:rPr>
              <w:t>Audited consolidated FS, Annual Report 2023, investors.du.ae (PwC, unqualified opinion 13-Feb-2024) (cash and bank balances)</w:t>
            </w:r>
          </w:p>
        </w:tc>
        <w:tc>
          <w:tcPr>
            <w:tcW w:type="dxa" w:w="1080"/>
          </w:tcPr>
          <w:p>
            <w:pPr>
              <w:spacing w:after="20"/>
            </w:pPr>
            <w:r>
              <w:rPr>
                <w:color w:val="1C3A36"/>
                <w:sz w:val="14"/>
              </w:rPr>
              <w:t>2024-02-13</w:t>
            </w:r>
          </w:p>
        </w:tc>
      </w:tr>
      <w:tr>
        <w:tc>
          <w:tcPr>
            <w:tcW w:type="dxa" w:w="1512"/>
          </w:tcPr>
          <w:p>
            <w:pPr>
              <w:spacing w:after="20"/>
            </w:pPr>
            <w:r>
              <w:rPr>
                <w:color w:val="1C3A36"/>
                <w:sz w:val="14"/>
              </w:rPr>
              <w:t>cash_fy24</w:t>
            </w:r>
          </w:p>
        </w:tc>
        <w:tc>
          <w:tcPr>
            <w:tcW w:type="dxa" w:w="1656"/>
          </w:tcPr>
          <w:p>
            <w:pPr>
              <w:spacing w:after="20"/>
            </w:pPr>
            <w:r>
              <w:rPr>
                <w:color w:val="1C3A36"/>
                <w:sz w:val="14"/>
              </w:rPr>
              <w:t>984.0</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cash_fy25</w:t>
            </w:r>
          </w:p>
        </w:tc>
        <w:tc>
          <w:tcPr>
            <w:tcW w:type="dxa" w:w="1656"/>
          </w:tcPr>
          <w:p>
            <w:pPr>
              <w:spacing w:after="20"/>
            </w:pPr>
            <w:r>
              <w:rPr>
                <w:color w:val="1C3A36"/>
                <w:sz w:val="14"/>
              </w:rPr>
              <w:t>465.7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deposits_fy23</w:t>
            </w:r>
          </w:p>
        </w:tc>
        <w:tc>
          <w:tcPr>
            <w:tcW w:type="dxa" w:w="1656"/>
          </w:tcPr>
          <w:p>
            <w:pPr>
              <w:spacing w:after="20"/>
            </w:pPr>
            <w:r>
              <w:rPr>
                <w:color w:val="1C3A36"/>
                <w:sz w:val="14"/>
              </w:rPr>
              <w:t>1,326.6</w:t>
            </w:r>
          </w:p>
        </w:tc>
        <w:tc>
          <w:tcPr>
            <w:tcW w:type="dxa" w:w="5904"/>
          </w:tcPr>
          <w:p>
            <w:pPr>
              <w:spacing w:after="20"/>
            </w:pPr>
            <w:r>
              <w:rPr>
                <w:color w:val="1C3A36"/>
                <w:sz w:val="14"/>
              </w:rPr>
              <w:t>Audited consolidated FS, Annual Report 2023, investors.du.ae (PwC, unqualified opinion 13-Feb-2024) (term deposits)</w:t>
            </w:r>
          </w:p>
        </w:tc>
        <w:tc>
          <w:tcPr>
            <w:tcW w:type="dxa" w:w="1080"/>
          </w:tcPr>
          <w:p>
            <w:pPr>
              <w:spacing w:after="20"/>
            </w:pPr>
            <w:r>
              <w:rPr>
                <w:color w:val="1C3A36"/>
                <w:sz w:val="14"/>
              </w:rPr>
              <w:t>2024-02-13</w:t>
            </w:r>
          </w:p>
        </w:tc>
      </w:tr>
      <w:tr>
        <w:tc>
          <w:tcPr>
            <w:tcW w:type="dxa" w:w="1512"/>
          </w:tcPr>
          <w:p>
            <w:pPr>
              <w:spacing w:after="20"/>
            </w:pPr>
            <w:r>
              <w:rPr>
                <w:color w:val="1C3A36"/>
                <w:sz w:val="14"/>
              </w:rPr>
              <w:t>deposits_fy24</w:t>
            </w:r>
          </w:p>
        </w:tc>
        <w:tc>
          <w:tcPr>
            <w:tcW w:type="dxa" w:w="1656"/>
          </w:tcPr>
          <w:p>
            <w:pPr>
              <w:spacing w:after="20"/>
            </w:pPr>
            <w:r>
              <w:rPr>
                <w:color w:val="1C3A36"/>
                <w:sz w:val="14"/>
              </w:rPr>
              <w:t>1,299.3</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deposits_fy25</w:t>
            </w:r>
          </w:p>
        </w:tc>
        <w:tc>
          <w:tcPr>
            <w:tcW w:type="dxa" w:w="1656"/>
          </w:tcPr>
          <w:p>
            <w:pPr>
              <w:spacing w:after="20"/>
            </w:pPr>
            <w:r>
              <w:rPr>
                <w:color w:val="1C3A36"/>
                <w:sz w:val="14"/>
              </w:rPr>
              <w:t>1,784.0</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assets_fy23</w:t>
            </w:r>
          </w:p>
        </w:tc>
        <w:tc>
          <w:tcPr>
            <w:tcW w:type="dxa" w:w="1656"/>
          </w:tcPr>
          <w:p>
            <w:pPr>
              <w:spacing w:after="20"/>
            </w:pPr>
            <w:r>
              <w:rPr>
                <w:color w:val="1C3A36"/>
                <w:sz w:val="14"/>
              </w:rPr>
              <w:t>17,703.7</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assets_fy24</w:t>
            </w:r>
          </w:p>
        </w:tc>
        <w:tc>
          <w:tcPr>
            <w:tcW w:type="dxa" w:w="1656"/>
          </w:tcPr>
          <w:p>
            <w:pPr>
              <w:spacing w:after="20"/>
            </w:pPr>
            <w:r>
              <w:rPr>
                <w:color w:val="1C3A36"/>
                <w:sz w:val="14"/>
              </w:rPr>
              <w:t>18,693.3</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assets_fy25</w:t>
            </w:r>
          </w:p>
        </w:tc>
        <w:tc>
          <w:tcPr>
            <w:tcW w:type="dxa" w:w="1656"/>
          </w:tcPr>
          <w:p>
            <w:pPr>
              <w:spacing w:after="20"/>
            </w:pPr>
            <w:r>
              <w:rPr>
                <w:color w:val="1C3A36"/>
                <w:sz w:val="14"/>
              </w:rPr>
              <w:t>19,375.7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pay_fy23</w:t>
            </w:r>
          </w:p>
        </w:tc>
        <w:tc>
          <w:tcPr>
            <w:tcW w:type="dxa" w:w="1656"/>
          </w:tcPr>
          <w:p>
            <w:pPr>
              <w:spacing w:after="20"/>
            </w:pPr>
            <w:r>
              <w:rPr>
                <w:color w:val="1C3A36"/>
                <w:sz w:val="14"/>
              </w:rPr>
              <w:t>5,247.3</w:t>
            </w:r>
          </w:p>
        </w:tc>
        <w:tc>
          <w:tcPr>
            <w:tcW w:type="dxa" w:w="5904"/>
          </w:tcPr>
          <w:p>
            <w:pPr>
              <w:spacing w:after="20"/>
            </w:pPr>
            <w:r>
              <w:rPr>
                <w:color w:val="1C3A36"/>
                <w:sz w:val="14"/>
              </w:rPr>
              <w:t>Audited consolidated FS, Annual Report 2023, investors.du.ae (PwC, unqualified opinion 13-Feb-2024) (trade and other payables — INCLUDES the accrued federal royalty, which the FY2023 layout does not present separately)</w:t>
            </w:r>
          </w:p>
        </w:tc>
        <w:tc>
          <w:tcPr>
            <w:tcW w:type="dxa" w:w="1080"/>
          </w:tcPr>
          <w:p>
            <w:pPr>
              <w:spacing w:after="20"/>
            </w:pPr>
            <w:r>
              <w:rPr>
                <w:color w:val="1C3A36"/>
                <w:sz w:val="14"/>
              </w:rPr>
              <w:t>2024-02-13</w:t>
            </w:r>
          </w:p>
        </w:tc>
      </w:tr>
      <w:tr>
        <w:tc>
          <w:tcPr>
            <w:tcW w:type="dxa" w:w="1512"/>
          </w:tcPr>
          <w:p>
            <w:pPr>
              <w:spacing w:after="20"/>
            </w:pPr>
            <w:r>
              <w:rPr>
                <w:color w:val="1C3A36"/>
                <w:sz w:val="14"/>
              </w:rPr>
              <w:t>roy_accr_fy23</w:t>
            </w:r>
          </w:p>
        </w:tc>
        <w:tc>
          <w:tcPr>
            <w:tcW w:type="dxa" w:w="1656"/>
          </w:tcPr>
          <w:p>
            <w:pPr>
              <w:spacing w:after="20"/>
            </w:pPr>
            <w:r>
              <w:rPr>
                <w:color w:val="1C3A36"/>
                <w:sz w:val="14"/>
              </w:rPr>
              <w:t>2,033.2</w:t>
            </w:r>
          </w:p>
        </w:tc>
        <w:tc>
          <w:tcPr>
            <w:tcW w:type="dxa" w:w="5904"/>
          </w:tcPr>
          <w:p>
            <w:pPr>
              <w:spacing w:after="20"/>
            </w:pPr>
            <w:r>
              <w:rPr>
                <w:color w:val="1C3A36"/>
                <w:sz w:val="14"/>
              </w:rPr>
              <w:t>Audited consolidated FS, Annual Report 2024, investors.du.ae (PwC, unqualified opinion 10-Feb-2025), Note 23 accrued-royalty movement: balance at 1-Jan-2024 = 2,033.172 — the royalty accrual sitting INSIDE FY2023 trade payables, netted out for a like-for-like working-capital series</w:t>
            </w:r>
          </w:p>
        </w:tc>
        <w:tc>
          <w:tcPr>
            <w:tcW w:type="dxa" w:w="1080"/>
          </w:tcPr>
          <w:p>
            <w:pPr>
              <w:spacing w:after="20"/>
            </w:pPr>
            <w:r>
              <w:rPr>
                <w:color w:val="1C3A36"/>
                <w:sz w:val="14"/>
              </w:rPr>
              <w:t>2025-02-10</w:t>
            </w:r>
          </w:p>
        </w:tc>
      </w:tr>
      <w:tr>
        <w:tc>
          <w:tcPr>
            <w:tcW w:type="dxa" w:w="1512"/>
          </w:tcPr>
          <w:p>
            <w:pPr>
              <w:spacing w:after="20"/>
            </w:pPr>
            <w:r>
              <w:rPr>
                <w:color w:val="1C3A36"/>
                <w:sz w:val="14"/>
              </w:rPr>
              <w:t>pay_fy24</w:t>
            </w:r>
          </w:p>
        </w:tc>
        <w:tc>
          <w:tcPr>
            <w:tcW w:type="dxa" w:w="1656"/>
          </w:tcPr>
          <w:p>
            <w:pPr>
              <w:spacing w:after="20"/>
            </w:pPr>
            <w:r>
              <w:rPr>
                <w:color w:val="1C3A36"/>
                <w:sz w:val="14"/>
              </w:rPr>
              <w:t>3,666.1</w:t>
            </w:r>
          </w:p>
        </w:tc>
        <w:tc>
          <w:tcPr>
            <w:tcW w:type="dxa" w:w="5904"/>
          </w:tcPr>
          <w:p>
            <w:pPr>
              <w:spacing w:after="20"/>
            </w:pPr>
            <w:r>
              <w:rPr>
                <w:color w:val="1C3A36"/>
                <w:sz w:val="14"/>
              </w:rPr>
              <w:t>Audited consolidated FS, Integrated Annual Report 2025, investors.du.ae (KPMG Lower Gulf, unmodified opinion 09-Feb-2026), FY2024 comparative (trade and other payables)</w:t>
            </w:r>
          </w:p>
        </w:tc>
        <w:tc>
          <w:tcPr>
            <w:tcW w:type="dxa" w:w="1080"/>
          </w:tcPr>
          <w:p>
            <w:pPr>
              <w:spacing w:after="20"/>
            </w:pPr>
            <w:r>
              <w:rPr>
                <w:color w:val="1C3A36"/>
                <w:sz w:val="14"/>
              </w:rPr>
              <w:t>2026-02-09</w:t>
            </w:r>
          </w:p>
        </w:tc>
      </w:tr>
      <w:tr>
        <w:tc>
          <w:tcPr>
            <w:tcW w:type="dxa" w:w="1512"/>
          </w:tcPr>
          <w:p>
            <w:pPr>
              <w:spacing w:after="20"/>
            </w:pPr>
            <w:r>
              <w:rPr>
                <w:color w:val="1C3A36"/>
                <w:sz w:val="14"/>
              </w:rPr>
              <w:t>pay_fy25</w:t>
            </w:r>
          </w:p>
        </w:tc>
        <w:tc>
          <w:tcPr>
            <w:tcW w:type="dxa" w:w="1656"/>
          </w:tcPr>
          <w:p>
            <w:pPr>
              <w:spacing w:after="20"/>
            </w:pPr>
            <w:r>
              <w:rPr>
                <w:color w:val="1C3A36"/>
                <w:sz w:val="14"/>
              </w:rPr>
              <w:t>3,711.3</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roytax_fy24</w:t>
            </w:r>
          </w:p>
        </w:tc>
        <w:tc>
          <w:tcPr>
            <w:tcW w:type="dxa" w:w="1656"/>
          </w:tcPr>
          <w:p>
            <w:pPr>
              <w:spacing w:after="20"/>
            </w:pPr>
            <w:r>
              <w:rPr>
                <w:color w:val="1C3A36"/>
                <w:sz w:val="14"/>
              </w:rPr>
              <w:t>1,923.5</w:t>
            </w:r>
          </w:p>
        </w:tc>
        <w:tc>
          <w:tcPr>
            <w:tcW w:type="dxa" w:w="5904"/>
          </w:tcPr>
          <w:p>
            <w:pPr>
              <w:spacing w:after="20"/>
            </w:pPr>
            <w:r>
              <w:rPr>
                <w:color w:val="1C3A36"/>
                <w:sz w:val="14"/>
              </w:rPr>
              <w:t>Audited consolidated FS, Integrated Annual Report 2025, investors.du.ae (KPMG Lower Gulf, unmodified opinion 09-Feb-2026), FY2024 comparative (federal royalty and income tax, current liability)</w:t>
            </w:r>
          </w:p>
        </w:tc>
        <w:tc>
          <w:tcPr>
            <w:tcW w:type="dxa" w:w="1080"/>
          </w:tcPr>
          <w:p>
            <w:pPr>
              <w:spacing w:after="20"/>
            </w:pPr>
            <w:r>
              <w:rPr>
                <w:color w:val="1C3A36"/>
                <w:sz w:val="14"/>
              </w:rPr>
              <w:t>2026-02-09</w:t>
            </w:r>
          </w:p>
        </w:tc>
      </w:tr>
      <w:tr>
        <w:tc>
          <w:tcPr>
            <w:tcW w:type="dxa" w:w="1512"/>
          </w:tcPr>
          <w:p>
            <w:pPr>
              <w:spacing w:after="20"/>
            </w:pPr>
            <w:r>
              <w:rPr>
                <w:color w:val="1C3A36"/>
                <w:sz w:val="14"/>
              </w:rPr>
              <w:t>roytax_fy25</w:t>
            </w:r>
          </w:p>
        </w:tc>
        <w:tc>
          <w:tcPr>
            <w:tcW w:type="dxa" w:w="1656"/>
          </w:tcPr>
          <w:p>
            <w:pPr>
              <w:spacing w:after="20"/>
            </w:pPr>
            <w:r>
              <w:rPr>
                <w:color w:val="1C3A36"/>
                <w:sz w:val="14"/>
              </w:rPr>
              <w:t>2,283.4</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cliab_fy23</w:t>
            </w:r>
          </w:p>
        </w:tc>
        <w:tc>
          <w:tcPr>
            <w:tcW w:type="dxa" w:w="1656"/>
          </w:tcPr>
          <w:p>
            <w:pPr>
              <w:spacing w:after="20"/>
            </w:pPr>
            <w:r>
              <w:rPr>
                <w:color w:val="1C3A36"/>
                <w:sz w:val="14"/>
              </w:rPr>
              <w:t>465.7</w:t>
            </w:r>
          </w:p>
        </w:tc>
        <w:tc>
          <w:tcPr>
            <w:tcW w:type="dxa" w:w="5904"/>
          </w:tcPr>
          <w:p>
            <w:pPr>
              <w:spacing w:after="20"/>
            </w:pPr>
            <w:r>
              <w:rPr>
                <w:color w:val="1C3A36"/>
                <w:sz w:val="14"/>
              </w:rPr>
              <w:t>Audited consolidated FS, Annual Report 2023, investors.du.ae (PwC, unqualified opinion 13-Feb-2024) (contract liabilities, current)</w:t>
            </w:r>
          </w:p>
        </w:tc>
        <w:tc>
          <w:tcPr>
            <w:tcW w:type="dxa" w:w="1080"/>
          </w:tcPr>
          <w:p>
            <w:pPr>
              <w:spacing w:after="20"/>
            </w:pPr>
            <w:r>
              <w:rPr>
                <w:color w:val="1C3A36"/>
                <w:sz w:val="14"/>
              </w:rPr>
              <w:t>2024-02-13</w:t>
            </w:r>
          </w:p>
        </w:tc>
      </w:tr>
      <w:tr>
        <w:tc>
          <w:tcPr>
            <w:tcW w:type="dxa" w:w="1512"/>
          </w:tcPr>
          <w:p>
            <w:pPr>
              <w:spacing w:after="20"/>
            </w:pPr>
            <w:r>
              <w:rPr>
                <w:color w:val="1C3A36"/>
                <w:sz w:val="14"/>
              </w:rPr>
              <w:t>cliab_fy24</w:t>
            </w:r>
          </w:p>
        </w:tc>
        <w:tc>
          <w:tcPr>
            <w:tcW w:type="dxa" w:w="1656"/>
          </w:tcPr>
          <w:p>
            <w:pPr>
              <w:spacing w:after="20"/>
            </w:pPr>
            <w:r>
              <w:rPr>
                <w:color w:val="1C3A36"/>
                <w:sz w:val="14"/>
              </w:rPr>
              <w:t>559.2</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cliab_fy25</w:t>
            </w:r>
          </w:p>
        </w:tc>
        <w:tc>
          <w:tcPr>
            <w:tcW w:type="dxa" w:w="1656"/>
          </w:tcPr>
          <w:p>
            <w:pPr>
              <w:spacing w:after="20"/>
            </w:pPr>
            <w:r>
              <w:rPr>
                <w:color w:val="1C3A36"/>
                <w:sz w:val="14"/>
              </w:rPr>
              <w:t>629.7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relparty_l_fy23</w:t>
            </w:r>
          </w:p>
        </w:tc>
        <w:tc>
          <w:tcPr>
            <w:tcW w:type="dxa" w:w="1656"/>
          </w:tcPr>
          <w:p>
            <w:pPr>
              <w:spacing w:after="20"/>
            </w:pPr>
            <w:r>
              <w:rPr>
                <w:color w:val="1C3A36"/>
                <w:sz w:val="14"/>
              </w:rPr>
              <w:t>6.064</w:t>
            </w:r>
          </w:p>
        </w:tc>
        <w:tc>
          <w:tcPr>
            <w:tcW w:type="dxa" w:w="5904"/>
          </w:tcPr>
          <w:p>
            <w:pPr>
              <w:spacing w:after="20"/>
            </w:pPr>
            <w:r>
              <w:rPr>
                <w:color w:val="1C3A36"/>
                <w:sz w:val="14"/>
              </w:rPr>
              <w:t>Audited consolidated FS, Annual Report 2023, investors.du.ae (PwC, unqualified opinion 13-Feb-2024) (due to related parties)</w:t>
            </w:r>
          </w:p>
        </w:tc>
        <w:tc>
          <w:tcPr>
            <w:tcW w:type="dxa" w:w="1080"/>
          </w:tcPr>
          <w:p>
            <w:pPr>
              <w:spacing w:after="20"/>
            </w:pPr>
            <w:r>
              <w:rPr>
                <w:color w:val="1C3A36"/>
                <w:sz w:val="14"/>
              </w:rPr>
              <w:t>2024-02-13</w:t>
            </w:r>
          </w:p>
        </w:tc>
      </w:tr>
      <w:tr>
        <w:tc>
          <w:tcPr>
            <w:tcW w:type="dxa" w:w="1512"/>
          </w:tcPr>
          <w:p>
            <w:pPr>
              <w:spacing w:after="20"/>
            </w:pPr>
            <w:r>
              <w:rPr>
                <w:color w:val="1C3A36"/>
                <w:sz w:val="14"/>
              </w:rPr>
              <w:t>relparty_l_fy24</w:t>
            </w:r>
          </w:p>
        </w:tc>
        <w:tc>
          <w:tcPr>
            <w:tcW w:type="dxa" w:w="1656"/>
          </w:tcPr>
          <w:p>
            <w:pPr>
              <w:spacing w:after="20"/>
            </w:pPr>
            <w:r>
              <w:rPr>
                <w:color w:val="1C3A36"/>
                <w:sz w:val="14"/>
              </w:rPr>
              <w:t>6.717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relparty_l_fy25</w:t>
            </w:r>
          </w:p>
        </w:tc>
        <w:tc>
          <w:tcPr>
            <w:tcW w:type="dxa" w:w="1656"/>
          </w:tcPr>
          <w:p>
            <w:pPr>
              <w:spacing w:after="20"/>
            </w:pPr>
            <w:r>
              <w:rPr>
                <w:color w:val="1C3A36"/>
                <w:sz w:val="14"/>
              </w:rPr>
              <w:t>6.03</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lease_fy23</w:t>
            </w:r>
          </w:p>
        </w:tc>
        <w:tc>
          <w:tcPr>
            <w:tcW w:type="dxa" w:w="1656"/>
          </w:tcPr>
          <w:p>
            <w:pPr>
              <w:spacing w:after="20"/>
            </w:pPr>
            <w:r>
              <w:rPr>
                <w:color w:val="1C3A36"/>
                <w:sz w:val="14"/>
              </w:rPr>
              <w:t>2,105.0</w:t>
            </w:r>
          </w:p>
        </w:tc>
        <w:tc>
          <w:tcPr>
            <w:tcW w:type="dxa" w:w="5904"/>
          </w:tcPr>
          <w:p>
            <w:pPr>
              <w:spacing w:after="20"/>
            </w:pPr>
            <w:r>
              <w:rPr>
                <w:color w:val="1C3A36"/>
                <w:sz w:val="14"/>
              </w:rPr>
              <w:t>Audited consolidated FS, Annual Report 2023, investors.du.ae (PwC, unqualified opinion 13-Feb-2024) (lease liabilities: current 649.585 + non-current 1,455.374)</w:t>
            </w:r>
          </w:p>
        </w:tc>
        <w:tc>
          <w:tcPr>
            <w:tcW w:type="dxa" w:w="1080"/>
          </w:tcPr>
          <w:p>
            <w:pPr>
              <w:spacing w:after="20"/>
            </w:pPr>
            <w:r>
              <w:rPr>
                <w:color w:val="1C3A36"/>
                <w:sz w:val="14"/>
              </w:rPr>
              <w:t>2024-02-13</w:t>
            </w:r>
          </w:p>
        </w:tc>
      </w:tr>
      <w:tr>
        <w:tc>
          <w:tcPr>
            <w:tcW w:type="dxa" w:w="1512"/>
          </w:tcPr>
          <w:p>
            <w:pPr>
              <w:spacing w:after="20"/>
            </w:pPr>
            <w:r>
              <w:rPr>
                <w:color w:val="1C3A36"/>
                <w:sz w:val="14"/>
              </w:rPr>
              <w:t>lease_fy24</w:t>
            </w:r>
          </w:p>
        </w:tc>
        <w:tc>
          <w:tcPr>
            <w:tcW w:type="dxa" w:w="1656"/>
          </w:tcPr>
          <w:p>
            <w:pPr>
              <w:spacing w:after="20"/>
            </w:pPr>
            <w:r>
              <w:rPr>
                <w:color w:val="1C3A36"/>
                <w:sz w:val="14"/>
              </w:rPr>
              <w:t>1,998.7</w:t>
            </w:r>
          </w:p>
        </w:tc>
        <w:tc>
          <w:tcPr>
            <w:tcW w:type="dxa" w:w="5904"/>
          </w:tcPr>
          <w:p>
            <w:pPr>
              <w:spacing w:after="20"/>
            </w:pPr>
            <w:r>
              <w:rPr>
                <w:color w:val="1C3A36"/>
                <w:sz w:val="14"/>
              </w:rPr>
              <w:t>Audited consolidated FS, Integrated Annual Report 2025, investors.du.ae (KPMG Lower Gulf, unmodified opinion 09-Feb-2026), FY2024 comparative (561.999 + 1,436.688)</w:t>
            </w:r>
          </w:p>
        </w:tc>
        <w:tc>
          <w:tcPr>
            <w:tcW w:type="dxa" w:w="1080"/>
          </w:tcPr>
          <w:p>
            <w:pPr>
              <w:spacing w:after="20"/>
            </w:pPr>
            <w:r>
              <w:rPr>
                <w:color w:val="1C3A36"/>
                <w:sz w:val="14"/>
              </w:rPr>
              <w:t>2026-02-09</w:t>
            </w:r>
          </w:p>
        </w:tc>
      </w:tr>
      <w:tr>
        <w:tc>
          <w:tcPr>
            <w:tcW w:type="dxa" w:w="1512"/>
          </w:tcPr>
          <w:p>
            <w:pPr>
              <w:spacing w:after="20"/>
            </w:pPr>
            <w:r>
              <w:rPr>
                <w:color w:val="1C3A36"/>
                <w:sz w:val="14"/>
              </w:rPr>
              <w:t>lease_fy25</w:t>
            </w:r>
          </w:p>
        </w:tc>
        <w:tc>
          <w:tcPr>
            <w:tcW w:type="dxa" w:w="1656"/>
          </w:tcPr>
          <w:p>
            <w:pPr>
              <w:spacing w:after="20"/>
            </w:pPr>
            <w:r>
              <w:rPr>
                <w:color w:val="1C3A36"/>
                <w:sz w:val="14"/>
              </w:rPr>
              <w:t>1,938.8</w:t>
            </w:r>
          </w:p>
        </w:tc>
        <w:tc>
          <w:tcPr>
            <w:tcW w:type="dxa" w:w="5904"/>
          </w:tcPr>
          <w:p>
            <w:pPr>
              <w:spacing w:after="20"/>
            </w:pPr>
            <w:r>
              <w:rPr>
                <w:color w:val="1C3A36"/>
                <w:sz w:val="14"/>
              </w:rPr>
              <w:t>Audited consolidated FS, Integrated Annual Report 2025, investors.du.ae (KPMG Lower Gulf, unmodified opinion 09-Feb-2026) (592.141 + 1,346.678)</w:t>
            </w:r>
          </w:p>
        </w:tc>
        <w:tc>
          <w:tcPr>
            <w:tcW w:type="dxa" w:w="1080"/>
          </w:tcPr>
          <w:p>
            <w:pPr>
              <w:spacing w:after="20"/>
            </w:pPr>
            <w:r>
              <w:rPr>
                <w:color w:val="1C3A36"/>
                <w:sz w:val="14"/>
              </w:rPr>
              <w:t>2026-02-09</w:t>
            </w:r>
          </w:p>
        </w:tc>
      </w:tr>
      <w:tr>
        <w:tc>
          <w:tcPr>
            <w:tcW w:type="dxa" w:w="1512"/>
          </w:tcPr>
          <w:p>
            <w:pPr>
              <w:spacing w:after="20"/>
            </w:pPr>
            <w:r>
              <w:rPr>
                <w:color w:val="1C3A36"/>
                <w:sz w:val="14"/>
              </w:rPr>
              <w:t>debt_fy25</w:t>
            </w:r>
          </w:p>
        </w:tc>
        <w:tc>
          <w:tcPr>
            <w:tcW w:type="dxa" w:w="1656"/>
          </w:tcPr>
          <w:p>
            <w:pPr>
              <w:spacing w:after="20"/>
            </w:pPr>
            <w:r>
              <w:rPr>
                <w:color w:val="1C3A36"/>
                <w:sz w:val="14"/>
              </w:rPr>
              <w:t>0</w:t>
            </w:r>
          </w:p>
        </w:tc>
        <w:tc>
          <w:tcPr>
            <w:tcW w:type="dxa" w:w="5904"/>
          </w:tcPr>
          <w:p>
            <w:pPr>
              <w:spacing w:after="20"/>
            </w:pPr>
            <w:r>
              <w:rPr>
                <w:color w:val="1C3A36"/>
                <w:sz w:val="14"/>
              </w:rPr>
              <w:t>Audited consolidated FS, Integrated Annual Report 2025, investors.du.ae (KPMG Lower Gulf, unmodified opinion 09-Feb-2026), Note 4.2 capital-risk table: Total borrowings '–' — ZERO drawn borrowings in every year studied (FY2022-FY2025 and both 2026 interims). The only facility is undrawn: AED 2.0bn 7-year unsecured RCF signed 06-Apr-2026</w:t>
            </w:r>
          </w:p>
        </w:tc>
        <w:tc>
          <w:tcPr>
            <w:tcW w:type="dxa" w:w="1080"/>
          </w:tcPr>
          <w:p>
            <w:pPr>
              <w:spacing w:after="20"/>
            </w:pPr>
            <w:r>
              <w:rPr>
                <w:color w:val="1C3A36"/>
                <w:sz w:val="14"/>
              </w:rPr>
              <w:t>2026-02-09</w:t>
            </w:r>
          </w:p>
        </w:tc>
      </w:tr>
      <w:tr>
        <w:tc>
          <w:tcPr>
            <w:tcW w:type="dxa" w:w="1512"/>
          </w:tcPr>
          <w:p>
            <w:pPr>
              <w:spacing w:after="20"/>
            </w:pPr>
            <w:r>
              <w:rPr>
                <w:color w:val="1C3A36"/>
                <w:sz w:val="14"/>
              </w:rPr>
              <w:t>eq_fy23</w:t>
            </w:r>
          </w:p>
        </w:tc>
        <w:tc>
          <w:tcPr>
            <w:tcW w:type="dxa" w:w="1656"/>
          </w:tcPr>
          <w:p>
            <w:pPr>
              <w:spacing w:after="20"/>
            </w:pPr>
            <w:r>
              <w:rPr>
                <w:color w:val="1C3A36"/>
                <w:sz w:val="14"/>
              </w:rPr>
              <w:t>9,243.2</w:t>
            </w:r>
          </w:p>
        </w:tc>
        <w:tc>
          <w:tcPr>
            <w:tcW w:type="dxa" w:w="5904"/>
          </w:tcPr>
          <w:p>
            <w:pPr>
              <w:spacing w:after="20"/>
            </w:pPr>
            <w:r>
              <w:rPr>
                <w:color w:val="1C3A36"/>
                <w:sz w:val="14"/>
              </w:rPr>
              <w:t>Audited consolidated FS, Annual Report 2023, investors.du.ae (PwC, unqualified opinion 13-Feb-2024)</w:t>
            </w:r>
          </w:p>
        </w:tc>
        <w:tc>
          <w:tcPr>
            <w:tcW w:type="dxa" w:w="1080"/>
          </w:tcPr>
          <w:p>
            <w:pPr>
              <w:spacing w:after="20"/>
            </w:pPr>
            <w:r>
              <w:rPr>
                <w:color w:val="1C3A36"/>
                <w:sz w:val="14"/>
              </w:rPr>
              <w:t>2024-02-13</w:t>
            </w:r>
          </w:p>
        </w:tc>
      </w:tr>
      <w:tr>
        <w:tc>
          <w:tcPr>
            <w:tcW w:type="dxa" w:w="1512"/>
          </w:tcPr>
          <w:p>
            <w:pPr>
              <w:spacing w:after="20"/>
            </w:pPr>
            <w:r>
              <w:rPr>
                <w:color w:val="1C3A36"/>
                <w:sz w:val="14"/>
              </w:rPr>
              <w:t>eq_fy24</w:t>
            </w:r>
          </w:p>
        </w:tc>
        <w:tc>
          <w:tcPr>
            <w:tcW w:type="dxa" w:w="1656"/>
          </w:tcPr>
          <w:p>
            <w:pPr>
              <w:spacing w:after="20"/>
            </w:pPr>
            <w:r>
              <w:rPr>
                <w:color w:val="1C3A36"/>
                <w:sz w:val="14"/>
              </w:rPr>
              <w:t>9,878.4</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eq_fy25</w:t>
            </w:r>
          </w:p>
        </w:tc>
        <w:tc>
          <w:tcPr>
            <w:tcW w:type="dxa" w:w="1656"/>
          </w:tcPr>
          <w:p>
            <w:pPr>
              <w:spacing w:after="20"/>
            </w:pPr>
            <w:r>
              <w:rPr>
                <w:color w:val="1C3A36"/>
                <w:sz w:val="14"/>
              </w:rPr>
              <w:t>10,148.3</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ocf_fy23</w:t>
            </w:r>
          </w:p>
        </w:tc>
        <w:tc>
          <w:tcPr>
            <w:tcW w:type="dxa" w:w="1656"/>
          </w:tcPr>
          <w:p>
            <w:pPr>
              <w:spacing w:after="20"/>
            </w:pPr>
            <w:r>
              <w:rPr>
                <w:color w:val="1C3A36"/>
                <w:sz w:val="14"/>
              </w:rPr>
              <w:t>4,425.4</w:t>
            </w:r>
          </w:p>
        </w:tc>
        <w:tc>
          <w:tcPr>
            <w:tcW w:type="dxa" w:w="5904"/>
          </w:tcPr>
          <w:p>
            <w:pPr>
              <w:spacing w:after="20"/>
            </w:pPr>
            <w:r>
              <w:rPr>
                <w:color w:val="1C3A36"/>
                <w:sz w:val="14"/>
              </w:rPr>
              <w:t>Audited consolidated FS, Annual Report 2023, investors.du.ae (PwC, unqualified opinion 13-Feb-2024), net cash generated from operating activities</w:t>
            </w:r>
          </w:p>
        </w:tc>
        <w:tc>
          <w:tcPr>
            <w:tcW w:type="dxa" w:w="1080"/>
          </w:tcPr>
          <w:p>
            <w:pPr>
              <w:spacing w:after="20"/>
            </w:pPr>
            <w:r>
              <w:rPr>
                <w:color w:val="1C3A36"/>
                <w:sz w:val="14"/>
              </w:rPr>
              <w:t>2024-02-13</w:t>
            </w:r>
          </w:p>
        </w:tc>
      </w:tr>
      <w:tr>
        <w:tc>
          <w:tcPr>
            <w:tcW w:type="dxa" w:w="1512"/>
          </w:tcPr>
          <w:p>
            <w:pPr>
              <w:spacing w:after="20"/>
            </w:pPr>
            <w:r>
              <w:rPr>
                <w:color w:val="1C3A36"/>
                <w:sz w:val="14"/>
              </w:rPr>
              <w:t>ocf_fy24</w:t>
            </w:r>
          </w:p>
        </w:tc>
        <w:tc>
          <w:tcPr>
            <w:tcW w:type="dxa" w:w="1656"/>
          </w:tcPr>
          <w:p>
            <w:pPr>
              <w:spacing w:after="20"/>
            </w:pPr>
            <w:r>
              <w:rPr>
                <w:color w:val="1C3A36"/>
                <w:sz w:val="14"/>
              </w:rPr>
              <w:t>4,636.5</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ocf_fy25</w:t>
            </w:r>
          </w:p>
        </w:tc>
        <w:tc>
          <w:tcPr>
            <w:tcW w:type="dxa" w:w="1656"/>
          </w:tcPr>
          <w:p>
            <w:pPr>
              <w:spacing w:after="20"/>
            </w:pPr>
            <w:r>
              <w:rPr>
                <w:color w:val="1C3A36"/>
                <w:sz w:val="14"/>
              </w:rPr>
              <w:t>5,229.8</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capex_ppe_fy23</w:t>
            </w:r>
          </w:p>
        </w:tc>
        <w:tc>
          <w:tcPr>
            <w:tcW w:type="dxa" w:w="1656"/>
          </w:tcPr>
          <w:p>
            <w:pPr>
              <w:spacing w:after="20"/>
            </w:pPr>
            <w:r>
              <w:rPr>
                <w:color w:val="1C3A36"/>
                <w:sz w:val="14"/>
              </w:rPr>
              <w:t>1,899.9</w:t>
            </w:r>
          </w:p>
        </w:tc>
        <w:tc>
          <w:tcPr>
            <w:tcW w:type="dxa" w:w="5904"/>
          </w:tcPr>
          <w:p>
            <w:pPr>
              <w:spacing w:after="20"/>
            </w:pPr>
            <w:r>
              <w:rPr>
                <w:color w:val="1C3A36"/>
                <w:sz w:val="14"/>
              </w:rPr>
              <w:t>Audited consolidated FS, Annual Report 2023, investors.du.ae (PwC, unqualified opinion 13-Feb-2024), purchase of property, plant and equipment</w:t>
            </w:r>
          </w:p>
        </w:tc>
        <w:tc>
          <w:tcPr>
            <w:tcW w:type="dxa" w:w="1080"/>
          </w:tcPr>
          <w:p>
            <w:pPr>
              <w:spacing w:after="20"/>
            </w:pPr>
            <w:r>
              <w:rPr>
                <w:color w:val="1C3A36"/>
                <w:sz w:val="14"/>
              </w:rPr>
              <w:t>2024-02-13</w:t>
            </w:r>
          </w:p>
        </w:tc>
      </w:tr>
      <w:tr>
        <w:tc>
          <w:tcPr>
            <w:tcW w:type="dxa" w:w="1512"/>
          </w:tcPr>
          <w:p>
            <w:pPr>
              <w:spacing w:after="20"/>
            </w:pPr>
            <w:r>
              <w:rPr>
                <w:color w:val="1C3A36"/>
                <w:sz w:val="14"/>
              </w:rPr>
              <w:t>capex_ppe_fy24</w:t>
            </w:r>
          </w:p>
        </w:tc>
        <w:tc>
          <w:tcPr>
            <w:tcW w:type="dxa" w:w="1656"/>
          </w:tcPr>
          <w:p>
            <w:pPr>
              <w:spacing w:after="20"/>
            </w:pPr>
            <w:r>
              <w:rPr>
                <w:color w:val="1C3A36"/>
                <w:sz w:val="14"/>
              </w:rPr>
              <w:t>1,535.7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capex_ppe_fy25</w:t>
            </w:r>
          </w:p>
        </w:tc>
        <w:tc>
          <w:tcPr>
            <w:tcW w:type="dxa" w:w="1656"/>
          </w:tcPr>
          <w:p>
            <w:pPr>
              <w:spacing w:after="20"/>
            </w:pPr>
            <w:r>
              <w:rPr>
                <w:color w:val="1C3A36"/>
                <w:sz w:val="14"/>
              </w:rPr>
              <w:t>2,038.5</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capex_int_fy23</w:t>
            </w:r>
          </w:p>
        </w:tc>
        <w:tc>
          <w:tcPr>
            <w:tcW w:type="dxa" w:w="1656"/>
          </w:tcPr>
          <w:p>
            <w:pPr>
              <w:spacing w:after="20"/>
            </w:pPr>
            <w:r>
              <w:rPr>
                <w:color w:val="1C3A36"/>
                <w:sz w:val="14"/>
              </w:rPr>
              <w:t>327.7</w:t>
            </w:r>
          </w:p>
        </w:tc>
        <w:tc>
          <w:tcPr>
            <w:tcW w:type="dxa" w:w="5904"/>
          </w:tcPr>
          <w:p>
            <w:pPr>
              <w:spacing w:after="20"/>
            </w:pPr>
            <w:r>
              <w:rPr>
                <w:color w:val="1C3A36"/>
                <w:sz w:val="14"/>
              </w:rPr>
              <w:t>Audited consolidated FS, Annual Report 2023, investors.du.ae (PwC, unqualified opinion 13-Feb-2024), purchase of intangible assets</w:t>
            </w:r>
          </w:p>
        </w:tc>
        <w:tc>
          <w:tcPr>
            <w:tcW w:type="dxa" w:w="1080"/>
          </w:tcPr>
          <w:p>
            <w:pPr>
              <w:spacing w:after="20"/>
            </w:pPr>
            <w:r>
              <w:rPr>
                <w:color w:val="1C3A36"/>
                <w:sz w:val="14"/>
              </w:rPr>
              <w:t>2024-02-13</w:t>
            </w:r>
          </w:p>
        </w:tc>
      </w:tr>
      <w:tr>
        <w:tc>
          <w:tcPr>
            <w:tcW w:type="dxa" w:w="1512"/>
          </w:tcPr>
          <w:p>
            <w:pPr>
              <w:spacing w:after="20"/>
            </w:pPr>
            <w:r>
              <w:rPr>
                <w:color w:val="1C3A36"/>
                <w:sz w:val="14"/>
              </w:rPr>
              <w:t>capex_int_fy24</w:t>
            </w:r>
          </w:p>
        </w:tc>
        <w:tc>
          <w:tcPr>
            <w:tcW w:type="dxa" w:w="1656"/>
          </w:tcPr>
          <w:p>
            <w:pPr>
              <w:spacing w:after="20"/>
            </w:pPr>
            <w:r>
              <w:rPr>
                <w:color w:val="1C3A36"/>
                <w:sz w:val="14"/>
              </w:rPr>
              <w:t>384.7</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capex_int_fy25</w:t>
            </w:r>
          </w:p>
        </w:tc>
        <w:tc>
          <w:tcPr>
            <w:tcW w:type="dxa" w:w="1656"/>
          </w:tcPr>
          <w:p>
            <w:pPr>
              <w:spacing w:after="20"/>
            </w:pPr>
            <w:r>
              <w:rPr>
                <w:color w:val="1C3A36"/>
                <w:sz w:val="14"/>
              </w:rPr>
              <w:t>314.7</w:t>
            </w:r>
          </w:p>
        </w:tc>
        <w:tc>
          <w:tcPr>
            <w:tcW w:type="dxa" w:w="5904"/>
          </w:tcPr>
          <w:p>
            <w:pPr>
              <w:spacing w:after="20"/>
            </w:pPr>
            <w:r>
              <w:rPr>
                <w:color w:val="1C3A36"/>
                <w:sz w:val="14"/>
              </w:rPr>
              <w:t>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div_paid_fy23</w:t>
            </w:r>
          </w:p>
        </w:tc>
        <w:tc>
          <w:tcPr>
            <w:tcW w:type="dxa" w:w="1656"/>
          </w:tcPr>
          <w:p>
            <w:pPr>
              <w:spacing w:after="20"/>
            </w:pPr>
            <w:r>
              <w:rPr>
                <w:color w:val="1C3A36"/>
                <w:sz w:val="14"/>
              </w:rPr>
              <w:t>1,178.6</w:t>
            </w:r>
          </w:p>
        </w:tc>
        <w:tc>
          <w:tcPr>
            <w:tcW w:type="dxa" w:w="5904"/>
          </w:tcPr>
          <w:p>
            <w:pPr>
              <w:spacing w:after="20"/>
            </w:pPr>
            <w:r>
              <w:rPr>
                <w:color w:val="1C3A36"/>
                <w:sz w:val="14"/>
              </w:rPr>
              <w:t>Audited consolidated FS, Annual Report 2023, investors.du.ae (PwC, unqualified opinion 13-Feb-2024), dividends paid</w:t>
            </w:r>
          </w:p>
        </w:tc>
        <w:tc>
          <w:tcPr>
            <w:tcW w:type="dxa" w:w="1080"/>
          </w:tcPr>
          <w:p>
            <w:pPr>
              <w:spacing w:after="20"/>
            </w:pPr>
            <w:r>
              <w:rPr>
                <w:color w:val="1C3A36"/>
                <w:sz w:val="14"/>
              </w:rPr>
              <w:t>2024-02-13</w:t>
            </w:r>
          </w:p>
        </w:tc>
      </w:tr>
      <w:tr>
        <w:tc>
          <w:tcPr>
            <w:tcW w:type="dxa" w:w="1512"/>
          </w:tcPr>
          <w:p>
            <w:pPr>
              <w:spacing w:after="20"/>
            </w:pPr>
            <w:r>
              <w:rPr>
                <w:color w:val="1C3A36"/>
                <w:sz w:val="14"/>
              </w:rPr>
              <w:t>div_paid_fy24</w:t>
            </w:r>
          </w:p>
        </w:tc>
        <w:tc>
          <w:tcPr>
            <w:tcW w:type="dxa" w:w="1656"/>
          </w:tcPr>
          <w:p>
            <w:pPr>
              <w:spacing w:after="20"/>
            </w:pPr>
            <w:r>
              <w:rPr>
                <w:color w:val="1C3A36"/>
                <w:sz w:val="14"/>
              </w:rPr>
              <w:t>1,858.5</w:t>
            </w:r>
          </w:p>
        </w:tc>
        <w:tc>
          <w:tcPr>
            <w:tcW w:type="dxa" w:w="5904"/>
          </w:tcPr>
          <w:p>
            <w:pPr>
              <w:spacing w:after="20"/>
            </w:pPr>
            <w:r>
              <w:rPr>
                <w:color w:val="1C3A36"/>
                <w:sz w:val="14"/>
              </w:rPr>
              <w:t>Audited consolidated FS, Integrated Annual Report 2025, investors.du.ae (KPMG Lower Gulf, unmodified opinion 09-Feb-2026), FY2024 comparative</w:t>
            </w:r>
          </w:p>
        </w:tc>
        <w:tc>
          <w:tcPr>
            <w:tcW w:type="dxa" w:w="1080"/>
          </w:tcPr>
          <w:p>
            <w:pPr>
              <w:spacing w:after="20"/>
            </w:pPr>
            <w:r>
              <w:rPr>
                <w:color w:val="1C3A36"/>
                <w:sz w:val="14"/>
              </w:rPr>
              <w:t>2026-02-09</w:t>
            </w:r>
          </w:p>
        </w:tc>
      </w:tr>
      <w:tr>
        <w:tc>
          <w:tcPr>
            <w:tcW w:type="dxa" w:w="1512"/>
          </w:tcPr>
          <w:p>
            <w:pPr>
              <w:spacing w:after="20"/>
            </w:pPr>
            <w:r>
              <w:rPr>
                <w:color w:val="1C3A36"/>
                <w:sz w:val="14"/>
              </w:rPr>
              <w:t>div_paid_fy25</w:t>
            </w:r>
          </w:p>
        </w:tc>
        <w:tc>
          <w:tcPr>
            <w:tcW w:type="dxa" w:w="1656"/>
          </w:tcPr>
          <w:p>
            <w:pPr>
              <w:spacing w:after="20"/>
            </w:pPr>
            <w:r>
              <w:rPr>
                <w:color w:val="1C3A36"/>
                <w:sz w:val="14"/>
              </w:rPr>
              <w:t>2,629.1</w:t>
            </w:r>
          </w:p>
        </w:tc>
        <w:tc>
          <w:tcPr>
            <w:tcW w:type="dxa" w:w="5904"/>
          </w:tcPr>
          <w:p>
            <w:pPr>
              <w:spacing w:after="20"/>
            </w:pPr>
            <w:r>
              <w:rPr>
                <w:color w:val="1C3A36"/>
                <w:sz w:val="14"/>
              </w:rPr>
              <w:t>Audited consolidated FS, Integrated Annual Report 2025, investors.du.ae (KPMG Lower Gulf, unmodified opinion 09-Feb-2026) (final-2024 AED 0.34 + interim-2025 AED 0.24)</w:t>
            </w:r>
          </w:p>
        </w:tc>
        <w:tc>
          <w:tcPr>
            <w:tcW w:type="dxa" w:w="1080"/>
          </w:tcPr>
          <w:p>
            <w:pPr>
              <w:spacing w:after="20"/>
            </w:pPr>
            <w:r>
              <w:rPr>
                <w:color w:val="1C3A36"/>
                <w:sz w:val="14"/>
              </w:rPr>
              <w:t>2026-02-09</w:t>
            </w:r>
          </w:p>
        </w:tc>
      </w:tr>
      <w:tr>
        <w:tc>
          <w:tcPr>
            <w:tcW w:type="dxa" w:w="1512"/>
          </w:tcPr>
          <w:p>
            <w:pPr>
              <w:spacing w:after="20"/>
            </w:pPr>
            <w:r>
              <w:rPr>
                <w:color w:val="1C3A36"/>
                <w:sz w:val="14"/>
              </w:rPr>
              <w:t>lease_paid_fy25</w:t>
            </w:r>
          </w:p>
        </w:tc>
        <w:tc>
          <w:tcPr>
            <w:tcW w:type="dxa" w:w="1656"/>
          </w:tcPr>
          <w:p>
            <w:pPr>
              <w:spacing w:after="20"/>
            </w:pPr>
            <w:r>
              <w:rPr>
                <w:color w:val="1C3A36"/>
                <w:sz w:val="14"/>
              </w:rPr>
              <w:t>282.5</w:t>
            </w:r>
          </w:p>
        </w:tc>
        <w:tc>
          <w:tcPr>
            <w:tcW w:type="dxa" w:w="5904"/>
          </w:tcPr>
          <w:p>
            <w:pPr>
              <w:spacing w:after="20"/>
            </w:pPr>
            <w:r>
              <w:rPr>
                <w:color w:val="1C3A36"/>
                <w:sz w:val="14"/>
              </w:rPr>
              <w:t>Audited consolidated FS, Integrated Annual Report 2025, investors.du.ae (KPMG Lower Gulf, unmodified opinion 09-Feb-2026), repayment of lease liabilities (financing)</w:t>
            </w:r>
          </w:p>
        </w:tc>
        <w:tc>
          <w:tcPr>
            <w:tcW w:type="dxa" w:w="1080"/>
          </w:tcPr>
          <w:p>
            <w:pPr>
              <w:spacing w:after="20"/>
            </w:pPr>
            <w:r>
              <w:rPr>
                <w:color w:val="1C3A36"/>
                <w:sz w:val="14"/>
              </w:rPr>
              <w:t>2026-02-09</w:t>
            </w:r>
          </w:p>
        </w:tc>
      </w:tr>
      <w:tr>
        <w:tc>
          <w:tcPr>
            <w:tcW w:type="dxa" w:w="1512"/>
          </w:tcPr>
          <w:p>
            <w:pPr>
              <w:spacing w:after="20"/>
            </w:pPr>
            <w:r>
              <w:rPr>
                <w:color w:val="1C3A36"/>
                <w:sz w:val="14"/>
              </w:rPr>
              <w:t>investees_bv</w:t>
            </w:r>
          </w:p>
        </w:tc>
        <w:tc>
          <w:tcPr>
            <w:tcW w:type="dxa" w:w="1656"/>
          </w:tcPr>
          <w:p>
            <w:pPr>
              <w:spacing w:after="20"/>
            </w:pPr>
            <w:r>
              <w:rPr>
                <w:color w:val="1C3A36"/>
                <w:sz w:val="14"/>
              </w:rPr>
              <w:t>0.511</w:t>
            </w:r>
          </w:p>
        </w:tc>
        <w:tc>
          <w:tcPr>
            <w:tcW w:type="dxa" w:w="5904"/>
          </w:tcPr>
          <w:p>
            <w:pPr>
              <w:spacing w:after="20"/>
            </w:pPr>
            <w:r>
              <w:rPr>
                <w:color w:val="1C3A36"/>
                <w:sz w:val="14"/>
              </w:rPr>
              <w:t>Audited consolidated FS, Integrated Annual Report 2025, investors.du.ae (KPMG Lower Gulf, unmodified opinion 09-Feb-2026), Note 10: investments accounted for using the equity method, carrying value AED 0.511mn at 31-Dec-2025 (FY2024: 2.716mn). REGISTERED 17-Aug-2026 — this figure was previously typed directly into the bridge, so it was an input with no four-field record and the completeness assertion passed over it</w:t>
            </w:r>
          </w:p>
        </w:tc>
        <w:tc>
          <w:tcPr>
            <w:tcW w:type="dxa" w:w="1080"/>
          </w:tcPr>
          <w:p>
            <w:pPr>
              <w:spacing w:after="20"/>
            </w:pPr>
            <w:r>
              <w:rPr>
                <w:color w:val="1C3A36"/>
                <w:sz w:val="14"/>
              </w:rPr>
              <w:t>2026-02-09</w:t>
            </w:r>
          </w:p>
        </w:tc>
      </w:tr>
      <w:tr>
        <w:tc>
          <w:tcPr>
            <w:tcW w:type="dxa" w:w="1512"/>
          </w:tcPr>
          <w:p>
            <w:pPr>
              <w:spacing w:after="20"/>
            </w:pPr>
            <w:r>
              <w:rPr>
                <w:color w:val="1C3A36"/>
                <w:sz w:val="14"/>
              </w:rPr>
              <w:t>direct_costs_hist</w:t>
            </w:r>
          </w:p>
        </w:tc>
        <w:tc>
          <w:tcPr>
            <w:tcW w:type="dxa" w:w="1656"/>
          </w:tcPr>
          <w:p>
            <w:pPr>
              <w:spacing w:after="20"/>
            </w:pPr>
            <w:r>
              <w:rPr>
                <w:color w:val="1C3A36"/>
                <w:sz w:val="14"/>
              </w:rPr>
              <w:t>FY24: -4,818.4; FY25: -5,259.4</w:t>
            </w:r>
          </w:p>
        </w:tc>
        <w:tc>
          <w:tcPr>
            <w:tcW w:type="dxa" w:w="5904"/>
          </w:tcPr>
          <w:p>
            <w:pPr>
              <w:spacing w:after="20"/>
            </w:pPr>
            <w:r>
              <w:rPr>
                <w:color w:val="1C3A36"/>
                <w:sz w:val="14"/>
              </w:rPr>
              <w:t>Audited consolidated FS, Integrated Annual Report 2025, investors.du.ae (KPMG Lower Gulf, unmodified opinion 09-Feb-2026), face of the income statement: interconnect + commission + devices and other direct services cost</w:t>
            </w:r>
          </w:p>
        </w:tc>
        <w:tc>
          <w:tcPr>
            <w:tcW w:type="dxa" w:w="1080"/>
          </w:tcPr>
          <w:p>
            <w:pPr>
              <w:spacing w:after="20"/>
            </w:pPr>
            <w:r>
              <w:rPr>
                <w:color w:val="1C3A36"/>
                <w:sz w:val="14"/>
              </w:rPr>
              <w:t>2026-02-09</w:t>
            </w:r>
          </w:p>
        </w:tc>
      </w:tr>
      <w:tr>
        <w:tc>
          <w:tcPr>
            <w:tcW w:type="dxa" w:w="1512"/>
          </w:tcPr>
          <w:p>
            <w:pPr>
              <w:spacing w:after="20"/>
            </w:pPr>
            <w:r>
              <w:rPr>
                <w:color w:val="1C3A36"/>
                <w:sz w:val="14"/>
              </w:rPr>
              <w:t>dc_nature_hist</w:t>
            </w:r>
          </w:p>
        </w:tc>
        <w:tc>
          <w:tcPr>
            <w:tcW w:type="dxa" w:w="1656"/>
          </w:tcPr>
          <w:p>
            <w:pPr>
              <w:spacing w:after="20"/>
            </w:pPr>
            <w:r>
              <w:rPr>
                <w:color w:val="1C3A36"/>
                <w:sz w:val="14"/>
              </w:rPr>
              <w:t>FY22: interconnect: 2,768.0; commission: 463.8; devices: 1,303.4; FY23: interconnect: 2,729.6; commission: 535.5; devices: 1,405.6; FY24: interconnect: 2,811.2; commission: 596.2; devices: 1,411.0; FY25: interconnect: 2,914.2; commission: 686.4; devices: 1,658.8</w:t>
            </w:r>
          </w:p>
        </w:tc>
        <w:tc>
          <w:tcPr>
            <w:tcW w:type="dxa" w:w="5904"/>
          </w:tcPr>
          <w:p>
            <w:pPr>
              <w:spacing w:after="20"/>
            </w:pPr>
            <w:r>
              <w:rPr>
                <w:color w:val="1C3A36"/>
                <w:sz w:val="14"/>
              </w:rPr>
              <w:t>Operating-expenses note, by nature: Audited consolidated FS, Annual Report 2023, investors.du.ae (PwC, unqualified opinion 13-Feb-2024) Note 26 (FY2022 'Product costs' and FY2023); Audited consolidated FS, Annual Report 2024, investors.du.ae (PwC, unqualified opinion 10-Feb-2025) Note 27 (FY2023-24, where the line is renamed 'Cost of devices and direct services'); Audited consolidated FS, Integrated Annual Report 2025, investors.du.ae (KPMG Lower Gulf, unmodified opinion 09-Feb-2026) face of the income statement (FY2024-25). NOTE A REAL DISCREPANCY: AR2024 Note 27 prints FY2024 devices as 1,402.121 while AR2025 re-presents the same year at 1,410.996 (+8.875). The later filing is taken as the authority, and the FY2024 by-nature lines then foot exactly to the disclosed 4,818.442 total</w:t>
            </w:r>
          </w:p>
        </w:tc>
        <w:tc>
          <w:tcPr>
            <w:tcW w:type="dxa" w:w="1080"/>
          </w:tcPr>
          <w:p>
            <w:pPr>
              <w:spacing w:after="20"/>
            </w:pPr>
            <w:r>
              <w:rPr>
                <w:color w:val="1C3A36"/>
                <w:sz w:val="14"/>
              </w:rPr>
              <w:t>2026-02-09</w:t>
            </w:r>
          </w:p>
        </w:tc>
      </w:tr>
      <w:tr>
        <w:tc>
          <w:tcPr>
            <w:tcW w:type="dxa" w:w="1512"/>
          </w:tcPr>
          <w:p>
            <w:pPr>
              <w:spacing w:after="20"/>
            </w:pPr>
            <w:r>
              <w:rPr>
                <w:color w:val="1C3A36"/>
                <w:sz w:val="14"/>
              </w:rPr>
              <w:t>dc_nature_h1</w:t>
            </w:r>
          </w:p>
        </w:tc>
        <w:tc>
          <w:tcPr>
            <w:tcW w:type="dxa" w:w="1656"/>
          </w:tcPr>
          <w:p>
            <w:pPr>
              <w:spacing w:after="20"/>
            </w:pPr>
            <w:r>
              <w:rPr>
                <w:color w:val="1C3A36"/>
                <w:sz w:val="14"/>
              </w:rPr>
              <w:t>H125: interconnect: 1,442.3; commission: 331.7; devices: 778.3; H126: interconnect: 1,456.8; commission: 359.2; devices: 769.5</w:t>
            </w:r>
          </w:p>
        </w:tc>
        <w:tc>
          <w:tcPr>
            <w:tcW w:type="dxa" w:w="5904"/>
          </w:tcPr>
          <w:p>
            <w:pPr>
              <w:spacing w:after="20"/>
            </w:pPr>
            <w:r>
              <w:rPr>
                <w:color w:val="1C3A36"/>
                <w:sz w:val="14"/>
              </w:rPr>
              <w:t>Reviewed condensed consolidated interim FS for the six months ended 30-Jun-2026, investors.du.ae (KPMG ISRE 2410 review, 22-Jul-2026), face of the income statement: the three direct-cost lines with their H1-2025 comparatives. THE LIKE-FOR-LIKE HALF-YEAR PAIR is what makes a per-unit escalator sourced rather than assumed</w:t>
            </w:r>
          </w:p>
        </w:tc>
        <w:tc>
          <w:tcPr>
            <w:tcW w:type="dxa" w:w="1080"/>
          </w:tcPr>
          <w:p>
            <w:pPr>
              <w:spacing w:after="20"/>
            </w:pPr>
            <w:r>
              <w:rPr>
                <w:color w:val="1C3A36"/>
                <w:sz w:val="14"/>
              </w:rPr>
              <w:t>2026-07-22</w:t>
            </w:r>
          </w:p>
        </w:tc>
      </w:tr>
      <w:tr>
        <w:tc>
          <w:tcPr>
            <w:tcW w:type="dxa" w:w="1512"/>
          </w:tcPr>
          <w:p>
            <w:pPr>
              <w:spacing w:after="20"/>
            </w:pPr>
            <w:r>
              <w:rPr>
                <w:color w:val="1C3A36"/>
                <w:sz w:val="14"/>
              </w:rPr>
              <w:t>seg_dc_hist</w:t>
            </w:r>
          </w:p>
        </w:tc>
        <w:tc>
          <w:tcPr>
            <w:tcW w:type="dxa" w:w="1656"/>
          </w:tcPr>
          <w:p>
            <w:pPr>
              <w:spacing w:after="20"/>
            </w:pPr>
            <w:r>
              <w:rPr>
                <w:color w:val="1C3A36"/>
                <w:sz w:val="14"/>
              </w:rPr>
              <w:t>FY24: mobile: 2,562.5; fixed: 615.1; wholesale: 284.1; ict: 1,356.8; FY25: mobile: 2,771.3; fixed: 621.9; wholesale: 348.7; ict: 1,517.5</w:t>
            </w:r>
          </w:p>
        </w:tc>
        <w:tc>
          <w:tcPr>
            <w:tcW w:type="dxa" w:w="5904"/>
          </w:tcPr>
          <w:p>
            <w:pPr>
              <w:spacing w:after="20"/>
            </w:pPr>
            <w:r>
              <w:rPr>
                <w:color w:val="1C3A36"/>
                <w:sz w:val="14"/>
              </w:rPr>
              <w:t>Audited consolidated FS, Integrated Annual Report 2025, investors.du.ae (KPMG Lower Gulf, unmodified opinion 09-Feb-2026), Note 38: 'interconnect and other direct costs' by segment (segment revenue less segment contribution)</w:t>
            </w:r>
          </w:p>
        </w:tc>
        <w:tc>
          <w:tcPr>
            <w:tcW w:type="dxa" w:w="1080"/>
          </w:tcPr>
          <w:p>
            <w:pPr>
              <w:spacing w:after="20"/>
            </w:pPr>
            <w:r>
              <w:rPr>
                <w:color w:val="1C3A36"/>
                <w:sz w:val="14"/>
              </w:rPr>
              <w:t>2026-02-09</w:t>
            </w:r>
          </w:p>
        </w:tc>
      </w:tr>
      <w:tr>
        <w:tc>
          <w:tcPr>
            <w:tcW w:type="dxa" w:w="1512"/>
          </w:tcPr>
          <w:p>
            <w:pPr>
              <w:spacing w:after="20"/>
            </w:pPr>
            <w:r>
              <w:rPr>
                <w:color w:val="1C3A36"/>
                <w:sz w:val="14"/>
              </w:rPr>
              <w:t>seg_dc_h1</w:t>
            </w:r>
          </w:p>
        </w:tc>
        <w:tc>
          <w:tcPr>
            <w:tcW w:type="dxa" w:w="1656"/>
          </w:tcPr>
          <w:p>
            <w:pPr>
              <w:spacing w:after="20"/>
            </w:pPr>
            <w:r>
              <w:rPr>
                <w:color w:val="1C3A36"/>
                <w:sz w:val="14"/>
              </w:rPr>
              <w:t>H125: mobile: 1,357.5; fixed: 313.5; wholesale: 178.9; ict: 702.4; H126: mobile: 1,371.2; fixed: 303.3; wholesale: 195.9; ict: 715.0</w:t>
            </w:r>
          </w:p>
        </w:tc>
        <w:tc>
          <w:tcPr>
            <w:tcW w:type="dxa" w:w="5904"/>
          </w:tcPr>
          <w:p>
            <w:pPr>
              <w:spacing w:after="20"/>
            </w:pPr>
            <w:r>
              <w:rPr>
                <w:color w:val="1C3A36"/>
                <w:sz w:val="14"/>
              </w:rPr>
              <w:t>Reviewed condensed consolidated interim FS for the six months ended 30-Jun-2026, investors.du.ae (KPMG ISRE 2410 review, 22-Jul-2026), Note 17 segment analysis: segment revenue less segment contribution ('gross margin'), for the six months ended 30-Jun-2026 and the 30-Jun-2025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h1_25_seg</w:t>
            </w:r>
          </w:p>
        </w:tc>
        <w:tc>
          <w:tcPr>
            <w:tcW w:type="dxa" w:w="1656"/>
          </w:tcPr>
          <w:p>
            <w:pPr>
              <w:spacing w:after="20"/>
            </w:pPr>
            <w:r>
              <w:rPr>
                <w:color w:val="1C3A36"/>
                <w:sz w:val="14"/>
              </w:rPr>
              <w:t>mobile: 3,457.1; fixed: 2,140.3; wholesale: 1,283.3; ict: 869.6</w:t>
            </w:r>
          </w:p>
        </w:tc>
        <w:tc>
          <w:tcPr>
            <w:tcW w:type="dxa" w:w="5904"/>
          </w:tcPr>
          <w:p>
            <w:pPr>
              <w:spacing w:after="20"/>
            </w:pPr>
            <w:r>
              <w:rPr>
                <w:color w:val="1C3A36"/>
                <w:sz w:val="14"/>
              </w:rPr>
              <w:t>Reviewed condensed consolidated interim FS for the six months ended 30-Jun-2026, investors.du.ae (KPMG ISRE 2410 review, 22-Jul-2026), Note 17: H1-2025 comparative segment revenue; foots to 7,750.295</w:t>
            </w:r>
          </w:p>
        </w:tc>
        <w:tc>
          <w:tcPr>
            <w:tcW w:type="dxa" w:w="1080"/>
          </w:tcPr>
          <w:p>
            <w:pPr>
              <w:spacing w:after="20"/>
            </w:pPr>
            <w:r>
              <w:rPr>
                <w:color w:val="1C3A36"/>
                <w:sz w:val="14"/>
              </w:rPr>
              <w:t>2026-07-22</w:t>
            </w:r>
          </w:p>
        </w:tc>
      </w:tr>
      <w:tr>
        <w:tc>
          <w:tcPr>
            <w:tcW w:type="dxa" w:w="1512"/>
          </w:tcPr>
          <w:p>
            <w:pPr>
              <w:spacing w:after="20"/>
            </w:pPr>
            <w:r>
              <w:rPr>
                <w:color w:val="1C3A36"/>
                <w:sz w:val="14"/>
              </w:rPr>
              <w:t>subs_prepaid</w:t>
            </w:r>
          </w:p>
        </w:tc>
        <w:tc>
          <w:tcPr>
            <w:tcW w:type="dxa" w:w="1656"/>
          </w:tcPr>
          <w:p>
            <w:pPr>
              <w:spacing w:after="20"/>
            </w:pPr>
            <w:r>
              <w:rPr>
                <w:color w:val="1C3A36"/>
                <w:sz w:val="14"/>
              </w:rPr>
              <w:t>Q4_2024: 7,116; Q1_2025: 7,292; Q2_2025: 7,254; Q3_2025: 7,248; Q4_2025: 7,726; Q1_2026: 7,670; Q2_2026: 7,227</w:t>
            </w:r>
          </w:p>
        </w:tc>
        <w:tc>
          <w:tcPr>
            <w:tcW w:type="dxa" w:w="5904"/>
          </w:tcPr>
          <w:p>
            <w:pPr>
              <w:spacing w:after="20"/>
            </w:pPr>
            <w:r>
              <w:rPr>
                <w:color w:val="1C3A36"/>
                <w:sz w:val="14"/>
              </w:rPr>
              <w:t>Company Q2-2026 earnings release + analyst presentation, investors.du.ae (COMPANY_IR) + prior quarterly decks: prepaid mobile customers ('000). REGISTERED 17-Aug-2026 — du discloses the mobile base SPLIT by prepaid and postpaid every quarter, and the prior edition modelled only the total</w:t>
            </w:r>
          </w:p>
        </w:tc>
        <w:tc>
          <w:tcPr>
            <w:tcW w:type="dxa" w:w="1080"/>
          </w:tcPr>
          <w:p>
            <w:pPr>
              <w:spacing w:after="20"/>
            </w:pPr>
            <w:r>
              <w:rPr>
                <w:color w:val="1C3A36"/>
                <w:sz w:val="14"/>
              </w:rPr>
              <w:t>2026-07-23</w:t>
            </w:r>
          </w:p>
        </w:tc>
      </w:tr>
      <w:tr>
        <w:tc>
          <w:tcPr>
            <w:tcW w:type="dxa" w:w="1512"/>
          </w:tcPr>
          <w:p>
            <w:pPr>
              <w:spacing w:after="20"/>
            </w:pPr>
            <w:r>
              <w:rPr>
                <w:color w:val="1C3A36"/>
                <w:sz w:val="14"/>
              </w:rPr>
              <w:t>subs_postpaid</w:t>
            </w:r>
          </w:p>
        </w:tc>
        <w:tc>
          <w:tcPr>
            <w:tcW w:type="dxa" w:w="1656"/>
          </w:tcPr>
          <w:p>
            <w:pPr>
              <w:spacing w:after="20"/>
            </w:pPr>
            <w:r>
              <w:rPr>
                <w:color w:val="1C3A36"/>
                <w:sz w:val="14"/>
              </w:rPr>
              <w:t>Q4_2024: 1,800; Q1_2025: 1,845; Q2_2025: 1,884; Q3_2025: 1,922; Q4_2025: 1,979; Q1_2026: 2,023; Q2_2026: 2,053</w:t>
            </w:r>
          </w:p>
        </w:tc>
        <w:tc>
          <w:tcPr>
            <w:tcW w:type="dxa" w:w="5904"/>
          </w:tcPr>
          <w:p>
            <w:pPr>
              <w:spacing w:after="20"/>
            </w:pPr>
            <w:r>
              <w:rPr>
                <w:color w:val="1C3A36"/>
                <w:sz w:val="14"/>
              </w:rPr>
              <w:t>Company Q2-2026 earnings release + analyst presentation, investors.du.ae (COMPANY_IR) + prior quarterly decks: postpaid mobile customers ('000)</w:t>
            </w:r>
          </w:p>
        </w:tc>
        <w:tc>
          <w:tcPr>
            <w:tcW w:type="dxa" w:w="1080"/>
          </w:tcPr>
          <w:p>
            <w:pPr>
              <w:spacing w:after="20"/>
            </w:pPr>
            <w:r>
              <w:rPr>
                <w:color w:val="1C3A36"/>
                <w:sz w:val="14"/>
              </w:rPr>
              <w:t>2026-07-23</w:t>
            </w:r>
          </w:p>
        </w:tc>
      </w:tr>
      <w:tr>
        <w:tc>
          <w:tcPr>
            <w:tcW w:type="dxa" w:w="1512"/>
          </w:tcPr>
          <w:p>
            <w:pPr>
              <w:spacing w:after="20"/>
            </w:pPr>
            <w:r>
              <w:rPr>
                <w:color w:val="1C3A36"/>
                <w:sz w:val="14"/>
              </w:rPr>
              <w:t>arpu_leg_disclosed</w:t>
            </w:r>
          </w:p>
        </w:tc>
        <w:tc>
          <w:tcPr>
            <w:tcW w:type="dxa" w:w="1656"/>
          </w:tcPr>
          <w:p>
            <w:pPr>
              <w:spacing w:after="20"/>
            </w:pPr>
            <w:r>
              <w:rPr>
                <w:color w:val="1C3A36"/>
                <w:sz w:val="14"/>
              </w:rPr>
              <w:t>0</w:t>
            </w:r>
          </w:p>
        </w:tc>
        <w:tc>
          <w:tcPr>
            <w:tcW w:type="dxa" w:w="5904"/>
          </w:tcPr>
          <w:p>
            <w:pPr>
              <w:spacing w:after="20"/>
            </w:pPr>
            <w:r>
              <w:rPr>
                <w:color w:val="1C3A36"/>
                <w:sz w:val="14"/>
              </w:rPr>
              <w:t>NEGATIVE RESULT, dated 17-Aug-2026: du discloses a SINGLE BLENDED mobile ARPU line in its quarterly KPI table and nowhere publishes prepaid or postpaid ARPU separately — checked across the Q2-2026, Q1-2026 and Q4-2025 earnings releases and analyst presentations and the FY2025 annual report, and confirmed against the audited segment note (Note 38, interim Note 17), which splits Mobile/Fixed and never prepaid/postpaid. The value 0.0 records the count of separately disclosed leg ARPUs. CORRECTED 17-Aug-2026: an earlier draft of this note called the omission a du-specific choice against a sector norm. It is the REGIONAL norm — e&amp; (du's own duopoly counterparty), stc and Mobily all publish the subscriber split with a single blended ARPU, exactly as du does; Ooredoo is the sole Gulf exception. ACCESS CAVEAT, logged not papered over: investors.du.ae is intermittent from this environment (HTTP 200 on a direct request during this session, HTTP 503 on every attempt in a parallel verification pass), so the deck-level negative rests on the documents captured in this study's own first-hand extract of the Q2-2026 presentation rather than on a fresh re-read. Consequence: the mobile price driver is built on the blended figure and the two-leg split is shown to be UNIDENTIFIED rather than estimated (see the identification test in the derivation log)</w:t>
            </w:r>
          </w:p>
        </w:tc>
        <w:tc>
          <w:tcPr>
            <w:tcW w:type="dxa" w:w="1080"/>
          </w:tcPr>
          <w:p>
            <w:pPr>
              <w:spacing w:after="20"/>
            </w:pPr>
            <w:r>
              <w:rPr>
                <w:color w:val="1C3A36"/>
                <w:sz w:val="14"/>
              </w:rPr>
              <w:t>2026-08-17</w:t>
            </w:r>
          </w:p>
        </w:tc>
      </w:tr>
      <w:tr>
        <w:tc>
          <w:tcPr>
            <w:tcW w:type="dxa" w:w="1512"/>
          </w:tcPr>
          <w:p>
            <w:pPr>
              <w:spacing w:after="20"/>
            </w:pPr>
            <w:r>
              <w:rPr>
                <w:color w:val="1C3A36"/>
                <w:sz w:val="14"/>
              </w:rPr>
              <w:t>arpu_mobile_q</w:t>
            </w:r>
          </w:p>
        </w:tc>
        <w:tc>
          <w:tcPr>
            <w:tcW w:type="dxa" w:w="1656"/>
          </w:tcPr>
          <w:p>
            <w:pPr>
              <w:spacing w:after="20"/>
            </w:pPr>
            <w:r>
              <w:rPr>
                <w:color w:val="1C3A36"/>
                <w:sz w:val="14"/>
              </w:rPr>
              <w:t>Q4_2024: 65.8; Q1_2025: 63.5; Q2_2025: 63.3; Q3_2025: 64.5; Q4_2025: 65.3; Q1_2026: 63.4; Q2_2026: 63.4; FY_2024: 62.5; FY_2025: 63.3</w:t>
            </w:r>
          </w:p>
        </w:tc>
        <w:tc>
          <w:tcPr>
            <w:tcW w:type="dxa" w:w="5904"/>
          </w:tcPr>
          <w:p>
            <w:pPr>
              <w:spacing w:after="20"/>
            </w:pPr>
            <w:r>
              <w:rPr>
                <w:color w:val="1C3A36"/>
                <w:sz w:val="14"/>
              </w:rPr>
              <w:t>du quarterly analyst presentation, mobile segment KPI slide (Q2-2026 deck slide 12) — the full blended-ARPU series, AED/month. REGISTERED 17-Aug-2026: the prior edition carried only three points and its driver note described the company as printing '63.3-63.4', which understates the real dispersion — the quarterly series ranges 63.3 to 65.8 and fell from 65.3 (Q4-2025) to 63.4 (Q2-2026). FY2025 63.3 is corroborated independently by the Q4-FY2025 earnings release, and the subscribers x ARPU build reproduces audited mobile segment revenue to within 0.05%, so the level is not in doubt</w:t>
            </w:r>
          </w:p>
        </w:tc>
        <w:tc>
          <w:tcPr>
            <w:tcW w:type="dxa" w:w="1080"/>
          </w:tcPr>
          <w:p>
            <w:pPr>
              <w:spacing w:after="20"/>
            </w:pPr>
            <w:r>
              <w:rPr>
                <w:color w:val="1C3A36"/>
                <w:sz w:val="14"/>
              </w:rPr>
              <w:t>2026-07-23</w:t>
            </w:r>
          </w:p>
        </w:tc>
      </w:tr>
      <w:tr>
        <w:tc>
          <w:tcPr>
            <w:tcW w:type="dxa" w:w="1512"/>
          </w:tcPr>
          <w:p>
            <w:pPr>
              <w:spacing w:after="20"/>
            </w:pPr>
            <w:r>
              <w:rPr>
                <w:color w:val="1C3A36"/>
                <w:sz w:val="14"/>
              </w:rPr>
              <w:t>subs_mobile_h1_25</w:t>
            </w:r>
          </w:p>
        </w:tc>
        <w:tc>
          <w:tcPr>
            <w:tcW w:type="dxa" w:w="1656"/>
          </w:tcPr>
          <w:p>
            <w:pPr>
              <w:spacing w:after="20"/>
            </w:pPr>
            <w:r>
              <w:rPr>
                <w:color w:val="1C3A36"/>
                <w:sz w:val="14"/>
              </w:rPr>
              <w:t>9,138.0</w:t>
            </w:r>
          </w:p>
        </w:tc>
        <w:tc>
          <w:tcPr>
            <w:tcW w:type="dxa" w:w="5904"/>
          </w:tcPr>
          <w:p>
            <w:pPr>
              <w:spacing w:after="20"/>
            </w:pPr>
            <w:r>
              <w:rPr>
                <w:color w:val="1C3A36"/>
                <w:sz w:val="14"/>
              </w:rPr>
              <w:t>Mobile customers at 30-Jun-2025 ('000), du Q2-2025 quarterly disclosure — needed to put the H1-2025 comparative cost on the same average-base denominator as H1-2026</w:t>
            </w:r>
          </w:p>
        </w:tc>
        <w:tc>
          <w:tcPr>
            <w:tcW w:type="dxa" w:w="1080"/>
          </w:tcPr>
          <w:p>
            <w:pPr>
              <w:spacing w:after="20"/>
            </w:pPr>
            <w:r>
              <w:rPr>
                <w:color w:val="1C3A36"/>
                <w:sz w:val="14"/>
              </w:rPr>
              <w:t>2025-07-23</w:t>
            </w:r>
          </w:p>
        </w:tc>
      </w:tr>
      <w:tr>
        <w:tc>
          <w:tcPr>
            <w:tcW w:type="dxa" w:w="1512"/>
          </w:tcPr>
          <w:p>
            <w:pPr>
              <w:spacing w:after="20"/>
            </w:pPr>
            <w:r>
              <w:rPr>
                <w:color w:val="1C3A36"/>
                <w:sz w:val="14"/>
              </w:rPr>
              <w:t>subs_fixed_h1_25</w:t>
            </w:r>
          </w:p>
        </w:tc>
        <w:tc>
          <w:tcPr>
            <w:tcW w:type="dxa" w:w="1656"/>
          </w:tcPr>
          <w:p>
            <w:pPr>
              <w:spacing w:after="20"/>
            </w:pPr>
            <w:r>
              <w:rPr>
                <w:color w:val="1C3A36"/>
                <w:sz w:val="14"/>
              </w:rPr>
              <w:t>706.0</w:t>
            </w:r>
          </w:p>
        </w:tc>
        <w:tc>
          <w:tcPr>
            <w:tcW w:type="dxa" w:w="5904"/>
          </w:tcPr>
          <w:p>
            <w:pPr>
              <w:spacing w:after="20"/>
            </w:pPr>
            <w:r>
              <w:rPr>
                <w:color w:val="1C3A36"/>
                <w:sz w:val="14"/>
              </w:rPr>
              <w:t>Fixed customers at 30-Jun-2025 ('000), same source</w:t>
            </w:r>
          </w:p>
        </w:tc>
        <w:tc>
          <w:tcPr>
            <w:tcW w:type="dxa" w:w="1080"/>
          </w:tcPr>
          <w:p>
            <w:pPr>
              <w:spacing w:after="20"/>
            </w:pPr>
            <w:r>
              <w:rPr>
                <w:color w:val="1C3A36"/>
                <w:sz w:val="14"/>
              </w:rPr>
              <w:t>2025-07-23</w:t>
            </w:r>
          </w:p>
        </w:tc>
      </w:tr>
      <w:tr>
        <w:tc>
          <w:tcPr>
            <w:tcW w:type="dxa" w:w="1512"/>
          </w:tcPr>
          <w:p>
            <w:pPr>
              <w:spacing w:after="20"/>
            </w:pPr>
            <w:r>
              <w:rPr>
                <w:color w:val="1C3A36"/>
                <w:sz w:val="14"/>
              </w:rPr>
              <w:t>opex_before_dna_hist</w:t>
            </w:r>
          </w:p>
        </w:tc>
        <w:tc>
          <w:tcPr>
            <w:tcW w:type="dxa" w:w="1656"/>
          </w:tcPr>
          <w:p>
            <w:pPr>
              <w:spacing w:after="20"/>
            </w:pPr>
            <w:r>
              <w:rPr>
                <w:color w:val="1C3A36"/>
                <w:sz w:val="14"/>
              </w:rPr>
              <w:t>FY24: -3,347.6; FY25: -3,307.6</w:t>
            </w:r>
          </w:p>
        </w:tc>
        <w:tc>
          <w:tcPr>
            <w:tcW w:type="dxa" w:w="5904"/>
          </w:tcPr>
          <w:p>
            <w:pPr>
              <w:spacing w:after="20"/>
            </w:pPr>
            <w:r>
              <w:rPr>
                <w:color w:val="1C3A36"/>
                <w:sz w:val="14"/>
              </w:rPr>
              <w:t>Audited consolidated FS, Integrated Annual Report 2025, investors.du.ae (KPMG Lower Gulf, unmodified opinion 09-Feb-2026), total net operating expenses before depreciation and amortization</w:t>
            </w:r>
          </w:p>
        </w:tc>
        <w:tc>
          <w:tcPr>
            <w:tcW w:type="dxa" w:w="1080"/>
          </w:tcPr>
          <w:p>
            <w:pPr>
              <w:spacing w:after="20"/>
            </w:pPr>
            <w:r>
              <w:rPr>
                <w:color w:val="1C3A36"/>
                <w:sz w:val="14"/>
              </w:rPr>
              <w:t>2026-02-09</w:t>
            </w:r>
          </w:p>
        </w:tc>
      </w:tr>
      <w:tr>
        <w:tc>
          <w:tcPr>
            <w:tcW w:type="dxa" w:w="1512"/>
          </w:tcPr>
          <w:p>
            <w:pPr>
              <w:spacing w:after="20"/>
            </w:pPr>
            <w:r>
              <w:rPr>
                <w:color w:val="1C3A36"/>
                <w:sz w:val="14"/>
              </w:rPr>
              <w:t>int_inc_fy23</w:t>
            </w:r>
          </w:p>
        </w:tc>
        <w:tc>
          <w:tcPr>
            <w:tcW w:type="dxa" w:w="1656"/>
          </w:tcPr>
          <w:p>
            <w:pPr>
              <w:spacing w:after="20"/>
            </w:pPr>
            <w:r>
              <w:rPr>
                <w:color w:val="1C3A36"/>
                <w:sz w:val="14"/>
              </w:rPr>
              <w:t>61.327</w:t>
            </w:r>
          </w:p>
        </w:tc>
        <w:tc>
          <w:tcPr>
            <w:tcW w:type="dxa" w:w="5904"/>
          </w:tcPr>
          <w:p>
            <w:pPr>
              <w:spacing w:after="20"/>
            </w:pPr>
            <w:r>
              <w:rPr>
                <w:color w:val="1C3A36"/>
                <w:sz w:val="14"/>
              </w:rPr>
              <w:t>Audited consolidated FS, Annual Report 2023, investors.du.ae (PwC, unqualified opinion 13-Feb-2024), finance income</w:t>
            </w:r>
          </w:p>
        </w:tc>
        <w:tc>
          <w:tcPr>
            <w:tcW w:type="dxa" w:w="1080"/>
          </w:tcPr>
          <w:p>
            <w:pPr>
              <w:spacing w:after="20"/>
            </w:pPr>
            <w:r>
              <w:rPr>
                <w:color w:val="1C3A36"/>
                <w:sz w:val="14"/>
              </w:rPr>
              <w:t>2024-02-13</w:t>
            </w:r>
          </w:p>
        </w:tc>
      </w:tr>
      <w:tr>
        <w:tc>
          <w:tcPr>
            <w:tcW w:type="dxa" w:w="1512"/>
          </w:tcPr>
          <w:p>
            <w:pPr>
              <w:spacing w:after="20"/>
            </w:pPr>
            <w:r>
              <w:rPr>
                <w:color w:val="1C3A36"/>
                <w:sz w:val="14"/>
              </w:rPr>
              <w:t>int_exp_fy23</w:t>
            </w:r>
          </w:p>
        </w:tc>
        <w:tc>
          <w:tcPr>
            <w:tcW w:type="dxa" w:w="1656"/>
          </w:tcPr>
          <w:p>
            <w:pPr>
              <w:spacing w:after="20"/>
            </w:pPr>
            <w:r>
              <w:rPr>
                <w:color w:val="1C3A36"/>
                <w:sz w:val="14"/>
              </w:rPr>
              <w:t>101.4</w:t>
            </w:r>
          </w:p>
        </w:tc>
        <w:tc>
          <w:tcPr>
            <w:tcW w:type="dxa" w:w="5904"/>
          </w:tcPr>
          <w:p>
            <w:pPr>
              <w:spacing w:after="20"/>
            </w:pPr>
            <w:r>
              <w:rPr>
                <w:color w:val="1C3A36"/>
                <w:sz w:val="14"/>
              </w:rPr>
              <w:t>Audited consolidated FS, Annual Report 2023, investors.du.ae (PwC, unqualified opinion 13-Feb-2024), finance costs</w:t>
            </w:r>
          </w:p>
        </w:tc>
        <w:tc>
          <w:tcPr>
            <w:tcW w:type="dxa" w:w="1080"/>
          </w:tcPr>
          <w:p>
            <w:pPr>
              <w:spacing w:after="20"/>
            </w:pPr>
            <w:r>
              <w:rPr>
                <w:color w:val="1C3A36"/>
                <w:sz w:val="14"/>
              </w:rPr>
              <w:t>2024-02-13</w:t>
            </w:r>
          </w:p>
        </w:tc>
      </w:tr>
      <w:tr>
        <w:tc>
          <w:tcPr>
            <w:tcW w:type="dxa" w:w="1512"/>
          </w:tcPr>
          <w:p>
            <w:pPr>
              <w:spacing w:after="20"/>
            </w:pPr>
            <w:r>
              <w:rPr>
                <w:color w:val="1C3A36"/>
                <w:sz w:val="14"/>
              </w:rPr>
              <w:t>assoc_hist</w:t>
            </w:r>
          </w:p>
        </w:tc>
        <w:tc>
          <w:tcPr>
            <w:tcW w:type="dxa" w:w="1656"/>
          </w:tcPr>
          <w:p>
            <w:pPr>
              <w:spacing w:after="20"/>
            </w:pPr>
            <w:r>
              <w:rPr>
                <w:color w:val="1C3A36"/>
                <w:sz w:val="14"/>
              </w:rPr>
              <w:t>FY23: -2.72; FY24: -2.427; FY25: -0.894</w:t>
            </w:r>
          </w:p>
        </w:tc>
        <w:tc>
          <w:tcPr>
            <w:tcW w:type="dxa" w:w="5904"/>
          </w:tcPr>
          <w:p>
            <w:pPr>
              <w:spacing w:after="20"/>
            </w:pPr>
            <w:r>
              <w:rPr>
                <w:color w:val="1C3A36"/>
                <w:sz w:val="14"/>
              </w:rPr>
              <w:t>Share of loss of associate and joint venture: Audited consolidated FS, Annual Report 2023, investors.du.ae (PwC, unqualified opinion 13-Feb-2024) (FY2023); Audited consolidated FS, Integrated Annual Report 2025, investors.du.ae (KPMG Lower Gulf, unmodified opinion 09-Feb-2026) (FY2024 comparative and FY2025)</w:t>
            </w:r>
          </w:p>
        </w:tc>
        <w:tc>
          <w:tcPr>
            <w:tcW w:type="dxa" w:w="1080"/>
          </w:tcPr>
          <w:p>
            <w:pPr>
              <w:spacing w:after="20"/>
            </w:pPr>
            <w:r>
              <w:rPr>
                <w:color w:val="1C3A36"/>
                <w:sz w:val="14"/>
              </w:rPr>
              <w:t>2026-02-09</w:t>
            </w:r>
          </w:p>
        </w:tc>
      </w:tr>
      <w:tr>
        <w:tc>
          <w:tcPr>
            <w:tcW w:type="dxa" w:w="1512"/>
          </w:tcPr>
          <w:p>
            <w:pPr>
              <w:spacing w:after="20"/>
            </w:pPr>
            <w:r>
              <w:rPr>
                <w:color w:val="1C3A36"/>
                <w:sz w:val="14"/>
              </w:rPr>
              <w:t>dep_ppe_hist</w:t>
            </w:r>
          </w:p>
        </w:tc>
        <w:tc>
          <w:tcPr>
            <w:tcW w:type="dxa" w:w="1656"/>
          </w:tcPr>
          <w:p>
            <w:pPr>
              <w:spacing w:after="20"/>
            </w:pPr>
            <w:r>
              <w:rPr>
                <w:color w:val="1C3A36"/>
                <w:sz w:val="14"/>
              </w:rPr>
              <w:t>FY23: 1,544.2; FY24: 1,569.2; FY25: 1,558.0</w:t>
            </w:r>
          </w:p>
        </w:tc>
        <w:tc>
          <w:tcPr>
            <w:tcW w:type="dxa" w:w="5904"/>
          </w:tcPr>
          <w:p>
            <w:pPr>
              <w:spacing w:after="20"/>
            </w:pPr>
            <w:r>
              <w:rPr>
                <w:color w:val="1C3A36"/>
                <w:sz w:val="14"/>
              </w:rPr>
              <w:t>Depreciation and impairment of property, plant and equipment: Audited consolidated FS, Annual Report 2023, investors.du.ae (PwC, unqualified opinion 13-Feb-2024) Note 26 (FY2023); Audited consolidated FS, Integrated Annual Report 2025, investors.du.ae (KPMG Lower Gulf, unmodified opinion 09-Feb-2026) Note 31 (FY2024-25)</w:t>
            </w:r>
          </w:p>
        </w:tc>
        <w:tc>
          <w:tcPr>
            <w:tcW w:type="dxa" w:w="1080"/>
          </w:tcPr>
          <w:p>
            <w:pPr>
              <w:spacing w:after="20"/>
            </w:pPr>
            <w:r>
              <w:rPr>
                <w:color w:val="1C3A36"/>
                <w:sz w:val="14"/>
              </w:rPr>
              <w:t>2026-02-09</w:t>
            </w:r>
          </w:p>
        </w:tc>
      </w:tr>
      <w:tr>
        <w:tc>
          <w:tcPr>
            <w:tcW w:type="dxa" w:w="1512"/>
          </w:tcPr>
          <w:p>
            <w:pPr>
              <w:spacing w:after="20"/>
            </w:pPr>
            <w:r>
              <w:rPr>
                <w:color w:val="1C3A36"/>
                <w:sz w:val="14"/>
              </w:rPr>
              <w:t>amort_hist</w:t>
            </w:r>
          </w:p>
        </w:tc>
        <w:tc>
          <w:tcPr>
            <w:tcW w:type="dxa" w:w="1656"/>
          </w:tcPr>
          <w:p>
            <w:pPr>
              <w:spacing w:after="20"/>
            </w:pPr>
            <w:r>
              <w:rPr>
                <w:color w:val="1C3A36"/>
                <w:sz w:val="14"/>
              </w:rPr>
              <w:t>FY23: 209.1; FY24: 209.9; FY25: 245.9</w:t>
            </w:r>
          </w:p>
        </w:tc>
        <w:tc>
          <w:tcPr>
            <w:tcW w:type="dxa" w:w="5904"/>
          </w:tcPr>
          <w:p>
            <w:pPr>
              <w:spacing w:after="20"/>
            </w:pPr>
            <w:r>
              <w:rPr>
                <w:color w:val="1C3A36"/>
                <w:sz w:val="14"/>
              </w:rPr>
              <w:t>Amortisation and impairment of intangible assets, same notes as above</w:t>
            </w:r>
          </w:p>
        </w:tc>
        <w:tc>
          <w:tcPr>
            <w:tcW w:type="dxa" w:w="1080"/>
          </w:tcPr>
          <w:p>
            <w:pPr>
              <w:spacing w:after="20"/>
            </w:pPr>
            <w:r>
              <w:rPr>
                <w:color w:val="1C3A36"/>
                <w:sz w:val="14"/>
              </w:rPr>
              <w:t>2026-02-09</w:t>
            </w:r>
          </w:p>
        </w:tc>
      </w:tr>
      <w:tr>
        <w:tc>
          <w:tcPr>
            <w:tcW w:type="dxa" w:w="1512"/>
          </w:tcPr>
          <w:p>
            <w:pPr>
              <w:spacing w:after="20"/>
            </w:pPr>
            <w:r>
              <w:rPr>
                <w:color w:val="1C3A36"/>
                <w:sz w:val="14"/>
              </w:rPr>
              <w:t>capex_cash_hist</w:t>
            </w:r>
          </w:p>
        </w:tc>
        <w:tc>
          <w:tcPr>
            <w:tcW w:type="dxa" w:w="1656"/>
          </w:tcPr>
          <w:p>
            <w:pPr>
              <w:spacing w:after="20"/>
            </w:pPr>
            <w:r>
              <w:rPr>
                <w:color w:val="1C3A36"/>
                <w:sz w:val="14"/>
              </w:rPr>
              <w:t>FY23: 2,227.6; FY24: 1,920.5; FY25: 2,353.2</w:t>
            </w:r>
          </w:p>
        </w:tc>
        <w:tc>
          <w:tcPr>
            <w:tcW w:type="dxa" w:w="5904"/>
          </w:tcPr>
          <w:p>
            <w:pPr>
              <w:spacing w:after="20"/>
            </w:pPr>
            <w:r>
              <w:rPr>
                <w:color w:val="1C3A36"/>
                <w:sz w:val="14"/>
              </w:rPr>
              <w:t>Cash capital expenditure = purchase of PP&amp;E + purchase of intangible assets, audited consolidated statements of cash flows (AR2023 for FY2023; AR2025 for the FY2024 comparative and FY2025)</w:t>
            </w:r>
          </w:p>
        </w:tc>
        <w:tc>
          <w:tcPr>
            <w:tcW w:type="dxa" w:w="1080"/>
          </w:tcPr>
          <w:p>
            <w:pPr>
              <w:spacing w:after="20"/>
            </w:pPr>
            <w:r>
              <w:rPr>
                <w:color w:val="1C3A36"/>
                <w:sz w:val="14"/>
              </w:rPr>
              <w:t>2026-02-09</w:t>
            </w:r>
          </w:p>
        </w:tc>
      </w:tr>
      <w:tr>
        <w:tc>
          <w:tcPr>
            <w:tcW w:type="dxa" w:w="1512"/>
          </w:tcPr>
          <w:p>
            <w:pPr>
              <w:spacing w:after="20"/>
            </w:pPr>
            <w:r>
              <w:rPr>
                <w:color w:val="1C3A36"/>
                <w:sz w:val="14"/>
              </w:rPr>
              <w:t>tax_paid_hist</w:t>
            </w:r>
          </w:p>
        </w:tc>
        <w:tc>
          <w:tcPr>
            <w:tcW w:type="dxa" w:w="1656"/>
          </w:tcPr>
          <w:p>
            <w:pPr>
              <w:spacing w:after="20"/>
            </w:pPr>
            <w:r>
              <w:rPr>
                <w:color w:val="1C3A36"/>
                <w:sz w:val="14"/>
              </w:rPr>
              <w:t>FY24: -1,928.9; FY25: -1,883.4</w:t>
            </w:r>
          </w:p>
        </w:tc>
        <w:tc>
          <w:tcPr>
            <w:tcW w:type="dxa" w:w="5904"/>
          </w:tcPr>
          <w:p>
            <w:pPr>
              <w:spacing w:after="20"/>
            </w:pPr>
            <w:r>
              <w:rPr>
                <w:color w:val="1C3A36"/>
                <w:sz w:val="14"/>
              </w:rPr>
              <w:t>Federal royalty paid + income tax paid, audited consolidated statements of cash flows (Audited consolidated FS, Integrated Annual Report 2025, investors.du.ae (KPMG Lower Gulf, unmodified opinion 09-Feb-2026))</w:t>
            </w:r>
          </w:p>
        </w:tc>
        <w:tc>
          <w:tcPr>
            <w:tcW w:type="dxa" w:w="1080"/>
          </w:tcPr>
          <w:p>
            <w:pPr>
              <w:spacing w:after="20"/>
            </w:pPr>
            <w:r>
              <w:rPr>
                <w:color w:val="1C3A36"/>
                <w:sz w:val="14"/>
              </w:rPr>
              <w:t>2026-02-09</w:t>
            </w:r>
          </w:p>
        </w:tc>
      </w:tr>
      <w:tr>
        <w:tc>
          <w:tcPr>
            <w:tcW w:type="dxa" w:w="1512"/>
          </w:tcPr>
          <w:p>
            <w:pPr>
              <w:spacing w:after="20"/>
            </w:pPr>
            <w:r>
              <w:rPr>
                <w:color w:val="1C3A36"/>
                <w:sz w:val="14"/>
              </w:rPr>
              <w:t>ocf_hist</w:t>
            </w:r>
          </w:p>
        </w:tc>
        <w:tc>
          <w:tcPr>
            <w:tcW w:type="dxa" w:w="1656"/>
          </w:tcPr>
          <w:p>
            <w:pPr>
              <w:spacing w:after="20"/>
            </w:pPr>
            <w:r>
              <w:rPr>
                <w:color w:val="1C3A36"/>
                <w:sz w:val="14"/>
              </w:rPr>
              <w:t>FY24: 4,636.5; FY25: 5,229.8</w:t>
            </w:r>
          </w:p>
        </w:tc>
        <w:tc>
          <w:tcPr>
            <w:tcW w:type="dxa" w:w="5904"/>
          </w:tcPr>
          <w:p>
            <w:pPr>
              <w:spacing w:after="20"/>
            </w:pPr>
            <w:r>
              <w:rPr>
                <w:color w:val="1C3A36"/>
                <w:sz w:val="14"/>
              </w:rPr>
              <w:t>Audited consolidated FS, Integrated Annual Report 2025, investors.du.ae (KPMG Lower Gulf, unmodified opinion 09-Feb-2026), net cash generated from operating activities</w:t>
            </w:r>
          </w:p>
        </w:tc>
        <w:tc>
          <w:tcPr>
            <w:tcW w:type="dxa" w:w="1080"/>
          </w:tcPr>
          <w:p>
            <w:pPr>
              <w:spacing w:after="20"/>
            </w:pPr>
            <w:r>
              <w:rPr>
                <w:color w:val="1C3A36"/>
                <w:sz w:val="14"/>
              </w:rPr>
              <w:t>2026-02-09</w:t>
            </w:r>
          </w:p>
        </w:tc>
      </w:tr>
      <w:tr>
        <w:tc>
          <w:tcPr>
            <w:tcW w:type="dxa" w:w="1512"/>
          </w:tcPr>
          <w:p>
            <w:pPr>
              <w:spacing w:after="20"/>
            </w:pPr>
            <w:r>
              <w:rPr>
                <w:color w:val="1C3A36"/>
                <w:sz w:val="14"/>
              </w:rPr>
              <w:t>div_paid_hist</w:t>
            </w:r>
          </w:p>
        </w:tc>
        <w:tc>
          <w:tcPr>
            <w:tcW w:type="dxa" w:w="1656"/>
          </w:tcPr>
          <w:p>
            <w:pPr>
              <w:spacing w:after="20"/>
            </w:pPr>
            <w:r>
              <w:rPr>
                <w:color w:val="1C3A36"/>
                <w:sz w:val="14"/>
              </w:rPr>
              <w:t>FY24: -1,858.5; FY25: -2,629.1</w:t>
            </w:r>
          </w:p>
        </w:tc>
        <w:tc>
          <w:tcPr>
            <w:tcW w:type="dxa" w:w="5904"/>
          </w:tcPr>
          <w:p>
            <w:pPr>
              <w:spacing w:after="20"/>
            </w:pPr>
            <w:r>
              <w:rPr>
                <w:color w:val="1C3A36"/>
                <w:sz w:val="14"/>
              </w:rPr>
              <w:t>Audited consolidated FS, Integrated Annual Report 2025, investors.du.ae (KPMG Lower Gulf, unmodified opinion 09-Feb-2026), dividends paid (financing activities)</w:t>
            </w:r>
          </w:p>
        </w:tc>
        <w:tc>
          <w:tcPr>
            <w:tcW w:type="dxa" w:w="1080"/>
          </w:tcPr>
          <w:p>
            <w:pPr>
              <w:spacing w:after="20"/>
            </w:pPr>
            <w:r>
              <w:rPr>
                <w:color w:val="1C3A36"/>
                <w:sz w:val="14"/>
              </w:rPr>
              <w:t>2026-02-09</w:t>
            </w:r>
          </w:p>
        </w:tc>
      </w:tr>
      <w:tr>
        <w:tc>
          <w:tcPr>
            <w:tcW w:type="dxa" w:w="1512"/>
          </w:tcPr>
          <w:p>
            <w:pPr>
              <w:spacing w:after="20"/>
            </w:pPr>
            <w:r>
              <w:rPr>
                <w:color w:val="1C3A36"/>
                <w:sz w:val="14"/>
              </w:rPr>
              <w:t>subs_mobile_hist_display</w:t>
            </w:r>
          </w:p>
        </w:tc>
        <w:tc>
          <w:tcPr>
            <w:tcW w:type="dxa" w:w="1656"/>
          </w:tcPr>
          <w:p>
            <w:pPr>
              <w:spacing w:after="20"/>
            </w:pPr>
            <w:r>
              <w:rPr>
                <w:color w:val="1C3A36"/>
                <w:sz w:val="14"/>
              </w:rPr>
              <w:t>FY23: 8,554.0; FY24: 8,916.0; FY25: 9,704.0</w:t>
            </w:r>
          </w:p>
        </w:tc>
        <w:tc>
          <w:tcPr>
            <w:tcW w:type="dxa" w:w="5904"/>
          </w:tcPr>
          <w:p>
            <w:pPr>
              <w:spacing w:after="20"/>
            </w:pPr>
            <w:r>
              <w:rPr>
                <w:color w:val="1C3A36"/>
                <w:sz w:val="14"/>
              </w:rPr>
              <w:t>Company Q2-2026 earnings release + analyst presentation, investors.du.ae (COMPANY_IR) and the Q4/FY2025 deck: mobile customers at 31-Dec-2024 and 31-Dec-2025 ('000)</w:t>
            </w:r>
          </w:p>
        </w:tc>
        <w:tc>
          <w:tcPr>
            <w:tcW w:type="dxa" w:w="1080"/>
          </w:tcPr>
          <w:p>
            <w:pPr>
              <w:spacing w:after="20"/>
            </w:pPr>
            <w:r>
              <w:rPr>
                <w:color w:val="1C3A36"/>
                <w:sz w:val="14"/>
              </w:rPr>
              <w:t>2026-02-10</w:t>
            </w:r>
          </w:p>
        </w:tc>
      </w:tr>
      <w:tr>
        <w:tc>
          <w:tcPr>
            <w:tcW w:type="dxa" w:w="1512"/>
          </w:tcPr>
          <w:p>
            <w:pPr>
              <w:spacing w:after="20"/>
            </w:pPr>
            <w:r>
              <w:rPr>
                <w:color w:val="1C3A36"/>
                <w:sz w:val="14"/>
              </w:rPr>
              <w:t>subs_fixed_hist_display</w:t>
            </w:r>
          </w:p>
        </w:tc>
        <w:tc>
          <w:tcPr>
            <w:tcW w:type="dxa" w:w="1656"/>
          </w:tcPr>
          <w:p>
            <w:pPr>
              <w:spacing w:after="20"/>
            </w:pPr>
            <w:r>
              <w:rPr>
                <w:color w:val="1C3A36"/>
                <w:sz w:val="14"/>
              </w:rPr>
              <w:t>FY23: 604.0; FY24: 682.0; FY25: 735.0</w:t>
            </w:r>
          </w:p>
        </w:tc>
        <w:tc>
          <w:tcPr>
            <w:tcW w:type="dxa" w:w="5904"/>
          </w:tcPr>
          <w:p>
            <w:pPr>
              <w:spacing w:after="20"/>
            </w:pPr>
            <w:r>
              <w:rPr>
                <w:color w:val="1C3A36"/>
                <w:sz w:val="14"/>
              </w:rPr>
              <w:t>Company Q2-2026 earnings release + analyst presentation, investors.du.ae (COMPANY_IR) and the Q4/FY2025 deck: fixed customers at 31-Dec-2024 and 31-Dec-2025 ('000)</w:t>
            </w:r>
          </w:p>
        </w:tc>
        <w:tc>
          <w:tcPr>
            <w:tcW w:type="dxa" w:w="1080"/>
          </w:tcPr>
          <w:p>
            <w:pPr>
              <w:spacing w:after="20"/>
            </w:pPr>
            <w:r>
              <w:rPr>
                <w:color w:val="1C3A36"/>
                <w:sz w:val="14"/>
              </w:rPr>
              <w:t>2026-02-10</w:t>
            </w:r>
          </w:p>
        </w:tc>
      </w:tr>
      <w:tr>
        <w:tc>
          <w:tcPr>
            <w:tcW w:type="dxa" w:w="1512"/>
          </w:tcPr>
          <w:p>
            <w:pPr>
              <w:spacing w:after="20"/>
            </w:pPr>
            <w:r>
              <w:rPr>
                <w:color w:val="1C3A36"/>
                <w:sz w:val="14"/>
              </w:rPr>
              <w:t>arpu_hist_display</w:t>
            </w:r>
          </w:p>
        </w:tc>
        <w:tc>
          <w:tcPr>
            <w:tcW w:type="dxa" w:w="1656"/>
          </w:tcPr>
          <w:p>
            <w:pPr>
              <w:spacing w:after="20"/>
            </w:pPr>
            <w:r>
              <w:rPr>
                <w:color w:val="1C3A36"/>
                <w:sz w:val="14"/>
              </w:rPr>
              <w:t>FY24: 65.8; FY25: 63.3</w:t>
            </w:r>
          </w:p>
        </w:tc>
        <w:tc>
          <w:tcPr>
            <w:tcW w:type="dxa" w:w="5904"/>
          </w:tcPr>
          <w:p>
            <w:pPr>
              <w:spacing w:after="20"/>
            </w:pPr>
            <w:r>
              <w:rPr>
                <w:color w:val="1C3A36"/>
                <w:sz w:val="14"/>
              </w:rPr>
              <w:t>Blended mobile ARPU (AED/month): Q4-2024 print 65.8 and the FY2025 average 63.3, both from the company's quarterly analyst decks</w:t>
            </w:r>
          </w:p>
        </w:tc>
        <w:tc>
          <w:tcPr>
            <w:tcW w:type="dxa" w:w="1080"/>
          </w:tcPr>
          <w:p>
            <w:pPr>
              <w:spacing w:after="20"/>
            </w:pPr>
            <w:r>
              <w:rPr>
                <w:color w:val="1C3A36"/>
                <w:sz w:val="14"/>
              </w:rPr>
              <w:t>2026-02-10</w:t>
            </w:r>
          </w:p>
        </w:tc>
      </w:tr>
      <w:tr>
        <w:tc>
          <w:tcPr>
            <w:tcW w:type="dxa" w:w="1512"/>
          </w:tcPr>
          <w:p>
            <w:pPr>
              <w:spacing w:after="20"/>
            </w:pPr>
            <w:r>
              <w:rPr>
                <w:color w:val="1C3A36"/>
                <w:sz w:val="14"/>
              </w:rPr>
              <w:t>lease_int_fy25</w:t>
            </w:r>
          </w:p>
        </w:tc>
        <w:tc>
          <w:tcPr>
            <w:tcW w:type="dxa" w:w="1656"/>
          </w:tcPr>
          <w:p>
            <w:pPr>
              <w:spacing w:after="20"/>
            </w:pPr>
            <w:r>
              <w:rPr>
                <w:color w:val="1C3A36"/>
                <w:sz w:val="14"/>
              </w:rPr>
              <w:t>71.094</w:t>
            </w:r>
          </w:p>
        </w:tc>
        <w:tc>
          <w:tcPr>
            <w:tcW w:type="dxa" w:w="5904"/>
          </w:tcPr>
          <w:p>
            <w:pPr>
              <w:spacing w:after="20"/>
            </w:pPr>
            <w:r>
              <w:rPr>
                <w:color w:val="1C3A36"/>
                <w:sz w:val="14"/>
              </w:rPr>
              <w:t>Audited consolidated FS, Integrated Annual Report 2025, investors.du.ae (KPMG Lower Gulf, unmodified opinion 09-Feb-2026), interest paid on lease liabilities</w:t>
            </w:r>
          </w:p>
        </w:tc>
        <w:tc>
          <w:tcPr>
            <w:tcW w:type="dxa" w:w="1080"/>
          </w:tcPr>
          <w:p>
            <w:pPr>
              <w:spacing w:after="20"/>
            </w:pPr>
            <w:r>
              <w:rPr>
                <w:color w:val="1C3A36"/>
                <w:sz w:val="14"/>
              </w:rPr>
              <w:t>2026-02-09</w:t>
            </w:r>
          </w:p>
        </w:tc>
      </w:tr>
      <w:tr>
        <w:tc>
          <w:tcPr>
            <w:tcW w:type="dxa" w:w="1512"/>
          </w:tcPr>
          <w:p>
            <w:pPr>
              <w:spacing w:after="20"/>
            </w:pPr>
            <w:r>
              <w:rPr>
                <w:color w:val="1C3A36"/>
                <w:sz w:val="14"/>
              </w:rPr>
              <w:t>dps_fy23</w:t>
            </w:r>
          </w:p>
        </w:tc>
        <w:tc>
          <w:tcPr>
            <w:tcW w:type="dxa" w:w="1656"/>
          </w:tcPr>
          <w:p>
            <w:pPr>
              <w:spacing w:after="20"/>
            </w:pPr>
            <w:r>
              <w:rPr>
                <w:color w:val="1C3A36"/>
                <w:sz w:val="14"/>
              </w:rPr>
              <w:t>0.34</w:t>
            </w:r>
          </w:p>
        </w:tc>
        <w:tc>
          <w:tcPr>
            <w:tcW w:type="dxa" w:w="5904"/>
          </w:tcPr>
          <w:p>
            <w:pPr>
              <w:spacing w:after="20"/>
            </w:pPr>
            <w:r>
              <w:rPr>
                <w:color w:val="1C3A36"/>
                <w:sz w:val="14"/>
              </w:rPr>
              <w:t>Audited consolidated FS, Annual Report 2023, investors.du.ae (PwC, unqualified opinion 13-Feb-2024)/AR24: interim 0.13 (paid 23-Aug-2023) + final 0.21 (paid 18-Apr-2024)</w:t>
            </w:r>
          </w:p>
        </w:tc>
        <w:tc>
          <w:tcPr>
            <w:tcW w:type="dxa" w:w="1080"/>
          </w:tcPr>
          <w:p>
            <w:pPr>
              <w:spacing w:after="20"/>
            </w:pPr>
            <w:r>
              <w:rPr>
                <w:color w:val="1C3A36"/>
                <w:sz w:val="14"/>
              </w:rPr>
              <w:t>2024-04-18</w:t>
            </w:r>
          </w:p>
        </w:tc>
      </w:tr>
      <w:tr>
        <w:tc>
          <w:tcPr>
            <w:tcW w:type="dxa" w:w="1512"/>
          </w:tcPr>
          <w:p>
            <w:pPr>
              <w:spacing w:after="20"/>
            </w:pPr>
            <w:r>
              <w:rPr>
                <w:color w:val="1C3A36"/>
                <w:sz w:val="14"/>
              </w:rPr>
              <w:t>dps_fy24</w:t>
            </w:r>
          </w:p>
        </w:tc>
        <w:tc>
          <w:tcPr>
            <w:tcW w:type="dxa" w:w="1656"/>
          </w:tcPr>
          <w:p>
            <w:pPr>
              <w:spacing w:after="20"/>
            </w:pPr>
            <w:r>
              <w:rPr>
                <w:color w:val="1C3A36"/>
                <w:sz w:val="14"/>
              </w:rPr>
              <w:t>0.54</w:t>
            </w:r>
          </w:p>
        </w:tc>
        <w:tc>
          <w:tcPr>
            <w:tcW w:type="dxa" w:w="5904"/>
          </w:tcPr>
          <w:p>
            <w:pPr>
              <w:spacing w:after="20"/>
            </w:pPr>
            <w:r>
              <w:rPr>
                <w:color w:val="1C3A36"/>
                <w:sz w:val="14"/>
              </w:rPr>
              <w:t>Audited consolidated FS, Annual Report 2024, investors.du.ae (PwC, unqualified opinion 10-Feb-2025)/AR25: interim 0.20 (paid 19-Aug-2024) + final 0.34 (paid 15-Apr-2025); IR: 98% payout</w:t>
            </w:r>
          </w:p>
        </w:tc>
        <w:tc>
          <w:tcPr>
            <w:tcW w:type="dxa" w:w="1080"/>
          </w:tcPr>
          <w:p>
            <w:pPr>
              <w:spacing w:after="20"/>
            </w:pPr>
            <w:r>
              <w:rPr>
                <w:color w:val="1C3A36"/>
                <w:sz w:val="14"/>
              </w:rPr>
              <w:t>2025-04-15</w:t>
            </w:r>
          </w:p>
        </w:tc>
      </w:tr>
      <w:tr>
        <w:tc>
          <w:tcPr>
            <w:tcW w:type="dxa" w:w="1512"/>
          </w:tcPr>
          <w:p>
            <w:pPr>
              <w:spacing w:after="20"/>
            </w:pPr>
            <w:r>
              <w:rPr>
                <w:color w:val="1C3A36"/>
                <w:sz w:val="14"/>
              </w:rPr>
              <w:t>dps_fy25</w:t>
            </w:r>
          </w:p>
        </w:tc>
        <w:tc>
          <w:tcPr>
            <w:tcW w:type="dxa" w:w="1656"/>
          </w:tcPr>
          <w:p>
            <w:pPr>
              <w:spacing w:after="20"/>
            </w:pPr>
            <w:r>
              <w:rPr>
                <w:color w:val="1C3A36"/>
                <w:sz w:val="14"/>
              </w:rPr>
              <w:t>0.64</w:t>
            </w:r>
          </w:p>
        </w:tc>
        <w:tc>
          <w:tcPr>
            <w:tcW w:type="dxa" w:w="5904"/>
          </w:tcPr>
          <w:p>
            <w:pPr>
              <w:spacing w:after="20"/>
            </w:pPr>
            <w:r>
              <w:rPr>
                <w:color w:val="1C3A36"/>
                <w:sz w:val="14"/>
              </w:rPr>
              <w:t>Audited consolidated FS, Integrated Annual Report 2025, investors.du.ae (KPMG Lower Gulf, unmodified opinion 09-Feb-2026): interim 0.24 (paid 21-Aug-2025) + final 0.40 (paid 28-Apr-2026); IR: ~100% payout, the highest dividend and payout in du history</w:t>
            </w:r>
          </w:p>
        </w:tc>
        <w:tc>
          <w:tcPr>
            <w:tcW w:type="dxa" w:w="1080"/>
          </w:tcPr>
          <w:p>
            <w:pPr>
              <w:spacing w:after="20"/>
            </w:pPr>
            <w:r>
              <w:rPr>
                <w:color w:val="1C3A36"/>
                <w:sz w:val="14"/>
              </w:rPr>
              <w:t>2026-04-28</w:t>
            </w:r>
          </w:p>
        </w:tc>
      </w:tr>
      <w:tr>
        <w:tc>
          <w:tcPr>
            <w:tcW w:type="dxa" w:w="1512"/>
          </w:tcPr>
          <w:p>
            <w:pPr>
              <w:spacing w:after="20"/>
            </w:pPr>
            <w:r>
              <w:rPr>
                <w:color w:val="1C3A36"/>
                <w:sz w:val="14"/>
              </w:rPr>
              <w:t>h1_26_rev</w:t>
            </w:r>
          </w:p>
        </w:tc>
        <w:tc>
          <w:tcPr>
            <w:tcW w:type="dxa" w:w="1656"/>
          </w:tcPr>
          <w:p>
            <w:pPr>
              <w:spacing w:after="20"/>
            </w:pPr>
            <w:r>
              <w:rPr>
                <w:color w:val="1C3A36"/>
                <w:sz w:val="14"/>
              </w:rPr>
              <w:t>8,197.6</w:t>
            </w:r>
          </w:p>
        </w:tc>
        <w:tc>
          <w:tcPr>
            <w:tcW w:type="dxa" w:w="5904"/>
          </w:tcPr>
          <w:p>
            <w:pPr>
              <w:spacing w:after="20"/>
            </w:pPr>
            <w:r>
              <w:rPr>
                <w:color w:val="1C3A36"/>
                <w:sz w:val="14"/>
              </w:rPr>
              <w:t>Reviewed condensed consolidated interim FS for the six months ended 30-Jun-2026, investors.du.ae (KPMG ISRE 2410 review, 22-Jul-2026)</w:t>
            </w:r>
          </w:p>
        </w:tc>
        <w:tc>
          <w:tcPr>
            <w:tcW w:type="dxa" w:w="1080"/>
          </w:tcPr>
          <w:p>
            <w:pPr>
              <w:spacing w:after="20"/>
            </w:pPr>
            <w:r>
              <w:rPr>
                <w:color w:val="1C3A36"/>
                <w:sz w:val="14"/>
              </w:rPr>
              <w:t>2026-07-22</w:t>
            </w:r>
          </w:p>
        </w:tc>
      </w:tr>
      <w:tr>
        <w:tc>
          <w:tcPr>
            <w:tcW w:type="dxa" w:w="1512"/>
          </w:tcPr>
          <w:p>
            <w:pPr>
              <w:spacing w:after="20"/>
            </w:pPr>
            <w:r>
              <w:rPr>
                <w:color w:val="1C3A36"/>
                <w:sz w:val="14"/>
              </w:rPr>
              <w:t>h1_25_rev</w:t>
            </w:r>
          </w:p>
        </w:tc>
        <w:tc>
          <w:tcPr>
            <w:tcW w:type="dxa" w:w="1656"/>
          </w:tcPr>
          <w:p>
            <w:pPr>
              <w:spacing w:after="20"/>
            </w:pPr>
            <w:r>
              <w:rPr>
                <w:color w:val="1C3A36"/>
                <w:sz w:val="14"/>
              </w:rPr>
              <w:t>7,750.3</w:t>
            </w:r>
          </w:p>
        </w:tc>
        <w:tc>
          <w:tcPr>
            <w:tcW w:type="dxa" w:w="5904"/>
          </w:tcPr>
          <w:p>
            <w:pPr>
              <w:spacing w:after="20"/>
            </w:pPr>
            <w:r>
              <w:rPr>
                <w:color w:val="1C3A36"/>
                <w:sz w:val="14"/>
              </w:rPr>
              <w:t>Reviewed condensed consolidated interim FS for the six months ended 30-Jun-2026, investors.du.ae (KPMG ISRE 2410 review, 22-Jul-2026),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h1_26_ebitda</w:t>
            </w:r>
          </w:p>
        </w:tc>
        <w:tc>
          <w:tcPr>
            <w:tcW w:type="dxa" w:w="1656"/>
          </w:tcPr>
          <w:p>
            <w:pPr>
              <w:spacing w:after="20"/>
            </w:pPr>
            <w:r>
              <w:rPr>
                <w:color w:val="1C3A36"/>
                <w:sz w:val="14"/>
              </w:rPr>
              <w:t>4,031.9</w:t>
            </w:r>
          </w:p>
        </w:tc>
        <w:tc>
          <w:tcPr>
            <w:tcW w:type="dxa" w:w="5904"/>
          </w:tcPr>
          <w:p>
            <w:pPr>
              <w:spacing w:after="20"/>
            </w:pPr>
            <w:r>
              <w:rPr>
                <w:color w:val="1C3A36"/>
                <w:sz w:val="14"/>
              </w:rPr>
              <w:t>Reviewed condensed consolidated interim FS for the six months ended 30-Jun-2026, investors.du.ae (KPMG ISRE 2410 review, 22-Jul-2026), operating profit before D&amp;A on the face (margin 49.2%)</w:t>
            </w:r>
          </w:p>
        </w:tc>
        <w:tc>
          <w:tcPr>
            <w:tcW w:type="dxa" w:w="1080"/>
          </w:tcPr>
          <w:p>
            <w:pPr>
              <w:spacing w:after="20"/>
            </w:pPr>
            <w:r>
              <w:rPr>
                <w:color w:val="1C3A36"/>
                <w:sz w:val="14"/>
              </w:rPr>
              <w:t>2026-07-22</w:t>
            </w:r>
          </w:p>
        </w:tc>
      </w:tr>
      <w:tr>
        <w:tc>
          <w:tcPr>
            <w:tcW w:type="dxa" w:w="1512"/>
          </w:tcPr>
          <w:p>
            <w:pPr>
              <w:spacing w:after="20"/>
            </w:pPr>
            <w:r>
              <w:rPr>
                <w:color w:val="1C3A36"/>
                <w:sz w:val="14"/>
              </w:rPr>
              <w:t>h1_26_dna</w:t>
            </w:r>
          </w:p>
        </w:tc>
        <w:tc>
          <w:tcPr>
            <w:tcW w:type="dxa" w:w="1656"/>
          </w:tcPr>
          <w:p>
            <w:pPr>
              <w:spacing w:after="20"/>
            </w:pPr>
            <w:r>
              <w:rPr>
                <w:color w:val="1C3A36"/>
                <w:sz w:val="14"/>
              </w:rPr>
              <w:t>1,133.2</w:t>
            </w:r>
          </w:p>
        </w:tc>
        <w:tc>
          <w:tcPr>
            <w:tcW w:type="dxa" w:w="5904"/>
          </w:tcPr>
          <w:p>
            <w:pPr>
              <w:spacing w:after="20"/>
            </w:pPr>
            <w:r>
              <w:rPr>
                <w:color w:val="1C3A36"/>
                <w:sz w:val="14"/>
              </w:rPr>
              <w:t>Reviewed condensed consolidated interim FS for the six months ended 30-Jun-2026, investors.du.ae (KPMG ISRE 2410 review, 22-Jul-2026)</w:t>
            </w:r>
          </w:p>
        </w:tc>
        <w:tc>
          <w:tcPr>
            <w:tcW w:type="dxa" w:w="1080"/>
          </w:tcPr>
          <w:p>
            <w:pPr>
              <w:spacing w:after="20"/>
            </w:pPr>
            <w:r>
              <w:rPr>
                <w:color w:val="1C3A36"/>
                <w:sz w:val="14"/>
              </w:rPr>
              <w:t>2026-07-22</w:t>
            </w:r>
          </w:p>
        </w:tc>
      </w:tr>
      <w:tr>
        <w:tc>
          <w:tcPr>
            <w:tcW w:type="dxa" w:w="1512"/>
          </w:tcPr>
          <w:p>
            <w:pPr>
              <w:spacing w:after="20"/>
            </w:pPr>
            <w:r>
              <w:rPr>
                <w:color w:val="1C3A36"/>
                <w:sz w:val="14"/>
              </w:rPr>
              <w:t>h1_26_np</w:t>
            </w:r>
          </w:p>
        </w:tc>
        <w:tc>
          <w:tcPr>
            <w:tcW w:type="dxa" w:w="1656"/>
          </w:tcPr>
          <w:p>
            <w:pPr>
              <w:spacing w:after="20"/>
            </w:pPr>
            <w:r>
              <w:rPr>
                <w:color w:val="1C3A36"/>
                <w:sz w:val="14"/>
              </w:rPr>
              <w:t>1,632.0</w:t>
            </w:r>
          </w:p>
        </w:tc>
        <w:tc>
          <w:tcPr>
            <w:tcW w:type="dxa" w:w="5904"/>
          </w:tcPr>
          <w:p>
            <w:pPr>
              <w:spacing w:after="20"/>
            </w:pPr>
            <w:r>
              <w:rPr>
                <w:color w:val="1C3A36"/>
                <w:sz w:val="14"/>
              </w:rPr>
              <w:t>Reviewed condensed consolidated interim FS for the six months ended 30-Jun-2026, investors.du.ae (KPMG ISRE 2410 review, 22-Jul-2026)</w:t>
            </w:r>
          </w:p>
        </w:tc>
        <w:tc>
          <w:tcPr>
            <w:tcW w:type="dxa" w:w="1080"/>
          </w:tcPr>
          <w:p>
            <w:pPr>
              <w:spacing w:after="20"/>
            </w:pPr>
            <w:r>
              <w:rPr>
                <w:color w:val="1C3A36"/>
                <w:sz w:val="14"/>
              </w:rPr>
              <w:t>2026-07-22</w:t>
            </w:r>
          </w:p>
        </w:tc>
      </w:tr>
      <w:tr>
        <w:tc>
          <w:tcPr>
            <w:tcW w:type="dxa" w:w="1512"/>
          </w:tcPr>
          <w:p>
            <w:pPr>
              <w:spacing w:after="20"/>
            </w:pPr>
            <w:r>
              <w:rPr>
                <w:color w:val="1C3A36"/>
                <w:sz w:val="14"/>
              </w:rPr>
              <w:t>h1_25_np</w:t>
            </w:r>
          </w:p>
        </w:tc>
        <w:tc>
          <w:tcPr>
            <w:tcW w:type="dxa" w:w="1656"/>
          </w:tcPr>
          <w:p>
            <w:pPr>
              <w:spacing w:after="20"/>
            </w:pPr>
            <w:r>
              <w:rPr>
                <w:color w:val="1C3A36"/>
                <w:sz w:val="14"/>
              </w:rPr>
              <w:t>1,449.3</w:t>
            </w:r>
          </w:p>
        </w:tc>
        <w:tc>
          <w:tcPr>
            <w:tcW w:type="dxa" w:w="5904"/>
          </w:tcPr>
          <w:p>
            <w:pPr>
              <w:spacing w:after="20"/>
            </w:pPr>
            <w:r>
              <w:rPr>
                <w:color w:val="1C3A36"/>
                <w:sz w:val="14"/>
              </w:rPr>
              <w:t>Reviewed condensed consolidated interim FS for the six months ended 30-Jun-2026, investors.du.ae (KPMG ISRE 2410 review, 22-Jul-2026),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h1_25_ebitda</w:t>
            </w:r>
          </w:p>
        </w:tc>
        <w:tc>
          <w:tcPr>
            <w:tcW w:type="dxa" w:w="1656"/>
          </w:tcPr>
          <w:p>
            <w:pPr>
              <w:spacing w:after="20"/>
            </w:pPr>
            <w:r>
              <w:rPr>
                <w:color w:val="1C3A36"/>
                <w:sz w:val="14"/>
              </w:rPr>
              <w:t>3,650.2</w:t>
            </w:r>
          </w:p>
        </w:tc>
        <w:tc>
          <w:tcPr>
            <w:tcW w:type="dxa" w:w="5904"/>
          </w:tcPr>
          <w:p>
            <w:pPr>
              <w:spacing w:after="20"/>
            </w:pPr>
            <w:r>
              <w:rPr>
                <w:color w:val="1C3A36"/>
                <w:sz w:val="14"/>
              </w:rPr>
              <w:t>Reviewed condensed consolidated interim FS for the six months ended 30-Jun-2026, investors.du.ae (KPMG ISRE 2410 review, 22-Jul-2026), comparative</w:t>
            </w:r>
          </w:p>
        </w:tc>
        <w:tc>
          <w:tcPr>
            <w:tcW w:type="dxa" w:w="1080"/>
          </w:tcPr>
          <w:p>
            <w:pPr>
              <w:spacing w:after="20"/>
            </w:pPr>
            <w:r>
              <w:rPr>
                <w:color w:val="1C3A36"/>
                <w:sz w:val="14"/>
              </w:rPr>
              <w:t>2026-07-22</w:t>
            </w:r>
          </w:p>
        </w:tc>
      </w:tr>
      <w:tr>
        <w:tc>
          <w:tcPr>
            <w:tcW w:type="dxa" w:w="1512"/>
          </w:tcPr>
          <w:p>
            <w:pPr>
              <w:spacing w:after="20"/>
            </w:pPr>
            <w:r>
              <w:rPr>
                <w:color w:val="1C3A36"/>
                <w:sz w:val="14"/>
              </w:rPr>
              <w:t>h1_26_capex</w:t>
            </w:r>
          </w:p>
        </w:tc>
        <w:tc>
          <w:tcPr>
            <w:tcW w:type="dxa" w:w="1656"/>
          </w:tcPr>
          <w:p>
            <w:pPr>
              <w:spacing w:after="20"/>
            </w:pPr>
            <w:r>
              <w:rPr>
                <w:color w:val="1C3A36"/>
                <w:sz w:val="14"/>
              </w:rPr>
              <w:t>1,038.0</w:t>
            </w:r>
          </w:p>
        </w:tc>
        <w:tc>
          <w:tcPr>
            <w:tcW w:type="dxa" w:w="5904"/>
          </w:tcPr>
          <w:p>
            <w:pPr>
              <w:spacing w:after="20"/>
            </w:pPr>
            <w:r>
              <w:rPr>
                <w:color w:val="1C3A36"/>
                <w:sz w:val="14"/>
              </w:rPr>
              <w:t>Company Q2-2026 earnings release + analyst presentation, investors.du.ae (COMPANY_IR): cost additions to PP&amp;E + intangibles, H1-2026 (capital intensity 12.7%)</w:t>
            </w:r>
          </w:p>
        </w:tc>
        <w:tc>
          <w:tcPr>
            <w:tcW w:type="dxa" w:w="1080"/>
          </w:tcPr>
          <w:p>
            <w:pPr>
              <w:spacing w:after="20"/>
            </w:pPr>
            <w:r>
              <w:rPr>
                <w:color w:val="1C3A36"/>
                <w:sz w:val="14"/>
              </w:rPr>
              <w:t>2026-07-23</w:t>
            </w:r>
          </w:p>
        </w:tc>
      </w:tr>
      <w:tr>
        <w:tc>
          <w:tcPr>
            <w:tcW w:type="dxa" w:w="1512"/>
          </w:tcPr>
          <w:p>
            <w:pPr>
              <w:spacing w:after="20"/>
            </w:pPr>
            <w:r>
              <w:rPr>
                <w:color w:val="1C3A36"/>
                <w:sz w:val="14"/>
              </w:rPr>
              <w:t>h2_25_rev</w:t>
            </w:r>
          </w:p>
        </w:tc>
        <w:tc>
          <w:tcPr>
            <w:tcW w:type="dxa" w:w="1656"/>
          </w:tcPr>
          <w:p>
            <w:pPr>
              <w:spacing w:after="20"/>
            </w:pPr>
            <w:r>
              <w:rPr>
                <w:color w:val="1C3A36"/>
                <w:sz w:val="14"/>
              </w:rPr>
              <w:t>8,155.1</w:t>
            </w:r>
          </w:p>
        </w:tc>
        <w:tc>
          <w:tcPr>
            <w:tcW w:type="dxa" w:w="5904"/>
          </w:tcPr>
          <w:p>
            <w:pPr>
              <w:spacing w:after="20"/>
            </w:pPr>
            <w:r>
              <w:rPr>
                <w:color w:val="1C3A36"/>
                <w:sz w:val="14"/>
              </w:rPr>
              <w:t>DERIVED (flagged): FY2025 revenue 15,905.421 − H1-2025 7,750.295, both audited/reviewed</w:t>
            </w:r>
          </w:p>
        </w:tc>
        <w:tc>
          <w:tcPr>
            <w:tcW w:type="dxa" w:w="1080"/>
          </w:tcPr>
          <w:p>
            <w:pPr>
              <w:spacing w:after="20"/>
            </w:pPr>
            <w:r>
              <w:rPr>
                <w:color w:val="1C3A36"/>
                <w:sz w:val="14"/>
              </w:rPr>
              <w:t>2026-07-22</w:t>
            </w:r>
          </w:p>
        </w:tc>
      </w:tr>
      <w:tr>
        <w:tc>
          <w:tcPr>
            <w:tcW w:type="dxa" w:w="1512"/>
          </w:tcPr>
          <w:p>
            <w:pPr>
              <w:spacing w:after="20"/>
            </w:pPr>
            <w:r>
              <w:rPr>
                <w:color w:val="1C3A36"/>
                <w:sz w:val="14"/>
              </w:rPr>
              <w:t>h2_25_ebitda</w:t>
            </w:r>
          </w:p>
        </w:tc>
        <w:tc>
          <w:tcPr>
            <w:tcW w:type="dxa" w:w="1656"/>
          </w:tcPr>
          <w:p>
            <w:pPr>
              <w:spacing w:after="20"/>
            </w:pPr>
            <w:r>
              <w:rPr>
                <w:color w:val="1C3A36"/>
                <w:sz w:val="14"/>
              </w:rPr>
              <w:t>3,688.2</w:t>
            </w:r>
          </w:p>
        </w:tc>
        <w:tc>
          <w:tcPr>
            <w:tcW w:type="dxa" w:w="5904"/>
          </w:tcPr>
          <w:p>
            <w:pPr>
              <w:spacing w:after="20"/>
            </w:pPr>
            <w:r>
              <w:rPr>
                <w:color w:val="1C3A36"/>
                <w:sz w:val="14"/>
              </w:rPr>
              <w:t>DERIVED (flagged): FY2025 EBITDA 7,338.388 − H1-2025 3,650.187</w:t>
            </w:r>
          </w:p>
        </w:tc>
        <w:tc>
          <w:tcPr>
            <w:tcW w:type="dxa" w:w="1080"/>
          </w:tcPr>
          <w:p>
            <w:pPr>
              <w:spacing w:after="20"/>
            </w:pPr>
            <w:r>
              <w:rPr>
                <w:color w:val="1C3A36"/>
                <w:sz w:val="14"/>
              </w:rPr>
              <w:t>2026-07-22</w:t>
            </w:r>
          </w:p>
        </w:tc>
      </w:tr>
      <w:tr>
        <w:tc>
          <w:tcPr>
            <w:tcW w:type="dxa" w:w="1512"/>
          </w:tcPr>
          <w:p>
            <w:pPr>
              <w:spacing w:after="20"/>
            </w:pPr>
            <w:r>
              <w:rPr>
                <w:color w:val="1C3A36"/>
                <w:sz w:val="14"/>
              </w:rPr>
              <w:t>h1_26_seg</w:t>
            </w:r>
          </w:p>
        </w:tc>
        <w:tc>
          <w:tcPr>
            <w:tcW w:type="dxa" w:w="1656"/>
          </w:tcPr>
          <w:p>
            <w:pPr>
              <w:spacing w:after="20"/>
            </w:pPr>
            <w:r>
              <w:rPr>
                <w:color w:val="1C3A36"/>
                <w:sz w:val="14"/>
              </w:rPr>
              <w:t>mobile: 3,646.3; fixed: 2,382.6; wholesale: 1,257.6; ict: 911.1</w:t>
            </w:r>
          </w:p>
        </w:tc>
        <w:tc>
          <w:tcPr>
            <w:tcW w:type="dxa" w:w="5904"/>
          </w:tcPr>
          <w:p>
            <w:pPr>
              <w:spacing w:after="20"/>
            </w:pPr>
            <w:r>
              <w:rPr>
                <w:color w:val="1C3A36"/>
                <w:sz w:val="14"/>
              </w:rPr>
              <w:t>Reviewed condensed consolidated interim FS for the six months ended 30-Jun-2026, investors.du.ae (KPMG ISRE 2410 review, 22-Jul-2026), segment revenue for the six months ended 30-Jun-2026 (Note 17 segment analysis); ties exactly to reviewed total revenue 8,197.573. REGISTERED 17-Aug-2026 — previously a typed dict inside the build, so it was an input with no four-field record</w:t>
            </w:r>
          </w:p>
        </w:tc>
        <w:tc>
          <w:tcPr>
            <w:tcW w:type="dxa" w:w="1080"/>
          </w:tcPr>
          <w:p>
            <w:pPr>
              <w:spacing w:after="20"/>
            </w:pPr>
            <w:r>
              <w:rPr>
                <w:color w:val="1C3A36"/>
                <w:sz w:val="14"/>
              </w:rPr>
              <w:t>2026-07-22</w:t>
            </w:r>
          </w:p>
        </w:tc>
      </w:tr>
      <w:tr>
        <w:tc>
          <w:tcPr>
            <w:tcW w:type="dxa" w:w="1512"/>
          </w:tcPr>
          <w:p>
            <w:pPr>
              <w:spacing w:after="20"/>
            </w:pPr>
            <w:r>
              <w:rPr>
                <w:color w:val="1C3A36"/>
                <w:sz w:val="14"/>
              </w:rPr>
              <w:t>subs_mobile_fy23</w:t>
            </w:r>
          </w:p>
        </w:tc>
        <w:tc>
          <w:tcPr>
            <w:tcW w:type="dxa" w:w="1656"/>
          </w:tcPr>
          <w:p>
            <w:pPr>
              <w:spacing w:after="20"/>
            </w:pPr>
            <w:r>
              <w:rPr>
                <w:color w:val="1C3A36"/>
                <w:sz w:val="14"/>
              </w:rPr>
              <w:t>8,554.0</w:t>
            </w:r>
          </w:p>
        </w:tc>
        <w:tc>
          <w:tcPr>
            <w:tcW w:type="dxa" w:w="5904"/>
          </w:tcPr>
          <w:p>
            <w:pPr>
              <w:spacing w:after="20"/>
            </w:pPr>
            <w:r>
              <w:rPr>
                <w:color w:val="1C3A36"/>
                <w:sz w:val="14"/>
              </w:rPr>
              <w:t>Mobile customer base at 31-Dec-2023: 8,554 thousand, du Annual Report 2024 operational highlights (page 6), which prints the 2023 and 2024 bases side by side</w:t>
            </w:r>
          </w:p>
        </w:tc>
        <w:tc>
          <w:tcPr>
            <w:tcW w:type="dxa" w:w="1080"/>
          </w:tcPr>
          <w:p>
            <w:pPr>
              <w:spacing w:after="20"/>
            </w:pPr>
            <w:r>
              <w:rPr>
                <w:color w:val="1C3A36"/>
                <w:sz w:val="14"/>
              </w:rPr>
              <w:t>2025-02-10</w:t>
            </w:r>
          </w:p>
        </w:tc>
      </w:tr>
      <w:tr>
        <w:tc>
          <w:tcPr>
            <w:tcW w:type="dxa" w:w="1512"/>
          </w:tcPr>
          <w:p>
            <w:pPr>
              <w:spacing w:after="20"/>
            </w:pPr>
            <w:r>
              <w:rPr>
                <w:color w:val="1C3A36"/>
                <w:sz w:val="14"/>
              </w:rPr>
              <w:t>subs_fixed_fy23</w:t>
            </w:r>
          </w:p>
        </w:tc>
        <w:tc>
          <w:tcPr>
            <w:tcW w:type="dxa" w:w="1656"/>
          </w:tcPr>
          <w:p>
            <w:pPr>
              <w:spacing w:after="20"/>
            </w:pPr>
            <w:r>
              <w:rPr>
                <w:color w:val="1C3A36"/>
                <w:sz w:val="14"/>
              </w:rPr>
              <w:t>604.0</w:t>
            </w:r>
          </w:p>
        </w:tc>
        <w:tc>
          <w:tcPr>
            <w:tcW w:type="dxa" w:w="5904"/>
          </w:tcPr>
          <w:p>
            <w:pPr>
              <w:spacing w:after="20"/>
            </w:pPr>
            <w:r>
              <w:rPr>
                <w:color w:val="1C3A36"/>
                <w:sz w:val="14"/>
              </w:rPr>
              <w:t>Fixed customer base at 31-Dec-2023: 604 thousand, same source and page. This SETTLES an external challenge that the 682 thousand figure was FY2023: du's own report shows 604 (2023) and 682 (2024)</w:t>
            </w:r>
          </w:p>
        </w:tc>
        <w:tc>
          <w:tcPr>
            <w:tcW w:type="dxa" w:w="1080"/>
          </w:tcPr>
          <w:p>
            <w:pPr>
              <w:spacing w:after="20"/>
            </w:pPr>
            <w:r>
              <w:rPr>
                <w:color w:val="1C3A36"/>
                <w:sz w:val="14"/>
              </w:rPr>
              <w:t>2025-02-10</w:t>
            </w:r>
          </w:p>
        </w:tc>
      </w:tr>
      <w:tr>
        <w:tc>
          <w:tcPr>
            <w:tcW w:type="dxa" w:w="1512"/>
          </w:tcPr>
          <w:p>
            <w:pPr>
              <w:spacing w:after="20"/>
            </w:pPr>
            <w:r>
              <w:rPr>
                <w:color w:val="1C3A36"/>
                <w:sz w:val="14"/>
              </w:rPr>
              <w:t>dps_h1_26</w:t>
            </w:r>
          </w:p>
        </w:tc>
        <w:tc>
          <w:tcPr>
            <w:tcW w:type="dxa" w:w="1656"/>
          </w:tcPr>
          <w:p>
            <w:pPr>
              <w:spacing w:after="20"/>
            </w:pPr>
            <w:r>
              <w:rPr>
                <w:color w:val="1C3A36"/>
                <w:sz w:val="14"/>
              </w:rPr>
              <w:t>0.26</w:t>
            </w:r>
          </w:p>
        </w:tc>
        <w:tc>
          <w:tcPr>
            <w:tcW w:type="dxa" w:w="5904"/>
          </w:tcPr>
          <w:p>
            <w:pPr>
              <w:spacing w:after="20"/>
            </w:pPr>
            <w:r>
              <w:rPr>
                <w:color w:val="1C3A36"/>
                <w:sz w:val="14"/>
              </w:rPr>
              <w:t>Reviewed condensed consolidated interim FS for the six months ended 30-Jun-2026, investors.du.ae (KPMG ISRE 2410 review, 22-Jul-2026) + Q2 earnings release: interim AED 0.26/share approved by the Board 23-Jul-2026 (AED 1,178.556mn), +8.3% y/y</w:t>
            </w:r>
          </w:p>
        </w:tc>
        <w:tc>
          <w:tcPr>
            <w:tcW w:type="dxa" w:w="1080"/>
          </w:tcPr>
          <w:p>
            <w:pPr>
              <w:spacing w:after="20"/>
            </w:pPr>
            <w:r>
              <w:rPr>
                <w:color w:val="1C3A36"/>
                <w:sz w:val="14"/>
              </w:rPr>
              <w:t>2026-07-23</w:t>
            </w:r>
          </w:p>
        </w:tc>
      </w:tr>
      <w:tr>
        <w:tc>
          <w:tcPr>
            <w:tcW w:type="dxa" w:w="1512"/>
          </w:tcPr>
          <w:p>
            <w:pPr>
              <w:spacing w:after="20"/>
            </w:pPr>
            <w:r>
              <w:rPr>
                <w:color w:val="1C3A36"/>
                <w:sz w:val="14"/>
              </w:rPr>
              <w:t>seg_rev_hist</w:t>
            </w:r>
          </w:p>
        </w:tc>
        <w:tc>
          <w:tcPr>
            <w:tcW w:type="dxa" w:w="1656"/>
          </w:tcPr>
          <w:p>
            <w:pPr>
              <w:spacing w:after="20"/>
            </w:pPr>
            <w:r>
              <w:rPr>
                <w:color w:val="1C3A36"/>
                <w:sz w:val="14"/>
              </w:rPr>
              <w:t>FY23: mobile: 7,004.1; fixed: 3,779.8; wholesale: 1,768.4; ict: 1,084.0; FY24: mobile: 6,548.1; fixed: 4,002.7; wholesale: 2,373.1; ict: 1,712.1; FY25: mobile: 7,074.9; fixed: 4,379.7; wholesale: 2,568.2; ict: 1,882.6</w:t>
            </w:r>
          </w:p>
        </w:tc>
        <w:tc>
          <w:tcPr>
            <w:tcW w:type="dxa" w:w="5904"/>
          </w:tcPr>
          <w:p>
            <w:pPr>
              <w:spacing w:after="20"/>
            </w:pPr>
            <w:r>
              <w:rPr>
                <w:color w:val="1C3A36"/>
                <w:sz w:val="14"/>
              </w:rPr>
              <w:t>Segment notes: FY2023 Note 34 (Audited consolidated FS, Annual Report 2023, investors.du.ae (PwC, unqualified opinion 13-Feb-2024), old basis, 'Others' shown under ict); FY2024-FY2025 Note 38 (Audited consolidated FS, Integrated Annual Report 2025, investors.du.ae (KPMG Lower Gulf, unmodified opinion 09-Feb-2026), current basis, FY2024 re-presented)</w:t>
            </w:r>
          </w:p>
        </w:tc>
        <w:tc>
          <w:tcPr>
            <w:tcW w:type="dxa" w:w="1080"/>
          </w:tcPr>
          <w:p>
            <w:pPr>
              <w:spacing w:after="20"/>
            </w:pPr>
            <w:r>
              <w:rPr>
                <w:color w:val="1C3A36"/>
                <w:sz w:val="14"/>
              </w:rPr>
              <w:t>2026-02-09</w:t>
            </w:r>
          </w:p>
        </w:tc>
      </w:tr>
      <w:tr>
        <w:tc>
          <w:tcPr>
            <w:tcW w:type="dxa" w:w="1512"/>
          </w:tcPr>
          <w:p>
            <w:pPr>
              <w:spacing w:after="20"/>
            </w:pPr>
            <w:r>
              <w:rPr>
                <w:color w:val="1C3A36"/>
                <w:sz w:val="14"/>
              </w:rPr>
              <w:t>seg_contrib_hist</w:t>
            </w:r>
          </w:p>
        </w:tc>
        <w:tc>
          <w:tcPr>
            <w:tcW w:type="dxa" w:w="1656"/>
          </w:tcPr>
          <w:p>
            <w:pPr>
              <w:spacing w:after="20"/>
            </w:pPr>
            <w:r>
              <w:rPr>
                <w:color w:val="1C3A36"/>
                <w:sz w:val="14"/>
              </w:rPr>
              <w:t>FY24: mobile: 3,985.6; fixed: 3,387.6; wholesale: 2,089.0; ict: 355.3; FY25: mobile: 4,303.6; fixed: 3,757.9; wholesale: 2,219.5; ict: 365.0</w:t>
            </w:r>
          </w:p>
        </w:tc>
        <w:tc>
          <w:tcPr>
            <w:tcW w:type="dxa" w:w="5904"/>
          </w:tcPr>
          <w:p>
            <w:pPr>
              <w:spacing w:after="20"/>
            </w:pPr>
            <w:r>
              <w:rPr>
                <w:color w:val="1C3A36"/>
                <w:sz w:val="14"/>
              </w:rPr>
              <w:t>Audited consolidated FS, Integrated Annual Report 2025, investors.du.ae (KPMG Lower Gulf, unmodified opinion 09-Feb-2026), Note 38: segment contribution ('gross margin' = revenue less direct costs, before opex and D&amp;A)</w:t>
            </w:r>
          </w:p>
        </w:tc>
        <w:tc>
          <w:tcPr>
            <w:tcW w:type="dxa" w:w="1080"/>
          </w:tcPr>
          <w:p>
            <w:pPr>
              <w:spacing w:after="20"/>
            </w:pPr>
            <w:r>
              <w:rPr>
                <w:color w:val="1C3A36"/>
                <w:sz w:val="14"/>
              </w:rPr>
              <w:t>2026-02-09</w:t>
            </w:r>
          </w:p>
        </w:tc>
      </w:tr>
      <w:tr>
        <w:tc>
          <w:tcPr>
            <w:tcW w:type="dxa" w:w="1512"/>
          </w:tcPr>
          <w:p>
            <w:pPr>
              <w:spacing w:after="20"/>
            </w:pPr>
            <w:r>
              <w:rPr>
                <w:color w:val="1C3A36"/>
                <w:sz w:val="14"/>
              </w:rPr>
              <w:t>subs_mobile</w:t>
            </w:r>
          </w:p>
        </w:tc>
        <w:tc>
          <w:tcPr>
            <w:tcW w:type="dxa" w:w="1656"/>
          </w:tcPr>
          <w:p>
            <w:pPr>
              <w:spacing w:after="20"/>
            </w:pPr>
            <w:r>
              <w:rPr>
                <w:color w:val="1C3A36"/>
                <w:sz w:val="14"/>
              </w:rPr>
              <w:t>Q4_2024: 8,916; Q1_2025: 9,137; Q2_2025: 9,138; Q3_2025: 9,170; Q4_2025: 9,704; Q1_2026: 9,692; Q2_2026: 9,280</w:t>
            </w:r>
          </w:p>
        </w:tc>
        <w:tc>
          <w:tcPr>
            <w:tcW w:type="dxa" w:w="5904"/>
          </w:tcPr>
          <w:p>
            <w:pPr>
              <w:spacing w:after="20"/>
            </w:pPr>
            <w:r>
              <w:rPr>
                <w:color w:val="1C3A36"/>
                <w:sz w:val="14"/>
              </w:rPr>
              <w:t>Company Q2-2026 earnings release + analyst presentation, investors.du.ae (COMPANY_IR) + prior quarterly decks: mobile customers ('000, TDRA 90-day active definition); Q2-2026 net adds −412k (prepaid −442k on the tourism shock, postpaid +30k)</w:t>
            </w:r>
          </w:p>
        </w:tc>
        <w:tc>
          <w:tcPr>
            <w:tcW w:type="dxa" w:w="1080"/>
          </w:tcPr>
          <w:p>
            <w:pPr>
              <w:spacing w:after="20"/>
            </w:pPr>
            <w:r>
              <w:rPr>
                <w:color w:val="1C3A36"/>
                <w:sz w:val="14"/>
              </w:rPr>
              <w:t>2026-07-23</w:t>
            </w:r>
          </w:p>
        </w:tc>
      </w:tr>
      <w:tr>
        <w:tc>
          <w:tcPr>
            <w:tcW w:type="dxa" w:w="1512"/>
          </w:tcPr>
          <w:p>
            <w:pPr>
              <w:spacing w:after="20"/>
            </w:pPr>
            <w:r>
              <w:rPr>
                <w:color w:val="1C3A36"/>
                <w:sz w:val="14"/>
              </w:rPr>
              <w:t>subs_fixed</w:t>
            </w:r>
          </w:p>
        </w:tc>
        <w:tc>
          <w:tcPr>
            <w:tcW w:type="dxa" w:w="1656"/>
          </w:tcPr>
          <w:p>
            <w:pPr>
              <w:spacing w:after="20"/>
            </w:pPr>
            <w:r>
              <w:rPr>
                <w:color w:val="1C3A36"/>
                <w:sz w:val="14"/>
              </w:rPr>
              <w:t>Q4_2024: 682; Q1_2025: 701; Q2_2025: 706; Q3_2025: 718; Q4_2025: 735; Q1_2026: 745; Q2_2026: 744</w:t>
            </w:r>
          </w:p>
        </w:tc>
        <w:tc>
          <w:tcPr>
            <w:tcW w:type="dxa" w:w="5904"/>
          </w:tcPr>
          <w:p>
            <w:pPr>
              <w:spacing w:after="20"/>
            </w:pPr>
            <w:r>
              <w:rPr>
                <w:color w:val="1C3A36"/>
                <w:sz w:val="14"/>
              </w:rPr>
              <w:t>Company Q2-2026 earnings release + analyst presentation, investors.du.ae (COMPANY_IR): fixed customers ('000)</w:t>
            </w:r>
          </w:p>
        </w:tc>
        <w:tc>
          <w:tcPr>
            <w:tcW w:type="dxa" w:w="1080"/>
          </w:tcPr>
          <w:p>
            <w:pPr>
              <w:spacing w:after="20"/>
            </w:pPr>
            <w:r>
              <w:rPr>
                <w:color w:val="1C3A36"/>
                <w:sz w:val="14"/>
              </w:rPr>
              <w:t>2026-07-23</w:t>
            </w:r>
          </w:p>
        </w:tc>
      </w:tr>
      <w:tr>
        <w:tc>
          <w:tcPr>
            <w:tcW w:type="dxa" w:w="1512"/>
          </w:tcPr>
          <w:p>
            <w:pPr>
              <w:spacing w:after="20"/>
            </w:pPr>
            <w:r>
              <w:rPr>
                <w:color w:val="1C3A36"/>
                <w:sz w:val="14"/>
              </w:rPr>
              <w:t>arpu_mobile</w:t>
            </w:r>
          </w:p>
        </w:tc>
        <w:tc>
          <w:tcPr>
            <w:tcW w:type="dxa" w:w="1656"/>
          </w:tcPr>
          <w:p>
            <w:pPr>
              <w:spacing w:after="20"/>
            </w:pPr>
            <w:r>
              <w:rPr>
                <w:color w:val="1C3A36"/>
                <w:sz w:val="14"/>
              </w:rPr>
              <w:t>FY2025: 63.3; Q1_2026: 63.4; Q2_2026: 63.4</w:t>
            </w:r>
          </w:p>
        </w:tc>
        <w:tc>
          <w:tcPr>
            <w:tcW w:type="dxa" w:w="5904"/>
          </w:tcPr>
          <w:p>
            <w:pPr>
              <w:spacing w:after="20"/>
            </w:pPr>
            <w:r>
              <w:rPr>
                <w:color w:val="1C3A36"/>
                <w:sz w:val="14"/>
              </w:rPr>
              <w:t>Company Q2-2026 earnings release + analyst presentation, investors.du.ae (COMPANY_IR): blended mobile ARPU, AED/month</w:t>
            </w:r>
          </w:p>
        </w:tc>
        <w:tc>
          <w:tcPr>
            <w:tcW w:type="dxa" w:w="1080"/>
          </w:tcPr>
          <w:p>
            <w:pPr>
              <w:spacing w:after="20"/>
            </w:pPr>
            <w:r>
              <w:rPr>
                <w:color w:val="1C3A36"/>
                <w:sz w:val="14"/>
              </w:rPr>
              <w:t>2026-07-23</w:t>
            </w:r>
          </w:p>
        </w:tc>
      </w:tr>
      <w:tr>
        <w:tc>
          <w:tcPr>
            <w:tcW w:type="dxa" w:w="1512"/>
          </w:tcPr>
          <w:p>
            <w:pPr>
              <w:spacing w:after="20"/>
            </w:pPr>
            <w:r>
              <w:rPr>
                <w:color w:val="1C3A36"/>
                <w:sz w:val="14"/>
              </w:rPr>
              <w:t>opex_base_fy25</w:t>
            </w:r>
          </w:p>
        </w:tc>
        <w:tc>
          <w:tcPr>
            <w:tcW w:type="dxa" w:w="1656"/>
          </w:tcPr>
          <w:p>
            <w:pPr>
              <w:spacing w:after="20"/>
            </w:pPr>
            <w:r>
              <w:rPr>
                <w:color w:val="1C3A36"/>
                <w:sz w:val="14"/>
              </w:rPr>
              <w:t>network: 963.9; marketing: 292.3; staff: 1,105.3; admin: 189.7; licence: 434.0; other: 133.2; ecl: 211.0; other_inc: -21.716</w:t>
            </w:r>
          </w:p>
        </w:tc>
        <w:tc>
          <w:tcPr>
            <w:tcW w:type="dxa" w:w="5904"/>
          </w:tcPr>
          <w:p>
            <w:pPr>
              <w:spacing w:after="20"/>
            </w:pPr>
            <w:r>
              <w:rPr>
                <w:color w:val="1C3A36"/>
                <w:sz w:val="14"/>
              </w:rPr>
              <w:t>Audited consolidated FS, Integrated Annual Report 2025, investors.du.ae (KPMG Lower Gulf, unmodified opinion 09-Feb-2026), face of the income statement: net operating expenses before D&amp;A by nature (licence = telecommunication licence and related fees, a revenue-linked regulatory charge; ecl = impairment of trade/lease receivables and contract assets net of recoveries)</w:t>
            </w:r>
          </w:p>
        </w:tc>
        <w:tc>
          <w:tcPr>
            <w:tcW w:type="dxa" w:w="1080"/>
          </w:tcPr>
          <w:p>
            <w:pPr>
              <w:spacing w:after="20"/>
            </w:pPr>
            <w:r>
              <w:rPr>
                <w:color w:val="1C3A36"/>
                <w:sz w:val="14"/>
              </w:rPr>
              <w:t>2026-02-09</w:t>
            </w:r>
          </w:p>
        </w:tc>
      </w:tr>
      <w:tr>
        <w:tc>
          <w:tcPr>
            <w:tcW w:type="dxa" w:w="1512"/>
          </w:tcPr>
          <w:p>
            <w:pPr>
              <w:spacing w:after="20"/>
            </w:pPr>
            <w:r>
              <w:rPr>
                <w:color w:val="1C3A36"/>
                <w:sz w:val="14"/>
              </w:rPr>
              <w:t>staff_fy26</w:t>
            </w:r>
          </w:p>
        </w:tc>
        <w:tc>
          <w:tcPr>
            <w:tcW w:type="dxa" w:w="1656"/>
          </w:tcPr>
          <w:p>
            <w:pPr>
              <w:spacing w:after="20"/>
            </w:pPr>
            <w:r>
              <w:rPr>
                <w:color w:val="1C3A36"/>
                <w:sz w:val="14"/>
              </w:rPr>
              <w:t>1,035.2</w:t>
            </w:r>
          </w:p>
        </w:tc>
        <w:tc>
          <w:tcPr>
            <w:tcW w:type="dxa" w:w="5904"/>
          </w:tcPr>
          <w:p>
            <w:pPr>
              <w:spacing w:after="20"/>
            </w:pPr>
            <w:r>
              <w:rPr>
                <w:color w:val="1C3A36"/>
                <w:sz w:val="14"/>
              </w:rPr>
              <w:t>FY2026E staff cost: H1-2026 reviewed actual 471.360 grossed up by the company's OWN disclosed H2/H1 seasonality of 1.1961 (H2-2025 602.018 / H1-2025 503.310, from the audited FY2025 and reviewed H1-2025 statements) = 471.360 + 563.80 = 1,035.16 — which is −6.35% on the audited FY2025 1,105.328, exactly the −6.35% y/y the company printed at the half. CORRECTED 17-Aug-2026: the prior 985.0 applied a ratio of 1.09 while its own note described it as 'the H2-2025 seasonal ratio'; the true ratio is 1.1961, so staff cost was understated by AED 50.2mn and total FY2026E operating expenses fell BELOW the audited FY2025 actual even as revenue rose 4.3% — impossible in a stack where every class escalates, and correctly identified by external audit as falsifying the margin-as-an-output claim</w:t>
            </w:r>
          </w:p>
        </w:tc>
        <w:tc>
          <w:tcPr>
            <w:tcW w:type="dxa" w:w="1080"/>
          </w:tcPr>
          <w:p>
            <w:pPr>
              <w:spacing w:after="20"/>
            </w:pPr>
            <w:r>
              <w:rPr>
                <w:color w:val="1C3A36"/>
                <w:sz w:val="14"/>
              </w:rPr>
              <w:t>2026-08-17</w:t>
            </w:r>
          </w:p>
        </w:tc>
      </w:tr>
      <w:tr>
        <w:tc>
          <w:tcPr>
            <w:tcW w:type="dxa" w:w="1512"/>
          </w:tcPr>
          <w:p>
            <w:pPr>
              <w:spacing w:after="20"/>
            </w:pPr>
            <w:r>
              <w:rPr>
                <w:color w:val="1C3A36"/>
                <w:sz w:val="14"/>
              </w:rPr>
              <w:t>capex_tang_share</w:t>
            </w:r>
          </w:p>
        </w:tc>
        <w:tc>
          <w:tcPr>
            <w:tcW w:type="dxa" w:w="1656"/>
          </w:tcPr>
          <w:p>
            <w:pPr>
              <w:spacing w:after="20"/>
            </w:pPr>
            <w:r>
              <w:rPr>
                <w:color w:val="1C3A36"/>
                <w:sz w:val="14"/>
              </w:rPr>
              <w:t>0.866</w:t>
            </w:r>
          </w:p>
        </w:tc>
        <w:tc>
          <w:tcPr>
            <w:tcW w:type="dxa" w:w="5904"/>
          </w:tcPr>
          <w:p>
            <w:pPr>
              <w:spacing w:after="20"/>
            </w:pPr>
            <w:r>
              <w:rPr>
                <w:color w:val="1C3A36"/>
                <w:sz w:val="14"/>
              </w:rPr>
              <w:t>Tangible share of capex: FY2025 audited 2,038.501 / 2,353.230</w:t>
            </w:r>
          </w:p>
        </w:tc>
        <w:tc>
          <w:tcPr>
            <w:tcW w:type="dxa" w:w="1080"/>
          </w:tcPr>
          <w:p>
            <w:pPr>
              <w:spacing w:after="20"/>
            </w:pPr>
            <w:r>
              <w:rPr>
                <w:color w:val="1C3A36"/>
                <w:sz w:val="14"/>
              </w:rPr>
              <w:t>2026-02-09</w:t>
            </w:r>
          </w:p>
        </w:tc>
      </w:tr>
      <w:tr>
        <w:tc>
          <w:tcPr>
            <w:tcW w:type="dxa" w:w="1512"/>
          </w:tcPr>
          <w:p>
            <w:pPr>
              <w:spacing w:after="20"/>
            </w:pPr>
            <w:r>
              <w:rPr>
                <w:color w:val="1C3A36"/>
                <w:sz w:val="14"/>
              </w:rPr>
              <w:t>dep_rate_ppe</w:t>
            </w:r>
          </w:p>
        </w:tc>
        <w:tc>
          <w:tcPr>
            <w:tcW w:type="dxa" w:w="1656"/>
          </w:tcPr>
          <w:p>
            <w:pPr>
              <w:spacing w:after="20"/>
            </w:pPr>
            <w:r>
              <w:rPr>
                <w:color w:val="1C3A36"/>
                <w:sz w:val="14"/>
              </w:rPr>
              <w:t>0.1583</w:t>
            </w:r>
          </w:p>
        </w:tc>
        <w:tc>
          <w:tcPr>
            <w:tcW w:type="dxa" w:w="5904"/>
          </w:tcPr>
          <w:p>
            <w:pPr>
              <w:spacing w:after="20"/>
            </w:pPr>
            <w:r>
              <w:rPr>
                <w:color w:val="1C3A36"/>
                <w:sz w:val="14"/>
              </w:rPr>
              <w:t>PP&amp;E depreciation rate on OPENING gross-of-additions balance: FY2025 audited PP&amp;E depreciation 1,557.989 / opening PP&amp;E 9,838.448 = 15.83%</w:t>
            </w:r>
          </w:p>
        </w:tc>
        <w:tc>
          <w:tcPr>
            <w:tcW w:type="dxa" w:w="1080"/>
          </w:tcPr>
          <w:p>
            <w:pPr>
              <w:spacing w:after="20"/>
            </w:pPr>
            <w:r>
              <w:rPr>
                <w:color w:val="1C3A36"/>
                <w:sz w:val="14"/>
              </w:rPr>
              <w:t>2026-02-09</w:t>
            </w:r>
          </w:p>
        </w:tc>
      </w:tr>
      <w:tr>
        <w:tc>
          <w:tcPr>
            <w:tcW w:type="dxa" w:w="1512"/>
          </w:tcPr>
          <w:p>
            <w:pPr>
              <w:spacing w:after="20"/>
            </w:pPr>
            <w:r>
              <w:rPr>
                <w:color w:val="1C3A36"/>
                <w:sz w:val="14"/>
              </w:rPr>
              <w:t>amort_rate</w:t>
            </w:r>
          </w:p>
        </w:tc>
        <w:tc>
          <w:tcPr>
            <w:tcW w:type="dxa" w:w="1656"/>
          </w:tcPr>
          <w:p>
            <w:pPr>
              <w:spacing w:after="20"/>
            </w:pPr>
            <w:r>
              <w:rPr>
                <w:color w:val="1C3A36"/>
                <w:sz w:val="14"/>
              </w:rPr>
              <w:t>0.289</w:t>
            </w:r>
          </w:p>
        </w:tc>
        <w:tc>
          <w:tcPr>
            <w:tcW w:type="dxa" w:w="5904"/>
          </w:tcPr>
          <w:p>
            <w:pPr>
              <w:spacing w:after="20"/>
            </w:pPr>
            <w:r>
              <w:rPr>
                <w:color w:val="1C3A36"/>
                <w:sz w:val="14"/>
              </w:rPr>
              <w:t>Intangibles amortisation rate on opening balance: FY2025 amortisation 245.881 / opening intangibles 846.932 = 29.0% (short-lived software; the TDRA licence is fully amortised at NBV 0.869)</w:t>
            </w:r>
          </w:p>
        </w:tc>
        <w:tc>
          <w:tcPr>
            <w:tcW w:type="dxa" w:w="1080"/>
          </w:tcPr>
          <w:p>
            <w:pPr>
              <w:spacing w:after="20"/>
            </w:pPr>
            <w:r>
              <w:rPr>
                <w:color w:val="1C3A36"/>
                <w:sz w:val="14"/>
              </w:rPr>
              <w:t>2026-02-09</w:t>
            </w:r>
          </w:p>
        </w:tc>
      </w:tr>
      <w:tr>
        <w:tc>
          <w:tcPr>
            <w:tcW w:type="dxa" w:w="1512"/>
          </w:tcPr>
          <w:p>
            <w:pPr>
              <w:spacing w:after="20"/>
            </w:pPr>
            <w:r>
              <w:rPr>
                <w:color w:val="1C3A36"/>
                <w:sz w:val="14"/>
              </w:rPr>
              <w:t>guidance_mid</w:t>
            </w:r>
          </w:p>
        </w:tc>
        <w:tc>
          <w:tcPr>
            <w:tcW w:type="dxa" w:w="1656"/>
          </w:tcPr>
          <w:p>
            <w:pPr>
              <w:spacing w:after="20"/>
            </w:pPr>
            <w:r>
              <w:rPr>
                <w:color w:val="1C3A36"/>
                <w:sz w:val="14"/>
              </w:rPr>
              <w:t>0.05</w:t>
            </w:r>
          </w:p>
        </w:tc>
        <w:tc>
          <w:tcPr>
            <w:tcW w:type="dxa" w:w="5904"/>
          </w:tcPr>
          <w:p>
            <w:pPr>
              <w:spacing w:after="20"/>
            </w:pPr>
            <w:r>
              <w:rPr>
                <w:color w:val="1C3A36"/>
                <w:sz w:val="14"/>
              </w:rPr>
              <w:t>Midpoint of du's own FY2026 revenue-growth guidance of 4%-6%, revised and confirmed in the Q2-2026 analyst presentation (slide 16, 'Guidance confirmed for EBITDA margin and slightly adjusted for revenue growth'). Used only to PRICE a critique finding, never as a build driver — reverse-engineering a forecast to a guidance number is the opposite of a ground-up build</w:t>
            </w:r>
          </w:p>
        </w:tc>
        <w:tc>
          <w:tcPr>
            <w:tcW w:type="dxa" w:w="1080"/>
          </w:tcPr>
          <w:p>
            <w:pPr>
              <w:spacing w:after="20"/>
            </w:pPr>
            <w:r>
              <w:rPr>
                <w:color w:val="1C3A36"/>
                <w:sz w:val="14"/>
              </w:rPr>
              <w:t>2026-07-23</w:t>
            </w:r>
          </w:p>
        </w:tc>
      </w:tr>
      <w:tr>
        <w:tc>
          <w:tcPr>
            <w:tcW w:type="dxa" w:w="1512"/>
          </w:tcPr>
          <w:p>
            <w:pPr>
              <w:spacing w:after="20"/>
            </w:pPr>
            <w:r>
              <w:rPr>
                <w:color w:val="1C3A36"/>
                <w:sz w:val="14"/>
              </w:rPr>
              <w:t>mamoura_stake_sold</w:t>
            </w:r>
          </w:p>
        </w:tc>
        <w:tc>
          <w:tcPr>
            <w:tcW w:type="dxa" w:w="1656"/>
          </w:tcPr>
          <w:p>
            <w:pPr>
              <w:spacing w:after="20"/>
            </w:pPr>
            <w:r>
              <w:rPr>
                <w:color w:val="1C3A36"/>
                <w:sz w:val="14"/>
              </w:rPr>
              <w:t>0.0755</w:t>
            </w:r>
          </w:p>
        </w:tc>
        <w:tc>
          <w:tcPr>
            <w:tcW w:type="dxa" w:w="5904"/>
          </w:tcPr>
          <w:p>
            <w:pPr>
              <w:spacing w:after="20"/>
            </w:pPr>
            <w:r>
              <w:rPr>
                <w:color w:val="1C3A36"/>
                <w:sz w:val="14"/>
              </w:rPr>
              <w:t>Mubadala's Mamoura vehicle sold three quarters of its holding in du in the 2025 secondary offering — 7.55% of the company. It widened the free float without changing control, and it drives nothing in this model: it is committed because the company overview states it to a reader</w:t>
            </w:r>
          </w:p>
        </w:tc>
        <w:tc>
          <w:tcPr>
            <w:tcW w:type="dxa" w:w="1080"/>
          </w:tcPr>
          <w:p>
            <w:pPr>
              <w:spacing w:after="20"/>
            </w:pPr>
            <w:r>
              <w:rPr>
                <w:color w:val="1C3A36"/>
                <w:sz w:val="14"/>
              </w:rPr>
              <w:t>2025-12-31</w:t>
            </w:r>
          </w:p>
        </w:tc>
      </w:tr>
      <w:tr>
        <w:tc>
          <w:tcPr>
            <w:tcW w:type="dxa" w:w="1512"/>
          </w:tcPr>
          <w:p>
            <w:pPr>
              <w:spacing w:after="20"/>
            </w:pPr>
            <w:r>
              <w:rPr>
                <w:color w:val="1C3A36"/>
                <w:sz w:val="14"/>
              </w:rPr>
              <w:t>asset_life_years</w:t>
            </w:r>
          </w:p>
        </w:tc>
        <w:tc>
          <w:tcPr>
            <w:tcW w:type="dxa" w:w="1656"/>
          </w:tcPr>
          <w:p>
            <w:pPr>
              <w:spacing w:after="20"/>
            </w:pPr>
            <w:r>
              <w:rPr>
                <w:color w:val="1C3A36"/>
                <w:sz w:val="14"/>
              </w:rPr>
              <w:t>16.6997</w:t>
            </w:r>
          </w:p>
        </w:tc>
        <w:tc>
          <w:tcPr>
            <w:tcW w:type="dxa" w:w="5904"/>
          </w:tcPr>
          <w:p>
            <w:pPr>
              <w:spacing w:after="20"/>
            </w:pPr>
            <w:r>
              <w:rPr>
                <w:color w:val="1C3A36"/>
                <w:sz w:val="14"/>
              </w:rPr>
              <w:t>Audited consolidated FS, Integrated Annual Report 2025, investors.du.ae (KPMG Lower Gulf, unmodified opinion 09-Feb-2026), notes 6, 7 and 8, DERIVED BY IDENTITY from those notes' own cost and charge columns and LABELLED as derived: the gross cost of every depreciable class over the year's own charge. Property, plant and equipment 28,616,356 over 1,542,393 gives 18.55 years; intangibles 3,500,287 over 239,907 gives 14.59; right-of-use assets 3,726,888 over 364,063 gives 10.24; blended, 16.70. Capital work in progress is excluded from the property and intangible notes because neither depreciates it. THE ROUTE VALIDATES ITSELF AGAINST A DIRECTLY DISCLOSED FIGURE: the right-of-use component derives 10.24 years against the 10.1 years note 7 states as the average lease term, 1.4% apart — the strongest available evidence that gross cost over charge measures what it is being asked to measure. The policy note gives RANGES per class (buildings 10-25, plant and equipment 3-25, furniture and fixtures 3-5, motor vehicles 4-5, software 5-10) and no weighting, so no single figure can be read off it. CROSS-CHECKED at 15.96 years on FY2024's own columns, and the route is clean because no note carries business-combination additions and each discloses impairment separately from the charge</w:t>
            </w:r>
          </w:p>
        </w:tc>
        <w:tc>
          <w:tcPr>
            <w:tcW w:type="dxa" w:w="1080"/>
          </w:tcPr>
          <w:p>
            <w:pPr>
              <w:spacing w:after="20"/>
            </w:pPr>
            <w:r>
              <w:rPr>
                <w:color w:val="1C3A36"/>
                <w:sz w:val="14"/>
              </w:rPr>
              <w:t>2026-02-09</w:t>
            </w:r>
          </w:p>
        </w:tc>
      </w:tr>
      <w:tr>
        <w:tc>
          <w:tcPr>
            <w:tcW w:type="dxa" w:w="1512"/>
          </w:tcPr>
          <w:p>
            <w:pPr>
              <w:spacing w:after="20"/>
            </w:pPr>
            <w:r>
              <w:rPr>
                <w:color w:val="1C3A36"/>
                <w:sz w:val="14"/>
              </w:rPr>
              <w:t>accum_dep_owned_fy25</w:t>
            </w:r>
          </w:p>
        </w:tc>
        <w:tc>
          <w:tcPr>
            <w:tcW w:type="dxa" w:w="1656"/>
          </w:tcPr>
          <w:p>
            <w:pPr>
              <w:spacing w:after="20"/>
            </w:pPr>
            <w:r>
              <w:rPr>
                <w:color w:val="1C3A36"/>
                <w:sz w:val="14"/>
              </w:rPr>
              <w:t>24,652.4</w:t>
            </w:r>
          </w:p>
        </w:tc>
        <w:tc>
          <w:tcPr>
            <w:tcW w:type="dxa" w:w="5904"/>
          </w:tcPr>
          <w:p>
            <w:pPr>
              <w:spacing w:after="20"/>
            </w:pPr>
            <w:r>
              <w:rPr>
                <w:color w:val="1C3A36"/>
                <w:sz w:val="14"/>
              </w:rPr>
              <w:t>Audited consolidated FS, Integrated Annual Report 2025, investors.du.ae (KPMG Lower Gulf, unmodified opinion 09-Feb-2026), notes 6, 7 and 8: accumulated depreciation and amortisation at 31-Dec-2025 across the same depreciable classes. AED mn</w:t>
            </w:r>
          </w:p>
        </w:tc>
        <w:tc>
          <w:tcPr>
            <w:tcW w:type="dxa" w:w="1080"/>
          </w:tcPr>
          <w:p>
            <w:pPr>
              <w:spacing w:after="20"/>
            </w:pPr>
            <w:r>
              <w:rPr>
                <w:color w:val="1C3A36"/>
                <w:sz w:val="14"/>
              </w:rPr>
              <w:t>2026-02-09</w:t>
            </w:r>
          </w:p>
        </w:tc>
      </w:tr>
      <w:tr>
        <w:tc>
          <w:tcPr>
            <w:tcW w:type="dxa" w:w="1512"/>
          </w:tcPr>
          <w:p>
            <w:pPr>
              <w:spacing w:after="20"/>
            </w:pPr>
            <w:r>
              <w:rPr>
                <w:color w:val="1C3A36"/>
                <w:sz w:val="14"/>
              </w:rPr>
              <w:t>dep_charge_owned_fy25</w:t>
            </w:r>
          </w:p>
        </w:tc>
        <w:tc>
          <w:tcPr>
            <w:tcW w:type="dxa" w:w="1656"/>
          </w:tcPr>
          <w:p>
            <w:pPr>
              <w:spacing w:after="20"/>
            </w:pPr>
            <w:r>
              <w:rPr>
                <w:color w:val="1C3A36"/>
                <w:sz w:val="14"/>
              </w:rPr>
              <w:t>2,146.4</w:t>
            </w:r>
          </w:p>
        </w:tc>
        <w:tc>
          <w:tcPr>
            <w:tcW w:type="dxa" w:w="5904"/>
          </w:tcPr>
          <w:p>
            <w:pPr>
              <w:spacing w:after="20"/>
            </w:pPr>
            <w:r>
              <w:rPr>
                <w:color w:val="1C3A36"/>
                <w:sz w:val="14"/>
              </w:rPr>
              <w:t>Audited consolidated FS, Integrated Annual Report 2025, investors.du.ae (KPMG Lower Gulf, unmodified opinion 09-Feb-2026), notes 6, 7 and 8: the year's own depreciation and amortisation charge on those classes, excluding the separately disclosed impairment. AED mn</w:t>
            </w:r>
          </w:p>
        </w:tc>
        <w:tc>
          <w:tcPr>
            <w:tcW w:type="dxa" w:w="1080"/>
          </w:tcPr>
          <w:p>
            <w:pPr>
              <w:spacing w:after="20"/>
            </w:pPr>
            <w:r>
              <w:rPr>
                <w:color w:val="1C3A36"/>
                <w:sz w:val="14"/>
              </w:rPr>
              <w:t>2026-02-09</w:t>
            </w:r>
          </w:p>
        </w:tc>
      </w:tr>
      <w:tr>
        <w:tc>
          <w:tcPr>
            <w:tcW w:type="dxa" w:w="1512"/>
          </w:tcPr>
          <w:p>
            <w:pPr>
              <w:spacing w:after="20"/>
            </w:pPr>
            <w:r>
              <w:rPr>
                <w:color w:val="1C3A36"/>
                <w:sz w:val="14"/>
              </w:rPr>
              <w:t>roe_sust</w:t>
            </w:r>
          </w:p>
        </w:tc>
        <w:tc>
          <w:tcPr>
            <w:tcW w:type="dxa" w:w="1656"/>
          </w:tcPr>
          <w:p>
            <w:pPr>
              <w:spacing w:after="20"/>
            </w:pPr>
            <w:r>
              <w:rPr>
                <w:color w:val="1C3A36"/>
                <w:sz w:val="14"/>
              </w:rPr>
              <w:t>0.27</w:t>
            </w:r>
          </w:p>
        </w:tc>
        <w:tc>
          <w:tcPr>
            <w:tcW w:type="dxa" w:w="5904"/>
          </w:tcPr>
          <w:p>
            <w:pPr>
              <w:spacing w:after="20"/>
            </w:pPr>
            <w:r>
              <w:rPr>
                <w:color w:val="1C3A36"/>
                <w:sz w:val="14"/>
              </w:rPr>
              <w:t>Sustainable ROE 27%: audited ROE on average equity FY2023 18.5%, FY2024 26.0%, FY2025 29.0% - the step-up is the 2024 regime change (43.6% take vs 53.1%) plus operating leverage; 27% sits just below the FY2025 print and is consistent with the ~100% payout / 2.5% growth pair (implied retention 9%)</w:t>
            </w:r>
          </w:p>
        </w:tc>
        <w:tc>
          <w:tcPr>
            <w:tcW w:type="dxa" w:w="1080"/>
          </w:tcPr>
          <w:p>
            <w:pPr>
              <w:spacing w:after="20"/>
            </w:pPr>
            <w:r>
              <w:rPr>
                <w:color w:val="1C3A36"/>
                <w:sz w:val="14"/>
              </w:rPr>
              <w:t>2026-08-09</w:t>
            </w:r>
          </w:p>
        </w:tc>
      </w:tr>
    </w:tbl>
    <w:p>
      <w:pPr>
        <w:spacing w:after="40"/>
      </w:pPr>
    </w:p>
    <w:p>
      <w:pPr>
        <w:spacing w:after="60" w:before="160"/>
      </w:pPr>
      <w:r>
        <w:rPr>
          <w:b/>
          <w:i w:val="0"/>
          <w:color w:val="1C3A36"/>
          <w:sz w:val="22"/>
        </w:rPr>
        <w:t>House layer — 30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anchor_days</w:t>
            </w:r>
          </w:p>
        </w:tc>
        <w:tc>
          <w:tcPr>
            <w:tcW w:type="dxa" w:w="1656"/>
          </w:tcPr>
          <w:p>
            <w:pPr>
              <w:spacing w:after="20"/>
            </w:pPr>
            <w:r>
              <w:rPr>
                <w:color w:val="1C3A36"/>
                <w:sz w:val="14"/>
              </w:rPr>
              <w:t>250.0</w:t>
            </w:r>
          </w:p>
        </w:tc>
        <w:tc>
          <w:tcPr>
            <w:tcW w:type="dxa" w:w="5904"/>
          </w:tcPr>
          <w:p>
            <w:pPr>
              <w:spacing w:after="20"/>
            </w:pPr>
            <w:r>
              <w:rPr>
                <w:color w:val="1C3A36"/>
                <w:sz w:val="14"/>
              </w:rPr>
              <w:t>Calendar days from the 31-Dec-2025 valuation date to the 07-Sep-2026 price anchor: 31 + 28 + 31 + 30 + 31 + 30 + 31 + 31 + 7 = 250. CORRECTED 08-09-2026, critique response finding F2/S7: the prior edition computed 246 (a 3-September anchor) while the document printed the exponent as 219 (a 7-August anchor) and the workbook cell that held 246 was LABELLED 'days to the 07-Aug-2026 anchor'. Three day counts for one construction, and the price in use belonged to a fourth date. One anchor date now, stated once, and every artefact reads this cell</w:t>
            </w:r>
          </w:p>
        </w:tc>
        <w:tc>
          <w:tcPr>
            <w:tcW w:type="dxa" w:w="1080"/>
          </w:tcPr>
          <w:p>
            <w:pPr>
              <w:spacing w:after="20"/>
            </w:pPr>
            <w:r>
              <w:rPr>
                <w:color w:val="1C3A36"/>
                <w:sz w:val="14"/>
              </w:rPr>
              <w:t>2026-09-07</w:t>
            </w:r>
          </w:p>
        </w:tc>
      </w:tr>
      <w:tr>
        <w:tc>
          <w:tcPr>
            <w:tcW w:type="dxa" w:w="1512"/>
          </w:tcPr>
          <w:p>
            <w:pPr>
              <w:spacing w:after="20"/>
            </w:pPr>
            <w:r>
              <w:rPr>
                <w:color w:val="1C3A36"/>
                <w:sz w:val="14"/>
              </w:rPr>
              <w:t>arpu_ratio_norm</w:t>
            </w:r>
          </w:p>
        </w:tc>
        <w:tc>
          <w:tcPr>
            <w:tcW w:type="dxa" w:w="1656"/>
          </w:tcPr>
          <w:p>
            <w:pPr>
              <w:spacing w:after="20"/>
            </w:pPr>
            <w:r>
              <w:rPr>
                <w:color w:val="1C3A36"/>
                <w:sz w:val="14"/>
              </w:rPr>
              <w:t>3</w:t>
            </w:r>
          </w:p>
        </w:tc>
        <w:tc>
          <w:tcPr>
            <w:tcW w:type="dxa" w:w="5904"/>
          </w:tcPr>
          <w:p>
            <w:pPr>
              <w:spacing w:after="20"/>
            </w:pPr>
            <w:r>
              <w:rPr>
                <w:color w:val="1C3A36"/>
                <w:sz w:val="14"/>
              </w:rPr>
              <w:t>Central postpaid/prepaid ARPU ratio used ONLY for the mix decomposition — never to build revenue. Set at the low end of the peer band above, which makes the decomposition's implied per-leg erosion the SMALLEST of the defensible range: a higher ratio implies a larger mix tailwind and therefore worse underlying erosion, so 3.0x is the conservative choice for the risk being flagged</w:t>
            </w:r>
          </w:p>
        </w:tc>
        <w:tc>
          <w:tcPr>
            <w:tcW w:type="dxa" w:w="1080"/>
          </w:tcPr>
          <w:p>
            <w:pPr>
              <w:spacing w:after="20"/>
            </w:pPr>
            <w:r>
              <w:rPr>
                <w:color w:val="1C3A36"/>
                <w:sz w:val="14"/>
              </w:rPr>
              <w:t>2026-08-17</w:t>
            </w:r>
          </w:p>
        </w:tc>
      </w:tr>
      <w:tr>
        <w:tc>
          <w:tcPr>
            <w:tcW w:type="dxa" w:w="1512"/>
          </w:tcPr>
          <w:p>
            <w:pPr>
              <w:spacing w:after="20"/>
            </w:pPr>
            <w:r>
              <w:rPr>
                <w:color w:val="1C3A36"/>
                <w:sz w:val="14"/>
              </w:rPr>
              <w:t>arpu_drift</w:t>
            </w:r>
          </w:p>
        </w:tc>
        <w:tc>
          <w:tcPr>
            <w:tcW w:type="dxa" w:w="1656"/>
          </w:tcPr>
          <w:p>
            <w:pPr>
              <w:spacing w:after="20"/>
            </w:pPr>
            <w:r>
              <w:rPr>
                <w:color w:val="1C3A36"/>
                <w:sz w:val="14"/>
              </w:rPr>
              <w:t>0</w:t>
            </w:r>
          </w:p>
        </w:tc>
        <w:tc>
          <w:tcPr>
            <w:tcW w:type="dxa" w:w="5904"/>
          </w:tcPr>
          <w:p>
            <w:pPr>
              <w:spacing w:after="20"/>
            </w:pPr>
            <w:r>
              <w:rPr>
                <w:color w:val="1C3A36"/>
                <w:sz w:val="14"/>
              </w:rPr>
              <w:t>Annual compounding shift applied to the registered blended mobile ARPU path, zero in the base case. Exists so the mix-exhaustion risk identified by the decomposition below can be PRICED rather than described</w:t>
            </w:r>
          </w:p>
        </w:tc>
        <w:tc>
          <w:tcPr>
            <w:tcW w:type="dxa" w:w="1080"/>
          </w:tcPr>
          <w:p>
            <w:pPr>
              <w:spacing w:after="20"/>
            </w:pPr>
            <w:r>
              <w:rPr>
                <w:color w:val="1C3A36"/>
                <w:sz w:val="14"/>
              </w:rPr>
              <w:t>2026-08-17</w:t>
            </w:r>
          </w:p>
        </w:tc>
      </w:tr>
      <w:tr>
        <w:tc>
          <w:tcPr>
            <w:tcW w:type="dxa" w:w="1512"/>
          </w:tcPr>
          <w:p>
            <w:pPr>
              <w:spacing w:after="20"/>
            </w:pPr>
            <w:r>
              <w:rPr>
                <w:color w:val="1C3A36"/>
                <w:sz w:val="14"/>
              </w:rPr>
              <w:t>subs_mobile_path</w:t>
            </w:r>
          </w:p>
        </w:tc>
        <w:tc>
          <w:tcPr>
            <w:tcW w:type="dxa" w:w="1656"/>
          </w:tcPr>
          <w:p>
            <w:pPr>
              <w:spacing w:after="20"/>
            </w:pPr>
            <w:r>
              <w:rPr>
                <w:color w:val="1C3A36"/>
                <w:sz w:val="14"/>
              </w:rPr>
              <w:t>9,450.0, 9,760.0, 10,010.0, 10,240.0, 10,450.0</w:t>
            </w:r>
          </w:p>
        </w:tc>
        <w:tc>
          <w:tcPr>
            <w:tcW w:type="dxa" w:w="5904"/>
          </w:tcPr>
          <w:p>
            <w:pPr>
              <w:spacing w:after="20"/>
            </w:pPr>
            <w:r>
              <w:rPr>
                <w:color w:val="1C3A36"/>
                <w:sz w:val="14"/>
              </w:rPr>
              <w:t>House forecast, end-of-year mobile subscribers ('000): H2-2026 recovery of +170k from the Q2 trough (gross adds still below pre-conflict per the company's own Q2 commentary), then +310k/+250k/+230k/+210k as tourism and population inflows normalise — well below the +788k of boom-year 2025, above the flat conflict quarter</w:t>
            </w:r>
          </w:p>
        </w:tc>
        <w:tc>
          <w:tcPr>
            <w:tcW w:type="dxa" w:w="1080"/>
          </w:tcPr>
          <w:p>
            <w:pPr>
              <w:spacing w:after="20"/>
            </w:pPr>
            <w:r>
              <w:rPr>
                <w:color w:val="1C3A36"/>
                <w:sz w:val="14"/>
              </w:rPr>
              <w:t>2026-08-09</w:t>
            </w:r>
          </w:p>
        </w:tc>
      </w:tr>
      <w:tr>
        <w:tc>
          <w:tcPr>
            <w:tcW w:type="dxa" w:w="1512"/>
          </w:tcPr>
          <w:p>
            <w:pPr>
              <w:spacing w:after="20"/>
            </w:pPr>
            <w:r>
              <w:rPr>
                <w:color w:val="1C3A36"/>
                <w:sz w:val="14"/>
              </w:rPr>
              <w:t>subs_fixed_path</w:t>
            </w:r>
          </w:p>
        </w:tc>
        <w:tc>
          <w:tcPr>
            <w:tcW w:type="dxa" w:w="1656"/>
          </w:tcPr>
          <w:p>
            <w:pPr>
              <w:spacing w:after="20"/>
            </w:pPr>
            <w:r>
              <w:rPr>
                <w:color w:val="1C3A36"/>
                <w:sz w:val="14"/>
              </w:rPr>
              <w:t>760.0, 790.0, 815.0, 838.0, 858.0</w:t>
            </w:r>
          </w:p>
        </w:tc>
        <w:tc>
          <w:tcPr>
            <w:tcW w:type="dxa" w:w="5904"/>
          </w:tcPr>
          <w:p>
            <w:pPr>
              <w:spacing w:after="20"/>
            </w:pPr>
            <w:r>
              <w:rPr>
                <w:color w:val="1C3A36"/>
                <w:sz w:val="14"/>
              </w:rPr>
              <w:t>House forecast, end-of-year fixed subscribers ('000): +16k in H2-2026 then +30k/+25k/+23k/+20k — continued fibre/FWA share gain at a slowing rate; FY2025 added +53k</w:t>
            </w:r>
          </w:p>
        </w:tc>
        <w:tc>
          <w:tcPr>
            <w:tcW w:type="dxa" w:w="1080"/>
          </w:tcPr>
          <w:p>
            <w:pPr>
              <w:spacing w:after="20"/>
            </w:pPr>
            <w:r>
              <w:rPr>
                <w:color w:val="1C3A36"/>
                <w:sz w:val="14"/>
              </w:rPr>
              <w:t>2026-08-09</w:t>
            </w:r>
          </w:p>
        </w:tc>
      </w:tr>
      <w:tr>
        <w:tc>
          <w:tcPr>
            <w:tcW w:type="dxa" w:w="1512"/>
          </w:tcPr>
          <w:p>
            <w:pPr>
              <w:spacing w:after="20"/>
            </w:pPr>
            <w:r>
              <w:rPr>
                <w:color w:val="1C3A36"/>
                <w:sz w:val="14"/>
              </w:rPr>
              <w:t>arpu_mobile_path</w:t>
            </w:r>
          </w:p>
        </w:tc>
        <w:tc>
          <w:tcPr>
            <w:tcW w:type="dxa" w:w="1656"/>
          </w:tcPr>
          <w:p>
            <w:pPr>
              <w:spacing w:after="20"/>
            </w:pPr>
            <w:r>
              <w:rPr>
                <w:color w:val="1C3A36"/>
                <w:sz w:val="14"/>
              </w:rPr>
              <w:t>63.4, 63.6, 63.8, 64, 64.2</w:t>
            </w:r>
          </w:p>
        </w:tc>
        <w:tc>
          <w:tcPr>
            <w:tcW w:type="dxa" w:w="5904"/>
          </w:tcPr>
          <w:p>
            <w:pPr>
              <w:spacing w:after="20"/>
            </w:pPr>
            <w:r>
              <w:rPr>
                <w:color w:val="1C3A36"/>
                <w:sz w:val="14"/>
              </w:rPr>
              <w:t>House forecast, blended mobile ARPU AED/month: held essentially flat (+0.3%/yr) — postpaid mix gain (+9% y/y postpaid growth) offsetting prepaid dilution. CORRECTED 17-Aug-2026: the prior note said the company 'printed 63.3-63.4', which flattered the stability of the series — the disclosed quarterly range is 63.3 to 65.8, and the last three prints run 65.3 (Q4-2025) -&gt; 63.4 (Q1-2026) -&gt; 63.4 (Q2-2026), i.e. DOWN 2.9% from the recent peak. Holding the path flat is therefore an assumption that the recent decline stops, and the mix decomposition shows why it is fragile; the downside is priced as the mix-exhaustion scenario</w:t>
            </w:r>
          </w:p>
        </w:tc>
        <w:tc>
          <w:tcPr>
            <w:tcW w:type="dxa" w:w="1080"/>
          </w:tcPr>
          <w:p>
            <w:pPr>
              <w:spacing w:after="20"/>
            </w:pPr>
            <w:r>
              <w:rPr>
                <w:color w:val="1C3A36"/>
                <w:sz w:val="14"/>
              </w:rPr>
              <w:t>2026-08-09</w:t>
            </w:r>
          </w:p>
        </w:tc>
      </w:tr>
      <w:tr>
        <w:tc>
          <w:tcPr>
            <w:tcW w:type="dxa" w:w="1512"/>
          </w:tcPr>
          <w:p>
            <w:pPr>
              <w:spacing w:after="20"/>
            </w:pPr>
            <w:r>
              <w:rPr>
                <w:color w:val="1C3A36"/>
                <w:sz w:val="14"/>
              </w:rPr>
              <w:t>arpu_fixed_path</w:t>
            </w:r>
          </w:p>
        </w:tc>
        <w:tc>
          <w:tcPr>
            <w:tcW w:type="dxa" w:w="1656"/>
          </w:tcPr>
          <w:p>
            <w:pPr>
              <w:spacing w:after="20"/>
            </w:pPr>
            <w:r>
              <w:rPr>
                <w:color w:val="1C3A36"/>
                <w:sz w:val="14"/>
              </w:rPr>
              <w:t>537.0, 545.0, 553.0, 561.0, 569.0</w:t>
            </w:r>
          </w:p>
        </w:tc>
        <w:tc>
          <w:tcPr>
            <w:tcW w:type="dxa" w:w="5904"/>
          </w:tcPr>
          <w:p>
            <w:pPr>
              <w:spacing w:after="20"/>
            </w:pPr>
            <w:r>
              <w:rPr>
                <w:color w:val="1C3A36"/>
                <w:sz w:val="14"/>
              </w:rPr>
              <w:t>House forecast, implied fixed revenue per subscriber AED/month (fixed segment revenue / average base — a blend of consumer broadband and enterprise fixed, so a revenue-intensity metric, not a tariff): H1-2026 actual 533; FY2025 515. +1.5%/yr on enterprise/ICT-adjacent mix</w:t>
            </w:r>
          </w:p>
        </w:tc>
        <w:tc>
          <w:tcPr>
            <w:tcW w:type="dxa" w:w="1080"/>
          </w:tcPr>
          <w:p>
            <w:pPr>
              <w:spacing w:after="20"/>
            </w:pPr>
            <w:r>
              <w:rPr>
                <w:color w:val="1C3A36"/>
                <w:sz w:val="14"/>
              </w:rPr>
              <w:t>2026-08-09</w:t>
            </w:r>
          </w:p>
        </w:tc>
      </w:tr>
      <w:tr>
        <w:tc>
          <w:tcPr>
            <w:tcW w:type="dxa" w:w="1512"/>
          </w:tcPr>
          <w:p>
            <w:pPr>
              <w:spacing w:after="20"/>
            </w:pPr>
            <w:r>
              <w:rPr>
                <w:color w:val="1C3A36"/>
                <w:sz w:val="14"/>
              </w:rPr>
              <w:t>seg_g</w:t>
            </w:r>
          </w:p>
        </w:tc>
        <w:tc>
          <w:tcPr>
            <w:tcW w:type="dxa" w:w="1656"/>
          </w:tcPr>
          <w:p>
            <w:pPr>
              <w:spacing w:after="20"/>
            </w:pPr>
            <w:r>
              <w:rPr>
                <w:color w:val="1C3A36"/>
                <w:sz w:val="14"/>
              </w:rPr>
              <w:t>wholesale: -0.008, 0.015, 0.02, 0.02, 0.02; ict: 0.079, 0.11, 0.1, 0.09, 0.08</w:t>
            </w:r>
          </w:p>
        </w:tc>
        <w:tc>
          <w:tcPr>
            <w:tcW w:type="dxa" w:w="5904"/>
          </w:tcPr>
          <w:p>
            <w:pPr>
              <w:spacing w:after="20"/>
            </w:pPr>
            <w:r>
              <w:rPr>
                <w:color w:val="1C3A36"/>
                <w:sz w:val="14"/>
              </w:rPr>
              <w:t>House forecast: wholesale −0.8% in 2026 (H1 actual −2.0% y/y on conflict-hit roaming/transit, partial H2 stabilisation) then +1.5-2%; ICT +7.9% in 2026 (H1 actual +4.8%, Q4-heavy seasonality) accelerating to +11% on the data-centre ramp (Microsoft hyperscale agreement, du Q4-2025 deck) then easing to +8%</w:t>
            </w:r>
          </w:p>
        </w:tc>
        <w:tc>
          <w:tcPr>
            <w:tcW w:type="dxa" w:w="1080"/>
          </w:tcPr>
          <w:p>
            <w:pPr>
              <w:spacing w:after="20"/>
            </w:pPr>
            <w:r>
              <w:rPr>
                <w:color w:val="1C3A36"/>
                <w:sz w:val="14"/>
              </w:rPr>
              <w:t>2026-08-09</w:t>
            </w:r>
          </w:p>
        </w:tc>
      </w:tr>
      <w:tr>
        <w:tc>
          <w:tcPr>
            <w:tcW w:type="dxa" w:w="1512"/>
          </w:tcPr>
          <w:p>
            <w:pPr>
              <w:spacing w:after="20"/>
            </w:pPr>
            <w:r>
              <w:rPr>
                <w:color w:val="1C3A36"/>
                <w:sz w:val="14"/>
              </w:rPr>
              <w:t>esc_dc_inter</w:t>
            </w:r>
          </w:p>
        </w:tc>
        <w:tc>
          <w:tcPr>
            <w:tcW w:type="dxa" w:w="1656"/>
          </w:tcPr>
          <w:p>
            <w:pPr>
              <w:spacing w:after="20"/>
            </w:pPr>
            <w:r>
              <w:rPr>
                <w:color w:val="1C3A36"/>
                <w:sz w:val="14"/>
              </w:rPr>
              <w:t>-0.015</w:t>
            </w:r>
          </w:p>
        </w:tc>
        <w:tc>
          <w:tcPr>
            <w:tcW w:type="dxa" w:w="5904"/>
          </w:tcPr>
          <w:p>
            <w:pPr>
              <w:spacing w:after="20"/>
            </w:pPr>
            <w:r>
              <w:rPr>
                <w:color w:val="1C3A36"/>
                <w:sz w:val="14"/>
              </w:rPr>
              <w:t>Mobile interconnect cost per subscriber per month, -1.5%/yr. MEASURED: 17.54 (H1-2025) -&gt; 16.81 (H1-2026), -4.13% like-for-like. MECHANISM: regulated mobile-termination rates ratchet down and terminated voice/SMS keeps migrating to OTT, so the per-subscriber off-net bill falls even as the base grows. The forecast takes barely a third of the observed decline, on the view that it decays as the OTT substitution matures</w:t>
            </w:r>
          </w:p>
        </w:tc>
        <w:tc>
          <w:tcPr>
            <w:tcW w:type="dxa" w:w="1080"/>
          </w:tcPr>
          <w:p>
            <w:pPr>
              <w:spacing w:after="20"/>
            </w:pPr>
            <w:r>
              <w:rPr>
                <w:color w:val="1C3A36"/>
                <w:sz w:val="14"/>
              </w:rPr>
              <w:t>2026-08-17</w:t>
            </w:r>
          </w:p>
        </w:tc>
      </w:tr>
      <w:tr>
        <w:tc>
          <w:tcPr>
            <w:tcW w:type="dxa" w:w="1512"/>
          </w:tcPr>
          <w:p>
            <w:pPr>
              <w:spacing w:after="20"/>
            </w:pPr>
            <w:r>
              <w:rPr>
                <w:color w:val="1C3A36"/>
                <w:sz w:val="14"/>
              </w:rPr>
              <w:t>esc_dc_comm</w:t>
            </w:r>
          </w:p>
        </w:tc>
        <w:tc>
          <w:tcPr>
            <w:tcW w:type="dxa" w:w="1656"/>
          </w:tcPr>
          <w:p>
            <w:pPr>
              <w:spacing w:after="20"/>
            </w:pPr>
            <w:r>
              <w:rPr>
                <w:color w:val="1C3A36"/>
                <w:sz w:val="14"/>
              </w:rPr>
              <w:t>0.03</w:t>
            </w:r>
          </w:p>
        </w:tc>
        <w:tc>
          <w:tcPr>
            <w:tcW w:type="dxa" w:w="5904"/>
          </w:tcPr>
          <w:p>
            <w:pPr>
              <w:spacing w:after="20"/>
            </w:pPr>
            <w:r>
              <w:rPr>
                <w:color w:val="1C3A36"/>
                <w:sz w:val="14"/>
              </w:rPr>
              <w:t>Mobile commission cost per subscriber per month, +3.0%/yr. MEASURED: 6.12 (H1-2025) -&gt; 6.31 (H1-2026), +2.98% like-for-like, and 5.69 -&gt; 6.14 across FY2024-25. MECHANISM: dealer and retail acquisition/retention commission per subscriber, rising with competitive intensity in a two-player market. The observed rate is carried forward unchanged</w:t>
            </w:r>
          </w:p>
        </w:tc>
        <w:tc>
          <w:tcPr>
            <w:tcW w:type="dxa" w:w="1080"/>
          </w:tcPr>
          <w:p>
            <w:pPr>
              <w:spacing w:after="20"/>
            </w:pPr>
            <w:r>
              <w:rPr>
                <w:color w:val="1C3A36"/>
                <w:sz w:val="14"/>
              </w:rPr>
              <w:t>2026-08-17</w:t>
            </w:r>
          </w:p>
        </w:tc>
      </w:tr>
      <w:tr>
        <w:tc>
          <w:tcPr>
            <w:tcW w:type="dxa" w:w="1512"/>
          </w:tcPr>
          <w:p>
            <w:pPr>
              <w:spacing w:after="20"/>
            </w:pPr>
            <w:r>
              <w:rPr>
                <w:color w:val="1C3A36"/>
                <w:sz w:val="14"/>
              </w:rPr>
              <w:t>esc_dc_dev</w:t>
            </w:r>
          </w:p>
        </w:tc>
        <w:tc>
          <w:tcPr>
            <w:tcW w:type="dxa" w:w="1656"/>
          </w:tcPr>
          <w:p>
            <w:pPr>
              <w:spacing w:after="20"/>
            </w:pPr>
            <w:r>
              <w:rPr>
                <w:color w:val="1C3A36"/>
                <w:sz w:val="14"/>
              </w:rPr>
              <w:t>0</w:t>
            </w:r>
          </w:p>
        </w:tc>
        <w:tc>
          <w:tcPr>
            <w:tcW w:type="dxa" w:w="5904"/>
          </w:tcPr>
          <w:p>
            <w:pPr>
              <w:spacing w:after="20"/>
            </w:pPr>
            <w:r>
              <w:rPr>
                <w:color w:val="1C3A36"/>
                <w:sz w:val="14"/>
              </w:rPr>
              <w:t>Mobile devices and direct-services cost per subscriber per month, held FLAT. MEASURED but NOT extrapolated: 1.40 (H1-2025) -&gt; 0.96 (H1-2026), with 0.52 in FY2024 and 1.26 in FY2025. This is the handset/direct-services residual after ICT takes the bulk of the disclosed devices line — small (under AED 1.5/sub/month) and visibly lumpy, so no trend is read into it</w:t>
            </w:r>
          </w:p>
        </w:tc>
        <w:tc>
          <w:tcPr>
            <w:tcW w:type="dxa" w:w="1080"/>
          </w:tcPr>
          <w:p>
            <w:pPr>
              <w:spacing w:after="20"/>
            </w:pPr>
            <w:r>
              <w:rPr>
                <w:color w:val="1C3A36"/>
                <w:sz w:val="14"/>
              </w:rPr>
              <w:t>2026-08-17</w:t>
            </w:r>
          </w:p>
        </w:tc>
      </w:tr>
      <w:tr>
        <w:tc>
          <w:tcPr>
            <w:tcW w:type="dxa" w:w="1512"/>
          </w:tcPr>
          <w:p>
            <w:pPr>
              <w:spacing w:after="20"/>
            </w:pPr>
            <w:r>
              <w:rPr>
                <w:color w:val="1C3A36"/>
                <w:sz w:val="14"/>
              </w:rPr>
              <w:t>esc_dc_fixed</w:t>
            </w:r>
          </w:p>
        </w:tc>
        <w:tc>
          <w:tcPr>
            <w:tcW w:type="dxa" w:w="1656"/>
          </w:tcPr>
          <w:p>
            <w:pPr>
              <w:spacing w:after="20"/>
            </w:pPr>
            <w:r>
              <w:rPr>
                <w:color w:val="1C3A36"/>
                <w:sz w:val="14"/>
              </w:rPr>
              <w:t>0</w:t>
            </w:r>
          </w:p>
        </w:tc>
        <w:tc>
          <w:tcPr>
            <w:tcW w:type="dxa" w:w="5904"/>
          </w:tcPr>
          <w:p>
            <w:pPr>
              <w:spacing w:after="20"/>
            </w:pPr>
            <w:r>
              <w:rPr>
                <w:color w:val="1C3A36"/>
                <w:sz w:val="14"/>
              </w:rPr>
              <w:t>Fixed capacity and direct cost per subscriber per month, held FLAT at the H1-2026 reviewed rate. MEASURED but NOT extrapolated: 79.71 (FY2024) -&gt; 73.14 (FY2025) -&gt; 68.35 (H1-2026), a -9.21% like-for-like half-year fall. The mechanism (fibre/FWA scale plus enterprise mix) is real but decays at an unmeasurable rate, so the observed improvement is stopped dead rather than projected. Because revenue per subscriber escalates 1.5%/yr against a flat cost, the fixed margin still widens as an OUTPUT</w:t>
            </w:r>
          </w:p>
        </w:tc>
        <w:tc>
          <w:tcPr>
            <w:tcW w:type="dxa" w:w="1080"/>
          </w:tcPr>
          <w:p>
            <w:pPr>
              <w:spacing w:after="20"/>
            </w:pPr>
            <w:r>
              <w:rPr>
                <w:color w:val="1C3A36"/>
                <w:sz w:val="14"/>
              </w:rPr>
              <w:t>2026-08-17</w:t>
            </w:r>
          </w:p>
        </w:tc>
      </w:tr>
      <w:tr>
        <w:tc>
          <w:tcPr>
            <w:tcW w:type="dxa" w:w="1512"/>
          </w:tcPr>
          <w:p>
            <w:pPr>
              <w:spacing w:after="20"/>
            </w:pPr>
            <w:r>
              <w:rPr>
                <w:color w:val="1C3A36"/>
                <w:sz w:val="14"/>
              </w:rPr>
              <w:t>dc_rate_wholesale</w:t>
            </w:r>
          </w:p>
        </w:tc>
        <w:tc>
          <w:tcPr>
            <w:tcW w:type="dxa" w:w="1656"/>
          </w:tcPr>
          <w:p>
            <w:pPr>
              <w:spacing w:after="20"/>
            </w:pPr>
            <w:r>
              <w:rPr>
                <w:color w:val="1C3A36"/>
                <w:sz w:val="14"/>
              </w:rPr>
              <w:t>0.1558</w:t>
            </w:r>
          </w:p>
        </w:tc>
        <w:tc>
          <w:tcPr>
            <w:tcW w:type="dxa" w:w="5904"/>
          </w:tcPr>
          <w:p>
            <w:pPr>
              <w:spacing w:after="20"/>
            </w:pPr>
            <w:r>
              <w:rPr>
                <w:color w:val="1C3A36"/>
                <w:sz w:val="14"/>
              </w:rPr>
              <w:t>Wholesale direct cost as a share of wholesale revenue, held FLAT at the H1-2026 reviewed rate. The series worsens at every observation — 11.97% (FY2024), 13.58% (FY2025), 13.94% (H1-2025), 15.58% (H1-2026) — which du's own Q2 commentary attributes to the conflict-hit roaming and transit mix. The forecast takes NO credit for the recovery that commentary implies, and equally does not project further deterioration</w:t>
            </w:r>
          </w:p>
        </w:tc>
        <w:tc>
          <w:tcPr>
            <w:tcW w:type="dxa" w:w="1080"/>
          </w:tcPr>
          <w:p>
            <w:pPr>
              <w:spacing w:after="20"/>
            </w:pPr>
            <w:r>
              <w:rPr>
                <w:color w:val="1C3A36"/>
                <w:sz w:val="14"/>
              </w:rPr>
              <w:t>2026-08-17</w:t>
            </w:r>
          </w:p>
        </w:tc>
      </w:tr>
      <w:tr>
        <w:tc>
          <w:tcPr>
            <w:tcW w:type="dxa" w:w="1512"/>
          </w:tcPr>
          <w:p>
            <w:pPr>
              <w:spacing w:after="20"/>
            </w:pPr>
            <w:r>
              <w:rPr>
                <w:color w:val="1C3A36"/>
                <w:sz w:val="14"/>
              </w:rPr>
              <w:t>dc_rate_ict</w:t>
            </w:r>
          </w:p>
        </w:tc>
        <w:tc>
          <w:tcPr>
            <w:tcW w:type="dxa" w:w="1656"/>
          </w:tcPr>
          <w:p>
            <w:pPr>
              <w:spacing w:after="20"/>
            </w:pPr>
            <w:r>
              <w:rPr>
                <w:color w:val="1C3A36"/>
                <w:sz w:val="14"/>
              </w:rPr>
              <w:t>0.7848</w:t>
            </w:r>
          </w:p>
        </w:tc>
        <w:tc>
          <w:tcPr>
            <w:tcW w:type="dxa" w:w="5904"/>
          </w:tcPr>
          <w:p>
            <w:pPr>
              <w:spacing w:after="20"/>
            </w:pPr>
            <w:r>
              <w:rPr>
                <w:color w:val="1C3A36"/>
                <w:sz w:val="14"/>
              </w:rPr>
              <w:t>ICT and associated-services direct cost as a share of ICT revenue, held FLAT at the H1-2026 reviewed rate. The history does not support a trend in either direction: 79.25% (FY2024) worsened to 80.61% (FY2025) then improved to 78.48% (H1-2026). The prior edition projected a 2.1pp margin improvement on a data-centre-scale story; that story is not measurable in the disclosed series, so it has been removed and the rate held flat</w:t>
            </w:r>
          </w:p>
        </w:tc>
        <w:tc>
          <w:tcPr>
            <w:tcW w:type="dxa" w:w="1080"/>
          </w:tcPr>
          <w:p>
            <w:pPr>
              <w:spacing w:after="20"/>
            </w:pPr>
            <w:r>
              <w:rPr>
                <w:color w:val="1C3A36"/>
                <w:sz w:val="14"/>
              </w:rPr>
              <w:t>2026-08-17</w:t>
            </w:r>
          </w:p>
        </w:tc>
      </w:tr>
      <w:tr>
        <w:tc>
          <w:tcPr>
            <w:tcW w:type="dxa" w:w="1512"/>
          </w:tcPr>
          <w:p>
            <w:pPr>
              <w:spacing w:after="20"/>
            </w:pPr>
            <w:r>
              <w:rPr>
                <w:color w:val="1C3A36"/>
                <w:sz w:val="14"/>
              </w:rPr>
              <w:t>esc_staff</w:t>
            </w:r>
          </w:p>
        </w:tc>
        <w:tc>
          <w:tcPr>
            <w:tcW w:type="dxa" w:w="1656"/>
          </w:tcPr>
          <w:p>
            <w:pPr>
              <w:spacing w:after="20"/>
            </w:pPr>
            <w:r>
              <w:rPr>
                <w:color w:val="1C3A36"/>
                <w:sz w:val="14"/>
              </w:rPr>
              <w:t>0.02</w:t>
            </w:r>
          </w:p>
        </w:tc>
        <w:tc>
          <w:tcPr>
            <w:tcW w:type="dxa" w:w="5904"/>
          </w:tcPr>
          <w:p>
            <w:pPr>
              <w:spacing w:after="20"/>
            </w:pPr>
            <w:r>
              <w:rPr>
                <w:color w:val="1C3A36"/>
                <w:sz w:val="14"/>
              </w:rPr>
              <w:t>Staff-cost escalator 2.0%/yr — UAE wage inflation proxied by CPI (~2%) on a base the company is actively managing DOWN (H1-2026 staff cost −6.3% y/y, reviewed interims); applied from a rebased FY2026 level</w:t>
            </w:r>
          </w:p>
        </w:tc>
        <w:tc>
          <w:tcPr>
            <w:tcW w:type="dxa" w:w="1080"/>
          </w:tcPr>
          <w:p>
            <w:pPr>
              <w:spacing w:after="20"/>
            </w:pPr>
            <w:r>
              <w:rPr>
                <w:color w:val="1C3A36"/>
                <w:sz w:val="14"/>
              </w:rPr>
              <w:t>2026-08-09</w:t>
            </w:r>
          </w:p>
        </w:tc>
      </w:tr>
      <w:tr>
        <w:tc>
          <w:tcPr>
            <w:tcW w:type="dxa" w:w="1512"/>
          </w:tcPr>
          <w:p>
            <w:pPr>
              <w:spacing w:after="20"/>
            </w:pPr>
            <w:r>
              <w:rPr>
                <w:color w:val="1C3A36"/>
                <w:sz w:val="14"/>
              </w:rPr>
              <w:t>esc_network</w:t>
            </w:r>
          </w:p>
        </w:tc>
        <w:tc>
          <w:tcPr>
            <w:tcW w:type="dxa" w:w="1656"/>
          </w:tcPr>
          <w:p>
            <w:pPr>
              <w:spacing w:after="20"/>
            </w:pPr>
            <w:r>
              <w:rPr>
                <w:color w:val="1C3A36"/>
                <w:sz w:val="14"/>
              </w:rPr>
              <w:t>0.03</w:t>
            </w:r>
          </w:p>
        </w:tc>
        <w:tc>
          <w:tcPr>
            <w:tcW w:type="dxa" w:w="5904"/>
          </w:tcPr>
          <w:p>
            <w:pPr>
              <w:spacing w:after="20"/>
            </w:pPr>
            <w:r>
              <w:rPr>
                <w:color w:val="1C3A36"/>
                <w:sz w:val="14"/>
              </w:rPr>
              <w:t>Network &amp; maintenance escalator 3.0%/yr — grows with network scale (sites, fibre, data centres), proxied by blended subscriber growth plus capacity additions</w:t>
            </w:r>
          </w:p>
        </w:tc>
        <w:tc>
          <w:tcPr>
            <w:tcW w:type="dxa" w:w="1080"/>
          </w:tcPr>
          <w:p>
            <w:pPr>
              <w:spacing w:after="20"/>
            </w:pPr>
            <w:r>
              <w:rPr>
                <w:color w:val="1C3A36"/>
                <w:sz w:val="14"/>
              </w:rPr>
              <w:t>2026-08-09</w:t>
            </w:r>
          </w:p>
        </w:tc>
      </w:tr>
      <w:tr>
        <w:tc>
          <w:tcPr>
            <w:tcW w:type="dxa" w:w="1512"/>
          </w:tcPr>
          <w:p>
            <w:pPr>
              <w:spacing w:after="20"/>
            </w:pPr>
            <w:r>
              <w:rPr>
                <w:color w:val="1C3A36"/>
                <w:sz w:val="14"/>
              </w:rPr>
              <w:t>esc_admin</w:t>
            </w:r>
          </w:p>
        </w:tc>
        <w:tc>
          <w:tcPr>
            <w:tcW w:type="dxa" w:w="1656"/>
          </w:tcPr>
          <w:p>
            <w:pPr>
              <w:spacing w:after="20"/>
            </w:pPr>
            <w:r>
              <w:rPr>
                <w:color w:val="1C3A36"/>
                <w:sz w:val="14"/>
              </w:rPr>
              <w:t>0.02</w:t>
            </w:r>
          </w:p>
        </w:tc>
        <w:tc>
          <w:tcPr>
            <w:tcW w:type="dxa" w:w="5904"/>
          </w:tcPr>
          <w:p>
            <w:pPr>
              <w:spacing w:after="20"/>
            </w:pPr>
            <w:r>
              <w:rPr>
                <w:color w:val="1C3A36"/>
                <w:sz w:val="14"/>
              </w:rPr>
              <w:t>Administrative escalator 2.0%/yr — general UAE cost inflation</w:t>
            </w:r>
          </w:p>
        </w:tc>
        <w:tc>
          <w:tcPr>
            <w:tcW w:type="dxa" w:w="1080"/>
          </w:tcPr>
          <w:p>
            <w:pPr>
              <w:spacing w:after="20"/>
            </w:pPr>
            <w:r>
              <w:rPr>
                <w:color w:val="1C3A36"/>
                <w:sz w:val="14"/>
              </w:rPr>
              <w:t>2026-08-09</w:t>
            </w:r>
          </w:p>
        </w:tc>
      </w:tr>
      <w:tr>
        <w:tc>
          <w:tcPr>
            <w:tcW w:type="dxa" w:w="1512"/>
          </w:tcPr>
          <w:p>
            <w:pPr>
              <w:spacing w:after="20"/>
            </w:pPr>
            <w:r>
              <w:rPr>
                <w:color w:val="1C3A36"/>
                <w:sz w:val="14"/>
              </w:rPr>
              <w:t>esc_other</w:t>
            </w:r>
          </w:p>
        </w:tc>
        <w:tc>
          <w:tcPr>
            <w:tcW w:type="dxa" w:w="1656"/>
          </w:tcPr>
          <w:p>
            <w:pPr>
              <w:spacing w:after="20"/>
            </w:pPr>
            <w:r>
              <w:rPr>
                <w:color w:val="1C3A36"/>
                <w:sz w:val="14"/>
              </w:rPr>
              <w:t>0.02</w:t>
            </w:r>
          </w:p>
        </w:tc>
        <w:tc>
          <w:tcPr>
            <w:tcW w:type="dxa" w:w="5904"/>
          </w:tcPr>
          <w:p>
            <w:pPr>
              <w:spacing w:after="20"/>
            </w:pPr>
            <w:r>
              <w:rPr>
                <w:color w:val="1C3A36"/>
                <w:sz w:val="14"/>
              </w:rPr>
              <w:t>Other operating expense escalator 2.0%/yr</w:t>
            </w:r>
          </w:p>
        </w:tc>
        <w:tc>
          <w:tcPr>
            <w:tcW w:type="dxa" w:w="1080"/>
          </w:tcPr>
          <w:p>
            <w:pPr>
              <w:spacing w:after="20"/>
            </w:pPr>
            <w:r>
              <w:rPr>
                <w:color w:val="1C3A36"/>
                <w:sz w:val="14"/>
              </w:rPr>
              <w:t>2026-08-09</w:t>
            </w:r>
          </w:p>
        </w:tc>
      </w:tr>
      <w:tr>
        <w:tc>
          <w:tcPr>
            <w:tcW w:type="dxa" w:w="1512"/>
          </w:tcPr>
          <w:p>
            <w:pPr>
              <w:spacing w:after="20"/>
            </w:pPr>
            <w:r>
              <w:rPr>
                <w:color w:val="1C3A36"/>
                <w:sz w:val="14"/>
              </w:rPr>
              <w:t>marketing_pct</w:t>
            </w:r>
          </w:p>
        </w:tc>
        <w:tc>
          <w:tcPr>
            <w:tcW w:type="dxa" w:w="1656"/>
          </w:tcPr>
          <w:p>
            <w:pPr>
              <w:spacing w:after="20"/>
            </w:pPr>
            <w:r>
              <w:rPr>
                <w:color w:val="1C3A36"/>
                <w:sz w:val="14"/>
              </w:rPr>
              <w:t>0.018</w:t>
            </w:r>
          </w:p>
        </w:tc>
        <w:tc>
          <w:tcPr>
            <w:tcW w:type="dxa" w:w="5904"/>
          </w:tcPr>
          <w:p>
            <w:pPr>
              <w:spacing w:after="20"/>
            </w:pPr>
            <w:r>
              <w:rPr>
                <w:color w:val="1C3A36"/>
                <w:sz w:val="14"/>
              </w:rPr>
              <w:t>Marketing at 1.80% of revenue (FY2025 actual 1.84%, H1-2026 1.44% — conflict-quarter restraint; forecast between the two)</w:t>
            </w:r>
          </w:p>
        </w:tc>
        <w:tc>
          <w:tcPr>
            <w:tcW w:type="dxa" w:w="1080"/>
          </w:tcPr>
          <w:p>
            <w:pPr>
              <w:spacing w:after="20"/>
            </w:pPr>
            <w:r>
              <w:rPr>
                <w:color w:val="1C3A36"/>
                <w:sz w:val="14"/>
              </w:rPr>
              <w:t>2026-08-09</w:t>
            </w:r>
          </w:p>
        </w:tc>
      </w:tr>
      <w:tr>
        <w:tc>
          <w:tcPr>
            <w:tcW w:type="dxa" w:w="1512"/>
          </w:tcPr>
          <w:p>
            <w:pPr>
              <w:spacing w:after="20"/>
            </w:pPr>
            <w:r>
              <w:rPr>
                <w:color w:val="1C3A36"/>
                <w:sz w:val="14"/>
              </w:rPr>
              <w:t>licence_pct</w:t>
            </w:r>
          </w:p>
        </w:tc>
        <w:tc>
          <w:tcPr>
            <w:tcW w:type="dxa" w:w="1656"/>
          </w:tcPr>
          <w:p>
            <w:pPr>
              <w:spacing w:after="20"/>
            </w:pPr>
            <w:r>
              <w:rPr>
                <w:color w:val="1C3A36"/>
                <w:sz w:val="14"/>
              </w:rPr>
              <w:t>0.027</w:t>
            </w:r>
          </w:p>
        </w:tc>
        <w:tc>
          <w:tcPr>
            <w:tcW w:type="dxa" w:w="5904"/>
          </w:tcPr>
          <w:p>
            <w:pPr>
              <w:spacing w:after="20"/>
            </w:pPr>
            <w:r>
              <w:rPr>
                <w:color w:val="1C3A36"/>
                <w:sz w:val="14"/>
              </w:rPr>
              <w:t>Telecom licence and related fees at 2.70% of revenue (FY2025 2.73%, H1-2026 2.65% — a regulatory revenue-share, so revenue-linked by its own nature)</w:t>
            </w:r>
          </w:p>
        </w:tc>
        <w:tc>
          <w:tcPr>
            <w:tcW w:type="dxa" w:w="1080"/>
          </w:tcPr>
          <w:p>
            <w:pPr>
              <w:spacing w:after="20"/>
            </w:pPr>
            <w:r>
              <w:rPr>
                <w:color w:val="1C3A36"/>
                <w:sz w:val="14"/>
              </w:rPr>
              <w:t>2026-08-09</w:t>
            </w:r>
          </w:p>
        </w:tc>
      </w:tr>
      <w:tr>
        <w:tc>
          <w:tcPr>
            <w:tcW w:type="dxa" w:w="1512"/>
          </w:tcPr>
          <w:p>
            <w:pPr>
              <w:spacing w:after="20"/>
            </w:pPr>
            <w:r>
              <w:rPr>
                <w:color w:val="1C3A36"/>
                <w:sz w:val="14"/>
              </w:rPr>
              <w:t>ecl_pct</w:t>
            </w:r>
          </w:p>
        </w:tc>
        <w:tc>
          <w:tcPr>
            <w:tcW w:type="dxa" w:w="1656"/>
          </w:tcPr>
          <w:p>
            <w:pPr>
              <w:spacing w:after="20"/>
            </w:pPr>
            <w:r>
              <w:rPr>
                <w:color w:val="1C3A36"/>
                <w:sz w:val="14"/>
              </w:rPr>
              <w:t>0.0145</w:t>
            </w:r>
          </w:p>
        </w:tc>
        <w:tc>
          <w:tcPr>
            <w:tcW w:type="dxa" w:w="5904"/>
          </w:tcPr>
          <w:p>
            <w:pPr>
              <w:spacing w:after="20"/>
            </w:pPr>
            <w:r>
              <w:rPr>
                <w:color w:val="1C3A36"/>
                <w:sz w:val="14"/>
              </w:rPr>
              <w:t>Expected-credit-loss charge at 1.45% of revenue (FY2025 1.33%, H1-2026 1.64% — conflict-quarter receivables stress; forecast between the two)</w:t>
            </w:r>
          </w:p>
        </w:tc>
        <w:tc>
          <w:tcPr>
            <w:tcW w:type="dxa" w:w="1080"/>
          </w:tcPr>
          <w:p>
            <w:pPr>
              <w:spacing w:after="20"/>
            </w:pPr>
            <w:r>
              <w:rPr>
                <w:color w:val="1C3A36"/>
                <w:sz w:val="14"/>
              </w:rPr>
              <w:t>2026-08-09</w:t>
            </w:r>
          </w:p>
        </w:tc>
      </w:tr>
      <w:tr>
        <w:tc>
          <w:tcPr>
            <w:tcW w:type="dxa" w:w="1512"/>
          </w:tcPr>
          <w:p>
            <w:pPr>
              <w:spacing w:after="20"/>
            </w:pPr>
            <w:r>
              <w:rPr>
                <w:color w:val="1C3A36"/>
                <w:sz w:val="14"/>
              </w:rPr>
              <w:t>other_inc_path</w:t>
            </w:r>
          </w:p>
        </w:tc>
        <w:tc>
          <w:tcPr>
            <w:tcW w:type="dxa" w:w="1656"/>
          </w:tcPr>
          <w:p>
            <w:pPr>
              <w:spacing w:after="20"/>
            </w:pPr>
            <w:r>
              <w:rPr>
                <w:color w:val="1C3A36"/>
                <w:sz w:val="14"/>
              </w:rPr>
              <w:t>15</w:t>
            </w:r>
          </w:p>
        </w:tc>
        <w:tc>
          <w:tcPr>
            <w:tcW w:type="dxa" w:w="5904"/>
          </w:tcPr>
          <w:p>
            <w:pPr>
              <w:spacing w:after="20"/>
            </w:pPr>
            <w:r>
              <w:rPr>
                <w:color w:val="1C3A36"/>
                <w:sz w:val="14"/>
              </w:rPr>
              <w:t>Other operating income held at AED 15mn/yr (FY2025 21.7, H1-2026 5.8 — lumpy, small)</w:t>
            </w:r>
          </w:p>
        </w:tc>
        <w:tc>
          <w:tcPr>
            <w:tcW w:type="dxa" w:w="1080"/>
          </w:tcPr>
          <w:p>
            <w:pPr>
              <w:spacing w:after="20"/>
            </w:pPr>
            <w:r>
              <w:rPr>
                <w:color w:val="1C3A36"/>
                <w:sz w:val="14"/>
              </w:rPr>
              <w:t>2026-08-09</w:t>
            </w:r>
          </w:p>
        </w:tc>
      </w:tr>
      <w:tr>
        <w:tc>
          <w:tcPr>
            <w:tcW w:type="dxa" w:w="1512"/>
          </w:tcPr>
          <w:p>
            <w:pPr>
              <w:spacing w:after="20"/>
            </w:pPr>
            <w:r>
              <w:rPr>
                <w:color w:val="1C3A36"/>
                <w:sz w:val="14"/>
              </w:rPr>
              <w:t>capex_pct</w:t>
            </w:r>
          </w:p>
        </w:tc>
        <w:tc>
          <w:tcPr>
            <w:tcW w:type="dxa" w:w="1656"/>
          </w:tcPr>
          <w:p>
            <w:pPr>
              <w:spacing w:after="20"/>
            </w:pPr>
            <w:r>
              <w:rPr>
                <w:color w:val="1C3A36"/>
                <w:sz w:val="14"/>
              </w:rPr>
              <w:t>0.155, 0.15, 0.145, 0.135, 0.13</w:t>
            </w:r>
          </w:p>
        </w:tc>
        <w:tc>
          <w:tcPr>
            <w:tcW w:type="dxa" w:w="5904"/>
          </w:tcPr>
          <w:p>
            <w:pPr>
              <w:spacing w:after="20"/>
            </w:pPr>
            <w:r>
              <w:rPr>
                <w:color w:val="1C3A36"/>
                <w:sz w:val="14"/>
              </w:rPr>
              <w:t>Capex (PP&amp;E + intangibles, cash basis) / revenue: FY2025 actual 14.8% (2,353.230 / 15,905.421, audited CF); H1-2026 12.7% with the company stating a back-loaded, data-centre-heavy plan and commitments UP at 2,411.760 (30-Jun-26 note) vs 2,124.526 (FY2025) — 15.5% at the peak of the data-centre build, gliding to 13.0% (no numeric company capex guidance for FY2026 was published; flagged as a house path on sourced commitment evidence)</w:t>
            </w:r>
          </w:p>
        </w:tc>
        <w:tc>
          <w:tcPr>
            <w:tcW w:type="dxa" w:w="1080"/>
          </w:tcPr>
          <w:p>
            <w:pPr>
              <w:spacing w:after="20"/>
            </w:pPr>
            <w:r>
              <w:rPr>
                <w:color w:val="1C3A36"/>
                <w:sz w:val="14"/>
              </w:rPr>
              <w:t>2026-08-09</w:t>
            </w:r>
          </w:p>
        </w:tc>
      </w:tr>
      <w:tr>
        <w:tc>
          <w:tcPr>
            <w:tcW w:type="dxa" w:w="1512"/>
          </w:tcPr>
          <w:p>
            <w:pPr>
              <w:spacing w:after="20"/>
            </w:pPr>
            <w:r>
              <w:rPr>
                <w:color w:val="1C3A36"/>
                <w:sz w:val="14"/>
              </w:rPr>
              <w:t>rou_dep_path</w:t>
            </w:r>
          </w:p>
        </w:tc>
        <w:tc>
          <w:tcPr>
            <w:tcW w:type="dxa" w:w="1656"/>
          </w:tcPr>
          <w:p>
            <w:pPr>
              <w:spacing w:after="20"/>
            </w:pPr>
            <w:r>
              <w:rPr>
                <w:color w:val="1C3A36"/>
                <w:sz w:val="14"/>
              </w:rPr>
              <w:t>355.0, 350.0, 345.0, 340.0, 335.0</w:t>
            </w:r>
          </w:p>
        </w:tc>
        <w:tc>
          <w:tcPr>
            <w:tcW w:type="dxa" w:w="5904"/>
          </w:tcPr>
          <w:p>
            <w:pPr>
              <w:spacing w:after="20"/>
            </w:pPr>
            <w:r>
              <w:rPr>
                <w:color w:val="1C3A36"/>
                <w:sz w:val="14"/>
              </w:rPr>
              <w:t>Right-of-use depreciation: FY2025 actual 364.063, FY2024 374.505, FY2023 445.042 — a gently declining site-lease book; held on that glide. Lease REPLACEMENT capex is set equal to ROU depreciation in the FCFF build (the steady-state assumption; actual FY2025 lease additions were only 96.034, so this is the conservative side)</w:t>
            </w:r>
          </w:p>
        </w:tc>
        <w:tc>
          <w:tcPr>
            <w:tcW w:type="dxa" w:w="1080"/>
          </w:tcPr>
          <w:p>
            <w:pPr>
              <w:spacing w:after="20"/>
            </w:pPr>
            <w:r>
              <w:rPr>
                <w:color w:val="1C3A36"/>
                <w:sz w:val="14"/>
              </w:rPr>
              <w:t>2026-08-09</w:t>
            </w:r>
          </w:p>
        </w:tc>
      </w:tr>
      <w:tr>
        <w:tc>
          <w:tcPr>
            <w:tcW w:type="dxa" w:w="1512"/>
          </w:tcPr>
          <w:p>
            <w:pPr>
              <w:spacing w:after="20"/>
            </w:pPr>
            <w:r>
              <w:rPr>
                <w:color w:val="1C3A36"/>
                <w:sz w:val="14"/>
              </w:rPr>
              <w:t>e1_horizon_years</w:t>
            </w:r>
          </w:p>
        </w:tc>
        <w:tc>
          <w:tcPr>
            <w:tcW w:type="dxa" w:w="1656"/>
          </w:tcPr>
          <w:p>
            <w:pPr>
              <w:spacing w:after="20"/>
            </w:pPr>
            <w:r>
              <w:rPr>
                <w:color w:val="1C3A36"/>
                <w:sz w:val="14"/>
              </w:rPr>
              <w:t>2.3178</w:t>
            </w:r>
          </w:p>
        </w:tc>
        <w:tc>
          <w:tcPr>
            <w:tcW w:type="dxa" w:w="5904"/>
          </w:tcPr>
          <w:p>
            <w:pPr>
              <w:spacing w:after="20"/>
            </w:pPr>
            <w:r>
              <w:rPr>
                <w:color w:val="1C3A36"/>
                <w:sz w:val="14"/>
              </w:rPr>
              <w:t>Years from the 07-Sep-2026 anchor to 31-Dec-2028, the date Expert 1's FY2028 earnings multiple values: 877 calendar days / 365. REGISTERED 17-Aug-2026 after an external critique showed the lens was discounting over a NET 1.40 years, a full year short of anchor consistency</w:t>
            </w:r>
          </w:p>
        </w:tc>
        <w:tc>
          <w:tcPr>
            <w:tcW w:type="dxa" w:w="1080"/>
          </w:tcPr>
          <w:p>
            <w:pPr>
              <w:spacing w:after="20"/>
            </w:pPr>
            <w:r>
              <w:rPr>
                <w:color w:val="1C3A36"/>
                <w:sz w:val="14"/>
              </w:rPr>
              <w:t>2026-08-17</w:t>
            </w:r>
          </w:p>
        </w:tc>
      </w:tr>
      <w:tr>
        <w:tc>
          <w:tcPr>
            <w:tcW w:type="dxa" w:w="1512"/>
          </w:tcPr>
          <w:p>
            <w:pPr>
              <w:spacing w:after="20"/>
            </w:pPr>
            <w:r>
              <w:rPr>
                <w:color w:val="1C3A36"/>
                <w:sz w:val="14"/>
              </w:rPr>
              <w:t>lens_weights</w:t>
            </w:r>
          </w:p>
        </w:tc>
        <w:tc>
          <w:tcPr>
            <w:tcW w:type="dxa" w:w="1656"/>
          </w:tcPr>
          <w:p>
            <w:pPr>
              <w:spacing w:after="20"/>
            </w:pPr>
            <w:r>
              <w:rPr>
                <w:color w:val="1C3A36"/>
                <w:sz w:val="14"/>
              </w:rPr>
              <w:t>dcf: 0.45; relative: 0.25; normalized: 0.2; book: 0.1</w:t>
            </w:r>
          </w:p>
        </w:tc>
        <w:tc>
          <w:tcPr>
            <w:tcW w:type="dxa" w:w="5904"/>
          </w:tcPr>
          <w:p>
            <w:pPr>
              <w:spacing w:after="20"/>
            </w:pPr>
            <w:r>
              <w:rPr>
                <w:color w:val="1C3A36"/>
                <w:sz w:val="14"/>
              </w:rPr>
              <w:t>RETIRED 02-Sep-2026 and kept only as the record of what the retired construction did. These were house synthesis weights copied from an operating-company pattern; they were typed, they had never cleared an out-of-sample test, and they are no longer an input to any published figure. They are consumed in exactly two places, both of which price the retired construction rather than the answer: the Summary's own labelled retired row, and the arithmetic recording how the external weight finding was priced at the time it was raised</w:t>
            </w:r>
          </w:p>
        </w:tc>
        <w:tc>
          <w:tcPr>
            <w:tcW w:type="dxa" w:w="1080"/>
          </w:tcPr>
          <w:p>
            <w:pPr>
              <w:spacing w:after="20"/>
            </w:pPr>
            <w:r>
              <w:rPr>
                <w:color w:val="1C3A36"/>
                <w:sz w:val="14"/>
              </w:rPr>
              <w:t>2026-08-09</w:t>
            </w:r>
          </w:p>
        </w:tc>
      </w:tr>
      <w:tr>
        <w:tc>
          <w:tcPr>
            <w:tcW w:type="dxa" w:w="1512"/>
          </w:tcPr>
          <w:p>
            <w:pPr>
              <w:spacing w:after="20"/>
            </w:pPr>
            <w:r>
              <w:rPr>
                <w:color w:val="1C3A36"/>
                <w:sz w:val="14"/>
              </w:rPr>
              <w:t>kd_term</w:t>
            </w:r>
          </w:p>
        </w:tc>
        <w:tc>
          <w:tcPr>
            <w:tcW w:type="dxa" w:w="1656"/>
          </w:tcPr>
          <w:p>
            <w:pPr>
              <w:spacing w:after="20"/>
            </w:pPr>
            <w:r>
              <w:rPr>
                <w:color w:val="1C3A36"/>
                <w:sz w:val="14"/>
              </w:rPr>
              <w:t>0.049</w:t>
            </w:r>
          </w:p>
        </w:tc>
        <w:tc>
          <w:tcPr>
            <w:tcW w:type="dxa" w:w="5904"/>
          </w:tcPr>
          <w:p>
            <w:pPr>
              <w:spacing w:after="20"/>
            </w:pPr>
            <w:r>
              <w:rPr>
                <w:color w:val="1C3A36"/>
                <w:sz w:val="14"/>
              </w:rPr>
              <w:t>Terminal marginal Kd: terminal AED sovereign 4.30% + 60bp telecom spread, rounded</w:t>
            </w:r>
          </w:p>
        </w:tc>
        <w:tc>
          <w:tcPr>
            <w:tcW w:type="dxa" w:w="1080"/>
          </w:tcPr>
          <w:p>
            <w:pPr>
              <w:spacing w:after="20"/>
            </w:pPr>
            <w:r>
              <w:rPr>
                <w:color w:val="1C3A36"/>
                <w:sz w:val="14"/>
              </w:rPr>
              <w:t>2026-08-09</w:t>
            </w:r>
          </w:p>
        </w:tc>
      </w:tr>
      <w:tr>
        <w:tc>
          <w:tcPr>
            <w:tcW w:type="dxa" w:w="1512"/>
          </w:tcPr>
          <w:p>
            <w:pPr>
              <w:spacing w:after="20"/>
            </w:pPr>
            <w:r>
              <w:rPr>
                <w:color w:val="1C3A36"/>
                <w:sz w:val="14"/>
              </w:rPr>
              <w:t>wd_term</w:t>
            </w:r>
          </w:p>
        </w:tc>
        <w:tc>
          <w:tcPr>
            <w:tcW w:type="dxa" w:w="1656"/>
          </w:tcPr>
          <w:p>
            <w:pPr>
              <w:spacing w:after="20"/>
            </w:pPr>
            <w:r>
              <w:rPr>
                <w:color w:val="1C3A36"/>
                <w:sz w:val="14"/>
              </w:rPr>
              <w:t>0.05</w:t>
            </w:r>
          </w:p>
        </w:tc>
        <w:tc>
          <w:tcPr>
            <w:tcW w:type="dxa" w:w="5904"/>
          </w:tcPr>
          <w:p>
            <w:pPr>
              <w:spacing w:after="20"/>
            </w:pPr>
            <w:r>
              <w:rPr>
                <w:color w:val="1C3A36"/>
                <w:sz w:val="14"/>
              </w:rPr>
              <w:t>Terminal debt weight 5%: the disclosed capital structure is leases-only (~3.4% of EV at spot) and the board's stated posture is an unleveraged balance sheet with an undrawn RCF; 5% allows the lease book plus modest working facilities in perpetuity</w:t>
            </w:r>
          </w:p>
        </w:tc>
        <w:tc>
          <w:tcPr>
            <w:tcW w:type="dxa" w:w="1080"/>
          </w:tcPr>
          <w:p>
            <w:pPr>
              <w:spacing w:after="20"/>
            </w:pPr>
            <w:r>
              <w:rPr>
                <w:color w:val="1C3A36"/>
                <w:sz w:val="14"/>
              </w:rPr>
              <w:t>2026-08-09</w:t>
            </w:r>
          </w:p>
        </w:tc>
      </w:tr>
      <w:tr>
        <w:tc>
          <w:tcPr>
            <w:tcW w:type="dxa" w:w="1512"/>
          </w:tcPr>
          <w:p>
            <w:pPr>
              <w:spacing w:after="20"/>
            </w:pPr>
            <w:r>
              <w:rPr>
                <w:color w:val="1C3A36"/>
                <w:sz w:val="14"/>
              </w:rPr>
              <w:t>rf_path</w:t>
            </w:r>
          </w:p>
        </w:tc>
        <w:tc>
          <w:tcPr>
            <w:tcW w:type="dxa" w:w="1656"/>
          </w:tcPr>
          <w:p>
            <w:pPr>
              <w:spacing w:after="20"/>
            </w:pPr>
            <w:r>
              <w:rPr>
                <w:color w:val="1C3A36"/>
                <w:sz w:val="14"/>
              </w:rPr>
              <w:t>0.0448, 0.0444, 0.0439, 0.0435, 0.043</w:t>
            </w:r>
          </w:p>
        </w:tc>
        <w:tc>
          <w:tcPr>
            <w:tcW w:type="dxa" w:w="5904"/>
          </w:tcPr>
          <w:p>
            <w:pPr>
              <w:spacing w:after="20"/>
            </w:pPr>
            <w:r>
              <w:rPr>
                <w:color w:val="1C3A36"/>
                <w:sz w:val="14"/>
              </w:rPr>
              <w:t>AED risk-free glide path FY2026-&gt;FY2030: linear from the 4.48% live anchor to the 4.30% terminal - the glide fractions for the forward WACC are THIS path's own cumulative progress (the cost-of-money path, since du carries no debt whose Kd could define the glide)</w:t>
            </w:r>
          </w:p>
        </w:tc>
        <w:tc>
          <w:tcPr>
            <w:tcW w:type="dxa" w:w="1080"/>
          </w:tcPr>
          <w:p>
            <w:pPr>
              <w:spacing w:after="20"/>
            </w:pPr>
            <w:r>
              <w:rPr>
                <w:color w:val="1C3A36"/>
                <w:sz w:val="14"/>
              </w:rPr>
              <w:t>2026-08-09</w:t>
            </w:r>
          </w:p>
        </w:tc>
      </w:tr>
      <w:tr>
        <w:tc>
          <w:tcPr>
            <w:tcW w:type="dxa" w:w="1512"/>
          </w:tcPr>
          <w:p>
            <w:pPr>
              <w:spacing w:after="20"/>
            </w:pPr>
            <w:r>
              <w:rPr>
                <w:color w:val="1C3A36"/>
                <w:sz w:val="14"/>
              </w:rPr>
              <w:t>g_term_derived</w:t>
            </w:r>
          </w:p>
        </w:tc>
        <w:tc>
          <w:tcPr>
            <w:tcW w:type="dxa" w:w="1656"/>
          </w:tcPr>
          <w:p>
            <w:pPr>
              <w:spacing w:after="20"/>
            </w:pPr>
            <w:r>
              <w:rPr>
                <w:color w:val="1C3A36"/>
                <w:sz w:val="14"/>
              </w:rPr>
              <w:t>0.02</w:t>
            </w:r>
          </w:p>
        </w:tc>
        <w:tc>
          <w:tcPr>
            <w:tcW w:type="dxa" w:w="5904"/>
          </w:tcPr>
          <w:p>
            <w:pPr>
              <w:spacing w:after="20"/>
            </w:pPr>
            <w:r>
              <w:rPr>
                <w:color w:val="1C3A36"/>
                <w:sz w:val="14"/>
              </w:rPr>
              <w:t>DERIVED, never typed: (1 + terminal inflation 0.0200 from the house UAE macro path) x (1 + stated real growth 0.0000) - 1. The previous edition typed 2.50%.</w:t>
            </w:r>
          </w:p>
        </w:tc>
        <w:tc>
          <w:tcPr>
            <w:tcW w:type="dxa" w:w="1080"/>
          </w:tcPr>
          <w:p>
            <w:pPr>
              <w:spacing w:after="20"/>
            </w:pPr>
            <w:r>
              <w:rPr>
                <w:color w:val="1C3A36"/>
                <w:sz w:val="14"/>
              </w:rPr>
              <w:t>2026-09-03</w:t>
            </w:r>
          </w:p>
        </w:tc>
      </w:tr>
    </w:tbl>
    <w:p>
      <w:pPr>
        <w:spacing w:after="40"/>
      </w:pPr>
    </w:p>
    <w:p>
      <w:pPr>
        <w:spacing w:after="60" w:before="160"/>
      </w:pPr>
      <w:r>
        <w:rPr>
          <w:b/>
          <w:i w:val="0"/>
          <w:color w:val="1C3A36"/>
          <w:sz w:val="22"/>
        </w:rPr>
        <w:t>Country layer — 15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inflation_terminal</w:t>
            </w:r>
          </w:p>
        </w:tc>
        <w:tc>
          <w:tcPr>
            <w:tcW w:type="dxa" w:w="1656"/>
          </w:tcPr>
          <w:p>
            <w:pPr>
              <w:spacing w:after="20"/>
            </w:pPr>
            <w:r>
              <w:rPr>
                <w:color w:val="1C3A36"/>
                <w:sz w:val="14"/>
              </w:rPr>
              <w:t>0.02</w:t>
            </w:r>
          </w:p>
        </w:tc>
        <w:tc>
          <w:tcPr>
            <w:tcW w:type="dxa" w:w="5904"/>
          </w:tcPr>
          <w:p>
            <w:pPr>
              <w:spacing w:after="20"/>
            </w:pPr>
            <w:r>
              <w:rPr>
                <w:color w:val="1C3A36"/>
                <w:sz w:val="14"/>
              </w:rPr>
              <w:t>UAE LONG-RUN INFLATION, 2.00% — the terminal rate, and the escalator behind the staff, administration and other-operating-cost lines and the terminal replacement charge. REGISTERED 08-09-2026, critique finding F15: it reached this model through the house macro path for the United Arab Emirates and appeared in NO layer of the register, while the register's own READ FIRST says 'nothing in the study is computed from a figure that does not appear here'. It is the input that sets terminal growth, escalates the terminal replacement charge and drives three operating-cost escalators, and on this study's own grid it is worth AED 1.5-1.7 a share at plus or minus 50 basis points. A STUDY MAY NOT CARRY AN INFLATION NUMBER OF ITS OWN: this record does not set the figure, it DISCLOSES the house path the model reads, and the company's own audited goodwill impairment test (note 9) uses the same 2% terminal growth rate, 'determined based on management's estimate of the long-term cash flow growth rate'</w:t>
            </w:r>
          </w:p>
        </w:tc>
        <w:tc>
          <w:tcPr>
            <w:tcW w:type="dxa" w:w="1080"/>
          </w:tcPr>
          <w:p>
            <w:pPr>
              <w:spacing w:after="20"/>
            </w:pPr>
            <w:r>
              <w:rPr>
                <w:color w:val="1C3A36"/>
                <w:sz w:val="14"/>
              </w:rPr>
              <w:t>2026-09-08</w:t>
            </w:r>
          </w:p>
        </w:tc>
      </w:tr>
      <w:tr>
        <w:tc>
          <w:tcPr>
            <w:tcW w:type="dxa" w:w="1512"/>
          </w:tcPr>
          <w:p>
            <w:pPr>
              <w:spacing w:after="20"/>
            </w:pPr>
            <w:r>
              <w:rPr>
                <w:color w:val="1C3A36"/>
                <w:sz w:val="14"/>
              </w:rPr>
              <w:t>rf</w:t>
            </w:r>
          </w:p>
        </w:tc>
        <w:tc>
          <w:tcPr>
            <w:tcW w:type="dxa" w:w="1656"/>
          </w:tcPr>
          <w:p>
            <w:pPr>
              <w:spacing w:after="20"/>
            </w:pPr>
            <w:r>
              <w:rPr>
                <w:color w:val="1C3A36"/>
                <w:sz w:val="14"/>
              </w:rPr>
              <w:t>0.0448</w:t>
            </w:r>
          </w:p>
        </w:tc>
        <w:tc>
          <w:tcPr>
            <w:tcW w:type="dxa" w:w="5904"/>
          </w:tcPr>
          <w:p>
            <w:pPr>
              <w:spacing w:after="20"/>
            </w:pPr>
            <w:r>
              <w:rPr>
                <w:color w:val="1C3A36"/>
                <w:sz w:val="14"/>
              </w:rPr>
              <w:t>AED risk-free anchor: UAE federal AED Treasury BOND, January-2031 tranche, auction yield 4.48%, MoF/WAM results release of 30-Jul-2026, priced at a 4bp spread over the comparable US Treasury. THE SPREAD IS NOT QUOTED VERBATIM (corrected 17-Aug-2026): the MoF sentence is malformed in the original release ('a spread of 24 and 4 to basis points respectively', covering the Oct-2027 and Jan-2031 tranches together), so the 4bp is read from that sentence rather than lifted as a clean quotation, and the prior edition was wrong to present it as one. This is the longest LIQUID recent AED government primary print. There is NO liquid 10-year AED point: the only AED federal tranche maturing beyond January 2031 is the February-2033 Islamic Treasury SUKUK (see rf_alt_long) - a sukuk, NOT a conventional T-Bond, which the prior edition mislabelled. The 10-year peg-extrapolated alternative (Abu Dhabi USD 10y 4.73% Feb-2026 less the ~4bp AED-through-USD basis ~= 4.69%) is carried as rf_alt and PRICED in section 1.8 rather than averaged in</w:t>
            </w:r>
          </w:p>
        </w:tc>
        <w:tc>
          <w:tcPr>
            <w:tcW w:type="dxa" w:w="1080"/>
          </w:tcPr>
          <w:p>
            <w:pPr>
              <w:spacing w:after="20"/>
            </w:pPr>
            <w:r>
              <w:rPr>
                <w:color w:val="1C3A36"/>
                <w:sz w:val="14"/>
              </w:rPr>
              <w:t>2026-07-30</w:t>
            </w:r>
          </w:p>
        </w:tc>
      </w:tr>
      <w:tr>
        <w:tc>
          <w:tcPr>
            <w:tcW w:type="dxa" w:w="1512"/>
          </w:tcPr>
          <w:p>
            <w:pPr>
              <w:spacing w:after="20"/>
            </w:pPr>
            <w:r>
              <w:rPr>
                <w:color w:val="1C3A36"/>
                <w:sz w:val="14"/>
              </w:rPr>
              <w:t>erp_mature_base</w:t>
            </w:r>
          </w:p>
        </w:tc>
        <w:tc>
          <w:tcPr>
            <w:tcW w:type="dxa" w:w="1656"/>
          </w:tcPr>
          <w:p>
            <w:pPr>
              <w:spacing w:after="20"/>
            </w:pPr>
            <w:r>
              <w:rPr>
                <w:color w:val="1C3A36"/>
                <w:sz w:val="14"/>
              </w:rPr>
              <w:t>0.0423</w:t>
            </w:r>
          </w:p>
        </w:tc>
        <w:tc>
          <w:tcPr>
            <w:tcW w:type="dxa" w:w="5904"/>
          </w:tcPr>
          <w:p>
            <w:pPr>
              <w:spacing w:after="20"/>
            </w:pPr>
            <w:r>
              <w:rPr>
                <w:color w:val="1C3A36"/>
                <w:sz w:val="14"/>
              </w:rPr>
              <w:t>Damodaran mature-market equity risk premium base, Jan-2026 edition, read from the original ctryprem file. Both published UAE constructions add their country premium to THIS number: the adopted market-spread basis (4.23% + 6bp) and the alternative rating basis (4.23% + 64bp, Aa2). Quoted four times across the delivered documents and committed here so those quotations reconcile</w:t>
            </w:r>
          </w:p>
        </w:tc>
        <w:tc>
          <w:tcPr>
            <w:tcW w:type="dxa" w:w="1080"/>
          </w:tcPr>
          <w:p>
            <w:pPr>
              <w:spacing w:after="20"/>
            </w:pPr>
            <w:r>
              <w:rPr>
                <w:color w:val="1C3A36"/>
                <w:sz w:val="14"/>
              </w:rPr>
              <w:t>2026-01-01</w:t>
            </w:r>
          </w:p>
        </w:tc>
      </w:tr>
      <w:tr>
        <w:tc>
          <w:tcPr>
            <w:tcW w:type="dxa" w:w="1512"/>
          </w:tcPr>
          <w:p>
            <w:pPr>
              <w:spacing w:after="20"/>
            </w:pPr>
            <w:r>
              <w:rPr>
                <w:color w:val="1C3A36"/>
                <w:sz w:val="14"/>
              </w:rPr>
              <w:t>rf_ad_usd_10y</w:t>
            </w:r>
          </w:p>
        </w:tc>
        <w:tc>
          <w:tcPr>
            <w:tcW w:type="dxa" w:w="1656"/>
          </w:tcPr>
          <w:p>
            <w:pPr>
              <w:spacing w:after="20"/>
            </w:pPr>
            <w:r>
              <w:rPr>
                <w:color w:val="1C3A36"/>
                <w:sz w:val="14"/>
              </w:rPr>
              <w:t>0.0473</w:t>
            </w:r>
          </w:p>
        </w:tc>
        <w:tc>
          <w:tcPr>
            <w:tcW w:type="dxa" w:w="5904"/>
          </w:tcPr>
          <w:p>
            <w:pPr>
              <w:spacing w:after="20"/>
            </w:pPr>
            <w:r>
              <w:rPr>
                <w:color w:val="1C3A36"/>
                <w:sz w:val="14"/>
              </w:rPr>
              <w:t>Abu Dhabi sovereign USD 10-year, Feb-2026 issue, priced at UST+25bp. The peg-extrapolated alternative risk-free anchor is this figure less the ~4bp observed AED-through-USD basis at matched tenor; the AED-equivalent result is registered separately as rf_alt, and this is the USD leg it is built from</w:t>
            </w:r>
          </w:p>
        </w:tc>
        <w:tc>
          <w:tcPr>
            <w:tcW w:type="dxa" w:w="1080"/>
          </w:tcPr>
          <w:p>
            <w:pPr>
              <w:spacing w:after="20"/>
            </w:pPr>
            <w:r>
              <w:rPr>
                <w:color w:val="1C3A36"/>
                <w:sz w:val="14"/>
              </w:rPr>
              <w:t>2026-02-01</w:t>
            </w:r>
          </w:p>
        </w:tc>
      </w:tr>
      <w:tr>
        <w:tc>
          <w:tcPr>
            <w:tcW w:type="dxa" w:w="1512"/>
          </w:tcPr>
          <w:p>
            <w:pPr>
              <w:spacing w:after="20"/>
            </w:pPr>
            <w:r>
              <w:rPr>
                <w:color w:val="1C3A36"/>
                <w:sz w:val="14"/>
              </w:rPr>
              <w:t>g_term_real</w:t>
            </w:r>
          </w:p>
        </w:tc>
        <w:tc>
          <w:tcPr>
            <w:tcW w:type="dxa" w:w="1656"/>
          </w:tcPr>
          <w:p>
            <w:pPr>
              <w:spacing w:after="20"/>
            </w:pPr>
            <w:r>
              <w:rPr>
                <w:color w:val="1C3A36"/>
                <w:sz w:val="14"/>
              </w:rPr>
              <w:t>0</w:t>
            </w:r>
          </w:p>
        </w:tc>
        <w:tc>
          <w:tcPr>
            <w:tcW w:type="dxa" w:w="5904"/>
          </w:tcPr>
          <w:p>
            <w:pPr>
              <w:spacing w:after="20"/>
            </w:pPr>
            <w:r>
              <w:rPr>
                <w:color w:val="1C3A36"/>
                <w:sz w:val="14"/>
              </w:rPr>
              <w:t>Terminal REAL growth of ZERO, the house default for a real rate nobody has quantified. The previous edition typed a nominal 2.5% and argued it as 'population-plus-inflation minus price erosion' — which names TWO real forces pointing opposite ways and puts a number on NEITHER, so the +0.49% real that a 2.5% nominal implies against 2.0% inflation was never anybody's estimate; it was the residue of typing the nominal figure. Real growth is now CHARGED for the capital it consumes, which this model's own forecast prices at AED 10,430mn per unit of real growth, so half a point of it is worth AED 52mn a year for ever. Assuming it away is the conservative reading and the sensitivity publishes the alternative rather than burying it</w:t>
            </w:r>
          </w:p>
        </w:tc>
        <w:tc>
          <w:tcPr>
            <w:tcW w:type="dxa" w:w="1080"/>
          </w:tcPr>
          <w:p>
            <w:pPr>
              <w:spacing w:after="20"/>
            </w:pPr>
            <w:r>
              <w:rPr>
                <w:color w:val="1C3A36"/>
                <w:sz w:val="14"/>
              </w:rPr>
              <w:t>2026-08-09</w:t>
            </w:r>
          </w:p>
        </w:tc>
      </w:tr>
      <w:tr>
        <w:tc>
          <w:tcPr>
            <w:tcW w:type="dxa" w:w="1512"/>
          </w:tcPr>
          <w:p>
            <w:pPr>
              <w:spacing w:after="20"/>
            </w:pPr>
            <w:r>
              <w:rPr>
                <w:color w:val="1C3A36"/>
                <w:sz w:val="14"/>
              </w:rPr>
              <w:t>rf_alt</w:t>
            </w:r>
          </w:p>
        </w:tc>
        <w:tc>
          <w:tcPr>
            <w:tcW w:type="dxa" w:w="1656"/>
          </w:tcPr>
          <w:p>
            <w:pPr>
              <w:spacing w:after="20"/>
            </w:pPr>
            <w:r>
              <w:rPr>
                <w:color w:val="1C3A36"/>
                <w:sz w:val="14"/>
              </w:rPr>
              <w:t>0.0469</w:t>
            </w:r>
          </w:p>
        </w:tc>
        <w:tc>
          <w:tcPr>
            <w:tcW w:type="dxa" w:w="5904"/>
          </w:tcPr>
          <w:p>
            <w:pPr>
              <w:spacing w:after="20"/>
            </w:pPr>
            <w:r>
              <w:rPr>
                <w:color w:val="1C3A36"/>
                <w:sz w:val="14"/>
              </w:rPr>
              <w:t>Peg-extrapolated 10-year AED proxy: Abu Dhabi sovereign USD 10-year 4.73% (Feb-2026 issue, UST+25bp) less ~4bp observed AED-through-USD basis at matched tenor. The priced alternative construction for the risk-free tenor gap</w:t>
            </w:r>
          </w:p>
        </w:tc>
        <w:tc>
          <w:tcPr>
            <w:tcW w:type="dxa" w:w="1080"/>
          </w:tcPr>
          <w:p>
            <w:pPr>
              <w:spacing w:after="20"/>
            </w:pPr>
            <w:r>
              <w:rPr>
                <w:color w:val="1C3A36"/>
                <w:sz w:val="14"/>
              </w:rPr>
              <w:t>2026-08-06</w:t>
            </w:r>
          </w:p>
        </w:tc>
      </w:tr>
      <w:tr>
        <w:tc>
          <w:tcPr>
            <w:tcW w:type="dxa" w:w="1512"/>
          </w:tcPr>
          <w:p>
            <w:pPr>
              <w:spacing w:after="20"/>
            </w:pPr>
            <w:r>
              <w:rPr>
                <w:color w:val="1C3A36"/>
                <w:sz w:val="14"/>
              </w:rPr>
              <w:t>sov_spread_market_observed</w:t>
            </w:r>
          </w:p>
        </w:tc>
        <w:tc>
          <w:tcPr>
            <w:tcW w:type="dxa" w:w="1656"/>
          </w:tcPr>
          <w:p>
            <w:pPr>
              <w:spacing w:after="20"/>
            </w:pPr>
            <w:r>
              <w:rPr>
                <w:color w:val="1C3A36"/>
                <w:sz w:val="14"/>
              </w:rPr>
              <w:t>0.0004</w:t>
            </w:r>
          </w:p>
        </w:tc>
        <w:tc>
          <w:tcPr>
            <w:tcW w:type="dxa" w:w="5904"/>
          </w:tcPr>
          <w:p>
            <w:pPr>
              <w:spacing w:after="20"/>
            </w:pPr>
            <w:r>
              <w:rPr>
                <w:color w:val="1C3A36"/>
                <w:sz w:val="14"/>
              </w:rPr>
              <w:t>[KEY RENAMED 03-Sep-2026] This entry was keyed "sov_spread_rating",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PRIMARY BASIS (changed 17-Aug-2026): UAE sovereign default spread 4bp, MARKET-OBSERVED on the very instrument this model uses as its risk-free rate. The UAE MoF/WAM auction release records the January-2031 AED T-Bond pricing at 4.48% at a 4bp spread above the comparable US Treasury (read from the release, not quoted verbatim - the sentence is malformed in the original). The prior edition netted Damodaran's RATING-based 42bp instead, which drove rf* to 4.06% - roughly 26bp BELOW the matched-tenor US Treasury. A synthetic default-free dirham rate cannot sit below the default-free dollar rate under a hard peg, and that no-arbitrage test is now asserted in code. The rating basis (42bp with the 4.87% ERP, Ke 6.44%) is retained and published as the alternative construction per the both-bases rule; it is NOT averaged in. Note a floor applied to the rating basis was considered and REJECTED as incoherent: it would net a market spread while adding back a rating-based country premium, the exact same-basis violation the method exists to prevent</w:t>
            </w:r>
          </w:p>
        </w:tc>
        <w:tc>
          <w:tcPr>
            <w:tcW w:type="dxa" w:w="1080"/>
          </w:tcPr>
          <w:p>
            <w:pPr>
              <w:spacing w:after="20"/>
            </w:pPr>
            <w:r>
              <w:rPr>
                <w:color w:val="1C3A36"/>
                <w:sz w:val="14"/>
              </w:rPr>
              <w:t>2026-07-30</w:t>
            </w:r>
          </w:p>
        </w:tc>
      </w:tr>
      <w:tr>
        <w:tc>
          <w:tcPr>
            <w:tcW w:type="dxa" w:w="1512"/>
          </w:tcPr>
          <w:p>
            <w:pPr>
              <w:spacing w:after="20"/>
            </w:pPr>
            <w:r>
              <w:rPr>
                <w:color w:val="1C3A36"/>
                <w:sz w:val="14"/>
              </w:rPr>
              <w:t>erp_market_basis</w:t>
            </w:r>
          </w:p>
        </w:tc>
        <w:tc>
          <w:tcPr>
            <w:tcW w:type="dxa" w:w="1656"/>
          </w:tcPr>
          <w:p>
            <w:pPr>
              <w:spacing w:after="20"/>
            </w:pPr>
            <w:r>
              <w:rPr>
                <w:color w:val="1C3A36"/>
                <w:sz w:val="14"/>
              </w:rPr>
              <w:t>0.0429</w:t>
            </w:r>
          </w:p>
        </w:tc>
        <w:tc>
          <w:tcPr>
            <w:tcW w:type="dxa" w:w="5904"/>
          </w:tcPr>
          <w:p>
            <w:pPr>
              <w:spacing w:after="20"/>
            </w:pPr>
            <w:r>
              <w:rPr>
                <w:color w:val="1C3A36"/>
                <w:sz w:val="14"/>
              </w:rPr>
              <w:t>[KEY RENAMED 03-Sep-2026] This entry was keyed "erp_rating",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PRIMARY BASIS (changed 17-Aug-2026): UAE total equity risk premium 4.29% on the MARKET-spread basis = Damodaran's 4.23% mature-market base (Jan-2026) + a country risk premium of 6bp, scaled off the 4bp market default spread using Damodaran's own CRP/spread multiple (0.64/0.42 = 1.524). Paired with the 4bp netting above so the same basis is stripped as is added back. ALTERNATIVE PUBLISHED: the rating basis, 4.87% = 4.23% + 0.64% CRP (Aa2), paired with the 42bp netting -&gt; Ke 6.44%. A third variant using the live implied US premium (4.28% + 0.06% = 4.34%) is disclosed for completeness. All three sit within 10bp of one another on Ke, which is what the same-basis rule is for</w:t>
            </w:r>
          </w:p>
        </w:tc>
        <w:tc>
          <w:tcPr>
            <w:tcW w:type="dxa" w:w="1080"/>
          </w:tcPr>
          <w:p>
            <w:pPr>
              <w:spacing w:after="20"/>
            </w:pPr>
            <w:r>
              <w:rPr>
                <w:color w:val="1C3A36"/>
                <w:sz w:val="14"/>
              </w:rPr>
              <w:t>2026-08-01</w:t>
            </w:r>
          </w:p>
        </w:tc>
      </w:tr>
      <w:tr>
        <w:tc>
          <w:tcPr>
            <w:tcW w:type="dxa" w:w="1512"/>
          </w:tcPr>
          <w:p>
            <w:pPr>
              <w:spacing w:after="20"/>
            </w:pPr>
            <w:r>
              <w:rPr>
                <w:color w:val="1C3A36"/>
                <w:sz w:val="14"/>
              </w:rPr>
              <w:t>sov_spread_damodaran_rating</w:t>
            </w:r>
          </w:p>
        </w:tc>
        <w:tc>
          <w:tcPr>
            <w:tcW w:type="dxa" w:w="1656"/>
          </w:tcPr>
          <w:p>
            <w:pPr>
              <w:spacing w:after="20"/>
            </w:pPr>
            <w:r>
              <w:rPr>
                <w:color w:val="1C3A36"/>
                <w:sz w:val="14"/>
              </w:rPr>
              <w:t>0.0042</w:t>
            </w:r>
          </w:p>
        </w:tc>
        <w:tc>
          <w:tcPr>
            <w:tcW w:type="dxa" w:w="5904"/>
          </w:tcPr>
          <w:p>
            <w:pPr>
              <w:spacing w:after="20"/>
            </w:pPr>
            <w:r>
              <w:rPr>
                <w:color w:val="1C3A36"/>
                <w:sz w:val="14"/>
              </w:rPr>
              <w:t>[KEY RENAMED 03-Sep-2026] This entry was keyed "sov_spread_mkt",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The RATING-basis default spread, now carried as the ALTERNATIVE construction (it was primary before 17-Aug-2026): Damodaran ctryprem (05-Jan-2026), UAE row, Moody's Aa2, rating-based adjusted default spread 0.42%, paired with the 4.87% rating ERP</w:t>
            </w:r>
          </w:p>
        </w:tc>
        <w:tc>
          <w:tcPr>
            <w:tcW w:type="dxa" w:w="1080"/>
          </w:tcPr>
          <w:p>
            <w:pPr>
              <w:spacing w:after="20"/>
            </w:pPr>
            <w:r>
              <w:rPr>
                <w:color w:val="1C3A36"/>
                <w:sz w:val="14"/>
              </w:rPr>
              <w:t>2026-01-05</w:t>
            </w:r>
          </w:p>
        </w:tc>
      </w:tr>
      <w:tr>
        <w:tc>
          <w:tcPr>
            <w:tcW w:type="dxa" w:w="1512"/>
          </w:tcPr>
          <w:p>
            <w:pPr>
              <w:spacing w:after="20"/>
            </w:pPr>
            <w:r>
              <w:rPr>
                <w:color w:val="1C3A36"/>
                <w:sz w:val="14"/>
              </w:rPr>
              <w:t>erp_rating_basis</w:t>
            </w:r>
          </w:p>
        </w:tc>
        <w:tc>
          <w:tcPr>
            <w:tcW w:type="dxa" w:w="1656"/>
          </w:tcPr>
          <w:p>
            <w:pPr>
              <w:spacing w:after="20"/>
            </w:pPr>
            <w:r>
              <w:rPr>
                <w:color w:val="1C3A36"/>
                <w:sz w:val="14"/>
              </w:rPr>
              <w:t>0.0487</w:t>
            </w:r>
          </w:p>
        </w:tc>
        <w:tc>
          <w:tcPr>
            <w:tcW w:type="dxa" w:w="5904"/>
          </w:tcPr>
          <w:p>
            <w:pPr>
              <w:spacing w:after="20"/>
            </w:pPr>
            <w:r>
              <w:rPr>
                <w:color w:val="1C3A36"/>
                <w:sz w:val="14"/>
              </w:rPr>
              <w:t>[KEY RENAMED 03-Sep-2026] This entry was keyed "erp_mkt", which said the OPPOSITE of its own source: the 17-Aug-2026 switch of primary basis swapped which construction was adopted and left the key names behind. The arithmetic and the delivered document were both correct throughout (rf* strips 4bp and the adopted ERP is the market basis, so country risk enters exactly once); only the key lied, and a key is what any other tool reads. The RATING-basis total ERP, now the ALTERNATIVE: 4.87% = 4.23% mature + 0.64% CRP (Aa2), Damodaran 05-Jan-2026. Same-basis pair with the 0.42% rating spread</w:t>
            </w:r>
          </w:p>
        </w:tc>
        <w:tc>
          <w:tcPr>
            <w:tcW w:type="dxa" w:w="1080"/>
          </w:tcPr>
          <w:p>
            <w:pPr>
              <w:spacing w:after="20"/>
            </w:pPr>
            <w:r>
              <w:rPr>
                <w:color w:val="1C3A36"/>
                <w:sz w:val="14"/>
              </w:rPr>
              <w:t>2026-01-05</w:t>
            </w:r>
          </w:p>
        </w:tc>
      </w:tr>
      <w:tr>
        <w:tc>
          <w:tcPr>
            <w:tcW w:type="dxa" w:w="1512"/>
          </w:tcPr>
          <w:p>
            <w:pPr>
              <w:spacing w:after="20"/>
            </w:pPr>
            <w:r>
              <w:rPr>
                <w:color w:val="1C3A36"/>
                <w:sz w:val="14"/>
              </w:rPr>
              <w:t>rf_term</w:t>
            </w:r>
          </w:p>
        </w:tc>
        <w:tc>
          <w:tcPr>
            <w:tcW w:type="dxa" w:w="1656"/>
          </w:tcPr>
          <w:p>
            <w:pPr>
              <w:spacing w:after="20"/>
            </w:pPr>
            <w:r>
              <w:rPr>
                <w:color w:val="1C3A36"/>
                <w:sz w:val="14"/>
              </w:rPr>
              <w:t>0.043</w:t>
            </w:r>
          </w:p>
        </w:tc>
        <w:tc>
          <w:tcPr>
            <w:tcW w:type="dxa" w:w="5904"/>
          </w:tcPr>
          <w:p>
            <w:pPr>
              <w:spacing w:after="20"/>
            </w:pPr>
            <w:r>
              <w:rPr>
                <w:color w:val="1C3A36"/>
                <w:sz w:val="14"/>
              </w:rPr>
              <w:t>Terminal AED risk-free 4.30%: Fed long-run neutral ~3% (FOMC dots) implies a ~4.2-4.4% 10y UST through the term premium, and the AED curve prints at/through UST under the peg (Jan-31 tranche +4bp). Below the current 4.48% anchor - the glide is mild easing, not a heroic rate call. Markets currently price possible near-term HIKES (~4% policy by end-2026), which is why the glide is kept shallow</w:t>
            </w:r>
          </w:p>
        </w:tc>
        <w:tc>
          <w:tcPr>
            <w:tcW w:type="dxa" w:w="1080"/>
          </w:tcPr>
          <w:p>
            <w:pPr>
              <w:spacing w:after="20"/>
            </w:pPr>
            <w:r>
              <w:rPr>
                <w:color w:val="1C3A36"/>
                <w:sz w:val="14"/>
              </w:rPr>
              <w:t>2026-08-09</w:t>
            </w:r>
          </w:p>
        </w:tc>
      </w:tr>
      <w:tr>
        <w:tc>
          <w:tcPr>
            <w:tcW w:type="dxa" w:w="1512"/>
          </w:tcPr>
          <w:p>
            <w:pPr>
              <w:spacing w:after="20"/>
            </w:pPr>
            <w:r>
              <w:rPr>
                <w:color w:val="1C3A36"/>
                <w:sz w:val="14"/>
              </w:rPr>
              <w:t>erp_term</w:t>
            </w:r>
          </w:p>
        </w:tc>
        <w:tc>
          <w:tcPr>
            <w:tcW w:type="dxa" w:w="1656"/>
          </w:tcPr>
          <w:p>
            <w:pPr>
              <w:spacing w:after="20"/>
            </w:pPr>
            <w:r>
              <w:rPr>
                <w:color w:val="1C3A36"/>
                <w:sz w:val="14"/>
              </w:rPr>
              <w:t>0.0429</w:t>
            </w:r>
          </w:p>
        </w:tc>
        <w:tc>
          <w:tcPr>
            <w:tcW w:type="dxa" w:w="5904"/>
          </w:tcPr>
          <w:p>
            <w:pPr>
              <w:spacing w:after="20"/>
            </w:pPr>
            <w:r>
              <w:rPr>
                <w:color w:val="1C3A36"/>
                <w:sz w:val="14"/>
              </w:rPr>
              <w:t>Terminal ERP held at the primary market-basis UAE ERP 4.29% (no structural convergence assumed for an Aa2 sovereign already priced at 4bp over US Treasuries)</w:t>
            </w:r>
          </w:p>
        </w:tc>
        <w:tc>
          <w:tcPr>
            <w:tcW w:type="dxa" w:w="1080"/>
          </w:tcPr>
          <w:p>
            <w:pPr>
              <w:spacing w:after="20"/>
            </w:pPr>
            <w:r>
              <w:rPr>
                <w:color w:val="1C3A36"/>
                <w:sz w:val="14"/>
              </w:rPr>
              <w:t>2026-08-01</w:t>
            </w:r>
          </w:p>
        </w:tc>
      </w:tr>
      <w:tr>
        <w:tc>
          <w:tcPr>
            <w:tcW w:type="dxa" w:w="1512"/>
          </w:tcPr>
          <w:p>
            <w:pPr>
              <w:spacing w:after="20"/>
            </w:pPr>
            <w:r>
              <w:rPr>
                <w:color w:val="1C3A36"/>
                <w:sz w:val="14"/>
              </w:rPr>
              <w:t>ust_matched</w:t>
            </w:r>
          </w:p>
        </w:tc>
        <w:tc>
          <w:tcPr>
            <w:tcW w:type="dxa" w:w="1656"/>
          </w:tcPr>
          <w:p>
            <w:pPr>
              <w:spacing w:after="20"/>
            </w:pPr>
            <w:r>
              <w:rPr>
                <w:color w:val="1C3A36"/>
                <w:sz w:val="14"/>
              </w:rPr>
              <w:t>0.0432</w:t>
            </w:r>
          </w:p>
        </w:tc>
        <w:tc>
          <w:tcPr>
            <w:tcW w:type="dxa" w:w="5904"/>
          </w:tcPr>
          <w:p>
            <w:pPr>
              <w:spacing w:after="20"/>
            </w:pPr>
            <w:r>
              <w:rPr>
                <w:color w:val="1C3A36"/>
                <w:sz w:val="14"/>
              </w:rPr>
              <w:t>Matched-tenor US Treasury yield ~4.32% at the anchor (3y 4.25% / 5y 4.35% on 07-Aug-2026, treasury.gov, interpolated to the Jan-2031 tranche's ~4.4-year point). Used ONLY as the no-arbitrage floor test on rf*: under a hard peg a default-free AED rate may not sit below the default-free USD rate at matched tenor. Never used as the risk-free rate itself - the protocol requires the local government bond even for a pegged currency</w:t>
            </w:r>
          </w:p>
        </w:tc>
        <w:tc>
          <w:tcPr>
            <w:tcW w:type="dxa" w:w="1080"/>
          </w:tcPr>
          <w:p>
            <w:pPr>
              <w:spacing w:after="20"/>
            </w:pPr>
            <w:r>
              <w:rPr>
                <w:color w:val="1C3A36"/>
                <w:sz w:val="14"/>
              </w:rPr>
              <w:t>2026-08-07</w:t>
            </w:r>
          </w:p>
        </w:tc>
      </w:tr>
      <w:tr>
        <w:tc>
          <w:tcPr>
            <w:tcW w:type="dxa" w:w="1512"/>
          </w:tcPr>
          <w:p>
            <w:pPr>
              <w:spacing w:after="20"/>
            </w:pPr>
            <w:r>
              <w:rPr>
                <w:color w:val="1C3A36"/>
                <w:sz w:val="14"/>
              </w:rPr>
              <w:t>rf_alt_long</w:t>
            </w:r>
          </w:p>
        </w:tc>
        <w:tc>
          <w:tcPr>
            <w:tcW w:type="dxa" w:w="1656"/>
          </w:tcPr>
          <w:p>
            <w:pPr>
              <w:spacing w:after="20"/>
            </w:pPr>
            <w:r>
              <w:rPr>
                <w:color w:val="1C3A36"/>
                <w:sz w:val="14"/>
              </w:rPr>
              <w:t>0.0413</w:t>
            </w:r>
          </w:p>
        </w:tc>
        <w:tc>
          <w:tcPr>
            <w:tcW w:type="dxa" w:w="5904"/>
          </w:tcPr>
          <w:p>
            <w:pPr>
              <w:spacing w:after="20"/>
            </w:pPr>
            <w:r>
              <w:rPr>
                <w:color w:val="1C3A36"/>
                <w:sz w:val="14"/>
              </w:rPr>
              <w:t>LONGEST-TENOR AED federal alternative, PRICED not averaged: the February-2033 Islamic Treasury Sukuk (7-year), SECOND TAP, yield 4.13% at a 10bp spread over comparable US Treasuries, MoF release 23-Apr-2026. BOTH PRINTS OF THIS INSTRUMENT ARE NOW RECORDED (added 17-Aug-2026) because an external critique cited the other one: the DEBUT issuance was AED 550mn at 3.779%, MoF release 22-Feb-2026, described as priced below par to comparable US Treasuries and as the longest tenor issued under the programme to date. The critique argued the risk-free rate should therefore be 3.779%. It should not: that print is the debut, and the issuer's own re-offer of the SAME instrument two months later cleared 35bp higher, while the Jan-2031 T-Bond rose from 3.90% (31-Jan-2026) through 3.85% (14-Mar) and 4.30% (23-May) to 4.48% (30-Jul). Using a 5.5-month-stale debut print as the current risk-free rate would import a rate environment that no longer existed at the anchor. The honest longest-tenor alternative to 4.48% is therefore 4.13% (-35bp), not 3.779% (-70bp), and it is priced in section 1.8</w:t>
            </w:r>
          </w:p>
        </w:tc>
        <w:tc>
          <w:tcPr>
            <w:tcW w:type="dxa" w:w="1080"/>
          </w:tcPr>
          <w:p>
            <w:pPr>
              <w:spacing w:after="20"/>
            </w:pPr>
            <w:r>
              <w:rPr>
                <w:color w:val="1C3A36"/>
                <w:sz w:val="14"/>
              </w:rPr>
              <w:t>2026-04-23</w:t>
            </w:r>
          </w:p>
        </w:tc>
      </w:tr>
      <w:tr>
        <w:tc>
          <w:tcPr>
            <w:tcW w:type="dxa" w:w="1512"/>
          </w:tcPr>
          <w:p>
            <w:pPr>
              <w:spacing w:after="20"/>
            </w:pPr>
            <w:r>
              <w:rPr>
                <w:color w:val="1C3A36"/>
                <w:sz w:val="14"/>
              </w:rPr>
              <w:t>rf_sukuk_debut</w:t>
            </w:r>
          </w:p>
        </w:tc>
        <w:tc>
          <w:tcPr>
            <w:tcW w:type="dxa" w:w="1656"/>
          </w:tcPr>
          <w:p>
            <w:pPr>
              <w:spacing w:after="20"/>
            </w:pPr>
            <w:r>
              <w:rPr>
                <w:color w:val="1C3A36"/>
                <w:sz w:val="14"/>
              </w:rPr>
              <w:t>0.0378</w:t>
            </w:r>
          </w:p>
        </w:tc>
        <w:tc>
          <w:tcPr>
            <w:tcW w:type="dxa" w:w="5904"/>
          </w:tcPr>
          <w:p>
            <w:pPr>
              <w:spacing w:after="20"/>
            </w:pPr>
            <w:r>
              <w:rPr>
                <w:color w:val="1C3A36"/>
                <w:sz w:val="14"/>
              </w:rPr>
              <w:t>The February-2033 AED Islamic Treasury Sukuk DEBUT print: AED 550mn at 3.779%, MoF release 22-Feb-2026, described as priced below par to comparable US Treasuries and as the longest tenor issued under the programme to date. REGISTERED 17-Aug-2026 solely so that an external critique advocating this figure as the risk-free rate could be PRICED on the real chain before being judged. It is not used in any published valuation: the same instrument's second tap cleared 4.13% two months later (see rf_alt_long)</w:t>
            </w:r>
          </w:p>
        </w:tc>
        <w:tc>
          <w:tcPr>
            <w:tcW w:type="dxa" w:w="1080"/>
          </w:tcPr>
          <w:p>
            <w:pPr>
              <w:spacing w:after="20"/>
            </w:pPr>
            <w:r>
              <w:rPr>
                <w:color w:val="1C3A36"/>
                <w:sz w:val="14"/>
              </w:rPr>
              <w:t>2026-02-22</w:t>
            </w:r>
          </w:p>
        </w:tc>
      </w:tr>
    </w:tbl>
    <w:p>
      <w:pPr>
        <w:spacing w:after="40"/>
      </w:pPr>
    </w:p>
    <w:p>
      <w:pPr>
        <w:spacing w:after="60" w:before="160"/>
      </w:pPr>
      <w:r>
        <w:rPr>
          <w:b/>
          <w:i w:val="0"/>
          <w:color w:val="1C3A36"/>
          <w:sz w:val="22"/>
        </w:rPr>
        <w:t>Industry layer — 5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5904"/>
        <w:gridCol w:w="1080"/>
      </w:tblGrid>
      <w:tr>
        <w:tc>
          <w:tcPr>
            <w:tcW w:type="dxa" w:w="1512"/>
            <w:shd w:val="clear" w:color="auto" w:fill="EAF0EE"/>
          </w:tcPr>
          <w:p>
            <w:pPr>
              <w:spacing w:after="20"/>
            </w:pPr>
            <w:r>
              <w:rPr>
                <w:b/>
                <w:color w:val="1C3A36"/>
                <w:sz w:val="14"/>
              </w:rPr>
              <w:t>Input</w:t>
            </w:r>
          </w:p>
        </w:tc>
        <w:tc>
          <w:tcPr>
            <w:tcW w:type="dxa" w:w="1656"/>
            <w:shd w:val="clear" w:color="auto" w:fill="EAF0EE"/>
          </w:tcPr>
          <w:p>
            <w:pPr>
              <w:spacing w:after="20"/>
            </w:pPr>
            <w:r>
              <w:rPr>
                <w:b/>
                <w:color w:val="1C3A36"/>
                <w:sz w:val="14"/>
              </w:rPr>
              <w:t>Value</w:t>
            </w:r>
          </w:p>
        </w:tc>
        <w:tc>
          <w:tcPr>
            <w:tcW w:type="dxa" w:w="5904"/>
            <w:shd w:val="clear" w:color="auto" w:fill="EAF0EE"/>
          </w:tcPr>
          <w:p>
            <w:pPr>
              <w:spacing w:after="20"/>
            </w:pPr>
            <w:r>
              <w:rPr>
                <w:b/>
                <w:color w:val="1C3A36"/>
                <w:sz w:val="14"/>
              </w:rPr>
              <w:t>Source and construction</w:t>
            </w:r>
          </w:p>
        </w:tc>
        <w:tc>
          <w:tcPr>
            <w:tcW w:type="dxa" w:w="1080"/>
            <w:shd w:val="clear" w:color="auto" w:fill="EAF0EE"/>
          </w:tcPr>
          <w:p>
            <w:pPr>
              <w:spacing w:after="20"/>
            </w:pPr>
            <w:r>
              <w:rPr>
                <w:b/>
                <w:color w:val="1C3A36"/>
                <w:sz w:val="14"/>
              </w:rPr>
              <w:t>Date</w:t>
            </w:r>
          </w:p>
        </w:tc>
      </w:tr>
      <w:tr>
        <w:tc>
          <w:tcPr>
            <w:tcW w:type="dxa" w:w="1512"/>
          </w:tcPr>
          <w:p>
            <w:pPr>
              <w:spacing w:after="20"/>
            </w:pPr>
            <w:r>
              <w:rPr>
                <w:color w:val="1C3A36"/>
                <w:sz w:val="14"/>
              </w:rPr>
              <w:t>arpu_ratio_peers</w:t>
            </w:r>
          </w:p>
        </w:tc>
        <w:tc>
          <w:tcPr>
            <w:tcW w:type="dxa" w:w="1656"/>
          </w:tcPr>
          <w:p>
            <w:pPr>
              <w:spacing w:after="20"/>
            </w:pPr>
            <w:r>
              <w:rPr>
                <w:color w:val="1C3A36"/>
                <w:sz w:val="14"/>
              </w:rPr>
              <w:t>ooredoo_qatar: 7.22; ooredoo_kuwait: 4.67; ooredoo_oman: 2.92</w:t>
            </w:r>
          </w:p>
        </w:tc>
        <w:tc>
          <w:tcPr>
            <w:tcW w:type="dxa" w:w="5904"/>
          </w:tcPr>
          <w:p>
            <w:pPr>
              <w:spacing w:after="20"/>
            </w:pPr>
            <w:r>
              <w:rPr>
                <w:color w:val="1C3A36"/>
                <w:sz w:val="14"/>
              </w:rPr>
              <w:t>Postpaid/prepaid ARPU ratios at the ONLY Gulf operator that discloses both legs, from Ooredoo's own Q2-2026 disclosure (QAR: Qatar 239.8/33.2, Kuwait 161.5/34.6, Oman 67.2/23.0). Used ONLY to bound the identification test and the mix decomposition — never to build revenue. The 2.9x-7.2x spread across three markets of a SINGLE operator is itself evidence that an imported ratio cannot pin down du's split</w:t>
            </w:r>
          </w:p>
        </w:tc>
        <w:tc>
          <w:tcPr>
            <w:tcW w:type="dxa" w:w="1080"/>
          </w:tcPr>
          <w:p>
            <w:pPr>
              <w:spacing w:after="20"/>
            </w:pPr>
            <w:r>
              <w:rPr>
                <w:color w:val="1C3A36"/>
                <w:sz w:val="14"/>
              </w:rPr>
              <w:t>2026-08-17</w:t>
            </w:r>
          </w:p>
        </w:tc>
      </w:tr>
      <w:tr>
        <w:tc>
          <w:tcPr>
            <w:tcW w:type="dxa" w:w="1512"/>
          </w:tcPr>
          <w:p>
            <w:pPr>
              <w:spacing w:after="20"/>
            </w:pPr>
            <w:r>
              <w:rPr>
                <w:color w:val="1C3A36"/>
                <w:sz w:val="14"/>
              </w:rPr>
              <w:t>pe_provider_refused</w:t>
            </w:r>
          </w:p>
        </w:tc>
        <w:tc>
          <w:tcPr>
            <w:tcW w:type="dxa" w:w="1656"/>
          </w:tcPr>
          <w:p>
            <w:pPr>
              <w:spacing w:after="20"/>
            </w:pPr>
            <w:r>
              <w:rPr>
                <w:color w:val="1C3A36"/>
                <w:sz w:val="14"/>
              </w:rPr>
              <w:t>11,365.0</w:t>
            </w:r>
          </w:p>
        </w:tc>
        <w:tc>
          <w:tcPr>
            <w:tcW w:type="dxa" w:w="5904"/>
          </w:tcPr>
          <w:p>
            <w:pPr>
              <w:spacing w:after="20"/>
            </w:pPr>
            <w:r>
              <w:rPr>
                <w:color w:val="1C3A36"/>
                <w:sz w:val="14"/>
              </w:rPr>
              <w:t>A NEGATIVE RESULT, committed because it is quoted. The data provider returned a price/earnings multiple of 11,365x for Zain, which is corrupt on its face; it was REFUSED rather than carried into a peer median, and that refusal is one of the two reasons this study claims no peer median at all</w:t>
            </w:r>
          </w:p>
        </w:tc>
        <w:tc>
          <w:tcPr>
            <w:tcW w:type="dxa" w:w="1080"/>
          </w:tcPr>
          <w:p>
            <w:pPr>
              <w:spacing w:after="20"/>
            </w:pPr>
            <w:r>
              <w:rPr>
                <w:color w:val="1C3A36"/>
                <w:sz w:val="14"/>
              </w:rPr>
              <w:t>2026-08-06</w:t>
            </w:r>
          </w:p>
        </w:tc>
      </w:tr>
      <w:tr>
        <w:tc>
          <w:tcPr>
            <w:tcW w:type="dxa" w:w="1512"/>
          </w:tcPr>
          <w:p>
            <w:pPr>
              <w:spacing w:after="20"/>
            </w:pPr>
            <w:r>
              <w:rPr>
                <w:color w:val="1C3A36"/>
                <w:sz w:val="14"/>
              </w:rPr>
              <w:t>kd</w:t>
            </w:r>
          </w:p>
        </w:tc>
        <w:tc>
          <w:tcPr>
            <w:tcW w:type="dxa" w:w="1656"/>
          </w:tcPr>
          <w:p>
            <w:pPr>
              <w:spacing w:after="20"/>
            </w:pPr>
            <w:r>
              <w:rPr>
                <w:color w:val="1C3A36"/>
                <w:sz w:val="14"/>
              </w:rPr>
              <w:t>0.051</w:t>
            </w:r>
          </w:p>
        </w:tc>
        <w:tc>
          <w:tcPr>
            <w:tcW w:type="dxa" w:w="5904"/>
          </w:tcPr>
          <w:p>
            <w:pPr>
              <w:spacing w:after="20"/>
            </w:pPr>
            <w:r>
              <w:rPr>
                <w:color w:val="1C3A36"/>
                <w:sz w:val="14"/>
              </w:rPr>
              <w:t>MARGINAL cost of debt, AED, forward-looking: du has ZERO drawn debt and no bonds (audited Note 4.2, all years; H1-2026: AED 2.0bn RCF undrawn), so the marginal rate is constructed: AED sovereign anchor 4.48% (Jan-2031 tranche) + ~60bp A/AA-range GCC telecom spread read from the stc (Aa3/A+) USD sukuk curve (4.63%/4.92%/5.17% at 2.8/4.4/9.4y vs matched UST, 06-Aug-2026) = 5.10%. Sits ABOVE the sovereign as required. The 3.6% IFRS-16 lease-implied rate (FY2025 lease interest 71.094 / average lease book 1,968.8) is the historical incremental-borrowing rate on the lease stock, disclosed for the record, NOT the marginal Kd</w:t>
            </w:r>
          </w:p>
        </w:tc>
        <w:tc>
          <w:tcPr>
            <w:tcW w:type="dxa" w:w="1080"/>
          </w:tcPr>
          <w:p>
            <w:pPr>
              <w:spacing w:after="20"/>
            </w:pPr>
            <w:r>
              <w:rPr>
                <w:color w:val="1C3A36"/>
                <w:sz w:val="14"/>
              </w:rPr>
              <w:t>2026-08-06</w:t>
            </w:r>
          </w:p>
        </w:tc>
      </w:tr>
      <w:tr>
        <w:tc>
          <w:tcPr>
            <w:tcW w:type="dxa" w:w="1512"/>
          </w:tcPr>
          <w:p>
            <w:pPr>
              <w:spacing w:after="20"/>
            </w:pPr>
            <w:r>
              <w:rPr>
                <w:color w:val="1C3A36"/>
                <w:sz w:val="14"/>
              </w:rPr>
              <w:t>pe_just</w:t>
            </w:r>
          </w:p>
        </w:tc>
        <w:tc>
          <w:tcPr>
            <w:tcW w:type="dxa" w:w="1656"/>
          </w:tcPr>
          <w:p>
            <w:pPr>
              <w:spacing w:after="20"/>
            </w:pPr>
            <w:r>
              <w:rPr>
                <w:color w:val="1C3A36"/>
                <w:sz w:val="14"/>
              </w:rPr>
              <w:t>12.9</w:t>
            </w:r>
          </w:p>
        </w:tc>
        <w:tc>
          <w:tcPr>
            <w:tcW w:type="dxa" w:w="5904"/>
          </w:tcPr>
          <w:p>
            <w:pPr>
              <w:spacing w:after="20"/>
            </w:pPr>
            <w:r>
              <w:rPr>
                <w:color w:val="1C3A36"/>
                <w:sz w:val="14"/>
              </w:rPr>
              <w:t>Justified P/E 12.9x, RE-DERIVED FROM ISSUER FILINGS at the 06-Aug-2026 anchor after an external audit showed the prior 15.5x did not exist on any earnings base at that date. Mobily (Etihad Etisalat, Tadawul 7020) - the closest structural analogue, a #2 operator in a GCC duopoly-like market: TTM EPS SAR 4.76 (FY2025 4.51 + H1-2026 2.32 - H1-2025 2.07, each from Mobily's own Saudi Exchange issuer announcements) on a 06-Aug-2026 close of SAR 61.30 = 12.88x; the market-cap route (SAR 47,048mn / TTM net income SAR 3,650mn) independently ties at 12.89x. e&amp; is the only other peer whose multiple derives end-to-end from issuer filings: 15.7x (TTM EPS AED 1.33 reported-attributable, close AED 20.98). NO PEER MEDIAN IS CLAIMED - only two of six peers survive as clean observations, so a median is not supportable: Zain's provider returned a corrupt 11365x and was refused, Omantel's provider P/E and yield are mutually contradictory, and Omantel holds ~21.9% of Zain so they are not independent. (For the record the 5-name median also lands on 12.89x, which is coincidence, not corroboration.) SUPERSEDES 15.5x, which was a January-2026 aggregator read on FY2024 earnings mis-dated as an August-2026 read</w:t>
            </w:r>
          </w:p>
        </w:tc>
        <w:tc>
          <w:tcPr>
            <w:tcW w:type="dxa" w:w="1080"/>
          </w:tcPr>
          <w:p>
            <w:pPr>
              <w:spacing w:after="20"/>
            </w:pPr>
            <w:r>
              <w:rPr>
                <w:color w:val="1C3A36"/>
                <w:sz w:val="14"/>
              </w:rPr>
              <w:t>2026-08-06</w:t>
            </w:r>
          </w:p>
        </w:tc>
      </w:tr>
      <w:tr>
        <w:tc>
          <w:tcPr>
            <w:tcW w:type="dxa" w:w="1512"/>
          </w:tcPr>
          <w:p>
            <w:pPr>
              <w:spacing w:after="20"/>
            </w:pPr>
            <w:r>
              <w:rPr>
                <w:color w:val="1C3A36"/>
                <w:sz w:val="14"/>
              </w:rPr>
              <w:t>div_yield_peer</w:t>
            </w:r>
          </w:p>
        </w:tc>
        <w:tc>
          <w:tcPr>
            <w:tcW w:type="dxa" w:w="1656"/>
          </w:tcPr>
          <w:p>
            <w:pPr>
              <w:spacing w:after="20"/>
            </w:pPr>
            <w:r>
              <w:rPr>
                <w:color w:val="1C3A36"/>
                <w:sz w:val="14"/>
              </w:rPr>
              <w:t>0.0489</w:t>
            </w:r>
          </w:p>
        </w:tc>
        <w:tc>
          <w:tcPr>
            <w:tcW w:type="dxa" w:w="5904"/>
          </w:tcPr>
          <w:p>
            <w:pPr>
              <w:spacing w:after="20"/>
            </w:pPr>
            <w:r>
              <w:rPr>
                <w:color w:val="1C3A36"/>
                <w:sz w:val="14"/>
              </w:rPr>
              <w:t>Peer dividend-yield anchor 4.89% = Mobily's trailing yield at the 06-Aug-2026 close, derived from its own declared distributions - the same name and the same date as the justified P/E, so the two market anchors are consistent. SUPERSEDES 5.2% (stc, aggregator). The published Mobily yield of 2.9% in the prior edition matched neither the issuer data (4.89%) nor this study's own sweep record (3.7%) - a typed numeral that escaped the register, now corrected. Sourceable bracket at the anchor: e&amp; 4.50%, stc 5.07%, Ooredoo 5.70%, Omantel ~6.7% (aggregator, internally inconsistent)</w:t>
            </w:r>
          </w:p>
        </w:tc>
        <w:tc>
          <w:tcPr>
            <w:tcW w:type="dxa" w:w="1080"/>
          </w:tcPr>
          <w:p>
            <w:pPr>
              <w:spacing w:after="20"/>
            </w:pPr>
            <w:r>
              <w:rPr>
                <w:color w:val="1C3A36"/>
                <w:sz w:val="14"/>
              </w:rPr>
              <w:t>2026-08-06</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Every forecast rests on judgements. Each is stated here with what would overturn it.</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744"/>
      </w:tblGrid>
      <w:tr>
        <w:tc>
          <w:tcPr>
            <w:tcW w:type="dxa" w:w="2664"/>
            <w:shd w:val="clear" w:color="auto" w:fill="EAF0EE"/>
          </w:tcPr>
          <w:p>
            <w:pPr>
              <w:spacing w:after="20"/>
            </w:pPr>
            <w:r>
              <w:rPr>
                <w:b/>
                <w:color w:val="1C3A36"/>
                <w:sz w:val="15"/>
              </w:rPr>
              <w:t>Judgement</w:t>
            </w:r>
          </w:p>
        </w:tc>
        <w:tc>
          <w:tcPr>
            <w:tcW w:type="dxa" w:w="3744"/>
            <w:shd w:val="clear" w:color="auto" w:fill="EAF0EE"/>
          </w:tcPr>
          <w:p>
            <w:pPr>
              <w:spacing w:after="20"/>
            </w:pPr>
            <w:r>
              <w:rPr>
                <w:b/>
                <w:color w:val="1C3A36"/>
                <w:sz w:val="15"/>
              </w:rPr>
              <w:t>Basis</w:t>
            </w:r>
          </w:p>
        </w:tc>
        <w:tc>
          <w:tcPr>
            <w:tcW w:type="dxa" w:w="3744"/>
            <w:shd w:val="clear" w:color="auto" w:fill="EAF0EE"/>
          </w:tcPr>
          <w:p>
            <w:pPr>
              <w:spacing w:after="20"/>
            </w:pPr>
            <w:r>
              <w:rPr>
                <w:b/>
                <w:color w:val="1C3A36"/>
                <w:sz w:val="15"/>
              </w:rPr>
              <w:t>What would overturn it</w:t>
            </w:r>
          </w:p>
        </w:tc>
      </w:tr>
      <w:tr>
        <w:tc>
          <w:tcPr>
            <w:tcW w:type="dxa" w:w="2664"/>
          </w:tcPr>
          <w:p>
            <w:pPr>
              <w:spacing w:after="20"/>
            </w:pPr>
            <w:r>
              <w:rPr>
                <w:color w:val="1C3A36"/>
                <w:sz w:val="15"/>
              </w:rPr>
              <w:t>THE CENTRAL JUDGEMENT — what required return the business deserves. Framing 1 uses du's own measured beta; Framing 2 declines the terminal re-rating that implies and holds du's current trailing EV/EBITDA in perpetuity</w:t>
            </w:r>
          </w:p>
        </w:tc>
        <w:tc>
          <w:tcPr>
            <w:tcW w:type="dxa" w:w="3744"/>
          </w:tcPr>
          <w:p>
            <w:pPr>
              <w:spacing w:after="20"/>
            </w:pPr>
            <w:r>
              <w:rPr>
                <w:color w:val="1C3A36"/>
                <w:sz w:val="15"/>
              </w:rPr>
              <w:t>the beta is du's own 5-year weekly regression, gate-passed; the market multiple is du's own audited figures at the anchor</w:t>
            </w:r>
          </w:p>
        </w:tc>
        <w:tc>
          <w:tcPr>
            <w:tcW w:type="dxa" w:w="3744"/>
          </w:tcPr>
          <w:p>
            <w:pPr>
              <w:spacing w:after="20"/>
            </w:pPr>
            <w:r>
              <w:rPr>
                <w:color w:val="1C3A36"/>
                <w:sz w:val="15"/>
              </w:rPr>
              <w:t>Both are published side by side and never averaged. Either is overturned by the other being right: a sustained re-rating toward the implied exit multiple, or a beta that behaves like the sector's ~0.80 rather than the measured figure</w:t>
            </w:r>
          </w:p>
        </w:tc>
      </w:tr>
      <w:tr>
        <w:tc>
          <w:tcPr>
            <w:tcW w:type="dxa" w:w="2664"/>
          </w:tcPr>
          <w:p>
            <w:pPr>
              <w:spacing w:after="20"/>
            </w:pPr>
            <w:r>
              <w:rPr>
                <w:color w:val="1C3A36"/>
                <w:sz w:val="15"/>
              </w:rPr>
              <w:t>The 2027-2029 fiscal regime is settled at the current take (base case rests on disclosed fact)</w:t>
            </w:r>
          </w:p>
        </w:tc>
        <w:tc>
          <w:tcPr>
            <w:tcW w:type="dxa" w:w="3744"/>
          </w:tcPr>
          <w:p>
            <w:pPr>
              <w:spacing w:after="20"/>
            </w:pPr>
            <w:r>
              <w:rPr>
                <w:color w:val="1C3A36"/>
                <w:sz w:val="15"/>
              </w:rPr>
              <w:t>du's own disclosure of 24-Jul-2026 extending the 38% royalty + 9% corporate tax and retaining the AED 1.8bn combined floor</w:t>
            </w:r>
          </w:p>
        </w:tc>
        <w:tc>
          <w:tcPr>
            <w:tcW w:type="dxa" w:w="3744"/>
          </w:tcPr>
          <w:p>
            <w:pPr>
              <w:spacing w:after="20"/>
            </w:pPr>
            <w:r>
              <w:rPr>
                <w:color w:val="1C3A36"/>
                <w:sz w:val="15"/>
              </w:rPr>
              <w:t>nothing — this is disclosed, not assumed. What IS assumed is the period after 2029, priced as a tail</w:t>
            </w:r>
          </w:p>
        </w:tc>
      </w:tr>
      <w:tr>
        <w:tc>
          <w:tcPr>
            <w:tcW w:type="dxa" w:w="2664"/>
          </w:tcPr>
          <w:p>
            <w:pPr>
              <w:spacing w:after="20"/>
            </w:pPr>
            <w:r>
              <w:rPr>
                <w:color w:val="1C3A36"/>
                <w:sz w:val="15"/>
              </w:rPr>
              <w:t>Mobile recovers to 9,450k subscribers by end-2026, then adds ~210-310k/yr</w:t>
            </w:r>
          </w:p>
        </w:tc>
        <w:tc>
          <w:tcPr>
            <w:tcW w:type="dxa" w:w="3744"/>
          </w:tcPr>
          <w:p>
            <w:pPr>
              <w:spacing w:after="20"/>
            </w:pPr>
            <w:r>
              <w:rPr>
                <w:color w:val="1C3A36"/>
                <w:sz w:val="15"/>
              </w:rPr>
              <w:t>the company's own Q2 commentary (recovery underway, gross adds below pre-war), Dubai population re-acceleration</w:t>
            </w:r>
          </w:p>
        </w:tc>
        <w:tc>
          <w:tcPr>
            <w:tcW w:type="dxa" w:w="3744"/>
          </w:tcPr>
          <w:p>
            <w:pPr>
              <w:spacing w:after="20"/>
            </w:pPr>
            <w:r>
              <w:rPr>
                <w:color w:val="1C3A36"/>
                <w:sz w:val="15"/>
              </w:rPr>
              <w:t>a re-opened conflict, or two quarters of negative total net adds</w:t>
            </w:r>
          </w:p>
        </w:tc>
      </w:tr>
      <w:tr>
        <w:tc>
          <w:tcPr>
            <w:tcW w:type="dxa" w:w="2664"/>
          </w:tcPr>
          <w:p>
            <w:pPr>
              <w:spacing w:after="20"/>
            </w:pPr>
            <w:r>
              <w:rPr>
                <w:color w:val="1C3A36"/>
                <w:sz w:val="15"/>
              </w:rPr>
              <w:t>Blended ARPU held roughly flat — the study's most fragile revenue judgement</w:t>
            </w:r>
          </w:p>
        </w:tc>
        <w:tc>
          <w:tcPr>
            <w:tcW w:type="dxa" w:w="3744"/>
          </w:tcPr>
          <w:p>
            <w:pPr>
              <w:spacing w:after="20"/>
            </w:pPr>
            <w:r>
              <w:rPr>
                <w:color w:val="1C3A36"/>
                <w:sz w:val="15"/>
              </w:rPr>
              <w:t>the last three prints are 65.3 / 63.4 / 63.4, and the mix decomposition shows the flat headline is two offsetting forces: a postpaid mix shift worth about +2.6% against per-leg erosion of about -2.4%. Holding flat assumes both continue</w:t>
            </w:r>
          </w:p>
        </w:tc>
        <w:tc>
          <w:tcPr>
            <w:tcW w:type="dxa" w:w="3744"/>
          </w:tcPr>
          <w:p>
            <w:pPr>
              <w:spacing w:after="20"/>
            </w:pPr>
            <w:r>
              <w:rPr>
                <w:color w:val="1C3A36"/>
                <w:sz w:val="15"/>
              </w:rPr>
              <w:t>a quarter in which the postpaid mix share FALLS back toward 20% while blended ARPU follows it down — the mix-exhaustion case, priced in the sensitivity table</w:t>
            </w:r>
          </w:p>
        </w:tc>
      </w:tr>
      <w:tr>
        <w:tc>
          <w:tcPr>
            <w:tcW w:type="dxa" w:w="2664"/>
          </w:tcPr>
          <w:p>
            <w:pPr>
              <w:spacing w:after="20"/>
            </w:pPr>
            <w:r>
              <w:rPr>
                <w:color w:val="1C3A36"/>
                <w:sz w:val="15"/>
              </w:rPr>
              <w:t>Every direct-cost unit rate is anchored on the H1-2026 reviewed actual and held flat, except mobile interconnect (-1.5%/yr) and mobile commission (+3.0%/yr)</w:t>
            </w:r>
          </w:p>
        </w:tc>
        <w:tc>
          <w:tcPr>
            <w:tcW w:type="dxa" w:w="3744"/>
          </w:tcPr>
          <w:p>
            <w:pPr>
              <w:spacing w:after="20"/>
            </w:pPr>
            <w:r>
              <w:rPr>
                <w:color w:val="1C3A36"/>
                <w:sz w:val="15"/>
              </w:rPr>
              <w:t>the like-for-like half-year pair measures interconnect per subscriber falling 4.2% and commission per subscriber rising 3.1%; three of the four second-half 2025 rates came in cheaper than the first half, so carrying an H1 rate into H2 overstates cost</w:t>
            </w:r>
          </w:p>
        </w:tc>
        <w:tc>
          <w:tcPr>
            <w:tcW w:type="dxa" w:w="3744"/>
          </w:tcPr>
          <w:p>
            <w:pPr>
              <w:spacing w:after="20"/>
            </w:pPr>
            <w:r>
              <w:rPr>
                <w:color w:val="1C3A36"/>
                <w:sz w:val="15"/>
              </w:rPr>
              <w:t>a disclosed reset in any single line — wholesale repricing, an ICT mix collapse, or interconnect per subscriber turning UP in a half-year pair</w:t>
            </w:r>
          </w:p>
        </w:tc>
      </w:tr>
      <w:tr>
        <w:tc>
          <w:tcPr>
            <w:tcW w:type="dxa" w:w="2664"/>
          </w:tcPr>
          <w:p>
            <w:pPr>
              <w:spacing w:after="20"/>
            </w:pPr>
            <w:r>
              <w:rPr>
                <w:color w:val="1C3A36"/>
                <w:sz w:val="15"/>
              </w:rPr>
              <w:t>Capex peaks at 15.5% of revenue then glides to 13%</w:t>
            </w:r>
          </w:p>
        </w:tc>
        <w:tc>
          <w:tcPr>
            <w:tcW w:type="dxa" w:w="3744"/>
          </w:tcPr>
          <w:p>
            <w:pPr>
              <w:spacing w:after="20"/>
            </w:pPr>
            <w:r>
              <w:rPr>
                <w:color w:val="1C3A36"/>
                <w:sz w:val="15"/>
              </w:rPr>
              <w:t>commitments up ~14% in six months; the disclosed data-centre programme; no numeric company guidance (flagged)</w:t>
            </w:r>
          </w:p>
        </w:tc>
        <w:tc>
          <w:tcPr>
            <w:tcW w:type="dxa" w:w="3744"/>
          </w:tcPr>
          <w:p>
            <w:pPr>
              <w:spacing w:after="20"/>
            </w:pPr>
            <w:r>
              <w:rPr>
                <w:color w:val="1C3A36"/>
                <w:sz w:val="15"/>
              </w:rPr>
              <w:t>company capex guidance above the path, or the programme extending past FY2028</w:t>
            </w:r>
          </w:p>
        </w:tc>
      </w:tr>
      <w:tr>
        <w:tc>
          <w:tcPr>
            <w:tcW w:type="dxa" w:w="2664"/>
          </w:tcPr>
          <w:p>
            <w:pPr>
              <w:spacing w:after="20"/>
            </w:pPr>
            <w:r>
              <w:rPr>
                <w:color w:val="1C3A36"/>
                <w:sz w:val="15"/>
              </w:rPr>
              <w:t>Payout stays at 98%</w:t>
            </w:r>
          </w:p>
        </w:tc>
        <w:tc>
          <w:tcPr>
            <w:tcW w:type="dxa" w:w="3744"/>
          </w:tcPr>
          <w:p>
            <w:pPr>
              <w:spacing w:after="20"/>
            </w:pPr>
            <w:r>
              <w:rPr>
                <w:color w:val="1C3A36"/>
                <w:sz w:val="15"/>
              </w:rPr>
              <w:t>FY2024 actual 98%, FY2025 ~100%, interim raised through the war quarter</w:t>
            </w:r>
          </w:p>
        </w:tc>
        <w:tc>
          <w:tcPr>
            <w:tcW w:type="dxa" w:w="3744"/>
          </w:tcPr>
          <w:p>
            <w:pPr>
              <w:spacing w:after="20"/>
            </w:pPr>
            <w:r>
              <w:rPr>
                <w:color w:val="1C3A36"/>
                <w:sz w:val="15"/>
              </w:rPr>
              <w:t>any declared cut</w:t>
            </w:r>
          </w:p>
        </w:tc>
      </w:tr>
      <w:tr>
        <w:tc>
          <w:tcPr>
            <w:tcW w:type="dxa" w:w="2664"/>
          </w:tcPr>
          <w:p>
            <w:pPr>
              <w:spacing w:after="20"/>
            </w:pPr>
            <w:r>
              <w:rPr>
                <w:color w:val="1C3A36"/>
                <w:sz w:val="15"/>
              </w:rPr>
              <w:t>Beta 0.5569 — own-stock regression through the house routine</w:t>
            </w:r>
          </w:p>
        </w:tc>
        <w:tc>
          <w:tcPr>
            <w:tcW w:type="dxa" w:w="3744"/>
          </w:tcPr>
          <w:p>
            <w:pPr>
              <w:spacing w:after="20"/>
            </w:pPr>
            <w:r>
              <w:rPr>
                <w:color w:val="1C3A36"/>
                <w:sz w:val="15"/>
              </w:rPr>
              <w:t>weekly on the exchange's own trading week, five years to 2026-07-17, Dimson lead-lag corrected, R² 0.14, SE 0.149, n 249, gate passed. NOT CONFORMING: the regressor is a registered INTERIM. Cross-checks, never adopted: DFM General 0.4613, equal-weight composite 0.4309. SUPERSEDES 0.472/0.394, which this table went on printing after the study adopted 0.488, and 0.488 itself, which came from a study-local script</w:t>
            </w:r>
          </w:p>
        </w:tc>
        <w:tc>
          <w:tcPr>
            <w:tcW w:type="dxa" w:w="3744"/>
          </w:tcPr>
          <w:p>
            <w:pPr>
              <w:spacing w:after="20"/>
            </w:pPr>
            <w:r>
              <w:rPr>
                <w:color w:val="1C3A36"/>
                <w:sz w:val="15"/>
              </w:rPr>
              <w:t>a structural re-rating of DFM correlations, or a DFM General index registered as the regressor; the 0.31-1.00 range is priced</w:t>
            </w:r>
          </w:p>
        </w:tc>
      </w:tr>
      <w:tr>
        <w:tc>
          <w:tcPr>
            <w:tcW w:type="dxa" w:w="2664"/>
          </w:tcPr>
          <w:p>
            <w:pPr>
              <w:spacing w:after="20"/>
            </w:pPr>
            <w:r>
              <w:rPr>
                <w:color w:val="1C3A36"/>
                <w:sz w:val="15"/>
              </w:rPr>
              <w:t>Terminal growth 2.00%, stored as REAL 0.00% on the house path's 2.00% inflation</w:t>
            </w:r>
          </w:p>
        </w:tc>
        <w:tc>
          <w:tcPr>
            <w:tcW w:type="dxa" w:w="3744"/>
          </w:tcPr>
          <w:p>
            <w:pPr>
              <w:spacing w:after="20"/>
            </w:pPr>
            <w:r>
              <w:rPr>
                <w:color w:val="1C3A36"/>
                <w:sz w:val="15"/>
              </w:rPr>
              <w:t>derived, never typed, and the company's own audited goodwill impairment test (note 9) uses the same 2% long-term rate. SUPERSEDES 2.5%, which this table went on printing after the study adopted 2.0%</w:t>
            </w:r>
          </w:p>
        </w:tc>
        <w:tc>
          <w:tcPr>
            <w:tcW w:type="dxa" w:w="3744"/>
          </w:tcPr>
          <w:p>
            <w:pPr>
              <w:spacing w:after="20"/>
            </w:pPr>
            <w:r>
              <w:rPr>
                <w:color w:val="1C3A36"/>
                <w:sz w:val="15"/>
              </w:rPr>
              <w:t>sustained sub-2% revenue growth after the recovery completes, or a house inflation path that moves</w:t>
            </w:r>
          </w:p>
        </w:tc>
      </w:tr>
      <w:tr>
        <w:tc>
          <w:tcPr>
            <w:tcW w:type="dxa" w:w="2664"/>
          </w:tcPr>
          <w:p>
            <w:pPr>
              <w:spacing w:after="20"/>
            </w:pPr>
            <w:r>
              <w:rPr>
                <w:color w:val="1C3A36"/>
                <w:sz w:val="15"/>
              </w:rPr>
              <w:t>No lease replacement charged inside the explicit window; the renewal is paid for in the terminal instead</w:t>
            </w:r>
          </w:p>
        </w:tc>
        <w:tc>
          <w:tcPr>
            <w:tcW w:type="dxa" w:w="3744"/>
          </w:tcPr>
          <w:p>
            <w:pPr>
              <w:spacing w:after="20"/>
            </w:pPr>
            <w:r>
              <w:rPr>
                <w:color w:val="1C3A36"/>
                <w:sz w:val="15"/>
              </w:rPr>
              <w:t>the lease liability is deducted in FULL as debt in the bridge, so charging renewal in the window would bill the same obligation twice; in perpetuity a one-off deduction cannot cover renewals for ever, so the terminal adds back the FULL depreciation charge — right-of-use included — and escalates all of it, with the right-of-use book entering the blended life at its own 10.24 years against the 10.1-year average lease term note 7 discloses. THIS ROW SAID THE OPPOSITE UNTIL 08-09-2026, as did the study body and the workbook</w:t>
            </w:r>
          </w:p>
        </w:tc>
        <w:tc>
          <w:tcPr>
            <w:tcW w:type="dxa" w:w="3744"/>
          </w:tcPr>
          <w:p>
            <w:pPr>
              <w:spacing w:after="20"/>
            </w:pPr>
            <w:r>
              <w:rPr>
                <w:color w:val="1C3A36"/>
                <w:sz w:val="15"/>
              </w:rPr>
              <w:t>a disclosed structural shift to leased infrastructure, or a lease book that stops being matched by non-cash additions</w:t>
            </w:r>
          </w:p>
        </w:tc>
      </w:tr>
    </w:tbl>
    <w:p>
      <w:pPr>
        <w:spacing w:after="40"/>
      </w:pPr>
    </w:p>
    <w:p>
      <w:pPr>
        <w:spacing w:after="80" w:before="240"/>
      </w:pPr>
      <w:r>
        <w:rPr>
          <w:b/>
          <w:i w:val="0"/>
          <w:color w:val="1C3A36"/>
          <w:sz w:val="26"/>
        </w:rPr>
        <w:t>Negative results — what could not be sourced</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312"/>
        <w:gridCol w:w="3672"/>
      </w:tblGrid>
      <w:tr>
        <w:tc>
          <w:tcPr>
            <w:tcW w:type="dxa" w:w="3168"/>
            <w:shd w:val="clear" w:color="auto" w:fill="EAF0EE"/>
          </w:tcPr>
          <w:p>
            <w:pPr>
              <w:spacing w:after="20"/>
            </w:pPr>
            <w:r>
              <w:rPr>
                <w:b/>
                <w:color w:val="1C3A36"/>
                <w:sz w:val="15"/>
              </w:rPr>
              <w:t>What was sought</w:t>
            </w:r>
          </w:p>
        </w:tc>
        <w:tc>
          <w:tcPr>
            <w:tcW w:type="dxa" w:w="3312"/>
            <w:shd w:val="clear" w:color="auto" w:fill="EAF0EE"/>
          </w:tcPr>
          <w:p>
            <w:pPr>
              <w:spacing w:after="20"/>
            </w:pPr>
            <w:r>
              <w:rPr>
                <w:b/>
                <w:color w:val="1C3A36"/>
                <w:sz w:val="15"/>
              </w:rPr>
              <w:t>Where</w:t>
            </w:r>
          </w:p>
        </w:tc>
        <w:tc>
          <w:tcPr>
            <w:tcW w:type="dxa" w:w="3672"/>
            <w:shd w:val="clear" w:color="auto" w:fill="EAF0EE"/>
          </w:tcPr>
          <w:p>
            <w:pPr>
              <w:spacing w:after="20"/>
            </w:pPr>
            <w:r>
              <w:rPr>
                <w:b/>
                <w:color w:val="1C3A36"/>
                <w:sz w:val="15"/>
              </w:rPr>
              <w:t>Outcome</w:t>
            </w:r>
          </w:p>
        </w:tc>
      </w:tr>
      <w:tr>
        <w:tc>
          <w:tcPr>
            <w:tcW w:type="dxa" w:w="3168"/>
          </w:tcPr>
          <w:p>
            <w:pPr>
              <w:spacing w:after="20"/>
            </w:pPr>
            <w:r>
              <w:rPr>
                <w:color w:val="1C3A36"/>
                <w:sz w:val="15"/>
              </w:rPr>
              <w:t>UAE sovereign 5-year credit-default-swap quote</w:t>
            </w:r>
          </w:p>
        </w:tc>
        <w:tc>
          <w:tcPr>
            <w:tcW w:type="dxa" w:w="3312"/>
          </w:tcPr>
          <w:p>
            <w:pPr>
              <w:spacing w:after="20"/>
            </w:pPr>
            <w:r>
              <w:rPr>
                <w:color w:val="1C3A36"/>
                <w:sz w:val="15"/>
              </w:rPr>
              <w:t>cbonds (403), worldgovernmentbonds (script-only), Damodaran (prints NA for UAE)</w:t>
            </w:r>
          </w:p>
        </w:tc>
        <w:tc>
          <w:tcPr>
            <w:tcW w:type="dxa" w:w="3672"/>
          </w:tcPr>
          <w:p>
            <w:pPr>
              <w:spacing w:after="20"/>
            </w:pPr>
            <w:r>
              <w:rPr>
                <w:color w:val="1C3A36"/>
                <w:sz w:val="15"/>
              </w:rPr>
              <w:t>NOT SOURCED — the market-spread premium basis uses the traded Abu Dhabi USD curve (+25bp) instead, disclosed in section 1.8</w:t>
            </w:r>
          </w:p>
        </w:tc>
      </w:tr>
      <w:tr>
        <w:tc>
          <w:tcPr>
            <w:tcW w:type="dxa" w:w="3168"/>
          </w:tcPr>
          <w:p>
            <w:pPr>
              <w:spacing w:after="20"/>
            </w:pPr>
            <w:r>
              <w:rPr>
                <w:color w:val="1C3A36"/>
                <w:sz w:val="15"/>
              </w:rPr>
              <w:t>Peer EV/EBITDA multiples, clean</w:t>
            </w:r>
          </w:p>
        </w:tc>
        <w:tc>
          <w:tcPr>
            <w:tcW w:type="dxa" w:w="3312"/>
          </w:tcPr>
          <w:p>
            <w:pPr>
              <w:spacing w:after="20"/>
            </w:pPr>
            <w:r>
              <w:rPr>
                <w:color w:val="1C3A36"/>
                <w:sz w:val="15"/>
              </w:rPr>
              <w:t>public aggregators</w:t>
            </w:r>
          </w:p>
        </w:tc>
        <w:tc>
          <w:tcPr>
            <w:tcW w:type="dxa" w:w="3672"/>
          </w:tcPr>
          <w:p>
            <w:pPr>
              <w:spacing w:after="20"/>
            </w:pPr>
            <w:r>
              <w:rPr>
                <w:color w:val="1C3A36"/>
                <w:sz w:val="15"/>
              </w:rPr>
              <w:t>net-debt figures missing or stale — the relative lens runs on P/E and dividend yield only, stated in 1.3</w:t>
            </w:r>
          </w:p>
        </w:tc>
      </w:tr>
      <w:tr>
        <w:tc>
          <w:tcPr>
            <w:tcW w:type="dxa" w:w="3168"/>
          </w:tcPr>
          <w:p>
            <w:pPr>
              <w:spacing w:after="20"/>
            </w:pPr>
            <w:r>
              <w:rPr>
                <w:color w:val="1C3A36"/>
                <w:sz w:val="15"/>
              </w:rPr>
              <w:t>Concluded TDRA licence-renewal terms</w:t>
            </w:r>
          </w:p>
        </w:tc>
        <w:tc>
          <w:tcPr>
            <w:tcW w:type="dxa" w:w="3312"/>
          </w:tcPr>
          <w:p>
            <w:pPr>
              <w:spacing w:after="20"/>
            </w:pPr>
            <w:r>
              <w:rPr>
                <w:color w:val="1C3A36"/>
                <w:sz w:val="15"/>
              </w:rPr>
              <w:t>TDRA site, du IR disclosure list, DFM announcements, press</w:t>
            </w:r>
          </w:p>
        </w:tc>
        <w:tc>
          <w:tcPr>
            <w:tcW w:type="dxa" w:w="3672"/>
          </w:tcPr>
          <w:p>
            <w:pPr>
              <w:spacing w:after="20"/>
            </w:pPr>
            <w:r>
              <w:rPr>
                <w:color w:val="1C3A36"/>
                <w:sz w:val="15"/>
              </w:rPr>
              <w:t>NOT FOUND at the sweep date — the licence note in the H1-2026 interims is the latest primary word; treated as catalyst 2</w:t>
            </w:r>
          </w:p>
        </w:tc>
      </w:tr>
      <w:tr>
        <w:tc>
          <w:tcPr>
            <w:tcW w:type="dxa" w:w="3168"/>
          </w:tcPr>
          <w:p>
            <w:pPr>
              <w:spacing w:after="20"/>
            </w:pPr>
            <w:r>
              <w:rPr>
                <w:color w:val="1C3A36"/>
                <w:sz w:val="15"/>
              </w:rPr>
              <w:t>Post-2029 royalty/corporate-tax regime</w:t>
            </w:r>
          </w:p>
        </w:tc>
        <w:tc>
          <w:tcPr>
            <w:tcW w:type="dxa" w:w="3312"/>
          </w:tcPr>
          <w:p>
            <w:pPr>
              <w:spacing w:after="20"/>
            </w:pPr>
            <w:r>
              <w:rPr>
                <w:color w:val="1C3A36"/>
                <w:sz w:val="15"/>
              </w:rPr>
              <w:t>du filings, e&amp; filings, MoF releases, Cabinet decisions</w:t>
            </w:r>
          </w:p>
        </w:tc>
        <w:tc>
          <w:tcPr>
            <w:tcW w:type="dxa" w:w="3672"/>
          </w:tcPr>
          <w:p>
            <w:pPr>
              <w:spacing w:after="20"/>
            </w:pPr>
            <w:r>
              <w:rPr>
                <w:color w:val="1C3A36"/>
                <w:sz w:val="15"/>
              </w:rPr>
              <w:t>NOT DISCLOSED by anyone — so a reversion after 2029 is carried as a priced tail, not forecast. NOTE: the FIRST EDITION of this study recorded the post-2026 regime as undisclosed by du. That was WRONG — du published its own "Extension of Federal Royalty Scheme for the Period 2027-2029" on 24-Jul-2026, sixteen days before the sweep date, retaining the AED 1.8bn floor. The negative search was stale, not the disclosure absent</w:t>
            </w:r>
          </w:p>
        </w:tc>
      </w:tr>
      <w:tr>
        <w:tc>
          <w:tcPr>
            <w:tcW w:type="dxa" w:w="3168"/>
          </w:tcPr>
          <w:p>
            <w:pPr>
              <w:spacing w:after="20"/>
            </w:pPr>
            <w:r>
              <w:rPr>
                <w:color w:val="1C3A36"/>
                <w:sz w:val="15"/>
              </w:rPr>
              <w:t>Licence FEE / revenue-share terms on the renewed licence</w:t>
            </w:r>
          </w:p>
        </w:tc>
        <w:tc>
          <w:tcPr>
            <w:tcW w:type="dxa" w:w="3312"/>
          </w:tcPr>
          <w:p>
            <w:pPr>
              <w:spacing w:after="20"/>
            </w:pPr>
            <w:r>
              <w:rPr>
                <w:color w:val="1C3A36"/>
                <w:sz w:val="15"/>
              </w:rPr>
              <w:t>TDRA announcement of 12-Aug-2026, du filings</w:t>
            </w:r>
          </w:p>
        </w:tc>
        <w:tc>
          <w:tcPr>
            <w:tcW w:type="dxa" w:w="3672"/>
          </w:tcPr>
          <w:p>
            <w:pPr>
              <w:spacing w:after="20"/>
            </w:pPr>
            <w:r>
              <w:rPr>
                <w:color w:val="1C3A36"/>
                <w:sz w:val="15"/>
              </w:rPr>
              <w:t>NOT DISCLOSED — the 20-year renewal (effective 09-Aug-2026) publishes obligations only, no economics. The study holds the fee ratio at its historical level and flags that as an assumption</w:t>
            </w:r>
          </w:p>
        </w:tc>
      </w:tr>
      <w:tr>
        <w:tc>
          <w:tcPr>
            <w:tcW w:type="dxa" w:w="3168"/>
          </w:tcPr>
          <w:p>
            <w:pPr>
              <w:spacing w:after="20"/>
            </w:pPr>
            <w:r>
              <w:rPr>
                <w:color w:val="1C3A36"/>
                <w:sz w:val="15"/>
              </w:rPr>
              <w:t>Peer EV/EBITDA from issuer filings</w:t>
            </w:r>
          </w:p>
        </w:tc>
        <w:tc>
          <w:tcPr>
            <w:tcW w:type="dxa" w:w="3312"/>
          </w:tcPr>
          <w:p>
            <w:pPr>
              <w:spacing w:after="20"/>
            </w:pPr>
            <w:r>
              <w:rPr>
                <w:color w:val="1C3A36"/>
                <w:sz w:val="15"/>
              </w:rPr>
              <w:t>peer annual reports and results releases</w:t>
            </w:r>
          </w:p>
        </w:tc>
        <w:tc>
          <w:tcPr>
            <w:tcW w:type="dxa" w:w="3672"/>
          </w:tcPr>
          <w:p>
            <w:pPr>
              <w:spacing w:after="20"/>
            </w:pPr>
            <w:r>
              <w:rPr>
                <w:color w:val="1C3A36"/>
                <w:sz w:val="15"/>
              </w:rPr>
              <w:t>net-debt detail per peer not retrieved within scope — the relative lens runs on earnings and dividend yield only, both sourced, rather than on an estimated multiple</w:t>
            </w:r>
          </w:p>
        </w:tc>
      </w:tr>
      <w:tr>
        <w:tc>
          <w:tcPr>
            <w:tcW w:type="dxa" w:w="3168"/>
          </w:tcPr>
          <w:p>
            <w:pPr>
              <w:spacing w:after="20"/>
            </w:pPr>
            <w:r>
              <w:rPr>
                <w:color w:val="1C3A36"/>
                <w:sz w:val="15"/>
              </w:rPr>
              <w:t>Trailing P/E for Zain and a priced multiple for Omantel</w:t>
            </w:r>
          </w:p>
        </w:tc>
        <w:tc>
          <w:tcPr>
            <w:tcW w:type="dxa" w:w="3312"/>
          </w:tcPr>
          <w:p>
            <w:pPr>
              <w:spacing w:after="20"/>
            </w:pPr>
            <w:r>
              <w:rPr>
                <w:color w:val="1C3A36"/>
                <w:sz w:val="15"/>
              </w:rPr>
              <w:t>aggregators and issuer filings</w:t>
            </w:r>
          </w:p>
        </w:tc>
        <w:tc>
          <w:tcPr>
            <w:tcW w:type="dxa" w:w="3672"/>
          </w:tcPr>
          <w:p>
            <w:pPr>
              <w:spacing w:after="20"/>
            </w:pPr>
            <w:r>
              <w:rPr>
                <w:color w:val="1C3A36"/>
                <w:sz w:val="15"/>
              </w:rPr>
              <w:t>REFUSED rather than passed through: the provider returned 11,365x for Zain, and Omantel's quoted multiple and yield are mutually inconsistent. Neither enters the peer frame as a number</w:t>
            </w:r>
          </w:p>
        </w:tc>
      </w:tr>
      <w:tr>
        <w:tc>
          <w:tcPr>
            <w:tcW w:type="dxa" w:w="3168"/>
          </w:tcPr>
          <w:p>
            <w:pPr>
              <w:spacing w:after="20"/>
            </w:pPr>
            <w:r>
              <w:rPr>
                <w:color w:val="1C3A36"/>
                <w:sz w:val="15"/>
              </w:rPr>
              <w:t>Wholesale and ICT unit KPIs (minutes, racks, MW, backlog)</w:t>
            </w:r>
          </w:p>
        </w:tc>
        <w:tc>
          <w:tcPr>
            <w:tcW w:type="dxa" w:w="3312"/>
          </w:tcPr>
          <w:p>
            <w:pPr>
              <w:spacing w:after="20"/>
            </w:pPr>
            <w:r>
              <w:rPr>
                <w:color w:val="1C3A36"/>
                <w:sz w:val="15"/>
              </w:rPr>
              <w:t>AR2023-AR2025, all interims, all decks</w:t>
            </w:r>
          </w:p>
        </w:tc>
        <w:tc>
          <w:tcPr>
            <w:tcW w:type="dxa" w:w="3672"/>
          </w:tcPr>
          <w:p>
            <w:pPr>
              <w:spacing w:after="20"/>
            </w:pPr>
            <w:r>
              <w:rPr>
                <w:color w:val="1C3A36"/>
                <w:sz w:val="15"/>
              </w:rPr>
              <w:t>never disclosed — both segments built top-down, flagged</w:t>
            </w:r>
          </w:p>
        </w:tc>
      </w:tr>
      <w:tr>
        <w:tc>
          <w:tcPr>
            <w:tcW w:type="dxa" w:w="3168"/>
          </w:tcPr>
          <w:p>
            <w:pPr>
              <w:spacing w:after="20"/>
            </w:pPr>
            <w:r>
              <w:rPr>
                <w:color w:val="1C3A36"/>
                <w:sz w:val="15"/>
              </w:rPr>
              <w:t>Numeric FY2026 capex guidance</w:t>
            </w:r>
          </w:p>
        </w:tc>
        <w:tc>
          <w:tcPr>
            <w:tcW w:type="dxa" w:w="3312"/>
          </w:tcPr>
          <w:p>
            <w:pPr>
              <w:spacing w:after="20"/>
            </w:pPr>
            <w:r>
              <w:rPr>
                <w:color w:val="1C3A36"/>
                <w:sz w:val="15"/>
              </w:rPr>
              <w:t>Feb/Apr/Jul-2026 releases and decks</w:t>
            </w:r>
          </w:p>
        </w:tc>
        <w:tc>
          <w:tcPr>
            <w:tcW w:type="dxa" w:w="3672"/>
          </w:tcPr>
          <w:p>
            <w:pPr>
              <w:spacing w:after="20"/>
            </w:pPr>
            <w:r>
              <w:rPr>
                <w:color w:val="1C3A36"/>
                <w:sz w:val="15"/>
              </w:rPr>
              <w:t>not guided — house path anchored on disclosed commitments, flagged</w:t>
            </w:r>
          </w:p>
        </w:tc>
      </w:tr>
      <w:tr>
        <w:tc>
          <w:tcPr>
            <w:tcW w:type="dxa" w:w="3168"/>
          </w:tcPr>
          <w:p>
            <w:pPr>
              <w:spacing w:after="20"/>
            </w:pPr>
            <w:r>
              <w:rPr>
                <w:color w:val="1C3A36"/>
                <w:sz w:val="15"/>
              </w:rPr>
              <w:t>Analyst consensus on du</w:t>
            </w:r>
          </w:p>
        </w:tc>
        <w:tc>
          <w:tcPr>
            <w:tcW w:type="dxa" w:w="3312"/>
          </w:tcPr>
          <w:p>
            <w:pPr>
              <w:spacing w:after="20"/>
            </w:pPr>
            <w:r>
              <w:rPr>
                <w:color w:val="1C3A36"/>
                <w:sz w:val="15"/>
              </w:rPr>
              <w:t>public sources</w:t>
            </w:r>
          </w:p>
        </w:tc>
        <w:tc>
          <w:tcPr>
            <w:tcW w:type="dxa" w:w="3672"/>
          </w:tcPr>
          <w:p>
            <w:pPr>
              <w:spacing w:after="20"/>
            </w:pPr>
            <w:r>
              <w:rPr>
                <w:color w:val="1C3A36"/>
                <w:sz w:val="15"/>
              </w:rPr>
              <w:t>not cleanly retrievable (searches polluted by the exchange's own ticker); noted, not used</w:t>
            </w:r>
          </w:p>
        </w:tc>
      </w:tr>
    </w:tbl>
    <w:p>
      <w:pPr>
        <w:spacing w:after="40"/>
      </w:pPr>
    </w:p>
    <w:p>
      <w:pPr>
        <w:spacing w:after="80" w:before="240"/>
      </w:pPr>
      <w:r>
        <w:rPr>
          <w:b/>
          <w:i w:val="0"/>
          <w:color w:val="1C3A36"/>
          <w:sz w:val="26"/>
        </w:rPr>
        <w:t>Corrections made after external review</w:t>
      </w:r>
    </w:p>
    <w:p>
      <w:pPr>
        <w:spacing w:after="100" w:before="0"/>
      </w:pPr>
      <w:r>
        <w:rPr>
          <w:b w:val="0"/>
          <w:i w:val="0"/>
          <w:color w:val="1C3A36"/>
          <w:sz w:val="20"/>
        </w:rPr>
        <w:t>Four input errors were found by external audit and by re-audit, and are corrected in this edition rather than left standing. First, the justified price/earnings multiple: the first edition used 15.5x, described as a peer median. It was neither a median of the stated peer set nor a current figure — it was a January-2026 aggregator reading built on FY2024 earnings, published with an August-2026 date. Re-derived from the peers' own filings it is 12.9x, and no median is claimed because only two of six peers survive as clean observations. Second, the dividend roll: the first edition netted only the final dividend PAID before the anchor, on the reasoning that the interim was declared but unpaid. The correct test is the EX-date, which had passed six sessions earlier, so AED 0.66 is now netted, not 0.40. Third, the staff-cost input: its own source note said it applied the prior year's second-half seasonal ratio, but the figure used implied 1.09 against a true 1.196 — which pushed total forecast operating expenses BELOW the audited prior-year actual while revenue grew, and made the margin expansion an artefact of one input. Fourth, and most consequential for how this study reads: du had disclosed the 2027-2029 royalty extension itself, before the first edition's sweep date, so the "contested judgement" that edition was built around was not contested. It is recast here as the required return.</w:t>
      </w:r>
    </w:p>
    <w:p>
      <w:pPr>
        <w:spacing w:after="80" w:before="240"/>
      </w:pPr>
      <w:r>
        <w:rPr>
          <w:b/>
          <w:i w:val="0"/>
          <w:color w:val="1C3A36"/>
          <w:sz w:val="26"/>
        </w:rPr>
        <w:t>A note on source discrepancies</w:t>
      </w:r>
    </w:p>
    <w:p>
      <w:pPr>
        <w:spacing w:after="100" w:before="0"/>
      </w:pPr>
      <w:r>
        <w:rPr>
          <w:b w:val="0"/>
          <w:i w:val="0"/>
          <w:color w:val="1C3A36"/>
          <w:sz w:val="20"/>
        </w:rPr>
        <w:t>Three discrepancies a checking reader will find, all explained rather than smoothed: (1) FY2024 EBITDA is 6,469.8 in this study (the IFRS 18 re-presented comparative on the face of the FY2025 statements) but derives as 6,472.2 from the original FY2024 presentation — the re-presented basis is used so FY2024 and FY2025 sit on one presentation. (2) FY2024 federal royalty is 1,571.6 on the re-presented face but 1,675.9 in the original FY2024 statements (which included prior-period adjustments); the re-presented figure is carried, and the FY2024 effective rate on the ORIGINAL basis is 44.7% ((royalty 1,675.9 + tax 247.0) / profit before both 4,306.2), computed from the registered original-basis royalty rather than typed. (3) The company's IR capex (cost-additions basis, 2,274 for FY2025) differs from the cash-flow-statement capex (2,353.2) used in the model; the audited cash basis is used and the IR basis is quoted only where the IR intensity ratios are cited.</w:t>
      </w:r>
    </w:p>
    <w:p>
      <w:pPr>
        <w:spacing w:after="80" w:before="240"/>
      </w:pPr>
      <w:r>
        <w:rPr>
          <w:b/>
          <w:i w:val="0"/>
          <w:color w:val="1C3A36"/>
          <w:sz w:val="26"/>
        </w:rPr>
        <w:t>Disclosure</w:t>
      </w:r>
    </w:p>
    <w:p>
      <w:pPr>
        <w:spacing w:after="100" w:before="0"/>
      </w:pPr>
      <w:r>
        <w:rPr>
          <w:b w:val="0"/>
          <w:i w:val="0"/>
          <w:color w:val="1C3A36"/>
          <w:sz w:val="18"/>
        </w:rPr>
        <w:t>This bibliography is part of an educational analysis and is not investment advice. Sources are quoted for verification; all errors of transcription are the authors' own. © Testahil, 2026.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