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Alexandria Mineral Oils Company S.A.E. (EGX: AMOC)</w:t>
      </w:r>
    </w:p>
    <w:p>
      <w:pPr>
        <w:spacing w:after="120" w:before="0"/>
      </w:pPr>
      <w:r>
        <w:rPr>
          <w:b w:val="0"/>
          <w:i w:val="0"/>
          <w:color w:val="6E7B77"/>
          <w:sz w:val="20"/>
        </w:rPr>
        <w:t>Downstream petroleum processor — lubricant base oils, fully refined paraffin wax, special oils, gas oil, naphtha, liquefied petroleum gas and fuel-oil blend · Egyptian Exchange · reporting currency EGP · analysis anchored on the closing price of 9.10 on 2026-08-06.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which is issued as a separate document. Where a figure is derived rather than disclosed it is labelled as derived and the derivation is shown on the face of the companion model.</w:t>
            </w:r>
          </w:p>
          <w:p>
            <w:pPr>
              <w:spacing w:after="100"/>
            </w:pPr>
            <w:r>
              <w:rPr>
                <w:b/>
                <w:color w:val="1C3A36"/>
                <w:sz w:val="19"/>
              </w:rPr>
              <w:t xml:space="preserve">The single largest uncertainty. </w:t>
            </w:r>
            <w:r>
              <w:rPr>
                <w:color w:val="1C3A36"/>
                <w:sz w:val="19"/>
              </w:rPr>
              <w:t>The company changed its financial year end from 30 June to 31 December during the period under review, and the disclosure available for the resulting stub and transition periods is thinner than for a clean twelve-month year. The base year used here is CONSTRUCTED from two separately disclosed halves rather than taken from a single filing, and the construction is shown in full so a reader can check it.</w:t>
            </w:r>
          </w:p>
        </w:tc>
      </w:tr>
    </w:tbl>
    <w:p>
      <w:pPr>
        <w:spacing w:after="40"/>
      </w:pPr>
    </w:p>
    <w:p>
      <w:pPr>
        <w:spacing w:after="80" w:before="200"/>
      </w:pPr>
      <w:r>
        <w:rPr>
          <w:b/>
          <w:i w:val="0"/>
          <w:color w:val="1C3A36"/>
          <w:sz w:val="24"/>
        </w:rPr>
        <w:t>Headline</w:t>
      </w:r>
    </w:p>
    <w:p>
      <w:pPr>
        <w:spacing w:after="120" w:before="0"/>
      </w:pPr>
      <w:r>
        <w:rPr>
          <w:b w:val="0"/>
          <w:i w:val="0"/>
          <w:color w:val="1C3A36"/>
          <w:sz w:val="21"/>
        </w:rPr>
        <w:t>Alexandria Mineral Oils is the only refinery listed on the Egyptian Exchange. It takes feedstock from the adjacent state petroleum complex at El-Amerya and separates it into two very different product streams: a small, high-value specialty slate — base oils in the SN150, SN500 and SN600 grades, fully refined paraffin wax, transformer and special oils — and a much larger volume of fuel products and by-products. In calendar 2025 the company moved about 1.362mn tonnes and turned over EGP 39,996mn.</w:t>
      </w:r>
    </w:p>
    <w:p>
      <w:pPr>
        <w:spacing w:after="120" w:before="0"/>
      </w:pPr>
      <w:r>
        <w:rPr>
          <w:b w:val="0"/>
          <w:i w:val="0"/>
          <w:color w:val="1C3A36"/>
          <w:sz w:val="21"/>
        </w:rPr>
        <w:t>The economics are those of a thin-margin processor, and the disclosed record says so plainly: in the financial year to June 2023 cost of sales of EGP 21,219mn sat against gross profit of EGP 1,297mn, a gross margin of 5.76%. That is the single most important fact about the company, because it means the value is not in the revenue line — which is largely the pass-through of feedstock at world product prices — but in the tonnage, the slate mix and the spread earned per tonne.</w:t>
      </w:r>
    </w:p>
    <w:p>
      <w:pPr>
        <w:spacing w:after="120" w:before="0"/>
      </w:pPr>
      <w:r>
        <w:rPr>
          <w:b w:val="0"/>
          <w:i w:val="0"/>
          <w:color w:val="1C3A36"/>
          <w:sz w:val="21"/>
        </w:rPr>
        <w:t>Two structural facts shape everything that follows. The first is the year-end change: the exchange approved a move from a 30 June financial year to 31 December, with July to December 2025 filed as a six-month transition period. The second is the balance sheet. Gross borrowings are EGP 25.3mn against cash of EGP 2,464mn — the company is NET CASH to the tune of EGP 2,438mn, which is EGP 1.89 a share, or 21% of the entire market capitalisation.</w:t>
      </w:r>
    </w:p>
    <w:p>
      <w:pPr>
        <w:spacing w:after="120" w:before="0"/>
      </w:pPr>
      <w:r>
        <w:rPr>
          <w:b w:val="0"/>
          <w:i w:val="0"/>
          <w:color w:val="1C3A36"/>
          <w:sz w:val="21"/>
        </w:rPr>
        <w:t>The volume story is real and recent. The transition half alone sold 808 thousand tonnes, +14.5% on the same period a year earlier and an annualised 1.616mn tonnes against 1.3mn in the June-2025 year. Exports of oils and waxes rose about 40% on entry into new markets. The first calendar quarter of 2026 carried it on: consolidated sales of EGP 10,510mn and profit of EGP 635mn, up 37%.</w:t>
      </w:r>
    </w:p>
    <w:p>
      <w:pPr>
        <w:spacing w:after="200" w:before="0"/>
      </w:pPr>
      <w:r>
        <w:rPr>
          <w:b w:val="0"/>
          <w:i w:val="0"/>
          <w:color w:val="1C3A36"/>
          <w:sz w:val="21"/>
        </w:rPr>
        <w:t>On the primary construction the four lenses centre at EGP 9.34 a share against a market price of 9.10 — the central estimate sits about +3% above the market price. That gap is smaller than the disagreement AMONG the lenses and far smaller than the three-month price distribution in section 3, so it does not support a directional conclusion; the honest reading is that the study cannot distinguish this price from fair value. The lenses do not agree with each other, and that disagreement is the finding rather than a nuisance to be averaged away: the cash-flow lens says EGP 9.40, normalised earnings power says EGP 11.76, and the two lenses anchored on today's market — relative multiples at EGP 8.50 and book value at EGP 7.07 — say less. The spread is what a 31.6% front-end cost of capital does to a business whose growth is real but whose cash arrives over years.</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76"/>
        <w:gridCol w:w="1526"/>
        <w:gridCol w:w="1037"/>
        <w:gridCol w:w="979"/>
      </w:tblGrid>
      <w:tr>
        <w:tc>
          <w:tcPr>
            <w:tcW w:type="dxa" w:w="2045"/>
            <w:shd w:val="clear" w:color="auto" w:fill="EAF0EE"/>
          </w:tcPr>
          <w:p>
            <w:pPr>
              <w:spacing w:after="20"/>
            </w:pPr>
            <w:r>
              <w:rPr>
                <w:b/>
                <w:color w:val="1C3A36"/>
                <w:sz w:val="16"/>
              </w:rPr>
              <w:t>Read</w:t>
            </w:r>
          </w:p>
        </w:tc>
        <w:tc>
          <w:tcPr>
            <w:tcW w:type="dxa" w:w="4176"/>
            <w:shd w:val="clear" w:color="auto" w:fill="EAF0EE"/>
          </w:tcPr>
          <w:p>
            <w:pPr>
              <w:spacing w:after="20"/>
            </w:pPr>
            <w:r>
              <w:rPr>
                <w:b/>
                <w:color w:val="1C3A36"/>
                <w:sz w:val="16"/>
              </w:rPr>
              <w:t>Basis</w:t>
            </w:r>
          </w:p>
        </w:tc>
        <w:tc>
          <w:tcPr>
            <w:tcW w:type="dxa" w:w="1526"/>
            <w:shd w:val="clear" w:color="auto" w:fill="EAF0EE"/>
          </w:tcPr>
          <w:p>
            <w:pPr>
              <w:spacing w:after="20"/>
            </w:pPr>
            <w:r>
              <w:rPr>
                <w:b/>
                <w:color w:val="1C3A36"/>
                <w:sz w:val="16"/>
              </w:rPr>
              <w:t>Range (EGP)</w:t>
            </w:r>
          </w:p>
        </w:tc>
        <w:tc>
          <w:tcPr>
            <w:tcW w:type="dxa" w:w="1037"/>
            <w:shd w:val="clear" w:color="auto" w:fill="EAF0EE"/>
          </w:tcPr>
          <w:p>
            <w:pPr>
              <w:spacing w:after="20"/>
            </w:pPr>
            <w:r>
              <w:rPr>
                <w:b/>
                <w:color w:val="1C3A36"/>
                <w:sz w:val="16"/>
              </w:rPr>
              <w:t>Central</w:t>
            </w:r>
          </w:p>
        </w:tc>
        <w:tc>
          <w:tcPr>
            <w:tcW w:type="dxa" w:w="979"/>
            <w:shd w:val="clear" w:color="auto" w:fill="EAF0EE"/>
          </w:tcPr>
          <w:p>
            <w:pPr>
              <w:spacing w:after="20"/>
            </w:pPr>
            <w:r>
              <w:rPr>
                <w:b/>
                <w:color w:val="1C3A36"/>
                <w:sz w:val="16"/>
              </w:rPr>
              <w:t>vs spot</w:t>
            </w:r>
          </w:p>
        </w:tc>
      </w:tr>
      <w:tr>
        <w:tc>
          <w:tcPr>
            <w:tcW w:type="dxa" w:w="2045"/>
          </w:tcPr>
          <w:p>
            <w:pPr>
              <w:spacing w:after="20"/>
            </w:pPr>
            <w:r>
              <w:rPr>
                <w:color w:val="1C3A36"/>
                <w:sz w:val="16"/>
              </w:rPr>
              <w:t>Free cash flow to the firm</w:t>
            </w:r>
          </w:p>
        </w:tc>
        <w:tc>
          <w:tcPr>
            <w:tcW w:type="dxa" w:w="4176"/>
          </w:tcPr>
          <w:p>
            <w:pPr>
              <w:spacing w:after="20"/>
            </w:pPr>
            <w:r>
              <w:rPr>
                <w:color w:val="1C3A36"/>
                <w:sz w:val="16"/>
              </w:rPr>
              <w:t>Five-year forecast; cost of capital gliding 31.6% → 16.5%; terminal growth 5%. TERMINAL VALUE = 61.7% OF ENTERPRISE VALUE</w:t>
            </w:r>
          </w:p>
        </w:tc>
        <w:tc>
          <w:tcPr>
            <w:tcW w:type="dxa" w:w="1526"/>
          </w:tcPr>
          <w:p>
            <w:pPr>
              <w:spacing w:after="20"/>
              <w:jc w:val="right"/>
            </w:pPr>
            <w:r>
              <w:rPr>
                <w:color w:val="1C3A36"/>
                <w:sz w:val="16"/>
              </w:rPr>
              <w:t>5.70 – 15.97</w:t>
            </w:r>
          </w:p>
        </w:tc>
        <w:tc>
          <w:tcPr>
            <w:tcW w:type="dxa" w:w="1037"/>
          </w:tcPr>
          <w:p>
            <w:pPr>
              <w:spacing w:after="20"/>
              <w:jc w:val="right"/>
            </w:pPr>
            <w:r>
              <w:rPr>
                <w:color w:val="1C3A36"/>
                <w:sz w:val="16"/>
              </w:rPr>
              <w:t>9.40</w:t>
            </w:r>
          </w:p>
        </w:tc>
        <w:tc>
          <w:tcPr>
            <w:tcW w:type="dxa" w:w="979"/>
          </w:tcPr>
          <w:p>
            <w:pPr>
              <w:spacing w:after="20"/>
              <w:jc w:val="right"/>
            </w:pPr>
            <w:r>
              <w:rPr>
                <w:color w:val="1C3A36"/>
                <w:sz w:val="16"/>
              </w:rPr>
              <w:t>+3%</w:t>
            </w:r>
          </w:p>
        </w:tc>
      </w:tr>
      <w:tr>
        <w:tc>
          <w:tcPr>
            <w:tcW w:type="dxa" w:w="2045"/>
          </w:tcPr>
          <w:p>
            <w:pPr>
              <w:spacing w:after="20"/>
            </w:pPr>
            <w:r>
              <w:rPr>
                <w:color w:val="1C3A36"/>
                <w:sz w:val="16"/>
              </w:rPr>
              <w:t>Relative multiples</w:t>
            </w:r>
          </w:p>
        </w:tc>
        <w:tc>
          <w:tcPr>
            <w:tcW w:type="dxa" w:w="4176"/>
          </w:tcPr>
          <w:p>
            <w:pPr>
              <w:spacing w:after="20"/>
            </w:pPr>
            <w:r>
              <w:rPr>
                <w:color w:val="1C3A36"/>
                <w:sz w:val="16"/>
              </w:rPr>
              <w:t>4.5× enterprise value to 2027E EBITDA, discounted back two years at the model's own factor; trailing multiple 4.5×</w:t>
            </w:r>
          </w:p>
        </w:tc>
        <w:tc>
          <w:tcPr>
            <w:tcW w:type="dxa" w:w="1526"/>
          </w:tcPr>
          <w:p>
            <w:pPr>
              <w:spacing w:after="20"/>
              <w:jc w:val="right"/>
            </w:pPr>
            <w:r>
              <w:rPr>
                <w:color w:val="1C3A36"/>
                <w:sz w:val="16"/>
              </w:rPr>
              <w:t>7.31 – 10.29</w:t>
            </w:r>
          </w:p>
        </w:tc>
        <w:tc>
          <w:tcPr>
            <w:tcW w:type="dxa" w:w="1037"/>
          </w:tcPr>
          <w:p>
            <w:pPr>
              <w:spacing w:after="20"/>
              <w:jc w:val="right"/>
            </w:pPr>
            <w:r>
              <w:rPr>
                <w:color w:val="1C3A36"/>
                <w:sz w:val="16"/>
              </w:rPr>
              <w:t>8.50</w:t>
            </w:r>
          </w:p>
        </w:tc>
        <w:tc>
          <w:tcPr>
            <w:tcW w:type="dxa" w:w="979"/>
          </w:tcPr>
          <w:p>
            <w:pPr>
              <w:spacing w:after="20"/>
              <w:jc w:val="right"/>
            </w:pPr>
            <w:r>
              <w:rPr>
                <w:color w:val="1C3A36"/>
                <w:sz w:val="16"/>
              </w:rPr>
              <w:t>-7%</w:t>
            </w:r>
          </w:p>
        </w:tc>
      </w:tr>
      <w:tr>
        <w:tc>
          <w:tcPr>
            <w:tcW w:type="dxa" w:w="2045"/>
          </w:tcPr>
          <w:p>
            <w:pPr>
              <w:spacing w:after="20"/>
            </w:pPr>
            <w:r>
              <w:rPr>
                <w:color w:val="1C3A36"/>
                <w:sz w:val="16"/>
              </w:rPr>
              <w:t>Normalised earnings power</w:t>
            </w:r>
          </w:p>
        </w:tc>
        <w:tc>
          <w:tcPr>
            <w:tcW w:type="dxa" w:w="4176"/>
          </w:tcPr>
          <w:p>
            <w:pPr>
              <w:spacing w:after="20"/>
            </w:pPr>
            <w:r>
              <w:rPr>
                <w:color w:val="1C3A36"/>
                <w:sz w:val="16"/>
              </w:rPr>
              <w:t>7.5× on 2028E attributable earnings of EGP 1.57 a share; a mid-cycle earnings-power statement, not a discounted present value</w:t>
            </w:r>
          </w:p>
        </w:tc>
        <w:tc>
          <w:tcPr>
            <w:tcW w:type="dxa" w:w="1526"/>
          </w:tcPr>
          <w:p>
            <w:pPr>
              <w:spacing w:after="20"/>
              <w:jc w:val="right"/>
            </w:pPr>
            <w:r>
              <w:rPr>
                <w:color w:val="1C3A36"/>
                <w:sz w:val="16"/>
              </w:rPr>
              <w:t>8.62 – 14.90</w:t>
            </w:r>
          </w:p>
        </w:tc>
        <w:tc>
          <w:tcPr>
            <w:tcW w:type="dxa" w:w="1037"/>
          </w:tcPr>
          <w:p>
            <w:pPr>
              <w:spacing w:after="20"/>
              <w:jc w:val="right"/>
            </w:pPr>
            <w:r>
              <w:rPr>
                <w:color w:val="1C3A36"/>
                <w:sz w:val="16"/>
              </w:rPr>
              <w:t>11.76</w:t>
            </w:r>
          </w:p>
        </w:tc>
        <w:tc>
          <w:tcPr>
            <w:tcW w:type="dxa" w:w="979"/>
          </w:tcPr>
          <w:p>
            <w:pPr>
              <w:spacing w:after="20"/>
              <w:jc w:val="right"/>
            </w:pPr>
            <w:r>
              <w:rPr>
                <w:color w:val="1C3A36"/>
                <w:sz w:val="16"/>
              </w:rPr>
              <w:t>+29%</w:t>
            </w:r>
          </w:p>
        </w:tc>
      </w:tr>
      <w:tr>
        <w:tc>
          <w:tcPr>
            <w:tcW w:type="dxa" w:w="2045"/>
          </w:tcPr>
          <w:p>
            <w:pPr>
              <w:spacing w:after="20"/>
            </w:pPr>
            <w:r>
              <w:rPr>
                <w:color w:val="1C3A36"/>
                <w:sz w:val="16"/>
              </w:rPr>
              <w:t>Book value and sustainable return</w:t>
            </w:r>
          </w:p>
        </w:tc>
        <w:tc>
          <w:tcPr>
            <w:tcW w:type="dxa" w:w="4176"/>
          </w:tcPr>
          <w:p>
            <w:pPr>
              <w:spacing w:after="20"/>
            </w:pPr>
            <w:r>
              <w:rPr>
                <w:color w:val="1C3A36"/>
                <w:sz w:val="16"/>
              </w:rPr>
              <w:t>Justified price-to-book 1.9× on book value of EGP 3.72, at a sustainable return of 28% and the perpetual cost of equity 17.1%</w:t>
            </w:r>
          </w:p>
        </w:tc>
        <w:tc>
          <w:tcPr>
            <w:tcW w:type="dxa" w:w="1526"/>
          </w:tcPr>
          <w:p>
            <w:pPr>
              <w:spacing w:after="20"/>
              <w:jc w:val="right"/>
            </w:pPr>
            <w:r>
              <w:rPr>
                <w:color w:val="1C3A36"/>
                <w:sz w:val="16"/>
              </w:rPr>
              <w:t>3.83 – 7.99</w:t>
            </w:r>
          </w:p>
        </w:tc>
        <w:tc>
          <w:tcPr>
            <w:tcW w:type="dxa" w:w="1037"/>
          </w:tcPr>
          <w:p>
            <w:pPr>
              <w:spacing w:after="20"/>
              <w:jc w:val="right"/>
            </w:pPr>
            <w:r>
              <w:rPr>
                <w:color w:val="1C3A36"/>
                <w:sz w:val="16"/>
              </w:rPr>
              <w:t>7.07</w:t>
            </w:r>
          </w:p>
        </w:tc>
        <w:tc>
          <w:tcPr>
            <w:tcW w:type="dxa" w:w="979"/>
          </w:tcPr>
          <w:p>
            <w:pPr>
              <w:spacing w:after="20"/>
              <w:jc w:val="right"/>
            </w:pPr>
            <w:r>
              <w:rPr>
                <w:color w:val="1C3A36"/>
                <w:sz w:val="16"/>
              </w:rPr>
              <w:t>-22%</w:t>
            </w:r>
          </w:p>
        </w:tc>
      </w:tr>
      <w:tr>
        <w:tc>
          <w:tcPr>
            <w:tcW w:type="dxa" w:w="2045"/>
            <w:shd w:val="clear" w:color="auto" w:fill="F6F1E6"/>
          </w:tcPr>
          <w:p>
            <w:pPr>
              <w:spacing w:after="20"/>
            </w:pPr>
            <w:r>
              <w:rPr>
                <w:b/>
                <w:color w:val="1C3A36"/>
                <w:sz w:val="16"/>
              </w:rPr>
              <w:t>WEIGHTED CENTRAL</w:t>
            </w:r>
          </w:p>
        </w:tc>
        <w:tc>
          <w:tcPr>
            <w:tcW w:type="dxa" w:w="4176"/>
            <w:shd w:val="clear" w:color="auto" w:fill="F6F1E6"/>
          </w:tcPr>
          <w:p>
            <w:pPr>
              <w:spacing w:after="20"/>
            </w:pPr>
            <w:r>
              <w:rPr>
                <w:b/>
                <w:color w:val="1C3A36"/>
                <w:sz w:val="16"/>
              </w:rPr>
              <w:t>Weights 45% / 20% / 20% / 15%</w:t>
            </w:r>
          </w:p>
        </w:tc>
        <w:tc>
          <w:tcPr>
            <w:tcW w:type="dxa" w:w="1526"/>
            <w:shd w:val="clear" w:color="auto" w:fill="F6F1E6"/>
          </w:tcPr>
          <w:p>
            <w:pPr>
              <w:spacing w:after="20"/>
              <w:jc w:val="right"/>
            </w:pPr>
            <w:r>
              <w:rPr>
                <w:b/>
                <w:color w:val="1C3A36"/>
                <w:sz w:val="16"/>
              </w:rPr>
              <w:t>3.83 – 15.97</w:t>
            </w:r>
          </w:p>
        </w:tc>
        <w:tc>
          <w:tcPr>
            <w:tcW w:type="dxa" w:w="1037"/>
            <w:shd w:val="clear" w:color="auto" w:fill="F6F1E6"/>
          </w:tcPr>
          <w:p>
            <w:pPr>
              <w:spacing w:after="20"/>
              <w:jc w:val="right"/>
            </w:pPr>
            <w:r>
              <w:rPr>
                <w:b/>
                <w:color w:val="1C3A36"/>
                <w:sz w:val="16"/>
              </w:rPr>
              <w:t>9.34</w:t>
            </w:r>
          </w:p>
        </w:tc>
        <w:tc>
          <w:tcPr>
            <w:tcW w:type="dxa" w:w="979"/>
            <w:shd w:val="clear" w:color="auto" w:fill="F6F1E6"/>
          </w:tcPr>
          <w:p>
            <w:pPr>
              <w:spacing w:after="20"/>
              <w:jc w:val="right"/>
            </w:pPr>
            <w:r>
              <w:rPr>
                <w:b/>
                <w:color w:val="1C3A36"/>
                <w:sz w:val="16"/>
              </w:rPr>
              <w:t>+3%</w:t>
            </w:r>
          </w:p>
        </w:tc>
      </w:tr>
      <w:tr>
        <w:tc>
          <w:tcPr>
            <w:tcW w:type="dxa" w:w="2045"/>
          </w:tcPr>
          <w:p>
            <w:pPr>
              <w:spacing w:after="20"/>
            </w:pPr>
            <w:r>
              <w:rPr>
                <w:color w:val="1C3A36"/>
                <w:sz w:val="16"/>
              </w:rPr>
              <w:t>Expert panel median</w:t>
            </w:r>
          </w:p>
        </w:tc>
        <w:tc>
          <w:tcPr>
            <w:tcW w:type="dxa" w:w="4176"/>
          </w:tcPr>
          <w:p>
            <w:pPr>
              <w:spacing w:after="20"/>
            </w:pPr>
            <w:r>
              <w:rPr>
                <w:color w:val="1C3A36"/>
                <w:sz w:val="16"/>
              </w:rPr>
              <w:t>Three methods worked in Appendix C. NOT an independent check: one of the three is an economic-profit build that reproduces the cash-flow lens as an algebraic identity, and here it IS the median. Read the two genuinely independent reads instead — they bracket the cash-flow lens rather than confirming it</w:t>
            </w:r>
          </w:p>
        </w:tc>
        <w:tc>
          <w:tcPr>
            <w:tcW w:type="dxa" w:w="1526"/>
          </w:tcPr>
          <w:p>
            <w:pPr>
              <w:spacing w:after="20"/>
              <w:jc w:val="right"/>
            </w:pPr>
            <w:r>
              <w:rPr>
                <w:color w:val="1C3A36"/>
                <w:sz w:val="16"/>
              </w:rPr>
              <w:t>7.18 – 14.90</w:t>
            </w:r>
          </w:p>
        </w:tc>
        <w:tc>
          <w:tcPr>
            <w:tcW w:type="dxa" w:w="1037"/>
          </w:tcPr>
          <w:p>
            <w:pPr>
              <w:spacing w:after="20"/>
              <w:jc w:val="right"/>
            </w:pPr>
            <w:r>
              <w:rPr>
                <w:color w:val="1C3A36"/>
                <w:sz w:val="16"/>
              </w:rPr>
              <w:t>9.40</w:t>
            </w:r>
          </w:p>
        </w:tc>
        <w:tc>
          <w:tcPr>
            <w:tcW w:type="dxa" w:w="979"/>
          </w:tcPr>
          <w:p>
            <w:pPr>
              <w:spacing w:after="20"/>
              <w:jc w:val="right"/>
            </w:pPr>
            <w:r>
              <w:rPr>
                <w:color w:val="1C3A36"/>
                <w:sz w:val="16"/>
              </w:rPr>
              <w:t>+3%</w:t>
            </w:r>
          </w:p>
        </w:tc>
      </w:tr>
      <w:tr>
        <w:tc>
          <w:tcPr>
            <w:tcW w:type="dxa" w:w="2045"/>
            <w:shd w:val="clear" w:color="auto" w:fill="F6F1E6"/>
          </w:tcPr>
          <w:p>
            <w:pPr>
              <w:spacing w:after="20"/>
            </w:pPr>
            <w:r>
              <w:rPr>
                <w:b/>
                <w:color w:val="1C3A36"/>
                <w:sz w:val="16"/>
              </w:rPr>
              <w:t>Market price</w:t>
            </w:r>
          </w:p>
        </w:tc>
        <w:tc>
          <w:tcPr>
            <w:tcW w:type="dxa" w:w="4176"/>
            <w:shd w:val="clear" w:color="auto" w:fill="F6F1E6"/>
          </w:tcPr>
          <w:p>
            <w:pPr>
              <w:spacing w:after="20"/>
            </w:pPr>
            <w:r>
              <w:rPr>
                <w:b/>
                <w:color w:val="1C3A36"/>
                <w:sz w:val="16"/>
              </w:rPr>
              <w:t>Closing price on 2026-08-06</w:t>
            </w:r>
          </w:p>
        </w:tc>
        <w:tc>
          <w:tcPr>
            <w:tcW w:type="dxa" w:w="1526"/>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9.10</w:t>
            </w:r>
          </w:p>
        </w:tc>
        <w:tc>
          <w:tcPr>
            <w:tcW w:type="dxa" w:w="979"/>
            <w:shd w:val="clear" w:color="auto" w:fill="F6F1E6"/>
          </w:tcPr>
          <w:p>
            <w:pPr>
              <w:spacing w:after="20"/>
              <w:jc w:val="right"/>
            </w:pPr>
            <w:r>
              <w:rPr>
                <w:b/>
                <w:color w:val="1C3A36"/>
                <w:sz w:val="16"/>
              </w:rPr>
              <w:t>—</w:t>
            </w:r>
          </w:p>
        </w:tc>
      </w:tr>
    </w:tbl>
    <w:p>
      <w:pPr>
        <w:spacing w:after="40"/>
      </w:pPr>
    </w:p>
    <w:p>
      <w:pPr>
        <w:spacing w:after="200" w:before="0"/>
      </w:pPr>
      <w:r>
        <w:rPr>
          <w:b w:val="0"/>
          <w:i/>
          <w:color w:val="6E7B77"/>
          <w:sz w:val="17"/>
        </w:rPr>
        <w:t>Terminal value as a percentage of enterprise value is stated in the first row and again in the enterprise-value bridge in section 1.8. At 61.7% it is a high but not unusual share for a business whose cost of capital is expected to fall by roughly 1,511 basis points over the forecast; the reader should treat the cash-flow lens as a statement about the terminal state at least as much as about the next five years.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each shown bear to bull with the base marked. The vertical rule is the market price.</w:t>
      </w:r>
    </w:p>
    <w:p>
      <w:pPr>
        <w:pStyle w:val="ListBullet"/>
        <w:spacing w:after="60"/>
      </w:pPr>
      <w:r>
        <w:rPr>
          <w:b/>
          <w:color w:val="1C3A36"/>
          <w:sz w:val="21"/>
        </w:rPr>
        <w:t xml:space="preserve">Scenario definitions. </w:t>
      </w:r>
      <w:r>
        <w:rPr>
          <w:color w:val="1C3A36"/>
          <w:sz w:val="21"/>
        </w:rPr>
        <w:t>What the bear and bull columns above actually are, stated before anyone reads a range off them. On the cash-flow lens they are FIVE drivers moved simultaneously and in the same direction, so they compound; they are not one-standard-deviation bands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84"/>
        <w:gridCol w:w="1944"/>
        <w:gridCol w:w="1584"/>
      </w:tblGrid>
      <w:tr>
        <w:tc>
          <w:tcPr>
            <w:tcW w:type="dxa" w:w="4392"/>
            <w:shd w:val="clear" w:color="auto" w:fill="EAF0EE"/>
          </w:tcPr>
          <w:p>
            <w:pPr>
              <w:spacing w:after="20"/>
            </w:pPr>
            <w:r>
              <w:rPr>
                <w:b/>
                <w:color w:val="1C3A36"/>
                <w:sz w:val="16"/>
              </w:rPr>
              <w:t>Driver moved</w:t>
            </w:r>
          </w:p>
        </w:tc>
        <w:tc>
          <w:tcPr>
            <w:tcW w:type="dxa" w:w="1584"/>
            <w:shd w:val="clear" w:color="auto" w:fill="EAF0EE"/>
          </w:tcPr>
          <w:p>
            <w:pPr>
              <w:spacing w:after="20"/>
            </w:pPr>
            <w:r>
              <w:rPr>
                <w:b/>
                <w:color w:val="1C3A36"/>
                <w:sz w:val="16"/>
              </w:rPr>
              <w:t>Bear</w:t>
            </w:r>
          </w:p>
        </w:tc>
        <w:tc>
          <w:tcPr>
            <w:tcW w:type="dxa" w:w="194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Bull</w:t>
            </w:r>
          </w:p>
        </w:tc>
      </w:tr>
      <w:tr>
        <w:tc>
          <w:tcPr>
            <w:tcW w:type="dxa" w:w="4392"/>
          </w:tcPr>
          <w:p>
            <w:pPr>
              <w:spacing w:after="20"/>
            </w:pPr>
            <w:r>
              <w:rPr>
                <w:color w:val="1C3A36"/>
                <w:sz w:val="16"/>
              </w:rPr>
              <w:t>Volume growth path, as a multiple of the assumed path</w:t>
            </w:r>
          </w:p>
        </w:tc>
        <w:tc>
          <w:tcPr>
            <w:tcW w:type="dxa" w:w="1584"/>
          </w:tcPr>
          <w:p>
            <w:pPr>
              <w:spacing w:after="20"/>
              <w:jc w:val="right"/>
            </w:pPr>
            <w:r>
              <w:rPr>
                <w:color w:val="1C3A36"/>
                <w:sz w:val="16"/>
              </w:rPr>
              <w:t>0.40× the assumed path</w:t>
            </w:r>
          </w:p>
        </w:tc>
        <w:tc>
          <w:tcPr>
            <w:tcW w:type="dxa" w:w="1944"/>
          </w:tcPr>
          <w:p>
            <w:pPr>
              <w:spacing w:after="20"/>
              <w:jc w:val="right"/>
            </w:pPr>
            <w:r>
              <w:rPr>
                <w:color w:val="1C3A36"/>
                <w:sz w:val="16"/>
              </w:rPr>
              <w:t>1.00× (as assumed)</w:t>
            </w:r>
          </w:p>
        </w:tc>
        <w:tc>
          <w:tcPr>
            <w:tcW w:type="dxa" w:w="1584"/>
          </w:tcPr>
          <w:p>
            <w:pPr>
              <w:spacing w:after="20"/>
              <w:jc w:val="right"/>
            </w:pPr>
            <w:r>
              <w:rPr>
                <w:color w:val="1C3A36"/>
                <w:sz w:val="16"/>
              </w:rPr>
              <w:t>1.50× the assumed path</w:t>
            </w:r>
          </w:p>
        </w:tc>
      </w:tr>
      <w:tr>
        <w:tc>
          <w:tcPr>
            <w:tcW w:type="dxa" w:w="4392"/>
          </w:tcPr>
          <w:p>
            <w:pPr>
              <w:spacing w:after="20"/>
            </w:pPr>
            <w:r>
              <w:rPr>
                <w:color w:val="1C3A36"/>
                <w:sz w:val="16"/>
              </w:rPr>
              <w:t>Gross margin, shifted on every forecast year</w:t>
            </w:r>
          </w:p>
        </w:tc>
        <w:tc>
          <w:tcPr>
            <w:tcW w:type="dxa" w:w="1584"/>
          </w:tcPr>
          <w:p>
            <w:pPr>
              <w:spacing w:after="20"/>
              <w:jc w:val="right"/>
            </w:pPr>
            <w:r>
              <w:rPr>
                <w:color w:val="1C3A36"/>
                <w:sz w:val="16"/>
              </w:rPr>
              <w:t>-1.0%</w:t>
            </w:r>
          </w:p>
        </w:tc>
        <w:tc>
          <w:tcPr>
            <w:tcW w:type="dxa" w:w="1944"/>
          </w:tcPr>
          <w:p>
            <w:pPr>
              <w:spacing w:after="20"/>
              <w:jc w:val="right"/>
            </w:pPr>
            <w:r>
              <w:rPr>
                <w:color w:val="1C3A36"/>
                <w:sz w:val="16"/>
              </w:rPr>
              <w:t>—</w:t>
            </w:r>
          </w:p>
        </w:tc>
        <w:tc>
          <w:tcPr>
            <w:tcW w:type="dxa" w:w="1584"/>
          </w:tcPr>
          <w:p>
            <w:pPr>
              <w:spacing w:after="20"/>
              <w:jc w:val="right"/>
            </w:pPr>
            <w:r>
              <w:rPr>
                <w:color w:val="1C3A36"/>
                <w:sz w:val="16"/>
              </w:rPr>
              <w:t>+1.0%</w:t>
            </w:r>
          </w:p>
        </w:tc>
      </w:tr>
      <w:tr>
        <w:tc>
          <w:tcPr>
            <w:tcW w:type="dxa" w:w="4392"/>
          </w:tcPr>
          <w:p>
            <w:pPr>
              <w:spacing w:after="20"/>
            </w:pPr>
            <w:r>
              <w:rPr>
                <w:color w:val="1C3A36"/>
                <w:sz w:val="16"/>
              </w:rPr>
              <w:t>Exchange-rate path, as a multiple of the assumed path</w:t>
            </w:r>
          </w:p>
        </w:tc>
        <w:tc>
          <w:tcPr>
            <w:tcW w:type="dxa" w:w="1584"/>
          </w:tcPr>
          <w:p>
            <w:pPr>
              <w:spacing w:after="20"/>
              <w:jc w:val="right"/>
            </w:pPr>
            <w:r>
              <w:rPr>
                <w:color w:val="1C3A36"/>
                <w:sz w:val="16"/>
              </w:rPr>
              <w:t>0.97× the assumed path</w:t>
            </w:r>
          </w:p>
        </w:tc>
        <w:tc>
          <w:tcPr>
            <w:tcW w:type="dxa" w:w="1944"/>
          </w:tcPr>
          <w:p>
            <w:pPr>
              <w:spacing w:after="20"/>
              <w:jc w:val="right"/>
            </w:pPr>
            <w:r>
              <w:rPr>
                <w:color w:val="1C3A36"/>
                <w:sz w:val="16"/>
              </w:rPr>
              <w:t>1.00× (as assumed)</w:t>
            </w:r>
          </w:p>
        </w:tc>
        <w:tc>
          <w:tcPr>
            <w:tcW w:type="dxa" w:w="1584"/>
          </w:tcPr>
          <w:p>
            <w:pPr>
              <w:spacing w:after="20"/>
              <w:jc w:val="right"/>
            </w:pPr>
            <w:r>
              <w:rPr>
                <w:color w:val="1C3A36"/>
                <w:sz w:val="16"/>
              </w:rPr>
              <w:t>1.03× the assumed path</w:t>
            </w:r>
          </w:p>
        </w:tc>
      </w:tr>
      <w:tr>
        <w:tc>
          <w:tcPr>
            <w:tcW w:type="dxa" w:w="4392"/>
          </w:tcPr>
          <w:p>
            <w:pPr>
              <w:spacing w:after="20"/>
            </w:pPr>
            <w:r>
              <w:rPr>
                <w:color w:val="1C3A36"/>
                <w:sz w:val="16"/>
              </w:rPr>
              <w:t>Cost of capital, shifted at BOTH the explicit and terminal anchors</w:t>
            </w:r>
          </w:p>
        </w:tc>
        <w:tc>
          <w:tcPr>
            <w:tcW w:type="dxa" w:w="1584"/>
          </w:tcPr>
          <w:p>
            <w:pPr>
              <w:spacing w:after="20"/>
              <w:jc w:val="right"/>
            </w:pPr>
            <w:r>
              <w:rPr>
                <w:color w:val="1C3A36"/>
                <w:sz w:val="16"/>
              </w:rPr>
              <w:t>+2 points</w:t>
            </w:r>
          </w:p>
        </w:tc>
        <w:tc>
          <w:tcPr>
            <w:tcW w:type="dxa" w:w="1944"/>
          </w:tcPr>
          <w:p>
            <w:pPr>
              <w:spacing w:after="20"/>
              <w:jc w:val="right"/>
            </w:pPr>
            <w:r>
              <w:rPr>
                <w:color w:val="1C3A36"/>
                <w:sz w:val="16"/>
              </w:rPr>
              <w:t>—</w:t>
            </w:r>
          </w:p>
        </w:tc>
        <w:tc>
          <w:tcPr>
            <w:tcW w:type="dxa" w:w="1584"/>
          </w:tcPr>
          <w:p>
            <w:pPr>
              <w:spacing w:after="20"/>
              <w:jc w:val="right"/>
            </w:pPr>
            <w:r>
              <w:rPr>
                <w:color w:val="1C3A36"/>
                <w:sz w:val="16"/>
              </w:rPr>
              <w:t>-2 points</w:t>
            </w:r>
          </w:p>
        </w:tc>
      </w:tr>
      <w:tr>
        <w:tc>
          <w:tcPr>
            <w:tcW w:type="dxa" w:w="4392"/>
          </w:tcPr>
          <w:p>
            <w:pPr>
              <w:spacing w:after="20"/>
            </w:pPr>
            <w:r>
              <w:rPr>
                <w:color w:val="1C3A36"/>
                <w:sz w:val="16"/>
              </w:rPr>
              <w:t>Terminal growth rate</w:t>
            </w:r>
          </w:p>
        </w:tc>
        <w:tc>
          <w:tcPr>
            <w:tcW w:type="dxa" w:w="1584"/>
          </w:tcPr>
          <w:p>
            <w:pPr>
              <w:spacing w:after="20"/>
              <w:jc w:val="right"/>
            </w:pPr>
            <w:r>
              <w:rPr>
                <w:color w:val="1C3A36"/>
                <w:sz w:val="16"/>
              </w:rPr>
              <w:t>3%</w:t>
            </w:r>
          </w:p>
        </w:tc>
        <w:tc>
          <w:tcPr>
            <w:tcW w:type="dxa" w:w="1944"/>
          </w:tcPr>
          <w:p>
            <w:pPr>
              <w:spacing w:after="20"/>
              <w:jc w:val="right"/>
            </w:pPr>
            <w:r>
              <w:rPr>
                <w:color w:val="1C3A36"/>
                <w:sz w:val="16"/>
              </w:rPr>
              <w:t>5%</w:t>
            </w:r>
          </w:p>
        </w:tc>
        <w:tc>
          <w:tcPr>
            <w:tcW w:type="dxa" w:w="1584"/>
          </w:tcPr>
          <w:p>
            <w:pPr>
              <w:spacing w:after="20"/>
              <w:jc w:val="right"/>
            </w:pPr>
            <w:r>
              <w:rPr>
                <w:color w:val="1C3A36"/>
                <w:sz w:val="16"/>
              </w:rPr>
              <w:t>6%</w:t>
            </w:r>
          </w:p>
        </w:tc>
      </w:tr>
      <w:tr>
        <w:tc>
          <w:tcPr>
            <w:tcW w:type="dxa" w:w="4392"/>
            <w:shd w:val="clear" w:color="auto" w:fill="F6F1E6"/>
          </w:tcPr>
          <w:p>
            <w:pPr>
              <w:spacing w:after="20"/>
            </w:pPr>
            <w:r>
              <w:rPr>
                <w:b/>
                <w:color w:val="1C3A36"/>
                <w:sz w:val="16"/>
              </w:rPr>
              <w:t>RESULTING FAIR VALUE (EGP a share)</w:t>
            </w:r>
          </w:p>
        </w:tc>
        <w:tc>
          <w:tcPr>
            <w:tcW w:type="dxa" w:w="1584"/>
            <w:shd w:val="clear" w:color="auto" w:fill="F6F1E6"/>
          </w:tcPr>
          <w:p>
            <w:pPr>
              <w:spacing w:after="20"/>
              <w:jc w:val="right"/>
            </w:pPr>
            <w:r>
              <w:rPr>
                <w:b/>
                <w:color w:val="1C3A36"/>
                <w:sz w:val="16"/>
              </w:rPr>
              <w:t>5.70</w:t>
            </w:r>
          </w:p>
        </w:tc>
        <w:tc>
          <w:tcPr>
            <w:tcW w:type="dxa" w:w="1944"/>
            <w:shd w:val="clear" w:color="auto" w:fill="F6F1E6"/>
          </w:tcPr>
          <w:p>
            <w:pPr>
              <w:spacing w:after="20"/>
              <w:jc w:val="right"/>
            </w:pPr>
            <w:r>
              <w:rPr>
                <w:b/>
                <w:color w:val="1C3A36"/>
                <w:sz w:val="16"/>
              </w:rPr>
              <w:t>9.40</w:t>
            </w:r>
          </w:p>
        </w:tc>
        <w:tc>
          <w:tcPr>
            <w:tcW w:type="dxa" w:w="1584"/>
            <w:shd w:val="clear" w:color="auto" w:fill="F6F1E6"/>
          </w:tcPr>
          <w:p>
            <w:pPr>
              <w:spacing w:after="20"/>
              <w:jc w:val="right"/>
            </w:pPr>
            <w:r>
              <w:rPr>
                <w:b/>
                <w:color w:val="1C3A36"/>
                <w:sz w:val="16"/>
              </w:rPr>
              <w:t>15.97</w:t>
            </w:r>
          </w:p>
        </w:tc>
      </w:tr>
    </w:tbl>
    <w:p>
      <w:pPr>
        <w:spacing w:after="40"/>
      </w:pPr>
    </w:p>
    <w:p>
      <w:pPr>
        <w:spacing w:after="200" w:before="0"/>
      </w:pPr>
      <w:r>
        <w:rPr>
          <w:b w:val="0"/>
          <w:i/>
          <w:color w:val="6E7B77"/>
          <w:sz w:val="17"/>
        </w:rPr>
        <w:t>The other three lenses take their ranges differently and it is worth saying so rather than letting the reader assume one convention: the relative lens is struck on multiples of 3.5× and 6.0× enterprise value to EBITDA against 4.5× in the base; normalised earnings power on price-to-earnings multiples of 5.5× and 9.5× against 7.5×; and the book lens by moving the sustainable return ±3 points and the growth rate, at a blended rather than perpetual cost of equity on the bear side. Only the cash-flow lens re-runs the model. Because the four conventions differ, the full span of EGP 3.83 to 15.97 in the summary table is the envelope of four differently-constructed ranges and should not be read as a distribution.</w:t>
      </w:r>
    </w:p>
    <w:p>
      <w:pPr>
        <w:spacing w:after="120" w:before="280"/>
      </w:pPr>
      <w:r>
        <w:rPr>
          <w:b/>
          <w:i w:val="0"/>
          <w:color w:val="1C3A36"/>
          <w:sz w:val="30"/>
        </w:rPr>
        <w:t>The company</w:t>
      </w:r>
    </w:p>
    <w:p>
      <w:pPr>
        <w:spacing w:after="120" w:before="0"/>
      </w:pPr>
      <w:r>
        <w:rPr>
          <w:b w:val="0"/>
          <w:i w:val="0"/>
          <w:color w:val="1C3A36"/>
          <w:sz w:val="21"/>
        </w:rPr>
        <w:t>Alexandria Mineral Oils Company was established in 1997 to meet Egypt's domestic requirement for lubricating base oils and paraffin waxes and to place the surplus into export markets. Its single complex sits at El-Amerya, west of Alexandria, adjacent to the refining assets it draws feedstock from. It is the only refinery listed on the Egyptian Exchange, and the Egyptian General Petroleum Corporation is its second-largest single shareholder with a 20% holding — a fact that matters commercially as well as politically, because the same state complex is both the principal supplier of feedstock and a principal offtaker of product.</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3960"/>
        <w:gridCol w:w="1368"/>
        <w:gridCol w:w="1584"/>
        <w:gridCol w:w="1325"/>
      </w:tblGrid>
      <w:tr>
        <w:tc>
          <w:tcPr>
            <w:tcW w:type="dxa" w:w="2088"/>
            <w:shd w:val="clear" w:color="auto" w:fill="EAF0EE"/>
          </w:tcPr>
          <w:p>
            <w:pPr>
              <w:spacing w:after="20"/>
            </w:pPr>
            <w:r>
              <w:rPr>
                <w:b/>
                <w:color w:val="1C3A36"/>
                <w:sz w:val="16"/>
              </w:rPr>
              <w:t>Leg</w:t>
            </w:r>
          </w:p>
        </w:tc>
        <w:tc>
          <w:tcPr>
            <w:tcW w:type="dxa" w:w="3960"/>
            <w:shd w:val="clear" w:color="auto" w:fill="EAF0EE"/>
          </w:tcPr>
          <w:p>
            <w:pPr>
              <w:spacing w:after="20"/>
            </w:pPr>
            <w:r>
              <w:rPr>
                <w:b/>
                <w:color w:val="1C3A36"/>
                <w:sz w:val="16"/>
              </w:rPr>
              <w:t>Products</w:t>
            </w:r>
          </w:p>
        </w:tc>
        <w:tc>
          <w:tcPr>
            <w:tcW w:type="dxa" w:w="1368"/>
            <w:shd w:val="clear" w:color="auto" w:fill="EAF0EE"/>
          </w:tcPr>
          <w:p>
            <w:pPr>
              <w:spacing w:after="20"/>
            </w:pPr>
            <w:r>
              <w:rPr>
                <w:b/>
                <w:color w:val="1C3A36"/>
                <w:sz w:val="16"/>
              </w:rPr>
              <w:t>Volume (mn t)</w:t>
            </w:r>
          </w:p>
        </w:tc>
        <w:tc>
          <w:tcPr>
            <w:tcW w:type="dxa" w:w="1584"/>
            <w:shd w:val="clear" w:color="auto" w:fill="EAF0EE"/>
          </w:tcPr>
          <w:p>
            <w:pPr>
              <w:spacing w:after="20"/>
            </w:pPr>
            <w:r>
              <w:rPr>
                <w:b/>
                <w:color w:val="1C3A36"/>
                <w:sz w:val="16"/>
              </w:rPr>
              <w:t>Revenue (EGP mn)</w:t>
            </w:r>
          </w:p>
        </w:tc>
        <w:tc>
          <w:tcPr>
            <w:tcW w:type="dxa" w:w="1325"/>
            <w:shd w:val="clear" w:color="auto" w:fill="EAF0EE"/>
          </w:tcPr>
          <w:p>
            <w:pPr>
              <w:spacing w:after="20"/>
            </w:pPr>
            <w:r>
              <w:rPr>
                <w:b/>
                <w:color w:val="1C3A36"/>
                <w:sz w:val="16"/>
              </w:rPr>
              <w:t>Share of revenue</w:t>
            </w:r>
          </w:p>
        </w:tc>
      </w:tr>
      <w:tr>
        <w:tc>
          <w:tcPr>
            <w:tcW w:type="dxa" w:w="2088"/>
          </w:tcPr>
          <w:p>
            <w:pPr>
              <w:spacing w:after="20"/>
            </w:pPr>
            <w:r>
              <w:rPr>
                <w:color w:val="1C3A36"/>
                <w:sz w:val="16"/>
              </w:rPr>
              <w:t>Specialty oils and waxes</w:t>
            </w:r>
          </w:p>
        </w:tc>
        <w:tc>
          <w:tcPr>
            <w:tcW w:type="dxa" w:w="3960"/>
          </w:tcPr>
          <w:p>
            <w:pPr>
              <w:spacing w:after="20"/>
            </w:pPr>
            <w:r>
              <w:rPr>
                <w:color w:val="1C3A36"/>
                <w:sz w:val="16"/>
              </w:rPr>
              <w:t>Base oils SN150 / SN500 / SN600, fully refined solid and liquid paraffin wax, uninhibited transformer oil, automatic transmission fluid, spindle oil</w:t>
            </w:r>
          </w:p>
        </w:tc>
        <w:tc>
          <w:tcPr>
            <w:tcW w:type="dxa" w:w="1368"/>
          </w:tcPr>
          <w:p>
            <w:pPr>
              <w:spacing w:after="20"/>
              <w:jc w:val="right"/>
            </w:pPr>
            <w:r>
              <w:rPr>
                <w:color w:val="1C3A36"/>
                <w:sz w:val="16"/>
              </w:rPr>
              <w:t>0.189</w:t>
            </w:r>
          </w:p>
        </w:tc>
        <w:tc>
          <w:tcPr>
            <w:tcW w:type="dxa" w:w="1584"/>
          </w:tcPr>
          <w:p>
            <w:pPr>
              <w:spacing w:after="20"/>
              <w:jc w:val="right"/>
            </w:pPr>
            <w:r>
              <w:rPr>
                <w:color w:val="1C3A36"/>
                <w:sz w:val="16"/>
              </w:rPr>
              <w:t>9,283</w:t>
            </w:r>
          </w:p>
        </w:tc>
        <w:tc>
          <w:tcPr>
            <w:tcW w:type="dxa" w:w="1325"/>
          </w:tcPr>
          <w:p>
            <w:pPr>
              <w:spacing w:after="20"/>
              <w:jc w:val="right"/>
            </w:pPr>
            <w:r>
              <w:rPr>
                <w:color w:val="1C3A36"/>
                <w:sz w:val="16"/>
              </w:rPr>
              <w:t>23.2%</w:t>
            </w:r>
          </w:p>
        </w:tc>
      </w:tr>
      <w:tr>
        <w:tc>
          <w:tcPr>
            <w:tcW w:type="dxa" w:w="2088"/>
          </w:tcPr>
          <w:p>
            <w:pPr>
              <w:spacing w:after="20"/>
            </w:pPr>
            <w:r>
              <w:rPr>
                <w:color w:val="1C3A36"/>
                <w:sz w:val="16"/>
              </w:rPr>
              <w:t>Fuel and by-products</w:t>
            </w:r>
          </w:p>
        </w:tc>
        <w:tc>
          <w:tcPr>
            <w:tcW w:type="dxa" w:w="3960"/>
          </w:tcPr>
          <w:p>
            <w:pPr>
              <w:spacing w:after="20"/>
            </w:pPr>
            <w:r>
              <w:rPr>
                <w:color w:val="1C3A36"/>
                <w:sz w:val="16"/>
              </w:rPr>
              <w:t>Low-sulphur gas oil, naphtha, liquefied petroleum gas, fuel-oil blend, aromatic extract, vacuum residue, sulphur</w:t>
            </w:r>
          </w:p>
        </w:tc>
        <w:tc>
          <w:tcPr>
            <w:tcW w:type="dxa" w:w="1368"/>
          </w:tcPr>
          <w:p>
            <w:pPr>
              <w:spacing w:after="20"/>
              <w:jc w:val="right"/>
            </w:pPr>
            <w:r>
              <w:rPr>
                <w:color w:val="1C3A36"/>
                <w:sz w:val="16"/>
              </w:rPr>
              <w:t>1.173</w:t>
            </w:r>
          </w:p>
        </w:tc>
        <w:tc>
          <w:tcPr>
            <w:tcW w:type="dxa" w:w="1584"/>
          </w:tcPr>
          <w:p>
            <w:pPr>
              <w:spacing w:after="20"/>
              <w:jc w:val="right"/>
            </w:pPr>
            <w:r>
              <w:rPr>
                <w:color w:val="1C3A36"/>
                <w:sz w:val="16"/>
              </w:rPr>
              <w:t>30,713</w:t>
            </w:r>
          </w:p>
        </w:tc>
        <w:tc>
          <w:tcPr>
            <w:tcW w:type="dxa" w:w="1325"/>
          </w:tcPr>
          <w:p>
            <w:pPr>
              <w:spacing w:after="20"/>
              <w:jc w:val="right"/>
            </w:pPr>
            <w:r>
              <w:rPr>
                <w:color w:val="1C3A36"/>
                <w:sz w:val="16"/>
              </w:rPr>
              <w:t>76.8%</w:t>
            </w:r>
          </w:p>
        </w:tc>
      </w:tr>
      <w:tr>
        <w:tc>
          <w:tcPr>
            <w:tcW w:type="dxa" w:w="2088"/>
            <w:shd w:val="clear" w:color="auto" w:fill="F6F1E6"/>
          </w:tcPr>
          <w:p>
            <w:pPr>
              <w:spacing w:after="20"/>
            </w:pPr>
            <w:r>
              <w:rPr>
                <w:b/>
                <w:color w:val="1C3A36"/>
                <w:sz w:val="16"/>
              </w:rPr>
              <w:t>Total</w:t>
            </w:r>
          </w:p>
        </w:tc>
        <w:tc>
          <w:tcPr>
            <w:tcW w:type="dxa" w:w="3960"/>
            <w:shd w:val="clear" w:color="auto" w:fill="F6F1E6"/>
          </w:tcPr>
          <w:p>
            <w:pPr>
              <w:spacing w:after="20"/>
            </w:pPr>
            <w:r>
              <w:rPr>
                <w:b/>
                <w:color w:val="1C3A36"/>
                <w:sz w:val="16"/>
              </w:rPr>
            </w:r>
          </w:p>
        </w:tc>
        <w:tc>
          <w:tcPr>
            <w:tcW w:type="dxa" w:w="1368"/>
            <w:shd w:val="clear" w:color="auto" w:fill="F6F1E6"/>
          </w:tcPr>
          <w:p>
            <w:pPr>
              <w:spacing w:after="20"/>
              <w:jc w:val="right"/>
            </w:pPr>
            <w:r>
              <w:rPr>
                <w:b/>
                <w:color w:val="1C3A36"/>
                <w:sz w:val="16"/>
              </w:rPr>
              <w:t>1.362</w:t>
            </w:r>
          </w:p>
        </w:tc>
        <w:tc>
          <w:tcPr>
            <w:tcW w:type="dxa" w:w="1584"/>
            <w:shd w:val="clear" w:color="auto" w:fill="F6F1E6"/>
          </w:tcPr>
          <w:p>
            <w:pPr>
              <w:spacing w:after="20"/>
              <w:jc w:val="right"/>
            </w:pPr>
            <w:r>
              <w:rPr>
                <w:b/>
                <w:color w:val="1C3A36"/>
                <w:sz w:val="16"/>
              </w:rPr>
              <w:t>39,996</w:t>
            </w:r>
          </w:p>
        </w:tc>
        <w:tc>
          <w:tcPr>
            <w:tcW w:type="dxa" w:w="1325"/>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The specialty leg is 14% of the tonnage but 23% of the revenue, and a much larger share again of the margin. That is the whole investment case for the slate mix in one line. The two legs shown here are an AGGREGATION of the three product lines built in section 1.4 — base oils and paraffin wax added together — and not a separate estimate; readers wanting the line-by-line tonnage, dollar realisation and revenue should go there. An earlier edition of this study offered the implied fuel realisation of about USD 587 a tonne as the check 'that tells us the split is real rather than fitted to a target'. In that edition the fuel price was the RESIDUAL of base-year revenue, so the check was circular and the sentence has been withdrawn. In this edition every realisation is derived from the disclosed product table and the fuel figure is an OUTPUT of that table, not a plug.</w:t>
      </w:r>
    </w:p>
    <w:p>
      <w:pPr>
        <w:spacing w:after="80" w:before="200"/>
      </w:pPr>
      <w:r>
        <w:rPr>
          <w:b/>
          <w:i w:val="0"/>
          <w:color w:val="1C3A36"/>
          <w:sz w:val="24"/>
        </w:rPr>
        <w:t>The balance sheet is the unusual part</w:t>
      </w:r>
    </w:p>
    <w:p>
      <w:pPr>
        <w:spacing w:after="120" w:before="0"/>
      </w:pPr>
      <w:r>
        <w:rPr>
          <w:b w:val="0"/>
          <w:i w:val="0"/>
          <w:color w:val="1C3A36"/>
          <w:sz w:val="21"/>
        </w:rPr>
        <w:t>A company turning over EGP 40.0bn runs on a balance sheet of EGP 8.1bn. That is an asset turnover near 4.9 times, extraordinary for a refiner, and it has two causes. The plant was commissioned between 1997 and 2000 and is substantially written down — at the depreciation charge the model carries, the residual book has roughly 5.5 years of life left in it. And the working-capital cycle is effectively funded by the counterparty: net working capital is about 2.0% of revenue, because the feedstock payable to the state petroleum corporation is the company's principal source of short-term funding.</w:t>
      </w:r>
    </w:p>
    <w:p>
      <w:pPr>
        <w:spacing w:after="120" w:before="0"/>
      </w:pPr>
      <w:r>
        <w:rPr>
          <w:b w:val="0"/>
          <w:i w:val="0"/>
          <w:color w:val="1C3A36"/>
          <w:sz w:val="21"/>
        </w:rPr>
        <w:t>The consequence for the valuation is that this is a business with very little invested capital and therefore a very high accounting return on it — 38.6% in the base year on the reconstruction used here. That is a real feature, not an artefact, and it is why the terminal reinvestment the model requires to fund 5% of perpetual growth is only 9.9% of profit. It also carries a warning, which section 7 returns to: a return that high on a plant that old is partly a statement about depreciation, and the capital will eventually have to be replaced at something closer to replacement cost.</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The lens decision is the one that invalidates a study if it is wrong, so the evidence is set out before the arithmetic. Three readings were available: an operating company valued on its own cash flows; a holding company valued by summing its stakes; or a two-leg business requiring both. The evidence points cleanly to the first.</w:t>
      </w:r>
    </w:p>
    <w:p>
      <w:pPr>
        <w:pStyle w:val="ListBullet"/>
        <w:spacing w:after="60"/>
      </w:pPr>
      <w:r>
        <w:rPr>
          <w:b/>
          <w:color w:val="1C3A36"/>
          <w:sz w:val="21"/>
        </w:rPr>
        <w:t xml:space="preserve">Earnings concentration. </w:t>
      </w:r>
      <w:r>
        <w:rPr>
          <w:color w:val="1C3A36"/>
          <w:sz w:val="21"/>
        </w:rPr>
        <w:t>Consolidated profit after tax for the year to June 2025 was EGP 1,550mn against standalone profit of EGP 1,490mn. Everything outside the parent refinery therefore contributes about 4.0% of the group. A holding company is a portfolio whose value is the sum of its stakes; here roughly 96% of the profit comes from one plant.</w:t>
      </w:r>
    </w:p>
    <w:p>
      <w:pPr>
        <w:pStyle w:val="ListBullet"/>
        <w:spacing w:after="60"/>
      </w:pPr>
      <w:r>
        <w:rPr>
          <w:b/>
          <w:color w:val="1C3A36"/>
          <w:sz w:val="21"/>
        </w:rPr>
        <w:t xml:space="preserve">Revenue mix. </w:t>
      </w:r>
      <w:r>
        <w:rPr>
          <w:color w:val="1C3A36"/>
          <w:sz w:val="21"/>
        </w:rPr>
        <w:t>All of it is own-production petroleum product sold by the tonne. There is no financing leg, no captive lender, no development land bank and no recurring-income property — the revenue mix is a product slate, not a set of businesses.</w:t>
      </w:r>
    </w:p>
    <w:p>
      <w:pPr>
        <w:pStyle w:val="ListBullet"/>
        <w:spacing w:after="60"/>
      </w:pPr>
      <w:r>
        <w:rPr>
          <w:b/>
          <w:color w:val="1C3A36"/>
          <w:sz w:val="21"/>
        </w:rPr>
        <w:t xml:space="preserve">Balance-sheet shape. </w:t>
      </w:r>
      <w:r>
        <w:rPr>
          <w:color w:val="1C3A36"/>
          <w:sz w:val="21"/>
        </w:rPr>
        <w:t>Inventory, receivables and payables dominate; the plant is written down and the investment portfolio is immaterial next to the operating assets. A holding company's balance sheet looks the opposite way round.</w:t>
      </w:r>
    </w:p>
    <w:p>
      <w:pPr>
        <w:spacing w:after="120" w:before="0"/>
      </w:pPr>
      <w:r>
        <w:rPr>
          <w:b w:val="0"/>
          <w:i w:val="0"/>
          <w:color w:val="1C3A36"/>
          <w:sz w:val="21"/>
        </w:rPr>
        <w:t>So the primary lens is a discounted free cash flow to the firm, cross-checked by relative multiples, normalised earnings power and book value against a sustainable return. Nothing is split into legs that need different methods, because there are none.</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financial year moved from 30 June to 31 December. That leaves no single filed twelve-month period that is both recent and clean, so the base year is built from two separately disclosed halves — neither of them estimated.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944"/>
        <w:gridCol w:w="1944"/>
        <w:gridCol w:w="1944"/>
      </w:tblGrid>
      <w:tr>
        <w:tc>
          <w:tcPr>
            <w:tcW w:type="dxa" w:w="439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Period</w:t>
            </w:r>
          </w:p>
        </w:tc>
        <w:tc>
          <w:tcPr>
            <w:tcW w:type="dxa" w:w="1944"/>
            <w:shd w:val="clear" w:color="auto" w:fill="EAF0EE"/>
          </w:tcPr>
          <w:p>
            <w:pPr>
              <w:spacing w:after="20"/>
            </w:pPr>
            <w:r>
              <w:rPr>
                <w:b/>
                <w:color w:val="1C3A36"/>
                <w:sz w:val="17"/>
              </w:rPr>
              <w:t>Revenue (EGP mn)</w:t>
            </w:r>
          </w:p>
        </w:tc>
        <w:tc>
          <w:tcPr>
            <w:tcW w:type="dxa" w:w="1944"/>
            <w:shd w:val="clear" w:color="auto" w:fill="EAF0EE"/>
          </w:tcPr>
          <w:p>
            <w:pPr>
              <w:spacing w:after="20"/>
            </w:pPr>
            <w:r>
              <w:rPr>
                <w:b/>
                <w:color w:val="1C3A36"/>
                <w:sz w:val="17"/>
              </w:rPr>
              <w:t>Profit after tax (EGP mn)</w:t>
            </w:r>
          </w:p>
        </w:tc>
      </w:tr>
      <w:tr>
        <w:tc>
          <w:tcPr>
            <w:tcW w:type="dxa" w:w="4392"/>
          </w:tcPr>
          <w:p>
            <w:pPr>
              <w:spacing w:after="20"/>
            </w:pPr>
            <w:r>
              <w:rPr>
                <w:color w:val="1C3A36"/>
                <w:sz w:val="17"/>
              </w:rPr>
              <w:t>Reported June year (average of three disclosed figures)</w:t>
            </w:r>
          </w:p>
        </w:tc>
        <w:tc>
          <w:tcPr>
            <w:tcW w:type="dxa" w:w="1944"/>
          </w:tcPr>
          <w:p>
            <w:pPr>
              <w:spacing w:after="20"/>
            </w:pPr>
            <w:r>
              <w:rPr>
                <w:color w:val="1C3A36"/>
                <w:sz w:val="17"/>
              </w:rPr>
              <w:t>Jul 2024 – Jun 2025</w:t>
            </w:r>
          </w:p>
        </w:tc>
        <w:tc>
          <w:tcPr>
            <w:tcW w:type="dxa" w:w="1944"/>
          </w:tcPr>
          <w:p>
            <w:pPr>
              <w:spacing w:after="20"/>
              <w:jc w:val="right"/>
            </w:pPr>
            <w:r>
              <w:rPr>
                <w:color w:val="1C3A36"/>
                <w:sz w:val="17"/>
              </w:rPr>
              <w:t>37,507</w:t>
            </w:r>
          </w:p>
        </w:tc>
        <w:tc>
          <w:tcPr>
            <w:tcW w:type="dxa" w:w="1944"/>
          </w:tcPr>
          <w:p>
            <w:pPr>
              <w:spacing w:after="20"/>
              <w:jc w:val="right"/>
            </w:pPr>
            <w:r>
              <w:rPr>
                <w:color w:val="1C3A36"/>
                <w:sz w:val="17"/>
              </w:rPr>
              <w:t>1,550</w:t>
            </w:r>
          </w:p>
        </w:tc>
      </w:tr>
      <w:tr>
        <w:tc>
          <w:tcPr>
            <w:tcW w:type="dxa" w:w="4392"/>
          </w:tcPr>
          <w:p>
            <w:pPr>
              <w:spacing w:after="20"/>
            </w:pPr>
            <w:r>
              <w:rPr>
                <w:color w:val="1C3A36"/>
                <w:sz w:val="17"/>
              </w:rPr>
              <w:t>less the disclosed first half</w:t>
            </w:r>
          </w:p>
        </w:tc>
        <w:tc>
          <w:tcPr>
            <w:tcW w:type="dxa" w:w="1944"/>
          </w:tcPr>
          <w:p>
            <w:pPr>
              <w:spacing w:after="20"/>
            </w:pPr>
            <w:r>
              <w:rPr>
                <w:color w:val="1C3A36"/>
                <w:sz w:val="17"/>
              </w:rPr>
              <w:t>Jul – Dec 2024</w:t>
            </w:r>
          </w:p>
        </w:tc>
        <w:tc>
          <w:tcPr>
            <w:tcW w:type="dxa" w:w="1944"/>
          </w:tcPr>
          <w:p>
            <w:pPr>
              <w:spacing w:after="20"/>
              <w:jc w:val="right"/>
            </w:pPr>
            <w:r>
              <w:rPr>
                <w:color w:val="1C3A36"/>
                <w:sz w:val="17"/>
              </w:rPr>
              <w:t>(18,246)</w:t>
            </w:r>
          </w:p>
        </w:tc>
        <w:tc>
          <w:tcPr>
            <w:tcW w:type="dxa" w:w="1944"/>
          </w:tcPr>
          <w:p>
            <w:pPr>
              <w:spacing w:after="20"/>
              <w:jc w:val="right"/>
            </w:pPr>
            <w:r>
              <w:rPr>
                <w:color w:val="1C3A36"/>
                <w:sz w:val="17"/>
              </w:rPr>
              <w:t>(644)</w:t>
            </w:r>
          </w:p>
        </w:tc>
      </w:tr>
      <w:tr>
        <w:tc>
          <w:tcPr>
            <w:tcW w:type="dxa" w:w="4392"/>
          </w:tcPr>
          <w:p>
            <w:pPr>
              <w:spacing w:after="20"/>
            </w:pPr>
            <w:r>
              <w:rPr>
                <w:color w:val="1C3A36"/>
                <w:sz w:val="17"/>
              </w:rPr>
              <w:t>= the second calendar half of 2025 comparative</w:t>
            </w:r>
          </w:p>
        </w:tc>
        <w:tc>
          <w:tcPr>
            <w:tcW w:type="dxa" w:w="1944"/>
          </w:tcPr>
          <w:p>
            <w:pPr>
              <w:spacing w:after="20"/>
            </w:pPr>
            <w:r>
              <w:rPr>
                <w:color w:val="1C3A36"/>
                <w:sz w:val="17"/>
              </w:rPr>
              <w:t>Jan – Jun 2025</w:t>
            </w:r>
          </w:p>
        </w:tc>
        <w:tc>
          <w:tcPr>
            <w:tcW w:type="dxa" w:w="1944"/>
          </w:tcPr>
          <w:p>
            <w:pPr>
              <w:spacing w:after="20"/>
              <w:jc w:val="right"/>
            </w:pPr>
            <w:r>
              <w:rPr>
                <w:color w:val="1C3A36"/>
                <w:sz w:val="17"/>
              </w:rPr>
              <w:t>19,261</w:t>
            </w:r>
          </w:p>
        </w:tc>
        <w:tc>
          <w:tcPr>
            <w:tcW w:type="dxa" w:w="1944"/>
          </w:tcPr>
          <w:p>
            <w:pPr>
              <w:spacing w:after="20"/>
              <w:jc w:val="right"/>
            </w:pPr>
            <w:r>
              <w:rPr>
                <w:color w:val="1C3A36"/>
                <w:sz w:val="17"/>
              </w:rPr>
              <w:t>906</w:t>
            </w:r>
          </w:p>
        </w:tc>
      </w:tr>
      <w:tr>
        <w:tc>
          <w:tcPr>
            <w:tcW w:type="dxa" w:w="4392"/>
          </w:tcPr>
          <w:p>
            <w:pPr>
              <w:spacing w:after="20"/>
            </w:pPr>
            <w:r>
              <w:rPr>
                <w:color w:val="1C3A36"/>
                <w:sz w:val="17"/>
              </w:rPr>
              <w:t>plus the filed transition period</w:t>
            </w:r>
          </w:p>
        </w:tc>
        <w:tc>
          <w:tcPr>
            <w:tcW w:type="dxa" w:w="1944"/>
          </w:tcPr>
          <w:p>
            <w:pPr>
              <w:spacing w:after="20"/>
            </w:pPr>
            <w:r>
              <w:rPr>
                <w:color w:val="1C3A36"/>
                <w:sz w:val="17"/>
              </w:rPr>
              <w:t>Jul – Dec 2025</w:t>
            </w:r>
          </w:p>
        </w:tc>
        <w:tc>
          <w:tcPr>
            <w:tcW w:type="dxa" w:w="1944"/>
          </w:tcPr>
          <w:p>
            <w:pPr>
              <w:spacing w:after="20"/>
              <w:jc w:val="right"/>
            </w:pPr>
            <w:r>
              <w:rPr>
                <w:color w:val="1C3A36"/>
                <w:sz w:val="17"/>
              </w:rPr>
              <w:t>20,735</w:t>
            </w:r>
          </w:p>
        </w:tc>
        <w:tc>
          <w:tcPr>
            <w:tcW w:type="dxa" w:w="1944"/>
          </w:tcPr>
          <w:p>
            <w:pPr>
              <w:spacing w:after="20"/>
              <w:jc w:val="right"/>
            </w:pPr>
            <w:r>
              <w:rPr>
                <w:color w:val="1C3A36"/>
                <w:sz w:val="17"/>
              </w:rPr>
              <w:t>656</w:t>
            </w:r>
          </w:p>
        </w:tc>
      </w:tr>
      <w:tr>
        <w:tc>
          <w:tcPr>
            <w:tcW w:type="dxa" w:w="4392"/>
            <w:shd w:val="clear" w:color="auto" w:fill="F6F1E6"/>
          </w:tcPr>
          <w:p>
            <w:pPr>
              <w:spacing w:after="20"/>
            </w:pPr>
            <w:r>
              <w:rPr>
                <w:b/>
                <w:color w:val="1C3A36"/>
                <w:sz w:val="17"/>
              </w:rPr>
              <w:t>= BASE YEAR</w:t>
            </w:r>
          </w:p>
        </w:tc>
        <w:tc>
          <w:tcPr>
            <w:tcW w:type="dxa" w:w="1944"/>
            <w:shd w:val="clear" w:color="auto" w:fill="F6F1E6"/>
          </w:tcPr>
          <w:p>
            <w:pPr>
              <w:spacing w:after="20"/>
            </w:pPr>
            <w:r>
              <w:rPr>
                <w:b/>
                <w:color w:val="1C3A36"/>
                <w:sz w:val="17"/>
              </w:rPr>
              <w:t>Calendar 2025</w:t>
            </w:r>
          </w:p>
        </w:tc>
        <w:tc>
          <w:tcPr>
            <w:tcW w:type="dxa" w:w="1944"/>
            <w:shd w:val="clear" w:color="auto" w:fill="F6F1E6"/>
          </w:tcPr>
          <w:p>
            <w:pPr>
              <w:spacing w:after="20"/>
              <w:jc w:val="right"/>
            </w:pPr>
            <w:r>
              <w:rPr>
                <w:b/>
                <w:color w:val="1C3A36"/>
                <w:sz w:val="17"/>
              </w:rPr>
              <w:t>39,996</w:t>
            </w:r>
          </w:p>
        </w:tc>
        <w:tc>
          <w:tcPr>
            <w:tcW w:type="dxa" w:w="1944"/>
            <w:shd w:val="clear" w:color="auto" w:fill="F6F1E6"/>
          </w:tcPr>
          <w:p>
            <w:pPr>
              <w:spacing w:after="20"/>
              <w:jc w:val="right"/>
            </w:pPr>
            <w:r>
              <w:rPr>
                <w:b/>
                <w:color w:val="1C3A36"/>
                <w:sz w:val="17"/>
              </w:rPr>
              <w:t>1,563</w:t>
            </w:r>
          </w:p>
        </w:tc>
      </w:tr>
    </w:tbl>
    <w:p>
      <w:pPr>
        <w:spacing w:after="40"/>
      </w:pPr>
    </w:p>
    <w:p>
      <w:pPr>
        <w:spacing w:after="200" w:before="0"/>
      </w:pPr>
      <w:r>
        <w:rPr>
          <w:b w:val="0"/>
          <w:i/>
          <w:color w:val="6E7B77"/>
          <w:sz w:val="17"/>
        </w:rPr>
        <w:t>Net margin on the constructed base year is 3.91%. The construction is carried on the face of the companion model as live formulas, so a reader who disagrees with one of the four disclosed inputs can change it and watch the base move.</w:t>
      </w:r>
    </w:p>
    <w:p>
      <w:pPr>
        <w:spacing w:after="120" w:before="0"/>
      </w:pPr>
      <w:r>
        <w:rPr>
          <w:b w:val="0"/>
          <w:i w:val="0"/>
          <w:color w:val="1C3A36"/>
          <w:sz w:val="21"/>
        </w:rPr>
        <w:t>A separate release covering the six months to 30 June 2026 reports revenue of EGP 26,200mn, up 35%, and profit after tax of EGP 1,900mn, up 109%. Against the January-to-June 2025 half constructed above, those are +36.0% and +109.6% — both reproduce the reported growth rates independently, which is what identifies the period the release covers. It is carried here as corroboration and NOT as the forecast base, for two reasons: it rests on a single source, and the margin it implies is far above anything in the company's own record. The margin path used below is deliberately struck under it.</w:t>
      </w:r>
    </w:p>
    <w:p>
      <w:pPr>
        <w:spacing w:after="80" w:before="200"/>
      </w:pPr>
      <w:r>
        <w:rPr>
          <w:b/>
          <w:i w:val="0"/>
          <w:color w:val="1C3A36"/>
          <w:sz w:val="24"/>
        </w:rPr>
        <w:t>1.3  A line the reported profit hides — and why the forecast leaves it out</w:t>
      </w:r>
    </w:p>
    <w:p>
      <w:pPr>
        <w:spacing w:after="120" w:before="0"/>
      </w:pPr>
      <w:r>
        <w:rPr>
          <w:b w:val="0"/>
          <w:i w:val="0"/>
          <w:color w:val="1C3A36"/>
          <w:sz w:val="21"/>
        </w:rPr>
        <w:t>Building the historical years from the gross margin down, rather than backwards from reported profit, exposes something the headline numbers conceal. Reported pre-tax profit in these years is materially larger than the operating result plus finance income can explain. The residual is other and non-operating income, and it has a shape: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70"/>
        <w:gridCol w:w="1570"/>
        <w:gridCol w:w="1570"/>
        <w:gridCol w:w="1570"/>
      </w:tblGrid>
      <w:tr>
        <w:tc>
          <w:tcPr>
            <w:tcW w:type="dxa" w:w="3672"/>
            <w:shd w:val="clear" w:color="auto" w:fill="EAF0EE"/>
          </w:tcPr>
          <w:p>
            <w:pPr>
              <w:spacing w:after="20"/>
            </w:pPr>
            <w:r>
              <w:rPr>
                <w:b/>
                <w:color w:val="1C3A36"/>
                <w:sz w:val="16"/>
              </w:rPr>
            </w:r>
          </w:p>
        </w:tc>
        <w:tc>
          <w:tcPr>
            <w:tcW w:type="dxa" w:w="1570"/>
            <w:shd w:val="clear" w:color="auto" w:fill="EAF0EE"/>
          </w:tcPr>
          <w:p>
            <w:pPr>
              <w:spacing w:after="20"/>
            </w:pPr>
            <w:r>
              <w:rPr>
                <w:b/>
                <w:color w:val="1C3A36"/>
                <w:sz w:val="16"/>
              </w:rPr>
              <w:t>FY2022/23</w:t>
            </w:r>
          </w:p>
        </w:tc>
        <w:tc>
          <w:tcPr>
            <w:tcW w:type="dxa" w:w="1570"/>
            <w:shd w:val="clear" w:color="auto" w:fill="EAF0EE"/>
          </w:tcPr>
          <w:p>
            <w:pPr>
              <w:spacing w:after="20"/>
            </w:pPr>
            <w:r>
              <w:rPr>
                <w:b/>
                <w:color w:val="1C3A36"/>
                <w:sz w:val="16"/>
              </w:rPr>
              <w:t>FY2023/24</w:t>
            </w:r>
          </w:p>
        </w:tc>
        <w:tc>
          <w:tcPr>
            <w:tcW w:type="dxa" w:w="1570"/>
            <w:shd w:val="clear" w:color="auto" w:fill="EAF0EE"/>
          </w:tcPr>
          <w:p>
            <w:pPr>
              <w:spacing w:after="20"/>
            </w:pPr>
            <w:r>
              <w:rPr>
                <w:b/>
                <w:color w:val="1C3A36"/>
                <w:sz w:val="16"/>
              </w:rPr>
              <w:t>FY2024/25</w:t>
            </w:r>
          </w:p>
        </w:tc>
        <w:tc>
          <w:tcPr>
            <w:tcW w:type="dxa" w:w="1570"/>
            <w:shd w:val="clear" w:color="auto" w:fill="EAF0EE"/>
          </w:tcPr>
          <w:p>
            <w:pPr>
              <w:spacing w:after="20"/>
            </w:pPr>
            <w:r>
              <w:rPr>
                <w:b/>
                <w:color w:val="1C3A36"/>
                <w:sz w:val="16"/>
              </w:rPr>
              <w:t>CY2025</w:t>
            </w:r>
          </w:p>
        </w:tc>
      </w:tr>
      <w:tr>
        <w:tc>
          <w:tcPr>
            <w:tcW w:type="dxa" w:w="3672"/>
          </w:tcPr>
          <w:p>
            <w:pPr>
              <w:spacing w:after="20"/>
            </w:pPr>
            <w:r>
              <w:rPr>
                <w:color w:val="1C3A36"/>
                <w:sz w:val="16"/>
              </w:rPr>
              <w:t>Operating result (EBIT)</w:t>
            </w:r>
          </w:p>
        </w:tc>
        <w:tc>
          <w:tcPr>
            <w:tcW w:type="dxa" w:w="1570"/>
          </w:tcPr>
          <w:p>
            <w:pPr>
              <w:spacing w:after="20"/>
              <w:jc w:val="right"/>
            </w:pPr>
            <w:r>
              <w:rPr>
                <w:color w:val="1C3A36"/>
                <w:sz w:val="16"/>
              </w:rPr>
              <w:t>768</w:t>
            </w:r>
          </w:p>
        </w:tc>
        <w:tc>
          <w:tcPr>
            <w:tcW w:type="dxa" w:w="1570"/>
          </w:tcPr>
          <w:p>
            <w:pPr>
              <w:spacing w:after="20"/>
              <w:jc w:val="right"/>
            </w:pPr>
            <w:r>
              <w:rPr>
                <w:color w:val="1C3A36"/>
                <w:sz w:val="16"/>
              </w:rPr>
              <w:t>1,224</w:t>
            </w:r>
          </w:p>
        </w:tc>
        <w:tc>
          <w:tcPr>
            <w:tcW w:type="dxa" w:w="1570"/>
          </w:tcPr>
          <w:p>
            <w:pPr>
              <w:spacing w:after="20"/>
              <w:jc w:val="right"/>
            </w:pPr>
            <w:r>
              <w:rPr>
                <w:color w:val="1C3A36"/>
                <w:sz w:val="16"/>
              </w:rPr>
              <w:t>1,444</w:t>
            </w:r>
          </w:p>
        </w:tc>
        <w:tc>
          <w:tcPr>
            <w:tcW w:type="dxa" w:w="1570"/>
          </w:tcPr>
          <w:p>
            <w:pPr>
              <w:spacing w:after="20"/>
              <w:jc w:val="right"/>
            </w:pPr>
            <w:r>
              <w:rPr>
                <w:color w:val="1C3A36"/>
                <w:sz w:val="16"/>
              </w:rPr>
              <w:t>1,620</w:t>
            </w:r>
          </w:p>
        </w:tc>
      </w:tr>
      <w:tr>
        <w:tc>
          <w:tcPr>
            <w:tcW w:type="dxa" w:w="3672"/>
          </w:tcPr>
          <w:p>
            <w:pPr>
              <w:spacing w:after="20"/>
            </w:pPr>
            <w:r>
              <w:rPr>
                <w:color w:val="1C3A36"/>
                <w:sz w:val="16"/>
              </w:rPr>
              <w:t>Net finance income</w:t>
            </w:r>
          </w:p>
        </w:tc>
        <w:tc>
          <w:tcPr>
            <w:tcW w:type="dxa" w:w="1570"/>
          </w:tcPr>
          <w:p>
            <w:pPr>
              <w:spacing w:after="20"/>
              <w:jc w:val="right"/>
            </w:pPr>
            <w:r>
              <w:rPr>
                <w:color w:val="1C3A36"/>
                <w:sz w:val="16"/>
              </w:rPr>
              <w:t>198</w:t>
            </w:r>
          </w:p>
        </w:tc>
        <w:tc>
          <w:tcPr>
            <w:tcW w:type="dxa" w:w="1570"/>
          </w:tcPr>
          <w:p>
            <w:pPr>
              <w:spacing w:after="20"/>
              <w:jc w:val="right"/>
            </w:pPr>
            <w:r>
              <w:rPr>
                <w:color w:val="1C3A36"/>
                <w:sz w:val="16"/>
              </w:rPr>
              <w:t>295</w:t>
            </w:r>
          </w:p>
        </w:tc>
        <w:tc>
          <w:tcPr>
            <w:tcW w:type="dxa" w:w="1570"/>
          </w:tcPr>
          <w:p>
            <w:pPr>
              <w:spacing w:after="20"/>
              <w:jc w:val="right"/>
            </w:pPr>
            <w:r>
              <w:rPr>
                <w:color w:val="1C3A36"/>
                <w:sz w:val="16"/>
              </w:rPr>
              <w:t>329</w:t>
            </w:r>
          </w:p>
        </w:tc>
        <w:tc>
          <w:tcPr>
            <w:tcW w:type="dxa" w:w="1570"/>
          </w:tcPr>
          <w:p>
            <w:pPr>
              <w:spacing w:after="20"/>
              <w:jc w:val="right"/>
            </w:pPr>
            <w:r>
              <w:rPr>
                <w:color w:val="1C3A36"/>
                <w:sz w:val="16"/>
              </w:rPr>
              <w:t>413</w:t>
            </w:r>
          </w:p>
        </w:tc>
      </w:tr>
      <w:tr>
        <w:tc>
          <w:tcPr>
            <w:tcW w:type="dxa" w:w="3672"/>
          </w:tcPr>
          <w:p>
            <w:pPr>
              <w:spacing w:after="20"/>
            </w:pPr>
            <w:r>
              <w:rPr>
                <w:color w:val="1C3A36"/>
                <w:sz w:val="16"/>
              </w:rPr>
              <w:t>Other and non-operating income</w:t>
            </w:r>
          </w:p>
        </w:tc>
        <w:tc>
          <w:tcPr>
            <w:tcW w:type="dxa" w:w="1570"/>
          </w:tcPr>
          <w:p>
            <w:pPr>
              <w:spacing w:after="20"/>
              <w:jc w:val="right"/>
            </w:pPr>
            <w:r>
              <w:rPr>
                <w:color w:val="1C3A36"/>
                <w:sz w:val="16"/>
              </w:rPr>
              <w:t>760</w:t>
            </w:r>
          </w:p>
        </w:tc>
        <w:tc>
          <w:tcPr>
            <w:tcW w:type="dxa" w:w="1570"/>
          </w:tcPr>
          <w:p>
            <w:pPr>
              <w:spacing w:after="20"/>
              <w:jc w:val="right"/>
            </w:pPr>
            <w:r>
              <w:rPr>
                <w:color w:val="1C3A36"/>
                <w:sz w:val="16"/>
              </w:rPr>
              <w:t>442</w:t>
            </w:r>
          </w:p>
        </w:tc>
        <w:tc>
          <w:tcPr>
            <w:tcW w:type="dxa" w:w="1570"/>
          </w:tcPr>
          <w:p>
            <w:pPr>
              <w:spacing w:after="20"/>
              <w:jc w:val="right"/>
            </w:pPr>
            <w:r>
              <w:rPr>
                <w:color w:val="1C3A36"/>
                <w:sz w:val="16"/>
              </w:rPr>
              <w:t>253</w:t>
            </w:r>
          </w:p>
        </w:tc>
        <w:tc>
          <w:tcPr>
            <w:tcW w:type="dxa" w:w="1570"/>
          </w:tcPr>
          <w:p>
            <w:pPr>
              <w:spacing w:after="20"/>
              <w:jc w:val="right"/>
            </w:pPr>
            <w:r>
              <w:rPr>
                <w:color w:val="1C3A36"/>
                <w:sz w:val="16"/>
              </w:rPr>
              <w:t>10</w:t>
            </w:r>
          </w:p>
        </w:tc>
      </w:tr>
      <w:tr>
        <w:tc>
          <w:tcPr>
            <w:tcW w:type="dxa" w:w="3672"/>
            <w:shd w:val="clear" w:color="auto" w:fill="F6F1E6"/>
          </w:tcPr>
          <w:p>
            <w:pPr>
              <w:spacing w:after="20"/>
            </w:pPr>
            <w:r>
              <w:rPr>
                <w:b/>
                <w:color w:val="1C3A36"/>
                <w:sz w:val="16"/>
              </w:rPr>
              <w:t>= profit before tax</w:t>
            </w:r>
          </w:p>
        </w:tc>
        <w:tc>
          <w:tcPr>
            <w:tcW w:type="dxa" w:w="1570"/>
            <w:shd w:val="clear" w:color="auto" w:fill="F6F1E6"/>
          </w:tcPr>
          <w:p>
            <w:pPr>
              <w:spacing w:after="20"/>
              <w:jc w:val="right"/>
            </w:pPr>
            <w:r>
              <w:rPr>
                <w:b/>
                <w:color w:val="1C3A36"/>
                <w:sz w:val="16"/>
              </w:rPr>
              <w:t>1,725</w:t>
            </w:r>
          </w:p>
        </w:tc>
        <w:tc>
          <w:tcPr>
            <w:tcW w:type="dxa" w:w="1570"/>
            <w:shd w:val="clear" w:color="auto" w:fill="F6F1E6"/>
          </w:tcPr>
          <w:p>
            <w:pPr>
              <w:spacing w:after="20"/>
              <w:jc w:val="right"/>
            </w:pPr>
            <w:r>
              <w:rPr>
                <w:b/>
                <w:color w:val="1C3A36"/>
                <w:sz w:val="16"/>
              </w:rPr>
              <w:t>1,961</w:t>
            </w:r>
          </w:p>
        </w:tc>
        <w:tc>
          <w:tcPr>
            <w:tcW w:type="dxa" w:w="1570"/>
            <w:shd w:val="clear" w:color="auto" w:fill="F6F1E6"/>
          </w:tcPr>
          <w:p>
            <w:pPr>
              <w:spacing w:after="20"/>
              <w:jc w:val="right"/>
            </w:pPr>
            <w:r>
              <w:rPr>
                <w:b/>
                <w:color w:val="1C3A36"/>
                <w:sz w:val="16"/>
              </w:rPr>
              <w:t>2,026</w:t>
            </w:r>
          </w:p>
        </w:tc>
        <w:tc>
          <w:tcPr>
            <w:tcW w:type="dxa" w:w="1570"/>
            <w:shd w:val="clear" w:color="auto" w:fill="F6F1E6"/>
          </w:tcPr>
          <w:p>
            <w:pPr>
              <w:spacing w:after="20"/>
              <w:jc w:val="right"/>
            </w:pPr>
            <w:r>
              <w:rPr>
                <w:b/>
                <w:color w:val="1C3A36"/>
                <w:sz w:val="16"/>
              </w:rPr>
              <w:t>2,043</w:t>
            </w:r>
          </w:p>
        </w:tc>
      </w:tr>
      <w:tr>
        <w:tc>
          <w:tcPr>
            <w:tcW w:type="dxa" w:w="3672"/>
          </w:tcPr>
          <w:p>
            <w:pPr>
              <w:spacing w:after="20"/>
            </w:pPr>
            <w:r>
              <w:rPr>
                <w:color w:val="1C3A36"/>
                <w:sz w:val="16"/>
              </w:rPr>
              <w:t>Other income as a share of pre-tax profit</w:t>
            </w:r>
          </w:p>
        </w:tc>
        <w:tc>
          <w:tcPr>
            <w:tcW w:type="dxa" w:w="1570"/>
          </w:tcPr>
          <w:p>
            <w:pPr>
              <w:spacing w:after="20"/>
              <w:jc w:val="right"/>
            </w:pPr>
            <w:r>
              <w:rPr>
                <w:color w:val="1C3A36"/>
                <w:sz w:val="16"/>
              </w:rPr>
              <w:t>44.0%</w:t>
            </w:r>
          </w:p>
        </w:tc>
        <w:tc>
          <w:tcPr>
            <w:tcW w:type="dxa" w:w="1570"/>
          </w:tcPr>
          <w:p>
            <w:pPr>
              <w:spacing w:after="20"/>
              <w:jc w:val="right"/>
            </w:pPr>
            <w:r>
              <w:rPr>
                <w:color w:val="1C3A36"/>
                <w:sz w:val="16"/>
              </w:rPr>
              <w:t>22.6%</w:t>
            </w:r>
          </w:p>
        </w:tc>
        <w:tc>
          <w:tcPr>
            <w:tcW w:type="dxa" w:w="1570"/>
          </w:tcPr>
          <w:p>
            <w:pPr>
              <w:spacing w:after="20"/>
              <w:jc w:val="right"/>
            </w:pPr>
            <w:r>
              <w:rPr>
                <w:color w:val="1C3A36"/>
                <w:sz w:val="16"/>
              </w:rPr>
              <w:t>12.5%</w:t>
            </w:r>
          </w:p>
        </w:tc>
        <w:tc>
          <w:tcPr>
            <w:tcW w:type="dxa" w:w="1570"/>
          </w:tcPr>
          <w:p>
            <w:pPr>
              <w:spacing w:after="20"/>
              <w:jc w:val="right"/>
            </w:pPr>
            <w:r>
              <w:rPr>
                <w:color w:val="1C3A36"/>
                <w:sz w:val="16"/>
              </w:rPr>
              <w:t>0.5%</w:t>
            </w:r>
          </w:p>
        </w:tc>
      </w:tr>
    </w:tbl>
    <w:p>
      <w:pPr>
        <w:spacing w:after="40"/>
      </w:pPr>
    </w:p>
    <w:p>
      <w:pPr>
        <w:spacing w:after="120" w:before="0"/>
      </w:pPr>
      <w:r>
        <w:rPr>
          <w:b w:val="0"/>
          <w:i w:val="0"/>
          <w:color w:val="1C3A36"/>
          <w:sz w:val="21"/>
        </w:rPr>
        <w:t>EGP 760mn in the year to June 2023, 442mn, 253mn, and effectively nothing by calendar 2025. That is the profile of exchange gains on dollar export receivables through the 2022-to-2024 devaluation sequence, washing out as the pound stabilised. It explains the otherwise puzzling record of the last three years — revenue compounding hard while reported profit barely moved — because the operating result was rising as the currency windfall drained away.</w:t>
      </w:r>
    </w:p>
    <w:p>
      <w:pPr>
        <w:spacing w:after="120" w:before="0"/>
      </w:pPr>
      <w:r>
        <w:rPr>
          <w:b w:val="0"/>
          <w:i w:val="0"/>
          <w:color w:val="1C3A36"/>
          <w:sz w:val="21"/>
        </w:rPr>
        <w:t>The forecast carries NONE of it. Every year from 2026 onward assumes zero other income. That is deliberately conservative, and a reader who expects further pound weakness should regard the forecast profit line as understated by whatever they think that windfall is worth. It also means the fair value here is a valuation of the refinery, not of a currency position.</w:t>
      </w:r>
    </w:p>
    <w:p>
      <w:pPr>
        <w:spacing w:after="80" w:before="200"/>
      </w:pPr>
      <w:r>
        <w:rPr>
          <w:b/>
          <w:i w:val="0"/>
          <w:color w:val="1C3A36"/>
          <w:sz w:val="24"/>
        </w:rPr>
        <w:t>1.4  How revenue is built</w:t>
      </w:r>
    </w:p>
    <w:p>
      <w:pPr>
        <w:spacing w:after="120" w:before="0"/>
      </w:pPr>
      <w:r>
        <w:rPr>
          <w:b w:val="0"/>
          <w:i w:val="0"/>
          <w:color w:val="1C3A36"/>
          <w:sz w:val="21"/>
        </w:rPr>
        <w:t>Not as one growth rate, and not from a calibrated price either. The company discloses a product table — tonnes and value by line — and every realisation in this model is derived from it. Base oils sold 111,256 tonnes for EGP 4,454.1mn and paraffin wax 65,742 tonnes for EGP 2,408.7mn against a total of 1,433,340 tonnes for EGP 33,312.1mn, leaving the fuel and by-product slate as the third line. Dividing gives EGP 40,035, 36,639 and 21,053 a tonne, which at that year's exchange rate is USD 1,100, 1,007 and USD 578 — the right levels and the right order for SN-grade base oil, paraffin and a gas-oil blend. NO PRICE IN THIS MODEL IS CALIBRATED AND NONE IS A RESIDUAL.</w:t>
      </w:r>
    </w:p>
    <w:p>
      <w:pPr>
        <w:spacing w:after="120" w:before="0"/>
      </w:pPr>
      <w:r>
        <w:rPr>
          <w:b w:val="0"/>
          <w:i w:val="0"/>
          <w:color w:val="1C3A36"/>
          <w:sz w:val="21"/>
        </w:rPr>
        <w:t>That matters because of what it replaces. An earlier construction of this study had two legs, a specialty price that was a free input and a fuel price that was the RESIDUAL of the base-year revenue — and then offered the implied fuel realisation as a check that the split was real. A residual cannot corroborate the construction that produced it. It is gone.</w:t>
      </w:r>
    </w:p>
    <w:p>
      <w:pPr>
        <w:spacing w:after="120" w:before="0"/>
      </w:pPr>
      <w:r>
        <w:rPr>
          <w:b w:val="0"/>
          <w:i w:val="0"/>
          <w:color w:val="1C3A36"/>
          <w:sz w:val="21"/>
        </w:rPr>
        <w:t>The two routes to the base year are reconciled in the open, and the reconciliation is NOT a clean agreement — read this paragraph before relying on the table below. Rolling the three disclosed lines forward gives EGP 43,677mn of calendar-2025 revenue; building the base year from two disclosed halves gives EGP 39,996mn. The line build is 8.4% too HIGH. That is a material gap, not a rounding difference, and it would be dishonest to present it as corroboration — an earlier draft of this paragraph did exactly that and the sentence has been removed.</w:t>
      </w:r>
    </w:p>
    <w:p>
      <w:pPr>
        <w:spacing w:after="120" w:before="0"/>
      </w:pPr>
      <w:r>
        <w:rPr>
          <w:b w:val="0"/>
          <w:i w:val="0"/>
          <w:color w:val="1C3A36"/>
          <w:sz w:val="21"/>
        </w:rPr>
        <w:t>Where the gap comes from is identifiable, and the direction is the giveaway. The disclosed product table is the year to June 2024, at 1.433mn tonnes. Calendar 2025 ran at 1.362mn tonnes — LOWER, by 5.0%, which is consistent with the company's own commentary on that bridge: volumes fell while value rose, because the currency moved further than the tonnage did. The roll-forward assumes volumes GREW across those eighteen months. So the 8.4% is very largely a volume error in the bridge between the two dates, not a disagreement about what the company earns per tonne — the dollar realisations survive it, because the same table produced both sides.</w:t>
      </w:r>
    </w:p>
    <w:p>
      <w:pPr>
        <w:spacing w:after="120" w:before="0"/>
      </w:pPr>
      <w:r>
        <w:rPr>
          <w:b w:val="0"/>
          <w:i w:val="0"/>
          <w:color w:val="1C3A36"/>
          <w:sz w:val="21"/>
        </w:rPr>
        <w:t>The gap is closed by scaling, not by explanation, and that is disclosed rather than buried. The single factor 0.9157 is applied to every line and every forecast year, so the filed halves win outright on the LEVEL and the disclosed table governs only the MIX and the per-tonne economics — which is the correct division of labour between the two sources, since the halves are filed and the table is reported. What a reader should take from it is a caution about precision: an input the model is prepared to scale by 8.4% is not an input that supports three-significant-figure claims about any single line's revenue. The mix conclusions in the next section are robust to the factor because it multiplies every line identically and therefore cancels out of every share and every margin; the absolute revenue level is not, and rests on the filed halves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123"/>
        <w:gridCol w:w="1037"/>
        <w:gridCol w:w="1037"/>
        <w:gridCol w:w="1037"/>
        <w:gridCol w:w="1037"/>
        <w:gridCol w:w="1037"/>
        <w:gridCol w:w="1037"/>
      </w:tblGrid>
      <w:tr>
        <w:tc>
          <w:tcPr>
            <w:tcW w:type="dxa" w:w="2333"/>
            <w:shd w:val="clear" w:color="auto" w:fill="EAF0EE"/>
          </w:tcPr>
          <w:p>
            <w:pPr>
              <w:spacing w:after="20"/>
            </w:pPr>
            <w:r>
              <w:rPr>
                <w:b/>
                <w:color w:val="1C3A36"/>
                <w:sz w:val="15"/>
              </w:rPr>
            </w:r>
          </w:p>
        </w:tc>
        <w:tc>
          <w:tcPr>
            <w:tcW w:type="dxa" w:w="1123"/>
            <w:shd w:val="clear" w:color="auto" w:fill="EAF0EE"/>
          </w:tcPr>
          <w:p>
            <w:pPr>
              <w:spacing w:after="20"/>
            </w:pPr>
            <w:r>
              <w:rPr>
                <w:b/>
                <w:color w:val="1C3A36"/>
                <w:sz w:val="15"/>
              </w:rPr>
              <w:t>Disclosed</w:t>
              <w:br/>
              <w:t>year to</w:t>
              <w:br/>
              <w:t>Jun-2024</w:t>
            </w:r>
          </w:p>
        </w:tc>
        <w:tc>
          <w:tcPr>
            <w:tcW w:type="dxa" w:w="1037"/>
            <w:shd w:val="clear" w:color="auto" w:fill="EAF0EE"/>
          </w:tcPr>
          <w:p>
            <w:pPr>
              <w:spacing w:after="20"/>
            </w:pPr>
            <w:r>
              <w:rPr>
                <w:b/>
                <w:color w:val="1C3A36"/>
                <w:sz w:val="15"/>
              </w:rPr>
              <w:t>CY2025</w:t>
            </w:r>
          </w:p>
        </w:tc>
        <w:tc>
          <w:tcPr>
            <w:tcW w:type="dxa" w:w="1037"/>
            <w:shd w:val="clear" w:color="auto" w:fill="EAF0EE"/>
          </w:tcPr>
          <w:p>
            <w:pPr>
              <w:spacing w:after="20"/>
            </w:pPr>
            <w:r>
              <w:rPr>
                <w:b/>
                <w:color w:val="1C3A36"/>
                <w:sz w:val="15"/>
              </w:rPr>
              <w:t>2026</w:t>
            </w:r>
          </w:p>
        </w:tc>
        <w:tc>
          <w:tcPr>
            <w:tcW w:type="dxa" w:w="1037"/>
            <w:shd w:val="clear" w:color="auto" w:fill="EAF0EE"/>
          </w:tcPr>
          <w:p>
            <w:pPr>
              <w:spacing w:after="20"/>
            </w:pPr>
            <w:r>
              <w:rPr>
                <w:b/>
                <w:color w:val="1C3A36"/>
                <w:sz w:val="15"/>
              </w:rPr>
              <w:t>2027</w:t>
            </w:r>
          </w:p>
        </w:tc>
        <w:tc>
          <w:tcPr>
            <w:tcW w:type="dxa" w:w="1037"/>
            <w:shd w:val="clear" w:color="auto" w:fill="EAF0EE"/>
          </w:tcPr>
          <w:p>
            <w:pPr>
              <w:spacing w:after="20"/>
            </w:pPr>
            <w:r>
              <w:rPr>
                <w:b/>
                <w:color w:val="1C3A36"/>
                <w:sz w:val="15"/>
              </w:rPr>
              <w:t>2028</w:t>
            </w:r>
          </w:p>
        </w:tc>
        <w:tc>
          <w:tcPr>
            <w:tcW w:type="dxa" w:w="1037"/>
            <w:shd w:val="clear" w:color="auto" w:fill="EAF0EE"/>
          </w:tcPr>
          <w:p>
            <w:pPr>
              <w:spacing w:after="20"/>
            </w:pPr>
            <w:r>
              <w:rPr>
                <w:b/>
                <w:color w:val="1C3A36"/>
                <w:sz w:val="15"/>
              </w:rPr>
              <w:t>2029</w:t>
            </w:r>
          </w:p>
        </w:tc>
        <w:tc>
          <w:tcPr>
            <w:tcW w:type="dxa" w:w="1037"/>
            <w:shd w:val="clear" w:color="auto" w:fill="EAF0EE"/>
          </w:tcPr>
          <w:p>
            <w:pPr>
              <w:spacing w:after="20"/>
            </w:pPr>
            <w:r>
              <w:rPr>
                <w:b/>
                <w:color w:val="1C3A36"/>
                <w:sz w:val="15"/>
              </w:rPr>
              <w:t>2030</w:t>
            </w:r>
          </w:p>
        </w:tc>
      </w:tr>
      <w:tr>
        <w:tc>
          <w:tcPr>
            <w:tcW w:type="dxa" w:w="2333"/>
            <w:shd w:val="clear" w:color="auto" w:fill="F6F1E6"/>
          </w:tcPr>
          <w:p>
            <w:pPr>
              <w:spacing w:after="20"/>
            </w:pPr>
            <w:r>
              <w:rPr>
                <w:b/>
                <w:color w:val="1C3A36"/>
                <w:sz w:val="15"/>
              </w:rPr>
              <w:t>VOLUME (mn tonnes)</w:t>
            </w:r>
          </w:p>
        </w:tc>
        <w:tc>
          <w:tcPr>
            <w:tcW w:type="dxa" w:w="1123"/>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r>
      <w:tr>
        <w:tc>
          <w:tcPr>
            <w:tcW w:type="dxa" w:w="2333"/>
          </w:tcPr>
          <w:p>
            <w:pPr>
              <w:spacing w:after="20"/>
            </w:pPr>
            <w:r>
              <w:rPr>
                <w:color w:val="1C3A36"/>
                <w:sz w:val="15"/>
              </w:rPr>
              <w:t xml:space="preserve">   Base oils</w:t>
            </w:r>
          </w:p>
        </w:tc>
        <w:tc>
          <w:tcPr>
            <w:tcW w:type="dxa" w:w="1123"/>
          </w:tcPr>
          <w:p>
            <w:pPr>
              <w:spacing w:after="20"/>
              <w:jc w:val="right"/>
            </w:pPr>
            <w:r>
              <w:rPr>
                <w:color w:val="1C3A36"/>
                <w:sz w:val="15"/>
              </w:rPr>
              <w:t>0.111</w:t>
            </w:r>
          </w:p>
        </w:tc>
        <w:tc>
          <w:tcPr>
            <w:tcW w:type="dxa" w:w="1037"/>
          </w:tcPr>
          <w:p>
            <w:pPr>
              <w:spacing w:after="20"/>
              <w:jc w:val="right"/>
            </w:pPr>
            <w:r>
              <w:rPr>
                <w:color w:val="1C3A36"/>
                <w:sz w:val="15"/>
              </w:rPr>
              <w:t>0.119</w:t>
            </w:r>
          </w:p>
        </w:tc>
        <w:tc>
          <w:tcPr>
            <w:tcW w:type="dxa" w:w="1037"/>
          </w:tcPr>
          <w:p>
            <w:pPr>
              <w:spacing w:after="20"/>
              <w:jc w:val="right"/>
            </w:pPr>
            <w:r>
              <w:rPr>
                <w:color w:val="1C3A36"/>
                <w:sz w:val="15"/>
              </w:rPr>
              <w:t>0.128</w:t>
            </w:r>
          </w:p>
        </w:tc>
        <w:tc>
          <w:tcPr>
            <w:tcW w:type="dxa" w:w="1037"/>
          </w:tcPr>
          <w:p>
            <w:pPr>
              <w:spacing w:after="20"/>
              <w:jc w:val="right"/>
            </w:pPr>
            <w:r>
              <w:rPr>
                <w:color w:val="1C3A36"/>
                <w:sz w:val="15"/>
              </w:rPr>
              <w:t>0.135</w:t>
            </w:r>
          </w:p>
        </w:tc>
        <w:tc>
          <w:tcPr>
            <w:tcW w:type="dxa" w:w="1037"/>
          </w:tcPr>
          <w:p>
            <w:pPr>
              <w:spacing w:after="20"/>
              <w:jc w:val="right"/>
            </w:pPr>
            <w:r>
              <w:rPr>
                <w:color w:val="1C3A36"/>
                <w:sz w:val="15"/>
              </w:rPr>
              <w:t>0.141</w:t>
            </w:r>
          </w:p>
        </w:tc>
        <w:tc>
          <w:tcPr>
            <w:tcW w:type="dxa" w:w="1037"/>
          </w:tcPr>
          <w:p>
            <w:pPr>
              <w:spacing w:after="20"/>
              <w:jc w:val="right"/>
            </w:pPr>
            <w:r>
              <w:rPr>
                <w:color w:val="1C3A36"/>
                <w:sz w:val="15"/>
              </w:rPr>
              <w:t>0.146</w:t>
            </w:r>
          </w:p>
        </w:tc>
        <w:tc>
          <w:tcPr>
            <w:tcW w:type="dxa" w:w="1037"/>
          </w:tcPr>
          <w:p>
            <w:pPr>
              <w:spacing w:after="20"/>
              <w:jc w:val="right"/>
            </w:pPr>
            <w:r>
              <w:rPr>
                <w:color w:val="1C3A36"/>
                <w:sz w:val="15"/>
              </w:rPr>
              <w:t>0.151</w:t>
            </w:r>
          </w:p>
        </w:tc>
      </w:tr>
      <w:tr>
        <w:tc>
          <w:tcPr>
            <w:tcW w:type="dxa" w:w="2333"/>
          </w:tcPr>
          <w:p>
            <w:pPr>
              <w:spacing w:after="20"/>
            </w:pPr>
            <w:r>
              <w:rPr>
                <w:color w:val="1C3A36"/>
                <w:sz w:val="15"/>
              </w:rPr>
              <w:t xml:space="preserve">   Paraffin wax</w:t>
            </w:r>
          </w:p>
        </w:tc>
        <w:tc>
          <w:tcPr>
            <w:tcW w:type="dxa" w:w="1123"/>
          </w:tcPr>
          <w:p>
            <w:pPr>
              <w:spacing w:after="20"/>
              <w:jc w:val="right"/>
            </w:pPr>
            <w:r>
              <w:rPr>
                <w:color w:val="1C3A36"/>
                <w:sz w:val="15"/>
              </w:rPr>
              <w:t>0.066</w:t>
            </w:r>
          </w:p>
        </w:tc>
        <w:tc>
          <w:tcPr>
            <w:tcW w:type="dxa" w:w="1037"/>
          </w:tcPr>
          <w:p>
            <w:pPr>
              <w:spacing w:after="20"/>
              <w:jc w:val="right"/>
            </w:pPr>
            <w:r>
              <w:rPr>
                <w:color w:val="1C3A36"/>
                <w:sz w:val="15"/>
              </w:rPr>
              <w:t>0.070</w:t>
            </w:r>
          </w:p>
        </w:tc>
        <w:tc>
          <w:tcPr>
            <w:tcW w:type="dxa" w:w="1037"/>
          </w:tcPr>
          <w:p>
            <w:pPr>
              <w:spacing w:after="20"/>
              <w:jc w:val="right"/>
            </w:pPr>
            <w:r>
              <w:rPr>
                <w:color w:val="1C3A36"/>
                <w:sz w:val="15"/>
              </w:rPr>
              <w:t>0.077</w:t>
            </w:r>
          </w:p>
        </w:tc>
        <w:tc>
          <w:tcPr>
            <w:tcW w:type="dxa" w:w="1037"/>
          </w:tcPr>
          <w:p>
            <w:pPr>
              <w:spacing w:after="20"/>
              <w:jc w:val="right"/>
            </w:pPr>
            <w:r>
              <w:rPr>
                <w:color w:val="1C3A36"/>
                <w:sz w:val="15"/>
              </w:rPr>
              <w:t>0.082</w:t>
            </w:r>
          </w:p>
        </w:tc>
        <w:tc>
          <w:tcPr>
            <w:tcW w:type="dxa" w:w="1037"/>
          </w:tcPr>
          <w:p>
            <w:pPr>
              <w:spacing w:after="20"/>
              <w:jc w:val="right"/>
            </w:pPr>
            <w:r>
              <w:rPr>
                <w:color w:val="1C3A36"/>
                <w:sz w:val="15"/>
              </w:rPr>
              <w:t>0.086</w:t>
            </w:r>
          </w:p>
        </w:tc>
        <w:tc>
          <w:tcPr>
            <w:tcW w:type="dxa" w:w="1037"/>
          </w:tcPr>
          <w:p>
            <w:pPr>
              <w:spacing w:after="20"/>
              <w:jc w:val="right"/>
            </w:pPr>
            <w:r>
              <w:rPr>
                <w:color w:val="1C3A36"/>
                <w:sz w:val="15"/>
              </w:rPr>
              <w:t>0.090</w:t>
            </w:r>
          </w:p>
        </w:tc>
        <w:tc>
          <w:tcPr>
            <w:tcW w:type="dxa" w:w="1037"/>
          </w:tcPr>
          <w:p>
            <w:pPr>
              <w:spacing w:after="20"/>
              <w:jc w:val="right"/>
            </w:pPr>
            <w:r>
              <w:rPr>
                <w:color w:val="1C3A36"/>
                <w:sz w:val="15"/>
              </w:rPr>
              <w:t>0.094</w:t>
            </w:r>
          </w:p>
        </w:tc>
      </w:tr>
      <w:tr>
        <w:tc>
          <w:tcPr>
            <w:tcW w:type="dxa" w:w="2333"/>
          </w:tcPr>
          <w:p>
            <w:pPr>
              <w:spacing w:after="20"/>
            </w:pPr>
            <w:r>
              <w:rPr>
                <w:color w:val="1C3A36"/>
                <w:sz w:val="15"/>
              </w:rPr>
              <w:t xml:space="preserve">   Fuel and by-products</w:t>
            </w:r>
          </w:p>
        </w:tc>
        <w:tc>
          <w:tcPr>
            <w:tcW w:type="dxa" w:w="1123"/>
          </w:tcPr>
          <w:p>
            <w:pPr>
              <w:spacing w:after="20"/>
              <w:jc w:val="right"/>
            </w:pPr>
            <w:r>
              <w:rPr>
                <w:color w:val="1C3A36"/>
                <w:sz w:val="15"/>
              </w:rPr>
              <w:t>1.256</w:t>
            </w:r>
          </w:p>
        </w:tc>
        <w:tc>
          <w:tcPr>
            <w:tcW w:type="dxa" w:w="1037"/>
          </w:tcPr>
          <w:p>
            <w:pPr>
              <w:spacing w:after="20"/>
              <w:jc w:val="right"/>
            </w:pPr>
            <w:r>
              <w:rPr>
                <w:color w:val="1C3A36"/>
                <w:sz w:val="15"/>
              </w:rPr>
              <w:t>1.173</w:t>
            </w:r>
          </w:p>
        </w:tc>
        <w:tc>
          <w:tcPr>
            <w:tcW w:type="dxa" w:w="1037"/>
          </w:tcPr>
          <w:p>
            <w:pPr>
              <w:spacing w:after="20"/>
              <w:jc w:val="right"/>
            </w:pPr>
            <w:r>
              <w:rPr>
                <w:color w:val="1C3A36"/>
                <w:sz w:val="15"/>
              </w:rPr>
              <w:t>1.232</w:t>
            </w:r>
          </w:p>
        </w:tc>
        <w:tc>
          <w:tcPr>
            <w:tcW w:type="dxa" w:w="1037"/>
          </w:tcPr>
          <w:p>
            <w:pPr>
              <w:spacing w:after="20"/>
              <w:jc w:val="right"/>
            </w:pPr>
            <w:r>
              <w:rPr>
                <w:color w:val="1C3A36"/>
                <w:sz w:val="15"/>
              </w:rPr>
              <w:t>1.276</w:t>
            </w:r>
          </w:p>
        </w:tc>
        <w:tc>
          <w:tcPr>
            <w:tcW w:type="dxa" w:w="1037"/>
          </w:tcPr>
          <w:p>
            <w:pPr>
              <w:spacing w:after="20"/>
              <w:jc w:val="right"/>
            </w:pPr>
            <w:r>
              <w:rPr>
                <w:color w:val="1C3A36"/>
                <w:sz w:val="15"/>
              </w:rPr>
              <w:t>1.317</w:t>
            </w:r>
          </w:p>
        </w:tc>
        <w:tc>
          <w:tcPr>
            <w:tcW w:type="dxa" w:w="1037"/>
          </w:tcPr>
          <w:p>
            <w:pPr>
              <w:spacing w:after="20"/>
              <w:jc w:val="right"/>
            </w:pPr>
            <w:r>
              <w:rPr>
                <w:color w:val="1C3A36"/>
                <w:sz w:val="15"/>
              </w:rPr>
              <w:t>1.354</w:t>
            </w:r>
          </w:p>
        </w:tc>
        <w:tc>
          <w:tcPr>
            <w:tcW w:type="dxa" w:w="1037"/>
          </w:tcPr>
          <w:p>
            <w:pPr>
              <w:spacing w:after="20"/>
              <w:jc w:val="right"/>
            </w:pPr>
            <w:r>
              <w:rPr>
                <w:color w:val="1C3A36"/>
                <w:sz w:val="15"/>
              </w:rPr>
              <w:t>1.385</w:t>
            </w:r>
          </w:p>
        </w:tc>
      </w:tr>
      <w:tr>
        <w:tc>
          <w:tcPr>
            <w:tcW w:type="dxa" w:w="2333"/>
            <w:shd w:val="clear" w:color="auto" w:fill="F6F1E6"/>
          </w:tcPr>
          <w:p>
            <w:pPr>
              <w:spacing w:after="20"/>
            </w:pPr>
            <w:r>
              <w:rPr>
                <w:b/>
                <w:color w:val="1C3A36"/>
                <w:sz w:val="15"/>
              </w:rPr>
              <w:t xml:space="preserve">   TOTAL</w:t>
            </w:r>
          </w:p>
        </w:tc>
        <w:tc>
          <w:tcPr>
            <w:tcW w:type="dxa" w:w="1123"/>
            <w:shd w:val="clear" w:color="auto" w:fill="F6F1E6"/>
          </w:tcPr>
          <w:p>
            <w:pPr>
              <w:spacing w:after="20"/>
              <w:jc w:val="right"/>
            </w:pPr>
            <w:r>
              <w:rPr>
                <w:b/>
                <w:color w:val="1C3A36"/>
                <w:sz w:val="15"/>
              </w:rPr>
              <w:t>1.433</w:t>
            </w:r>
          </w:p>
        </w:tc>
        <w:tc>
          <w:tcPr>
            <w:tcW w:type="dxa" w:w="1037"/>
            <w:shd w:val="clear" w:color="auto" w:fill="F6F1E6"/>
          </w:tcPr>
          <w:p>
            <w:pPr>
              <w:spacing w:after="20"/>
              <w:jc w:val="right"/>
            </w:pPr>
            <w:r>
              <w:rPr>
                <w:b/>
                <w:color w:val="1C3A36"/>
                <w:sz w:val="15"/>
              </w:rPr>
              <w:t>1.362</w:t>
            </w:r>
          </w:p>
        </w:tc>
        <w:tc>
          <w:tcPr>
            <w:tcW w:type="dxa" w:w="1037"/>
            <w:shd w:val="clear" w:color="auto" w:fill="F6F1E6"/>
          </w:tcPr>
          <w:p>
            <w:pPr>
              <w:spacing w:after="20"/>
              <w:jc w:val="right"/>
            </w:pPr>
            <w:r>
              <w:rPr>
                <w:b/>
                <w:color w:val="1C3A36"/>
                <w:sz w:val="15"/>
              </w:rPr>
              <w:t>1.436</w:t>
            </w:r>
          </w:p>
        </w:tc>
        <w:tc>
          <w:tcPr>
            <w:tcW w:type="dxa" w:w="1037"/>
            <w:shd w:val="clear" w:color="auto" w:fill="F6F1E6"/>
          </w:tcPr>
          <w:p>
            <w:pPr>
              <w:spacing w:after="20"/>
              <w:jc w:val="right"/>
            </w:pPr>
            <w:r>
              <w:rPr>
                <w:b/>
                <w:color w:val="1C3A36"/>
                <w:sz w:val="15"/>
              </w:rPr>
              <w:t>1.493</w:t>
            </w:r>
          </w:p>
        </w:tc>
        <w:tc>
          <w:tcPr>
            <w:tcW w:type="dxa" w:w="1037"/>
            <w:shd w:val="clear" w:color="auto" w:fill="F6F1E6"/>
          </w:tcPr>
          <w:p>
            <w:pPr>
              <w:spacing w:after="20"/>
              <w:jc w:val="right"/>
            </w:pPr>
            <w:r>
              <w:rPr>
                <w:b/>
                <w:color w:val="1C3A36"/>
                <w:sz w:val="15"/>
              </w:rPr>
              <w:t>1.544</w:t>
            </w:r>
          </w:p>
        </w:tc>
        <w:tc>
          <w:tcPr>
            <w:tcW w:type="dxa" w:w="1037"/>
            <w:shd w:val="clear" w:color="auto" w:fill="F6F1E6"/>
          </w:tcPr>
          <w:p>
            <w:pPr>
              <w:spacing w:after="20"/>
              <w:jc w:val="right"/>
            </w:pPr>
            <w:r>
              <w:rPr>
                <w:b/>
                <w:color w:val="1C3A36"/>
                <w:sz w:val="15"/>
              </w:rPr>
              <w:t>1.590</w:t>
            </w:r>
          </w:p>
        </w:tc>
        <w:tc>
          <w:tcPr>
            <w:tcW w:type="dxa" w:w="1037"/>
            <w:shd w:val="clear" w:color="auto" w:fill="F6F1E6"/>
          </w:tcPr>
          <w:p>
            <w:pPr>
              <w:spacing w:after="20"/>
              <w:jc w:val="right"/>
            </w:pPr>
            <w:r>
              <w:rPr>
                <w:b/>
                <w:color w:val="1C3A36"/>
                <w:sz w:val="15"/>
              </w:rPr>
              <w:t>1.630</w:t>
            </w:r>
          </w:p>
        </w:tc>
      </w:tr>
      <w:tr>
        <w:tc>
          <w:tcPr>
            <w:tcW w:type="dxa" w:w="2333"/>
            <w:shd w:val="clear" w:color="auto" w:fill="F6F1E6"/>
          </w:tcPr>
          <w:p>
            <w:pPr>
              <w:spacing w:after="20"/>
            </w:pPr>
            <w:r>
              <w:rPr>
                <w:b/>
                <w:color w:val="1C3A36"/>
                <w:sz w:val="15"/>
              </w:rPr>
              <w:t>PRICE (USD / tonne)</w:t>
            </w:r>
          </w:p>
        </w:tc>
        <w:tc>
          <w:tcPr>
            <w:tcW w:type="dxa" w:w="1123"/>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r>
      <w:tr>
        <w:tc>
          <w:tcPr>
            <w:tcW w:type="dxa" w:w="2333"/>
          </w:tcPr>
          <w:p>
            <w:pPr>
              <w:spacing w:after="20"/>
            </w:pPr>
            <w:r>
              <w:rPr>
                <w:color w:val="1C3A36"/>
                <w:sz w:val="15"/>
              </w:rPr>
              <w:t xml:space="preserve">   Base oils</w:t>
            </w:r>
          </w:p>
        </w:tc>
        <w:tc>
          <w:tcPr>
            <w:tcW w:type="dxa" w:w="1123"/>
          </w:tcPr>
          <w:p>
            <w:pPr>
              <w:spacing w:after="20"/>
              <w:jc w:val="right"/>
            </w:pPr>
            <w:r>
              <w:rPr>
                <w:color w:val="1C3A36"/>
                <w:sz w:val="15"/>
              </w:rPr>
              <w:t>1,100</w:t>
            </w:r>
          </w:p>
        </w:tc>
        <w:tc>
          <w:tcPr>
            <w:tcW w:type="dxa" w:w="1037"/>
          </w:tcPr>
          <w:p>
            <w:pPr>
              <w:spacing w:after="20"/>
              <w:jc w:val="right"/>
            </w:pPr>
            <w:r>
              <w:rPr>
                <w:color w:val="1C3A36"/>
                <w:sz w:val="15"/>
              </w:rPr>
              <w:t>1,133</w:t>
            </w:r>
          </w:p>
        </w:tc>
        <w:tc>
          <w:tcPr>
            <w:tcW w:type="dxa" w:w="1037"/>
          </w:tcPr>
          <w:p>
            <w:pPr>
              <w:spacing w:after="20"/>
              <w:jc w:val="right"/>
            </w:pPr>
            <w:r>
              <w:rPr>
                <w:color w:val="1C3A36"/>
                <w:sz w:val="15"/>
              </w:rPr>
              <w:t>1,156</w:t>
            </w:r>
          </w:p>
        </w:tc>
        <w:tc>
          <w:tcPr>
            <w:tcW w:type="dxa" w:w="1037"/>
          </w:tcPr>
          <w:p>
            <w:pPr>
              <w:spacing w:after="20"/>
              <w:jc w:val="right"/>
            </w:pPr>
            <w:r>
              <w:rPr>
                <w:color w:val="1C3A36"/>
                <w:sz w:val="15"/>
              </w:rPr>
              <w:t>1,179</w:t>
            </w:r>
          </w:p>
        </w:tc>
        <w:tc>
          <w:tcPr>
            <w:tcW w:type="dxa" w:w="1037"/>
          </w:tcPr>
          <w:p>
            <w:pPr>
              <w:spacing w:after="20"/>
              <w:jc w:val="right"/>
            </w:pPr>
            <w:r>
              <w:rPr>
                <w:color w:val="1C3A36"/>
                <w:sz w:val="15"/>
              </w:rPr>
              <w:t>1,202</w:t>
            </w:r>
          </w:p>
        </w:tc>
        <w:tc>
          <w:tcPr>
            <w:tcW w:type="dxa" w:w="1037"/>
          </w:tcPr>
          <w:p>
            <w:pPr>
              <w:spacing w:after="20"/>
              <w:jc w:val="right"/>
            </w:pPr>
            <w:r>
              <w:rPr>
                <w:color w:val="1C3A36"/>
                <w:sz w:val="15"/>
              </w:rPr>
              <w:t>1,226</w:t>
            </w:r>
          </w:p>
        </w:tc>
        <w:tc>
          <w:tcPr>
            <w:tcW w:type="dxa" w:w="1037"/>
          </w:tcPr>
          <w:p>
            <w:pPr>
              <w:spacing w:after="20"/>
              <w:jc w:val="right"/>
            </w:pPr>
            <w:r>
              <w:rPr>
                <w:color w:val="1C3A36"/>
                <w:sz w:val="15"/>
              </w:rPr>
              <w:t>1,251</w:t>
            </w:r>
          </w:p>
        </w:tc>
      </w:tr>
      <w:tr>
        <w:tc>
          <w:tcPr>
            <w:tcW w:type="dxa" w:w="2333"/>
          </w:tcPr>
          <w:p>
            <w:pPr>
              <w:spacing w:after="20"/>
            </w:pPr>
            <w:r>
              <w:rPr>
                <w:color w:val="1C3A36"/>
                <w:sz w:val="15"/>
              </w:rPr>
              <w:t xml:space="preserve">   Paraffin wax</w:t>
            </w:r>
          </w:p>
        </w:tc>
        <w:tc>
          <w:tcPr>
            <w:tcW w:type="dxa" w:w="1123"/>
          </w:tcPr>
          <w:p>
            <w:pPr>
              <w:spacing w:after="20"/>
              <w:jc w:val="right"/>
            </w:pPr>
            <w:r>
              <w:rPr>
                <w:color w:val="1C3A36"/>
                <w:sz w:val="15"/>
              </w:rPr>
              <w:t>1,007</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1,097</w:t>
            </w:r>
          </w:p>
        </w:tc>
        <w:tc>
          <w:tcPr>
            <w:tcW w:type="dxa" w:w="1037"/>
          </w:tcPr>
          <w:p>
            <w:pPr>
              <w:spacing w:after="20"/>
              <w:jc w:val="right"/>
            </w:pPr>
            <w:r>
              <w:rPr>
                <w:color w:val="1C3A36"/>
                <w:sz w:val="15"/>
              </w:rPr>
              <w:t>1,119</w:t>
            </w:r>
          </w:p>
        </w:tc>
        <w:tc>
          <w:tcPr>
            <w:tcW w:type="dxa" w:w="1037"/>
          </w:tcPr>
          <w:p>
            <w:pPr>
              <w:spacing w:after="20"/>
              <w:jc w:val="right"/>
            </w:pPr>
            <w:r>
              <w:rPr>
                <w:color w:val="1C3A36"/>
                <w:sz w:val="15"/>
              </w:rPr>
              <w:t>1,142</w:t>
            </w:r>
          </w:p>
        </w:tc>
        <w:tc>
          <w:tcPr>
            <w:tcW w:type="dxa" w:w="1037"/>
          </w:tcPr>
          <w:p>
            <w:pPr>
              <w:spacing w:after="20"/>
              <w:jc w:val="right"/>
            </w:pPr>
            <w:r>
              <w:rPr>
                <w:color w:val="1C3A36"/>
                <w:sz w:val="15"/>
              </w:rPr>
              <w:t>1,165</w:t>
            </w:r>
          </w:p>
        </w:tc>
      </w:tr>
      <w:tr>
        <w:tc>
          <w:tcPr>
            <w:tcW w:type="dxa" w:w="2333"/>
          </w:tcPr>
          <w:p>
            <w:pPr>
              <w:spacing w:after="20"/>
            </w:pPr>
            <w:r>
              <w:rPr>
                <w:color w:val="1C3A36"/>
                <w:sz w:val="15"/>
              </w:rPr>
              <w:t xml:space="preserve">   Fuel and by-products</w:t>
            </w:r>
          </w:p>
        </w:tc>
        <w:tc>
          <w:tcPr>
            <w:tcW w:type="dxa" w:w="1123"/>
          </w:tcPr>
          <w:p>
            <w:pPr>
              <w:spacing w:after="20"/>
              <w:jc w:val="right"/>
            </w:pPr>
            <w:r>
              <w:rPr>
                <w:color w:val="1C3A36"/>
                <w:sz w:val="15"/>
              </w:rPr>
              <w:t>578</w:t>
            </w:r>
          </w:p>
        </w:tc>
        <w:tc>
          <w:tcPr>
            <w:tcW w:type="dxa" w:w="1037"/>
          </w:tcPr>
          <w:p>
            <w:pPr>
              <w:spacing w:after="20"/>
              <w:jc w:val="right"/>
            </w:pPr>
            <w:r>
              <w:rPr>
                <w:color w:val="1C3A36"/>
                <w:sz w:val="15"/>
              </w:rPr>
              <w:t>587</w:t>
            </w:r>
          </w:p>
        </w:tc>
        <w:tc>
          <w:tcPr>
            <w:tcW w:type="dxa" w:w="1037"/>
          </w:tcPr>
          <w:p>
            <w:pPr>
              <w:spacing w:after="20"/>
              <w:jc w:val="right"/>
            </w:pPr>
            <w:r>
              <w:rPr>
                <w:color w:val="1C3A36"/>
                <w:sz w:val="15"/>
              </w:rPr>
              <w:t>593</w:t>
            </w:r>
          </w:p>
        </w:tc>
        <w:tc>
          <w:tcPr>
            <w:tcW w:type="dxa" w:w="1037"/>
          </w:tcPr>
          <w:p>
            <w:pPr>
              <w:spacing w:after="20"/>
              <w:jc w:val="right"/>
            </w:pPr>
            <w:r>
              <w:rPr>
                <w:color w:val="1C3A36"/>
                <w:sz w:val="15"/>
              </w:rPr>
              <w:t>605</w:t>
            </w:r>
          </w:p>
        </w:tc>
        <w:tc>
          <w:tcPr>
            <w:tcW w:type="dxa" w:w="1037"/>
          </w:tcPr>
          <w:p>
            <w:pPr>
              <w:spacing w:after="20"/>
              <w:jc w:val="right"/>
            </w:pPr>
            <w:r>
              <w:rPr>
                <w:color w:val="1C3A36"/>
                <w:sz w:val="15"/>
              </w:rPr>
              <w:t>617</w:t>
            </w:r>
          </w:p>
        </w:tc>
        <w:tc>
          <w:tcPr>
            <w:tcW w:type="dxa" w:w="1037"/>
          </w:tcPr>
          <w:p>
            <w:pPr>
              <w:spacing w:after="20"/>
              <w:jc w:val="right"/>
            </w:pPr>
            <w:r>
              <w:rPr>
                <w:color w:val="1C3A36"/>
                <w:sz w:val="15"/>
              </w:rPr>
              <w:t>629</w:t>
            </w:r>
          </w:p>
        </w:tc>
        <w:tc>
          <w:tcPr>
            <w:tcW w:type="dxa" w:w="1037"/>
          </w:tcPr>
          <w:p>
            <w:pPr>
              <w:spacing w:after="20"/>
              <w:jc w:val="right"/>
            </w:pPr>
            <w:r>
              <w:rPr>
                <w:color w:val="1C3A36"/>
                <w:sz w:val="15"/>
              </w:rPr>
              <w:t>642</w:t>
            </w:r>
          </w:p>
        </w:tc>
      </w:tr>
      <w:tr>
        <w:tc>
          <w:tcPr>
            <w:tcW w:type="dxa" w:w="2333"/>
            <w:shd w:val="clear" w:color="auto" w:fill="F6F1E6"/>
          </w:tcPr>
          <w:p>
            <w:pPr>
              <w:spacing w:after="20"/>
            </w:pPr>
            <w:r>
              <w:rPr>
                <w:b/>
                <w:color w:val="1C3A36"/>
                <w:sz w:val="15"/>
              </w:rPr>
              <w:t xml:space="preserve">   USD / EGP average</w:t>
            </w:r>
          </w:p>
        </w:tc>
        <w:tc>
          <w:tcPr>
            <w:tcW w:type="dxa" w:w="1123"/>
            <w:shd w:val="clear" w:color="auto" w:fill="F6F1E6"/>
          </w:tcPr>
          <w:p>
            <w:pPr>
              <w:spacing w:after="20"/>
              <w:jc w:val="right"/>
            </w:pPr>
            <w:r>
              <w:rPr>
                <w:b/>
                <w:color w:val="1C3A36"/>
                <w:sz w:val="15"/>
              </w:rPr>
              <w:t>36.4</w:t>
            </w:r>
          </w:p>
        </w:tc>
        <w:tc>
          <w:tcPr>
            <w:tcW w:type="dxa" w:w="1037"/>
            <w:shd w:val="clear" w:color="auto" w:fill="F6F1E6"/>
          </w:tcPr>
          <w:p>
            <w:pPr>
              <w:spacing w:after="20"/>
              <w:jc w:val="right"/>
            </w:pPr>
            <w:r>
              <w:rPr>
                <w:b/>
                <w:color w:val="1C3A36"/>
                <w:sz w:val="15"/>
              </w:rPr>
              <w:t>48.7</w:t>
            </w:r>
          </w:p>
        </w:tc>
        <w:tc>
          <w:tcPr>
            <w:tcW w:type="dxa" w:w="1037"/>
            <w:shd w:val="clear" w:color="auto" w:fill="F6F1E6"/>
          </w:tcPr>
          <w:p>
            <w:pPr>
              <w:spacing w:after="20"/>
              <w:jc w:val="right"/>
            </w:pPr>
            <w:r>
              <w:rPr>
                <w:b/>
                <w:color w:val="1C3A36"/>
                <w:sz w:val="15"/>
              </w:rPr>
              <w:t>50.9</w:t>
            </w:r>
          </w:p>
        </w:tc>
        <w:tc>
          <w:tcPr>
            <w:tcW w:type="dxa" w:w="1037"/>
            <w:shd w:val="clear" w:color="auto" w:fill="F6F1E6"/>
          </w:tcPr>
          <w:p>
            <w:pPr>
              <w:spacing w:after="20"/>
              <w:jc w:val="right"/>
            </w:pPr>
            <w:r>
              <w:rPr>
                <w:b/>
                <w:color w:val="1C3A36"/>
                <w:sz w:val="15"/>
              </w:rPr>
              <w:t>53.4</w:t>
            </w:r>
          </w:p>
        </w:tc>
        <w:tc>
          <w:tcPr>
            <w:tcW w:type="dxa" w:w="1037"/>
            <w:shd w:val="clear" w:color="auto" w:fill="F6F1E6"/>
          </w:tcPr>
          <w:p>
            <w:pPr>
              <w:spacing w:after="20"/>
              <w:jc w:val="right"/>
            </w:pPr>
            <w:r>
              <w:rPr>
                <w:b/>
                <w:color w:val="1C3A36"/>
                <w:sz w:val="15"/>
              </w:rPr>
              <w:t>55.8</w:t>
            </w:r>
          </w:p>
        </w:tc>
        <w:tc>
          <w:tcPr>
            <w:tcW w:type="dxa" w:w="1037"/>
            <w:shd w:val="clear" w:color="auto" w:fill="F6F1E6"/>
          </w:tcPr>
          <w:p>
            <w:pPr>
              <w:spacing w:after="20"/>
              <w:jc w:val="right"/>
            </w:pPr>
            <w:r>
              <w:rPr>
                <w:b/>
                <w:color w:val="1C3A36"/>
                <w:sz w:val="15"/>
              </w:rPr>
              <w:t>58.0</w:t>
            </w:r>
          </w:p>
        </w:tc>
        <w:tc>
          <w:tcPr>
            <w:tcW w:type="dxa" w:w="1037"/>
            <w:shd w:val="clear" w:color="auto" w:fill="F6F1E6"/>
          </w:tcPr>
          <w:p>
            <w:pPr>
              <w:spacing w:after="20"/>
              <w:jc w:val="right"/>
            </w:pPr>
            <w:r>
              <w:rPr>
                <w:b/>
                <w:color w:val="1C3A36"/>
                <w:sz w:val="15"/>
              </w:rPr>
              <w:t>60.1</w:t>
            </w:r>
          </w:p>
        </w:tc>
      </w:tr>
      <w:tr>
        <w:tc>
          <w:tcPr>
            <w:tcW w:type="dxa" w:w="2333"/>
            <w:shd w:val="clear" w:color="auto" w:fill="F6F1E6"/>
          </w:tcPr>
          <w:p>
            <w:pPr>
              <w:spacing w:after="20"/>
            </w:pPr>
            <w:r>
              <w:rPr>
                <w:b/>
                <w:color w:val="1C3A36"/>
                <w:sz w:val="15"/>
              </w:rPr>
              <w:t>REVENUE (EGP mn)</w:t>
            </w:r>
          </w:p>
        </w:tc>
        <w:tc>
          <w:tcPr>
            <w:tcW w:type="dxa" w:w="1123"/>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c>
          <w:tcPr>
            <w:tcW w:type="dxa" w:w="1037"/>
            <w:shd w:val="clear" w:color="auto" w:fill="F6F1E6"/>
          </w:tcPr>
          <w:p>
            <w:pPr>
              <w:spacing w:after="20"/>
              <w:jc w:val="right"/>
            </w:pPr>
            <w:r>
              <w:rPr>
                <w:b/>
                <w:color w:val="1C3A36"/>
                <w:sz w:val="15"/>
              </w:rPr>
            </w:r>
          </w:p>
        </w:tc>
      </w:tr>
      <w:tr>
        <w:tc>
          <w:tcPr>
            <w:tcW w:type="dxa" w:w="2333"/>
          </w:tcPr>
          <w:p>
            <w:pPr>
              <w:spacing w:after="20"/>
            </w:pPr>
            <w:r>
              <w:rPr>
                <w:color w:val="1C3A36"/>
                <w:sz w:val="15"/>
              </w:rPr>
              <w:t xml:space="preserve">   Base oils</w:t>
            </w:r>
          </w:p>
        </w:tc>
        <w:tc>
          <w:tcPr>
            <w:tcW w:type="dxa" w:w="1123"/>
          </w:tcPr>
          <w:p>
            <w:pPr>
              <w:spacing w:after="20"/>
              <w:jc w:val="right"/>
            </w:pPr>
            <w:r>
              <w:rPr>
                <w:color w:val="1C3A36"/>
                <w:sz w:val="15"/>
              </w:rPr>
              <w:t>4,454</w:t>
            </w:r>
          </w:p>
        </w:tc>
        <w:tc>
          <w:tcPr>
            <w:tcW w:type="dxa" w:w="1037"/>
          </w:tcPr>
          <w:p>
            <w:pPr>
              <w:spacing w:after="20"/>
              <w:jc w:val="right"/>
            </w:pPr>
            <w:r>
              <w:rPr>
                <w:color w:val="1C3A36"/>
                <w:sz w:val="15"/>
              </w:rPr>
              <w:t>5,503</w:t>
            </w:r>
          </w:p>
        </w:tc>
        <w:tc>
          <w:tcPr>
            <w:tcW w:type="dxa" w:w="1037"/>
          </w:tcPr>
          <w:p>
            <w:pPr>
              <w:spacing w:after="20"/>
              <w:jc w:val="right"/>
            </w:pPr>
            <w:r>
              <w:rPr>
                <w:color w:val="1C3A36"/>
                <w:sz w:val="15"/>
              </w:rPr>
              <w:t>6,887</w:t>
            </w:r>
          </w:p>
        </w:tc>
        <w:tc>
          <w:tcPr>
            <w:tcW w:type="dxa" w:w="1037"/>
          </w:tcPr>
          <w:p>
            <w:pPr>
              <w:spacing w:after="20"/>
              <w:jc w:val="right"/>
            </w:pPr>
            <w:r>
              <w:rPr>
                <w:color w:val="1C3A36"/>
                <w:sz w:val="15"/>
              </w:rPr>
              <w:t>7,775</w:t>
            </w:r>
          </w:p>
        </w:tc>
        <w:tc>
          <w:tcPr>
            <w:tcW w:type="dxa" w:w="1037"/>
          </w:tcPr>
          <w:p>
            <w:pPr>
              <w:spacing w:after="20"/>
              <w:jc w:val="right"/>
            </w:pPr>
            <w:r>
              <w:rPr>
                <w:color w:val="1C3A36"/>
                <w:sz w:val="15"/>
              </w:rPr>
              <w:t>8,659</w:t>
            </w:r>
          </w:p>
        </w:tc>
        <w:tc>
          <w:tcPr>
            <w:tcW w:type="dxa" w:w="1037"/>
          </w:tcPr>
          <w:p>
            <w:pPr>
              <w:spacing w:after="20"/>
              <w:jc w:val="right"/>
            </w:pPr>
            <w:r>
              <w:rPr>
                <w:color w:val="1C3A36"/>
                <w:sz w:val="15"/>
              </w:rPr>
              <w:t>9,530</w:t>
            </w:r>
          </w:p>
        </w:tc>
        <w:tc>
          <w:tcPr>
            <w:tcW w:type="dxa" w:w="1037"/>
          </w:tcPr>
          <w:p>
            <w:pPr>
              <w:spacing w:after="20"/>
              <w:jc w:val="right"/>
            </w:pPr>
            <w:r>
              <w:rPr>
                <w:color w:val="1C3A36"/>
                <w:sz w:val="15"/>
              </w:rPr>
              <w:t>10,395</w:t>
            </w:r>
          </w:p>
        </w:tc>
      </w:tr>
      <w:tr>
        <w:tc>
          <w:tcPr>
            <w:tcW w:type="dxa" w:w="2333"/>
          </w:tcPr>
          <w:p>
            <w:pPr>
              <w:spacing w:after="20"/>
            </w:pPr>
            <w:r>
              <w:rPr>
                <w:color w:val="1C3A36"/>
                <w:sz w:val="15"/>
              </w:rPr>
              <w:t xml:space="preserve">   Paraffin wax</w:t>
            </w:r>
          </w:p>
        </w:tc>
        <w:tc>
          <w:tcPr>
            <w:tcW w:type="dxa" w:w="1123"/>
          </w:tcPr>
          <w:p>
            <w:pPr>
              <w:spacing w:after="20"/>
              <w:jc w:val="right"/>
            </w:pPr>
            <w:r>
              <w:rPr>
                <w:color w:val="1C3A36"/>
                <w:sz w:val="15"/>
              </w:rPr>
              <w:t>2,409</w:t>
            </w:r>
          </w:p>
        </w:tc>
        <w:tc>
          <w:tcPr>
            <w:tcW w:type="dxa" w:w="1037"/>
          </w:tcPr>
          <w:p>
            <w:pPr>
              <w:spacing w:after="20"/>
              <w:jc w:val="right"/>
            </w:pPr>
            <w:r>
              <w:rPr>
                <w:color w:val="1C3A36"/>
                <w:sz w:val="15"/>
              </w:rPr>
              <w:t>2,998</w:t>
            </w:r>
          </w:p>
        </w:tc>
        <w:tc>
          <w:tcPr>
            <w:tcW w:type="dxa" w:w="1037"/>
          </w:tcPr>
          <w:p>
            <w:pPr>
              <w:spacing w:after="20"/>
              <w:jc w:val="right"/>
            </w:pPr>
            <w:r>
              <w:rPr>
                <w:color w:val="1C3A36"/>
                <w:sz w:val="15"/>
              </w:rPr>
              <w:t>3,823</w:t>
            </w:r>
          </w:p>
        </w:tc>
        <w:tc>
          <w:tcPr>
            <w:tcW w:type="dxa" w:w="1037"/>
          </w:tcPr>
          <w:p>
            <w:pPr>
              <w:spacing w:after="20"/>
              <w:jc w:val="right"/>
            </w:pPr>
            <w:r>
              <w:rPr>
                <w:color w:val="1C3A36"/>
                <w:sz w:val="15"/>
              </w:rPr>
              <w:t>4,398</w:t>
            </w:r>
          </w:p>
        </w:tc>
        <w:tc>
          <w:tcPr>
            <w:tcW w:type="dxa" w:w="1037"/>
          </w:tcPr>
          <w:p>
            <w:pPr>
              <w:spacing w:after="20"/>
              <w:jc w:val="right"/>
            </w:pPr>
            <w:r>
              <w:rPr>
                <w:color w:val="1C3A36"/>
                <w:sz w:val="15"/>
              </w:rPr>
              <w:t>4,946</w:t>
            </w:r>
          </w:p>
        </w:tc>
        <w:tc>
          <w:tcPr>
            <w:tcW w:type="dxa" w:w="1037"/>
          </w:tcPr>
          <w:p>
            <w:pPr>
              <w:spacing w:after="20"/>
              <w:jc w:val="right"/>
            </w:pPr>
            <w:r>
              <w:rPr>
                <w:color w:val="1C3A36"/>
                <w:sz w:val="15"/>
              </w:rPr>
              <w:t>5,480</w:t>
            </w:r>
          </w:p>
        </w:tc>
        <w:tc>
          <w:tcPr>
            <w:tcW w:type="dxa" w:w="1037"/>
          </w:tcPr>
          <w:p>
            <w:pPr>
              <w:spacing w:after="20"/>
              <w:jc w:val="right"/>
            </w:pPr>
            <w:r>
              <w:rPr>
                <w:color w:val="1C3A36"/>
                <w:sz w:val="15"/>
              </w:rPr>
              <w:t>6,023</w:t>
            </w:r>
          </w:p>
        </w:tc>
      </w:tr>
      <w:tr>
        <w:tc>
          <w:tcPr>
            <w:tcW w:type="dxa" w:w="2333"/>
          </w:tcPr>
          <w:p>
            <w:pPr>
              <w:spacing w:after="20"/>
            </w:pPr>
            <w:r>
              <w:rPr>
                <w:color w:val="1C3A36"/>
                <w:sz w:val="15"/>
              </w:rPr>
              <w:t xml:space="preserve">   Fuel and by-products</w:t>
            </w:r>
          </w:p>
        </w:tc>
        <w:tc>
          <w:tcPr>
            <w:tcW w:type="dxa" w:w="1123"/>
          </w:tcPr>
          <w:p>
            <w:pPr>
              <w:spacing w:after="20"/>
              <w:jc w:val="right"/>
            </w:pPr>
            <w:r>
              <w:rPr>
                <w:color w:val="1C3A36"/>
                <w:sz w:val="15"/>
              </w:rPr>
              <w:t>26,449</w:t>
            </w:r>
          </w:p>
        </w:tc>
        <w:tc>
          <w:tcPr>
            <w:tcW w:type="dxa" w:w="1037"/>
          </w:tcPr>
          <w:p>
            <w:pPr>
              <w:spacing w:after="20"/>
              <w:jc w:val="right"/>
            </w:pPr>
            <w:r>
              <w:rPr>
                <w:color w:val="1C3A36"/>
                <w:sz w:val="15"/>
              </w:rPr>
              <w:t>28,125</w:t>
            </w:r>
          </w:p>
        </w:tc>
        <w:tc>
          <w:tcPr>
            <w:tcW w:type="dxa" w:w="1037"/>
          </w:tcPr>
          <w:p>
            <w:pPr>
              <w:spacing w:after="20"/>
              <w:jc w:val="right"/>
            </w:pPr>
            <w:r>
              <w:rPr>
                <w:color w:val="1C3A36"/>
                <w:sz w:val="15"/>
              </w:rPr>
              <w:t>34,043</w:t>
            </w:r>
          </w:p>
        </w:tc>
        <w:tc>
          <w:tcPr>
            <w:tcW w:type="dxa" w:w="1037"/>
          </w:tcPr>
          <w:p>
            <w:pPr>
              <w:spacing w:after="20"/>
              <w:jc w:val="right"/>
            </w:pPr>
            <w:r>
              <w:rPr>
                <w:color w:val="1C3A36"/>
                <w:sz w:val="15"/>
              </w:rPr>
              <w:t>37,740</w:t>
            </w:r>
          </w:p>
        </w:tc>
        <w:tc>
          <w:tcPr>
            <w:tcW w:type="dxa" w:w="1037"/>
          </w:tcPr>
          <w:p>
            <w:pPr>
              <w:spacing w:after="20"/>
              <w:jc w:val="right"/>
            </w:pPr>
            <w:r>
              <w:rPr>
                <w:color w:val="1C3A36"/>
                <w:sz w:val="15"/>
              </w:rPr>
              <w:t>41,513</w:t>
            </w:r>
          </w:p>
        </w:tc>
        <w:tc>
          <w:tcPr>
            <w:tcW w:type="dxa" w:w="1037"/>
          </w:tcPr>
          <w:p>
            <w:pPr>
              <w:spacing w:after="20"/>
              <w:jc w:val="right"/>
            </w:pPr>
            <w:r>
              <w:rPr>
                <w:color w:val="1C3A36"/>
                <w:sz w:val="15"/>
              </w:rPr>
              <w:t>45,245</w:t>
            </w:r>
          </w:p>
        </w:tc>
        <w:tc>
          <w:tcPr>
            <w:tcW w:type="dxa" w:w="1037"/>
          </w:tcPr>
          <w:p>
            <w:pPr>
              <w:spacing w:after="20"/>
              <w:jc w:val="right"/>
            </w:pPr>
            <w:r>
              <w:rPr>
                <w:color w:val="1C3A36"/>
                <w:sz w:val="15"/>
              </w:rPr>
              <w:t>48,920</w:t>
            </w:r>
          </w:p>
        </w:tc>
      </w:tr>
      <w:tr>
        <w:tc>
          <w:tcPr>
            <w:tcW w:type="dxa" w:w="2333"/>
            <w:shd w:val="clear" w:color="auto" w:fill="F6F1E6"/>
          </w:tcPr>
          <w:p>
            <w:pPr>
              <w:spacing w:after="20"/>
            </w:pPr>
            <w:r>
              <w:rPr>
                <w:b/>
                <w:color w:val="1C3A36"/>
                <w:sz w:val="15"/>
              </w:rPr>
              <w:t xml:space="preserve">   TOTAL</w:t>
            </w:r>
          </w:p>
        </w:tc>
        <w:tc>
          <w:tcPr>
            <w:tcW w:type="dxa" w:w="1123"/>
            <w:shd w:val="clear" w:color="auto" w:fill="F6F1E6"/>
          </w:tcPr>
          <w:p>
            <w:pPr>
              <w:spacing w:after="20"/>
              <w:jc w:val="right"/>
            </w:pPr>
            <w:r>
              <w:rPr>
                <w:b/>
                <w:color w:val="1C3A36"/>
                <w:sz w:val="15"/>
              </w:rPr>
              <w:t>33,312</w:t>
            </w:r>
          </w:p>
        </w:tc>
        <w:tc>
          <w:tcPr>
            <w:tcW w:type="dxa" w:w="1037"/>
            <w:shd w:val="clear" w:color="auto" w:fill="F6F1E6"/>
          </w:tcPr>
          <w:p>
            <w:pPr>
              <w:spacing w:after="20"/>
              <w:jc w:val="right"/>
            </w:pPr>
            <w:r>
              <w:rPr>
                <w:b/>
                <w:color w:val="1C3A36"/>
                <w:sz w:val="15"/>
              </w:rPr>
              <w:t>39,996</w:t>
            </w:r>
          </w:p>
        </w:tc>
        <w:tc>
          <w:tcPr>
            <w:tcW w:type="dxa" w:w="1037"/>
            <w:shd w:val="clear" w:color="auto" w:fill="F6F1E6"/>
          </w:tcPr>
          <w:p>
            <w:pPr>
              <w:spacing w:after="20"/>
              <w:jc w:val="right"/>
            </w:pPr>
            <w:r>
              <w:rPr>
                <w:b/>
                <w:color w:val="1C3A36"/>
                <w:sz w:val="15"/>
              </w:rPr>
              <w:t>44,752</w:t>
            </w:r>
          </w:p>
        </w:tc>
        <w:tc>
          <w:tcPr>
            <w:tcW w:type="dxa" w:w="1037"/>
            <w:shd w:val="clear" w:color="auto" w:fill="F6F1E6"/>
          </w:tcPr>
          <w:p>
            <w:pPr>
              <w:spacing w:after="20"/>
              <w:jc w:val="right"/>
            </w:pPr>
            <w:r>
              <w:rPr>
                <w:b/>
                <w:color w:val="1C3A36"/>
                <w:sz w:val="15"/>
              </w:rPr>
              <w:t>49,913</w:t>
            </w:r>
          </w:p>
        </w:tc>
        <w:tc>
          <w:tcPr>
            <w:tcW w:type="dxa" w:w="1037"/>
            <w:shd w:val="clear" w:color="auto" w:fill="F6F1E6"/>
          </w:tcPr>
          <w:p>
            <w:pPr>
              <w:spacing w:after="20"/>
              <w:jc w:val="right"/>
            </w:pPr>
            <w:r>
              <w:rPr>
                <w:b/>
                <w:color w:val="1C3A36"/>
                <w:sz w:val="15"/>
              </w:rPr>
              <w:t>55,118</w:t>
            </w:r>
          </w:p>
        </w:tc>
        <w:tc>
          <w:tcPr>
            <w:tcW w:type="dxa" w:w="1037"/>
            <w:shd w:val="clear" w:color="auto" w:fill="F6F1E6"/>
          </w:tcPr>
          <w:p>
            <w:pPr>
              <w:spacing w:after="20"/>
              <w:jc w:val="right"/>
            </w:pPr>
            <w:r>
              <w:rPr>
                <w:b/>
                <w:color w:val="1C3A36"/>
                <w:sz w:val="15"/>
              </w:rPr>
              <w:t>60,254</w:t>
            </w:r>
          </w:p>
        </w:tc>
        <w:tc>
          <w:tcPr>
            <w:tcW w:type="dxa" w:w="1037"/>
            <w:shd w:val="clear" w:color="auto" w:fill="F6F1E6"/>
          </w:tcPr>
          <w:p>
            <w:pPr>
              <w:spacing w:after="20"/>
              <w:jc w:val="right"/>
            </w:pPr>
            <w:r>
              <w:rPr>
                <w:b/>
                <w:color w:val="1C3A36"/>
                <w:sz w:val="15"/>
              </w:rPr>
              <w:t>65,338</w:t>
            </w:r>
          </w:p>
        </w:tc>
      </w:tr>
    </w:tbl>
    <w:p>
      <w:pPr>
        <w:spacing w:after="40"/>
      </w:pPr>
    </w:p>
    <w:p>
      <w:pPr>
        <w:spacing w:after="200" w:before="0"/>
      </w:pPr>
      <w:r>
        <w:rPr>
          <w:b w:val="0"/>
          <w:i/>
          <w:color w:val="6E7B77"/>
          <w:sz w:val="17"/>
        </w:rPr>
        <w:t>Volume growth tapers from 5.0% to 2.3% on the fuel slate and from 7.5% to 3.2% on base oils. The step-change is already IN the base year — the transition half annualises to 1.616mn tonnes against 1.3mn in the June-2025 year — so the forecast carries only the residual utilisation gain and then maintenance growth. The two specialty lines grow faster on the export push and lift their share of revenue from 23.9% to 25.1%. The first column is the DISCLOSED table; everything to the right of it is that table rolled forward on volumes and dollar prices, translated at the exchange-rate path, and scaled by the single reconciliation factor 0.9157.</w:t>
      </w:r>
    </w:p>
    <w:p>
      <w:pPr>
        <w:spacing w:after="40"/>
        <w:jc w:val="center"/>
      </w:pPr>
      <w:r>
        <w:drawing>
          <wp:inline xmlns:a="http://schemas.openxmlformats.org/drawingml/2006/main" xmlns:pic="http://schemas.openxmlformats.org/drawingml/2006/picture">
            <wp:extent cx="6309360" cy="26766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2 — revenue by product line with the EBITDA margin on the right axis. The margin widens on mix alone: the per-line margins are fixed for the whole forecast.</w:t>
      </w:r>
    </w:p>
    <w:p>
      <w:pPr>
        <w:spacing w:after="80" w:before="200"/>
      </w:pPr>
      <w:r>
        <w:rPr>
          <w:b/>
          <w:i w:val="0"/>
          <w:color w:val="1C3A36"/>
          <w:sz w:val="24"/>
        </w:rPr>
        <w:t>1.5  The gross margin is now an OUTPUT of the mix, not an assumption</w:t>
      </w:r>
    </w:p>
    <w:p>
      <w:pPr>
        <w:spacing w:after="120" w:before="0"/>
      </w:pPr>
      <w:r>
        <w:rPr>
          <w:b w:val="0"/>
          <w:i w:val="0"/>
          <w:color w:val="1C3A36"/>
          <w:sz w:val="21"/>
        </w:rPr>
        <w:t>The previous edition assumed a gross-margin path rising from 6.50% to 6.88% and captioned the chart 'the margin widens on mix'. There was no mix mechanism in that model — there were no per-line margins for a mix to act on, and an external review was right to call the caption an assumption presented as a consequence. It is now a consequence.</w:t>
      </w:r>
    </w:p>
    <w:p>
      <w:pPr>
        <w:spacing w:after="120" w:before="0"/>
      </w:pPr>
      <w:r>
        <w:rPr>
          <w:b w:val="0"/>
          <w:i w:val="0"/>
          <w:color w:val="1C3A36"/>
          <w:sz w:val="21"/>
        </w:rPr>
        <w:t>Two leg margins are SOLVED, not assumed. Requiring the blend to equal the base-year margin of 6.40% at the base-year mix, with the specialty slate earning 3.5 times the fuel slate, gives a specialty margin of 14.18% and a fuel margin of 4.05%. Those two constants never change. Every forecast year's blended margin is just those two numbers re-weighted by that year's revenue mix.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Specialty share of revenue</w:t>
            </w:r>
          </w:p>
        </w:tc>
        <w:tc>
          <w:tcPr>
            <w:tcW w:type="dxa" w:w="1325"/>
          </w:tcPr>
          <w:p>
            <w:pPr>
              <w:spacing w:after="20"/>
              <w:jc w:val="right"/>
            </w:pPr>
            <w:r>
              <w:rPr>
                <w:color w:val="1C3A36"/>
                <w:sz w:val="16"/>
              </w:rPr>
              <w:t>23.9%</w:t>
            </w:r>
          </w:p>
        </w:tc>
        <w:tc>
          <w:tcPr>
            <w:tcW w:type="dxa" w:w="1325"/>
          </w:tcPr>
          <w:p>
            <w:pPr>
              <w:spacing w:after="20"/>
              <w:jc w:val="right"/>
            </w:pPr>
            <w:r>
              <w:rPr>
                <w:color w:val="1C3A36"/>
                <w:sz w:val="16"/>
              </w:rPr>
              <w:t>24.4%</w:t>
            </w:r>
          </w:p>
        </w:tc>
        <w:tc>
          <w:tcPr>
            <w:tcW w:type="dxa" w:w="1325"/>
          </w:tcPr>
          <w:p>
            <w:pPr>
              <w:spacing w:after="20"/>
              <w:jc w:val="right"/>
            </w:pPr>
            <w:r>
              <w:rPr>
                <w:color w:val="1C3A36"/>
                <w:sz w:val="16"/>
              </w:rPr>
              <w:t>24.7%</w:t>
            </w:r>
          </w:p>
        </w:tc>
        <w:tc>
          <w:tcPr>
            <w:tcW w:type="dxa" w:w="1325"/>
          </w:tcPr>
          <w:p>
            <w:pPr>
              <w:spacing w:after="20"/>
              <w:jc w:val="right"/>
            </w:pPr>
            <w:r>
              <w:rPr>
                <w:color w:val="1C3A36"/>
                <w:sz w:val="16"/>
              </w:rPr>
              <w:t>24.9%</w:t>
            </w:r>
          </w:p>
        </w:tc>
        <w:tc>
          <w:tcPr>
            <w:tcW w:type="dxa" w:w="1325"/>
          </w:tcPr>
          <w:p>
            <w:pPr>
              <w:spacing w:after="20"/>
              <w:jc w:val="right"/>
            </w:pPr>
            <w:r>
              <w:rPr>
                <w:color w:val="1C3A36"/>
                <w:sz w:val="16"/>
              </w:rPr>
              <w:t>25.1%</w:t>
            </w:r>
          </w:p>
        </w:tc>
      </w:tr>
      <w:tr>
        <w:tc>
          <w:tcPr>
            <w:tcW w:type="dxa" w:w="3384"/>
            <w:shd w:val="clear" w:color="auto" w:fill="F6F1E6"/>
          </w:tcPr>
          <w:p>
            <w:pPr>
              <w:spacing w:after="20"/>
            </w:pPr>
            <w:r>
              <w:rPr>
                <w:b/>
                <w:color w:val="1C3A36"/>
                <w:sz w:val="16"/>
              </w:rPr>
              <w:t>BLENDED GROSS MARGIN (output)</w:t>
            </w:r>
          </w:p>
        </w:tc>
        <w:tc>
          <w:tcPr>
            <w:tcW w:type="dxa" w:w="1325"/>
            <w:shd w:val="clear" w:color="auto" w:fill="F6F1E6"/>
          </w:tcPr>
          <w:p>
            <w:pPr>
              <w:spacing w:after="20"/>
              <w:jc w:val="right"/>
            </w:pPr>
            <w:r>
              <w:rPr>
                <w:b/>
                <w:color w:val="1C3A36"/>
                <w:sz w:val="16"/>
              </w:rPr>
              <w:t>6.47%</w:t>
            </w:r>
          </w:p>
        </w:tc>
        <w:tc>
          <w:tcPr>
            <w:tcW w:type="dxa" w:w="1325"/>
            <w:shd w:val="clear" w:color="auto" w:fill="F6F1E6"/>
          </w:tcPr>
          <w:p>
            <w:pPr>
              <w:spacing w:after="20"/>
              <w:jc w:val="right"/>
            </w:pPr>
            <w:r>
              <w:rPr>
                <w:b/>
                <w:color w:val="1C3A36"/>
                <w:sz w:val="16"/>
              </w:rPr>
              <w:t>6.52%</w:t>
            </w:r>
          </w:p>
        </w:tc>
        <w:tc>
          <w:tcPr>
            <w:tcW w:type="dxa" w:w="1325"/>
            <w:shd w:val="clear" w:color="auto" w:fill="F6F1E6"/>
          </w:tcPr>
          <w:p>
            <w:pPr>
              <w:spacing w:after="20"/>
              <w:jc w:val="right"/>
            </w:pPr>
            <w:r>
              <w:rPr>
                <w:b/>
                <w:color w:val="1C3A36"/>
                <w:sz w:val="16"/>
              </w:rPr>
              <w:t>6.55%</w:t>
            </w:r>
          </w:p>
        </w:tc>
        <w:tc>
          <w:tcPr>
            <w:tcW w:type="dxa" w:w="1325"/>
            <w:shd w:val="clear" w:color="auto" w:fill="F6F1E6"/>
          </w:tcPr>
          <w:p>
            <w:pPr>
              <w:spacing w:after="20"/>
              <w:jc w:val="right"/>
            </w:pPr>
            <w:r>
              <w:rPr>
                <w:b/>
                <w:color w:val="1C3A36"/>
                <w:sz w:val="16"/>
              </w:rPr>
              <w:t>6.57%</w:t>
            </w:r>
          </w:p>
        </w:tc>
        <w:tc>
          <w:tcPr>
            <w:tcW w:type="dxa" w:w="1325"/>
            <w:shd w:val="clear" w:color="auto" w:fill="F6F1E6"/>
          </w:tcPr>
          <w:p>
            <w:pPr>
              <w:spacing w:after="20"/>
              <w:jc w:val="right"/>
            </w:pPr>
            <w:r>
              <w:rPr>
                <w:b/>
                <w:color w:val="1C3A36"/>
                <w:sz w:val="16"/>
              </w:rPr>
              <w:t>6.59%</w:t>
            </w:r>
          </w:p>
        </w:tc>
      </w:tr>
    </w:tbl>
    <w:p>
      <w:pPr>
        <w:spacing w:after="40"/>
      </w:pPr>
    </w:p>
    <w:p>
      <w:pPr>
        <w:spacing w:after="120" w:before="0"/>
      </w:pPr>
      <w:r>
        <w:rPr>
          <w:b w:val="0"/>
          <w:i w:val="0"/>
          <w:color w:val="1C3A36"/>
          <w:sz w:val="21"/>
        </w:rPr>
        <w:t>The margin widens by 12 basis points across the forecast and every one of those points comes from the specialty share rising 23.9% to 25.1%. Nothing about the spread on either line is assumed to improve. Note the size: the old ASSUMED path widened 38 basis points, three times what the mix can actually justify. Removing the assumption lowered the valuation, which is the direction that tells you it was doing work.</w:t>
      </w:r>
    </w:p>
    <w:p>
      <w:pPr>
        <w:spacing w:after="80" w:before="200"/>
      </w:pPr>
      <w:r>
        <w:rPr>
          <w:b/>
          <w:i w:val="0"/>
          <w:color w:val="1C3A36"/>
          <w:sz w:val="24"/>
        </w:rPr>
        <w:t>1.6  The cost of capital, built rather than asserted</w:t>
      </w:r>
    </w:p>
    <w:p>
      <w:pPr>
        <w:spacing w:after="120" w:before="0"/>
      </w:pPr>
      <w:r>
        <w:rPr>
          <w:b w:val="0"/>
          <w:i w:val="0"/>
          <w:color w:val="1C3A36"/>
          <w:sz w:val="21"/>
        </w:rPr>
        <w:t>Egypt is a market in monetary transition, so a single flat rate applied to both the explicit years and a perpetuity would assert that the cost of capital never normalises — a claim the central bank's own published disinflation path contradicts. The schedule below therefore slides from an explicit-window rate to a terminal rate, and the terminal value is discounted at exactly the same cumulative factor as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68"/>
        <w:gridCol w:w="1181"/>
        <w:gridCol w:w="4838"/>
      </w:tblGrid>
      <w:tr>
        <w:tc>
          <w:tcPr>
            <w:tcW w:type="dxa" w:w="2333"/>
            <w:shd w:val="clear" w:color="auto" w:fill="EAF0EE"/>
          </w:tcPr>
          <w:p>
            <w:pPr>
              <w:spacing w:after="20"/>
            </w:pPr>
            <w:r>
              <w:rPr>
                <w:b/>
                <w:color w:val="1C3A36"/>
                <w:sz w:val="16"/>
              </w:rPr>
              <w:t>Component</w:t>
            </w:r>
          </w:p>
        </w:tc>
        <w:tc>
          <w:tcPr>
            <w:tcW w:type="dxa" w:w="1368"/>
            <w:shd w:val="clear" w:color="auto" w:fill="EAF0EE"/>
          </w:tcPr>
          <w:p>
            <w:pPr>
              <w:spacing w:after="20"/>
            </w:pPr>
            <w:r>
              <w:rPr>
                <w:b/>
                <w:color w:val="1C3A36"/>
                <w:sz w:val="16"/>
              </w:rPr>
              <w:t>Explicit window</w:t>
            </w:r>
          </w:p>
        </w:tc>
        <w:tc>
          <w:tcPr>
            <w:tcW w:type="dxa" w:w="1181"/>
            <w:shd w:val="clear" w:color="auto" w:fill="EAF0EE"/>
          </w:tcPr>
          <w:p>
            <w:pPr>
              <w:spacing w:after="20"/>
            </w:pPr>
            <w:r>
              <w:rPr>
                <w:b/>
                <w:color w:val="1C3A36"/>
                <w:sz w:val="16"/>
              </w:rPr>
              <w:t>Terminal</w:t>
            </w:r>
          </w:p>
        </w:tc>
        <w:tc>
          <w:tcPr>
            <w:tcW w:type="dxa" w:w="4838"/>
            <w:shd w:val="clear" w:color="auto" w:fill="EAF0EE"/>
          </w:tcPr>
          <w:p>
            <w:pPr>
              <w:spacing w:after="20"/>
            </w:pPr>
            <w:r>
              <w:rPr>
                <w:b/>
                <w:color w:val="1C3A36"/>
                <w:sz w:val="16"/>
              </w:rPr>
              <w:t>Note</w:t>
            </w:r>
          </w:p>
        </w:tc>
      </w:tr>
      <w:tr>
        <w:tc>
          <w:tcPr>
            <w:tcW w:type="dxa" w:w="2333"/>
          </w:tcPr>
          <w:p>
            <w:pPr>
              <w:spacing w:after="20"/>
            </w:pPr>
            <w:r>
              <w:rPr>
                <w:color w:val="1C3A36"/>
                <w:sz w:val="16"/>
              </w:rPr>
              <w:t>Risk-free rate</w:t>
            </w:r>
          </w:p>
        </w:tc>
        <w:tc>
          <w:tcPr>
            <w:tcW w:type="dxa" w:w="1368"/>
          </w:tcPr>
          <w:p>
            <w:pPr>
              <w:spacing w:after="20"/>
              <w:jc w:val="right"/>
            </w:pPr>
            <w:r>
              <w:rPr>
                <w:color w:val="1C3A36"/>
                <w:sz w:val="16"/>
              </w:rPr>
              <w:t>22.3%</w:t>
            </w:r>
          </w:p>
        </w:tc>
        <w:tc>
          <w:tcPr>
            <w:tcW w:type="dxa" w:w="1181"/>
          </w:tcPr>
          <w:p>
            <w:pPr>
              <w:spacing w:after="20"/>
              <w:jc w:val="right"/>
            </w:pPr>
            <w:r>
              <w:rPr>
                <w:color w:val="1C3A36"/>
                <w:sz w:val="16"/>
              </w:rPr>
              <w:t>10.5%</w:t>
            </w:r>
          </w:p>
        </w:tc>
        <w:tc>
          <w:tcPr>
            <w:tcW w:type="dxa" w:w="4838"/>
          </w:tcPr>
          <w:p>
            <w:pPr>
              <w:spacing w:after="20"/>
            </w:pPr>
            <w:r>
              <w:rPr>
                <w:color w:val="1C3A36"/>
                <w:sz w:val="16"/>
              </w:rPr>
              <w:t>10-year local-currency government bond today; the terminal rate is norm-built from the central bank's own 5% medium-term inflation target plus a 5.5-point emerging-market real-rate convention</w:t>
            </w:r>
          </w:p>
        </w:tc>
      </w:tr>
      <w:tr>
        <w:tc>
          <w:tcPr>
            <w:tcW w:type="dxa" w:w="2333"/>
          </w:tcPr>
          <w:p>
            <w:pPr>
              <w:spacing w:after="20"/>
            </w:pPr>
            <w:r>
              <w:rPr>
                <w:color w:val="1C3A36"/>
                <w:sz w:val="16"/>
              </w:rPr>
              <w:t>less sovereign default spread</w:t>
            </w:r>
          </w:p>
        </w:tc>
        <w:tc>
          <w:tcPr>
            <w:tcW w:type="dxa" w:w="1368"/>
          </w:tcPr>
          <w:p>
            <w:pPr>
              <w:spacing w:after="20"/>
              <w:jc w:val="right"/>
            </w:pPr>
            <w:r>
              <w:rPr>
                <w:color w:val="1C3A36"/>
                <w:sz w:val="16"/>
              </w:rPr>
              <w:t>(3.4%)</w:t>
            </w:r>
          </w:p>
        </w:tc>
        <w:tc>
          <w:tcPr>
            <w:tcW w:type="dxa" w:w="1181"/>
          </w:tcPr>
          <w:p>
            <w:pPr>
              <w:spacing w:after="20"/>
              <w:jc w:val="right"/>
            </w:pPr>
            <w:r>
              <w:rPr>
                <w:color w:val="1C3A36"/>
                <w:sz w:val="16"/>
              </w:rPr>
              <w:t>—</w:t>
            </w:r>
          </w:p>
        </w:tc>
        <w:tc>
          <w:tcPr>
            <w:tcW w:type="dxa" w:w="4838"/>
          </w:tcPr>
          <w:p>
            <w:pPr>
              <w:spacing w:after="20"/>
            </w:pPr>
            <w:r>
              <w:rPr>
                <w:color w:val="1C3A36"/>
                <w:sz w:val="16"/>
              </w:rPr>
              <w:t>netted out so Egypt’s default risk is not charged twice — once inside the pound yield and again in the country premium</w:t>
            </w:r>
          </w:p>
        </w:tc>
      </w:tr>
      <w:tr>
        <w:tc>
          <w:tcPr>
            <w:tcW w:type="dxa" w:w="2333"/>
          </w:tcPr>
          <w:p>
            <w:pPr>
              <w:spacing w:after="20"/>
            </w:pPr>
            <w:r>
              <w:rPr>
                <w:color w:val="1C3A36"/>
                <w:sz w:val="16"/>
              </w:rPr>
              <w:t>Beta</w:t>
            </w:r>
          </w:p>
        </w:tc>
        <w:tc>
          <w:tcPr>
            <w:tcW w:type="dxa" w:w="1368"/>
          </w:tcPr>
          <w:p>
            <w:pPr>
              <w:spacing w:after="20"/>
              <w:jc w:val="right"/>
            </w:pPr>
            <w:r>
              <w:rPr>
                <w:color w:val="1C3A36"/>
                <w:sz w:val="16"/>
              </w:rPr>
              <w:t>0.941</w:t>
            </w:r>
          </w:p>
        </w:tc>
        <w:tc>
          <w:tcPr>
            <w:tcW w:type="dxa" w:w="1181"/>
          </w:tcPr>
          <w:p>
            <w:pPr>
              <w:spacing w:after="20"/>
              <w:jc w:val="right"/>
            </w:pPr>
            <w:r>
              <w:rPr>
                <w:color w:val="1C3A36"/>
                <w:sz w:val="16"/>
              </w:rPr>
              <w:t>0.941</w:t>
            </w:r>
          </w:p>
        </w:tc>
        <w:tc>
          <w:tcPr>
            <w:tcW w:type="dxa" w:w="4838"/>
          </w:tcPr>
          <w:p>
            <w:pPr>
              <w:spacing w:after="20"/>
            </w:pPr>
            <w:r>
              <w:rPr>
                <w:color w:val="1C3A36"/>
                <w:sz w:val="16"/>
              </w:rPr>
              <w:t>own-stock regression, R-squared 31.2%, n = 257</w:t>
            </w:r>
          </w:p>
        </w:tc>
      </w:tr>
      <w:tr>
        <w:tc>
          <w:tcPr>
            <w:tcW w:type="dxa" w:w="2333"/>
          </w:tcPr>
          <w:p>
            <w:pPr>
              <w:spacing w:after="20"/>
            </w:pPr>
            <w:r>
              <w:rPr>
                <w:color w:val="1C3A36"/>
                <w:sz w:val="16"/>
              </w:rPr>
              <w:t>Equity risk premium</w:t>
            </w:r>
          </w:p>
        </w:tc>
        <w:tc>
          <w:tcPr>
            <w:tcW w:type="dxa" w:w="1368"/>
          </w:tcPr>
          <w:p>
            <w:pPr>
              <w:spacing w:after="20"/>
              <w:jc w:val="right"/>
            </w:pPr>
            <w:r>
              <w:rPr>
                <w:color w:val="1C3A36"/>
                <w:sz w:val="16"/>
              </w:rPr>
              <w:t>9.4%</w:t>
            </w:r>
          </w:p>
        </w:tc>
        <w:tc>
          <w:tcPr>
            <w:tcW w:type="dxa" w:w="1181"/>
          </w:tcPr>
          <w:p>
            <w:pPr>
              <w:spacing w:after="20"/>
              <w:jc w:val="right"/>
            </w:pPr>
            <w:r>
              <w:rPr>
                <w:color w:val="1C3A36"/>
                <w:sz w:val="16"/>
              </w:rPr>
              <w:t>7.0%</w:t>
            </w:r>
          </w:p>
        </w:tc>
        <w:tc>
          <w:tcPr>
            <w:tcW w:type="dxa" w:w="4838"/>
          </w:tcPr>
          <w:p>
            <w:pPr>
              <w:spacing w:after="20"/>
            </w:pPr>
            <w:r>
              <w:rPr>
                <w:color w:val="1C3A36"/>
                <w:sz w:val="16"/>
              </w:rPr>
              <w:t>total premium on the credit-default-swap basis; normalised below the crisis-era level into perpetuity</w:t>
            </w:r>
          </w:p>
        </w:tc>
      </w:tr>
      <w:tr>
        <w:tc>
          <w:tcPr>
            <w:tcW w:type="dxa" w:w="2333"/>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27.8%</w:t>
            </w:r>
          </w:p>
        </w:tc>
        <w:tc>
          <w:tcPr>
            <w:tcW w:type="dxa" w:w="1181"/>
            <w:shd w:val="clear" w:color="auto" w:fill="F6F1E6"/>
          </w:tcPr>
          <w:p>
            <w:pPr>
              <w:spacing w:after="20"/>
              <w:jc w:val="right"/>
            </w:pPr>
            <w:r>
              <w:rPr>
                <w:b/>
                <w:color w:val="1C3A36"/>
                <w:sz w:val="16"/>
              </w:rPr>
              <w:t>17.1%</w:t>
            </w:r>
          </w:p>
        </w:tc>
        <w:tc>
          <w:tcPr>
            <w:tcW w:type="dxa" w:w="4838"/>
            <w:shd w:val="clear" w:color="auto" w:fill="F6F1E6"/>
          </w:tcPr>
          <w:p>
            <w:pPr>
              <w:spacing w:after="20"/>
            </w:pPr>
            <w:r>
              <w:rPr>
                <w:b/>
                <w:color w:val="1C3A36"/>
                <w:sz w:val="16"/>
              </w:rPr>
            </w:r>
          </w:p>
        </w:tc>
      </w:tr>
      <w:tr>
        <w:tc>
          <w:tcPr>
            <w:tcW w:type="dxa" w:w="2333"/>
          </w:tcPr>
          <w:p>
            <w:pPr>
              <w:spacing w:after="20"/>
            </w:pPr>
            <w:r>
              <w:rPr>
                <w:color w:val="1C3A36"/>
                <w:sz w:val="16"/>
              </w:rPr>
              <w:t>Cost of net debt, after tax</w:t>
            </w:r>
          </w:p>
        </w:tc>
        <w:tc>
          <w:tcPr>
            <w:tcW w:type="dxa" w:w="1368"/>
          </w:tcPr>
          <w:p>
            <w:pPr>
              <w:spacing w:after="20"/>
              <w:jc w:val="right"/>
            </w:pPr>
            <w:r>
              <w:rPr>
                <w:color w:val="1C3A36"/>
                <w:sz w:val="16"/>
              </w:rPr>
              <w:t>13.0%</w:t>
            </w:r>
          </w:p>
        </w:tc>
        <w:tc>
          <w:tcPr>
            <w:tcW w:type="dxa" w:w="1181"/>
          </w:tcPr>
          <w:p>
            <w:pPr>
              <w:spacing w:after="20"/>
              <w:jc w:val="right"/>
            </w:pPr>
            <w:r>
              <w:rPr>
                <w:color w:val="1C3A36"/>
                <w:sz w:val="16"/>
              </w:rPr>
              <w:t>11.5%</w:t>
            </w:r>
          </w:p>
        </w:tc>
        <w:tc>
          <w:tcPr>
            <w:tcW w:type="dxa" w:w="4838"/>
          </w:tcPr>
          <w:p>
            <w:pPr>
              <w:spacing w:after="20"/>
            </w:pPr>
            <w:r>
              <w:rPr>
                <w:color w:val="1C3A36"/>
                <w:sz w:val="16"/>
              </w:rPr>
              <w:t>blend of what the borrowing costs and what the cash earns</w:t>
            </w:r>
          </w:p>
        </w:tc>
      </w:tr>
      <w:tr>
        <w:tc>
          <w:tcPr>
            <w:tcW w:type="dxa" w:w="2333"/>
          </w:tcPr>
          <w:p>
            <w:pPr>
              <w:spacing w:after="20"/>
            </w:pPr>
            <w:r>
              <w:rPr>
                <w:color w:val="1C3A36"/>
                <w:sz w:val="16"/>
              </w:rPr>
              <w:t>Debt weight</w:t>
            </w:r>
          </w:p>
        </w:tc>
        <w:tc>
          <w:tcPr>
            <w:tcW w:type="dxa" w:w="1368"/>
          </w:tcPr>
          <w:p>
            <w:pPr>
              <w:spacing w:after="20"/>
              <w:jc w:val="right"/>
            </w:pPr>
            <w:r>
              <w:rPr>
                <w:color w:val="1C3A36"/>
                <w:sz w:val="16"/>
              </w:rPr>
              <w:t>-26.2%</w:t>
            </w:r>
          </w:p>
        </w:tc>
        <w:tc>
          <w:tcPr>
            <w:tcW w:type="dxa" w:w="1181"/>
          </w:tcPr>
          <w:p>
            <w:pPr>
              <w:spacing w:after="20"/>
              <w:jc w:val="right"/>
            </w:pPr>
            <w:r>
              <w:rPr>
                <w:color w:val="1C3A36"/>
                <w:sz w:val="16"/>
              </w:rPr>
              <w:t>10%</w:t>
            </w:r>
          </w:p>
        </w:tc>
        <w:tc>
          <w:tcPr>
            <w:tcW w:type="dxa" w:w="4838"/>
          </w:tcPr>
          <w:p>
            <w:pPr>
              <w:spacing w:after="20"/>
            </w:pPr>
            <w:r>
              <w:rPr>
                <w:color w:val="1C3A36"/>
                <w:sz w:val="16"/>
              </w:rPr>
              <w:t>NEGATIVE today, because the company is net cash</w:t>
            </w:r>
          </w:p>
        </w:tc>
      </w:tr>
      <w:tr>
        <w:tc>
          <w:tcPr>
            <w:tcW w:type="dxa" w:w="2333"/>
            <w:shd w:val="clear" w:color="auto" w:fill="F6F1E6"/>
          </w:tcPr>
          <w:p>
            <w:pPr>
              <w:spacing w:after="20"/>
            </w:pPr>
            <w:r>
              <w:rPr>
                <w:b/>
                <w:color w:val="1C3A36"/>
                <w:sz w:val="16"/>
              </w:rPr>
              <w:t>WEIGHTED COST OF CAPITAL</w:t>
            </w:r>
          </w:p>
        </w:tc>
        <w:tc>
          <w:tcPr>
            <w:tcW w:type="dxa" w:w="1368"/>
            <w:shd w:val="clear" w:color="auto" w:fill="F6F1E6"/>
          </w:tcPr>
          <w:p>
            <w:pPr>
              <w:spacing w:after="20"/>
              <w:jc w:val="right"/>
            </w:pPr>
            <w:r>
              <w:rPr>
                <w:b/>
                <w:color w:val="1C3A36"/>
                <w:sz w:val="16"/>
              </w:rPr>
              <w:t>31.6%</w:t>
            </w:r>
          </w:p>
        </w:tc>
        <w:tc>
          <w:tcPr>
            <w:tcW w:type="dxa" w:w="1181"/>
            <w:shd w:val="clear" w:color="auto" w:fill="F6F1E6"/>
          </w:tcPr>
          <w:p>
            <w:pPr>
              <w:spacing w:after="20"/>
              <w:jc w:val="right"/>
            </w:pPr>
            <w:r>
              <w:rPr>
                <w:b/>
                <w:color w:val="1C3A36"/>
                <w:sz w:val="16"/>
              </w:rPr>
              <w:t>16.5%</w:t>
            </w:r>
          </w:p>
        </w:tc>
        <w:tc>
          <w:tcPr>
            <w:tcW w:type="dxa" w:w="4838"/>
            <w:shd w:val="clear" w:color="auto" w:fill="F6F1E6"/>
          </w:tcPr>
          <w:p>
            <w:pPr>
              <w:spacing w:after="20"/>
            </w:pPr>
            <w:r>
              <w:rPr>
                <w:b/>
                <w:color w:val="1C3A36"/>
                <w:sz w:val="16"/>
              </w:rPr>
            </w:r>
          </w:p>
        </w:tc>
      </w:tr>
    </w:tbl>
    <w:p>
      <w:pPr>
        <w:spacing w:after="40"/>
      </w:pPr>
    </w:p>
    <w:p>
      <w:pPr>
        <w:spacing w:after="120" w:before="0"/>
      </w:pPr>
      <w:r>
        <w:rPr>
          <w:b w:val="0"/>
          <w:i w:val="0"/>
          <w:color w:val="1C3A36"/>
          <w:sz w:val="21"/>
        </w:rPr>
        <w:t>The weighting deserves a paragraph, because it runs the opposite way to the intuition most readers bring. Net debt is negative, so the debt weight is -26.2% and the equity weight 126.2%. The cost of that negative debt is the blend of what the EGP 25.3mn of borrowing costs and what the EGP 2,464mn cash pile EARNS — 13.0% after tax, essentially the after-tax deposit yield. The result, 31.6%, sits ABOVE the 27.8% cost of equity rather than below it. That is the point of the construction: a company holding 21% of its market capitalisation in near-riskless cash has an observed equity cost that UNDERSTATES the risk of its operating assets, and unlevering for the cash is what recovers the operating rate. The identity closes exactly — enterprise value over market capitalisation times the operating rate, plus cash over market capitalisation times the cash cost, recombines to the cost of equity.</w:t>
      </w:r>
    </w:p>
    <w:p>
      <w:pPr>
        <w:spacing w:after="120" w:before="0"/>
      </w:pPr>
      <w:r>
        <w:rPr>
          <w:b w:val="0"/>
          <w:i w:val="0"/>
          <w:color w:val="1C3A36"/>
          <w:sz w:val="21"/>
        </w:rPr>
        <w:t>On a gross-debt basis the rate would be 27.7% and the answer EGP 9.88 a share, +5.1% higher. That construction discounts the operating cash flows at a rate the cash has already depressed and then adds the same cash back in the bridge — counting it twice. The net basis is primary and is the more conservative of the two by 390 basis points.</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Cost of debt path</w:t>
            </w:r>
          </w:p>
        </w:tc>
        <w:tc>
          <w:tcPr>
            <w:tcW w:type="dxa" w:w="1325"/>
          </w:tcPr>
          <w:p>
            <w:pPr>
              <w:spacing w:after="20"/>
              <w:jc w:val="right"/>
            </w:pPr>
            <w:r>
              <w:rPr>
                <w:color w:val="1C3A36"/>
                <w:sz w:val="16"/>
              </w:rPr>
              <w:t>22.0%</w:t>
            </w:r>
          </w:p>
        </w:tc>
        <w:tc>
          <w:tcPr>
            <w:tcW w:type="dxa" w:w="1325"/>
          </w:tcPr>
          <w:p>
            <w:pPr>
              <w:spacing w:after="20"/>
              <w:jc w:val="right"/>
            </w:pPr>
            <w:r>
              <w:rPr>
                <w:color w:val="1C3A36"/>
                <w:sz w:val="16"/>
              </w:rPr>
              <w:t>19.5%</w:t>
            </w:r>
          </w:p>
        </w:tc>
        <w:tc>
          <w:tcPr>
            <w:tcW w:type="dxa" w:w="1325"/>
          </w:tcPr>
          <w:p>
            <w:pPr>
              <w:spacing w:after="20"/>
              <w:jc w:val="right"/>
            </w:pPr>
            <w:r>
              <w:rPr>
                <w:color w:val="1C3A36"/>
                <w:sz w:val="16"/>
              </w:rPr>
              <w:t>17.5%</w:t>
            </w:r>
          </w:p>
        </w:tc>
        <w:tc>
          <w:tcPr>
            <w:tcW w:type="dxa" w:w="1325"/>
          </w:tcPr>
          <w:p>
            <w:pPr>
              <w:spacing w:after="20"/>
              <w:jc w:val="right"/>
            </w:pPr>
            <w:r>
              <w:rPr>
                <w:color w:val="1C3A36"/>
                <w:sz w:val="16"/>
              </w:rPr>
              <w:t>16.0%</w:t>
            </w:r>
          </w:p>
        </w:tc>
        <w:tc>
          <w:tcPr>
            <w:tcW w:type="dxa" w:w="1325"/>
          </w:tcPr>
          <w:p>
            <w:pPr>
              <w:spacing w:after="20"/>
              <w:jc w:val="right"/>
            </w:pPr>
            <w:r>
              <w:rPr>
                <w:color w:val="1C3A36"/>
                <w:sz w:val="16"/>
              </w:rPr>
              <w:t>15.0%</w:t>
            </w:r>
          </w:p>
        </w:tc>
      </w:tr>
      <w:tr>
        <w:tc>
          <w:tcPr>
            <w:tcW w:type="dxa" w:w="3384"/>
          </w:tcPr>
          <w:p>
            <w:pPr>
              <w:spacing w:after="20"/>
            </w:pPr>
            <w:r>
              <w:rPr>
                <w:color w:val="1C3A36"/>
                <w:sz w:val="16"/>
              </w:rPr>
              <w:t>Cumulative progress along that path</w:t>
            </w:r>
          </w:p>
        </w:tc>
        <w:tc>
          <w:tcPr>
            <w:tcW w:type="dxa" w:w="1325"/>
          </w:tcPr>
          <w:p>
            <w:pPr>
              <w:spacing w:after="20"/>
              <w:jc w:val="right"/>
            </w:pPr>
            <w:r>
              <w:rPr>
                <w:color w:val="1C3A36"/>
                <w:sz w:val="16"/>
              </w:rPr>
              <w:t>0.000</w:t>
            </w:r>
          </w:p>
        </w:tc>
        <w:tc>
          <w:tcPr>
            <w:tcW w:type="dxa" w:w="1325"/>
          </w:tcPr>
          <w:p>
            <w:pPr>
              <w:spacing w:after="20"/>
              <w:jc w:val="right"/>
            </w:pPr>
            <w:r>
              <w:rPr>
                <w:color w:val="1C3A36"/>
                <w:sz w:val="16"/>
              </w:rPr>
              <w:t>0.357</w:t>
            </w:r>
          </w:p>
        </w:tc>
        <w:tc>
          <w:tcPr>
            <w:tcW w:type="dxa" w:w="1325"/>
          </w:tcPr>
          <w:p>
            <w:pPr>
              <w:spacing w:after="20"/>
              <w:jc w:val="right"/>
            </w:pPr>
            <w:r>
              <w:rPr>
                <w:color w:val="1C3A36"/>
                <w:sz w:val="16"/>
              </w:rPr>
              <w:t>0.643</w:t>
            </w:r>
          </w:p>
        </w:tc>
        <w:tc>
          <w:tcPr>
            <w:tcW w:type="dxa" w:w="1325"/>
          </w:tcPr>
          <w:p>
            <w:pPr>
              <w:spacing w:after="20"/>
              <w:jc w:val="right"/>
            </w:pPr>
            <w:r>
              <w:rPr>
                <w:color w:val="1C3A36"/>
                <w:sz w:val="16"/>
              </w:rPr>
              <w:t>0.857</w:t>
            </w:r>
          </w:p>
        </w:tc>
        <w:tc>
          <w:tcPr>
            <w:tcW w:type="dxa" w:w="1325"/>
          </w:tcPr>
          <w:p>
            <w:pPr>
              <w:spacing w:after="20"/>
              <w:jc w:val="right"/>
            </w:pPr>
            <w:r>
              <w:rPr>
                <w:color w:val="1C3A36"/>
                <w:sz w:val="16"/>
              </w:rPr>
              <w:t>1.000</w:t>
            </w:r>
          </w:p>
        </w:tc>
      </w:tr>
      <w:tr>
        <w:tc>
          <w:tcPr>
            <w:tcW w:type="dxa" w:w="3384"/>
            <w:shd w:val="clear" w:color="auto" w:fill="F6F1E6"/>
          </w:tcPr>
          <w:p>
            <w:pPr>
              <w:spacing w:after="20"/>
            </w:pPr>
            <w:r>
              <w:rPr>
                <w:b/>
                <w:color w:val="1C3A36"/>
                <w:sz w:val="16"/>
              </w:rPr>
              <w:t>Forward cost of capital</w:t>
            </w:r>
          </w:p>
        </w:tc>
        <w:tc>
          <w:tcPr>
            <w:tcW w:type="dxa" w:w="1325"/>
            <w:shd w:val="clear" w:color="auto" w:fill="F6F1E6"/>
          </w:tcPr>
          <w:p>
            <w:pPr>
              <w:spacing w:after="20"/>
              <w:jc w:val="right"/>
            </w:pPr>
            <w:r>
              <w:rPr>
                <w:b/>
                <w:color w:val="1C3A36"/>
                <w:sz w:val="16"/>
              </w:rPr>
              <w:t>31.6%</w:t>
            </w:r>
          </w:p>
        </w:tc>
        <w:tc>
          <w:tcPr>
            <w:tcW w:type="dxa" w:w="1325"/>
            <w:shd w:val="clear" w:color="auto" w:fill="F6F1E6"/>
          </w:tcPr>
          <w:p>
            <w:pPr>
              <w:spacing w:after="20"/>
              <w:jc w:val="right"/>
            </w:pPr>
            <w:r>
              <w:rPr>
                <w:b/>
                <w:color w:val="1C3A36"/>
                <w:sz w:val="16"/>
              </w:rPr>
              <w:t>26.2%</w:t>
            </w:r>
          </w:p>
        </w:tc>
        <w:tc>
          <w:tcPr>
            <w:tcW w:type="dxa" w:w="1325"/>
            <w:shd w:val="clear" w:color="auto" w:fill="F6F1E6"/>
          </w:tcPr>
          <w:p>
            <w:pPr>
              <w:spacing w:after="20"/>
              <w:jc w:val="right"/>
            </w:pPr>
            <w:r>
              <w:rPr>
                <w:b/>
                <w:color w:val="1C3A36"/>
                <w:sz w:val="16"/>
              </w:rPr>
              <w:t>21.9%</w:t>
            </w:r>
          </w:p>
        </w:tc>
        <w:tc>
          <w:tcPr>
            <w:tcW w:type="dxa" w:w="1325"/>
            <w:shd w:val="clear" w:color="auto" w:fill="F6F1E6"/>
          </w:tcPr>
          <w:p>
            <w:pPr>
              <w:spacing w:after="20"/>
              <w:jc w:val="right"/>
            </w:pPr>
            <w:r>
              <w:rPr>
                <w:b/>
                <w:color w:val="1C3A36"/>
                <w:sz w:val="16"/>
              </w:rPr>
              <w:t>18.7%</w:t>
            </w:r>
          </w:p>
        </w:tc>
        <w:tc>
          <w:tcPr>
            <w:tcW w:type="dxa" w:w="1325"/>
            <w:shd w:val="clear" w:color="auto" w:fill="F6F1E6"/>
          </w:tcPr>
          <w:p>
            <w:pPr>
              <w:spacing w:after="20"/>
              <w:jc w:val="right"/>
            </w:pPr>
            <w:r>
              <w:rPr>
                <w:b/>
                <w:color w:val="1C3A36"/>
                <w:sz w:val="16"/>
              </w:rPr>
              <w:t>16.5%</w:t>
            </w:r>
          </w:p>
        </w:tc>
      </w:tr>
      <w:tr>
        <w:tc>
          <w:tcPr>
            <w:tcW w:type="dxa" w:w="3384"/>
            <w:shd w:val="clear" w:color="auto" w:fill="F6F1E6"/>
          </w:tcPr>
          <w:p>
            <w:pPr>
              <w:spacing w:after="20"/>
            </w:pPr>
            <w:r>
              <w:rPr>
                <w:b/>
                <w:color w:val="1C3A36"/>
                <w:sz w:val="16"/>
              </w:rPr>
              <w:t>Cumulative discount factor</w:t>
            </w:r>
          </w:p>
        </w:tc>
        <w:tc>
          <w:tcPr>
            <w:tcW w:type="dxa" w:w="1325"/>
            <w:shd w:val="clear" w:color="auto" w:fill="F6F1E6"/>
          </w:tcPr>
          <w:p>
            <w:pPr>
              <w:spacing w:after="20"/>
              <w:jc w:val="right"/>
            </w:pPr>
            <w:r>
              <w:rPr>
                <w:b/>
                <w:color w:val="1C3A36"/>
                <w:sz w:val="16"/>
              </w:rPr>
              <w:t>0.7597</w:t>
            </w:r>
          </w:p>
        </w:tc>
        <w:tc>
          <w:tcPr>
            <w:tcW w:type="dxa" w:w="1325"/>
            <w:shd w:val="clear" w:color="auto" w:fill="F6F1E6"/>
          </w:tcPr>
          <w:p>
            <w:pPr>
              <w:spacing w:after="20"/>
              <w:jc w:val="right"/>
            </w:pPr>
            <w:r>
              <w:rPr>
                <w:b/>
                <w:color w:val="1C3A36"/>
                <w:sz w:val="16"/>
              </w:rPr>
              <w:t>0.6018</w:t>
            </w:r>
          </w:p>
        </w:tc>
        <w:tc>
          <w:tcPr>
            <w:tcW w:type="dxa" w:w="1325"/>
            <w:shd w:val="clear" w:color="auto" w:fill="F6F1E6"/>
          </w:tcPr>
          <w:p>
            <w:pPr>
              <w:spacing w:after="20"/>
              <w:jc w:val="right"/>
            </w:pPr>
            <w:r>
              <w:rPr>
                <w:b/>
                <w:color w:val="1C3A36"/>
                <w:sz w:val="16"/>
              </w:rPr>
              <w:t>0.4936</w:t>
            </w:r>
          </w:p>
        </w:tc>
        <w:tc>
          <w:tcPr>
            <w:tcW w:type="dxa" w:w="1325"/>
            <w:shd w:val="clear" w:color="auto" w:fill="F6F1E6"/>
          </w:tcPr>
          <w:p>
            <w:pPr>
              <w:spacing w:after="20"/>
              <w:jc w:val="right"/>
            </w:pPr>
            <w:r>
              <w:rPr>
                <w:b/>
                <w:color w:val="1C3A36"/>
                <w:sz w:val="16"/>
              </w:rPr>
              <w:t>0.4159</w:t>
            </w:r>
          </w:p>
        </w:tc>
        <w:tc>
          <w:tcPr>
            <w:tcW w:type="dxa" w:w="1325"/>
            <w:shd w:val="clear" w:color="auto" w:fill="F6F1E6"/>
          </w:tcPr>
          <w:p>
            <w:pPr>
              <w:spacing w:after="20"/>
              <w:jc w:val="right"/>
            </w:pPr>
            <w:r>
              <w:rPr>
                <w:b/>
                <w:color w:val="1C3A36"/>
                <w:sz w:val="16"/>
              </w:rPr>
              <w:t>0.3569</w:t>
            </w:r>
          </w:p>
        </w:tc>
      </w:tr>
    </w:tbl>
    <w:p>
      <w:pPr>
        <w:spacing w:after="40"/>
      </w:pPr>
    </w:p>
    <w:p>
      <w:pPr>
        <w:spacing w:after="200" w:before="0"/>
      </w:pPr>
      <w:r>
        <w:rPr>
          <w:b w:val="0"/>
          <w:i/>
          <w:color w:val="6E7B77"/>
          <w:sz w:val="17"/>
        </w:rPr>
        <w:t>The glide fractions are the cost-of-debt path’s own cumulative progress, so the front-loaded shape is inherited from one assumed easing calendar rather than being a second free parameter chosen separately. The terminal value is brought home on the year-five factor of 0.3569, the same factor that discounts year-five cash flow.</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t>EGP mn</w:t>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Revenue</w:t>
            </w:r>
          </w:p>
        </w:tc>
        <w:tc>
          <w:tcPr>
            <w:tcW w:type="dxa" w:w="1325"/>
          </w:tcPr>
          <w:p>
            <w:pPr>
              <w:spacing w:after="20"/>
              <w:jc w:val="right"/>
            </w:pPr>
            <w:r>
              <w:rPr>
                <w:color w:val="1C3A36"/>
                <w:sz w:val="16"/>
              </w:rPr>
              <w:t>44,752</w:t>
            </w:r>
          </w:p>
        </w:tc>
        <w:tc>
          <w:tcPr>
            <w:tcW w:type="dxa" w:w="1325"/>
          </w:tcPr>
          <w:p>
            <w:pPr>
              <w:spacing w:after="20"/>
              <w:jc w:val="right"/>
            </w:pPr>
            <w:r>
              <w:rPr>
                <w:color w:val="1C3A36"/>
                <w:sz w:val="16"/>
              </w:rPr>
              <w:t>49,913</w:t>
            </w:r>
          </w:p>
        </w:tc>
        <w:tc>
          <w:tcPr>
            <w:tcW w:type="dxa" w:w="1325"/>
          </w:tcPr>
          <w:p>
            <w:pPr>
              <w:spacing w:after="20"/>
              <w:jc w:val="right"/>
            </w:pPr>
            <w:r>
              <w:rPr>
                <w:color w:val="1C3A36"/>
                <w:sz w:val="16"/>
              </w:rPr>
              <w:t>55,118</w:t>
            </w:r>
          </w:p>
        </w:tc>
        <w:tc>
          <w:tcPr>
            <w:tcW w:type="dxa" w:w="1325"/>
          </w:tcPr>
          <w:p>
            <w:pPr>
              <w:spacing w:after="20"/>
              <w:jc w:val="right"/>
            </w:pPr>
            <w:r>
              <w:rPr>
                <w:color w:val="1C3A36"/>
                <w:sz w:val="16"/>
              </w:rPr>
              <w:t>60,254</w:t>
            </w:r>
          </w:p>
        </w:tc>
        <w:tc>
          <w:tcPr>
            <w:tcW w:type="dxa" w:w="1325"/>
          </w:tcPr>
          <w:p>
            <w:pPr>
              <w:spacing w:after="20"/>
              <w:jc w:val="right"/>
            </w:pPr>
            <w:r>
              <w:rPr>
                <w:color w:val="1C3A36"/>
                <w:sz w:val="16"/>
              </w:rPr>
              <w:t>65,338</w:t>
            </w:r>
          </w:p>
        </w:tc>
      </w:tr>
      <w:tr>
        <w:tc>
          <w:tcPr>
            <w:tcW w:type="dxa" w:w="3384"/>
          </w:tcPr>
          <w:p>
            <w:pPr>
              <w:spacing w:after="20"/>
            </w:pPr>
            <w:r>
              <w:rPr>
                <w:color w:val="1C3A36"/>
                <w:sz w:val="16"/>
              </w:rPr>
              <w:t>EBITDA</w:t>
            </w:r>
          </w:p>
        </w:tc>
        <w:tc>
          <w:tcPr>
            <w:tcW w:type="dxa" w:w="1325"/>
          </w:tcPr>
          <w:p>
            <w:pPr>
              <w:spacing w:after="20"/>
              <w:jc w:val="right"/>
            </w:pPr>
            <w:r>
              <w:rPr>
                <w:color w:val="1C3A36"/>
                <w:sz w:val="16"/>
              </w:rPr>
              <w:t>2,337</w:t>
            </w:r>
          </w:p>
        </w:tc>
        <w:tc>
          <w:tcPr>
            <w:tcW w:type="dxa" w:w="1325"/>
          </w:tcPr>
          <w:p>
            <w:pPr>
              <w:spacing w:after="20"/>
              <w:jc w:val="right"/>
            </w:pPr>
            <w:r>
              <w:rPr>
                <w:color w:val="1C3A36"/>
                <w:sz w:val="16"/>
              </w:rPr>
              <w:t>2,630</w:t>
            </w:r>
          </w:p>
        </w:tc>
        <w:tc>
          <w:tcPr>
            <w:tcW w:type="dxa" w:w="1325"/>
          </w:tcPr>
          <w:p>
            <w:pPr>
              <w:spacing w:after="20"/>
              <w:jc w:val="right"/>
            </w:pPr>
            <w:r>
              <w:rPr>
                <w:color w:val="1C3A36"/>
                <w:sz w:val="16"/>
              </w:rPr>
              <w:t>2,915</w:t>
            </w:r>
          </w:p>
        </w:tc>
        <w:tc>
          <w:tcPr>
            <w:tcW w:type="dxa" w:w="1325"/>
          </w:tcPr>
          <w:p>
            <w:pPr>
              <w:spacing w:after="20"/>
              <w:jc w:val="right"/>
            </w:pPr>
            <w:r>
              <w:rPr>
                <w:color w:val="1C3A36"/>
                <w:sz w:val="16"/>
              </w:rPr>
              <w:t>3,195</w:t>
            </w:r>
          </w:p>
        </w:tc>
        <w:tc>
          <w:tcPr>
            <w:tcW w:type="dxa" w:w="1325"/>
          </w:tcPr>
          <w:p>
            <w:pPr>
              <w:spacing w:after="20"/>
              <w:jc w:val="right"/>
            </w:pPr>
            <w:r>
              <w:rPr>
                <w:color w:val="1C3A36"/>
                <w:sz w:val="16"/>
              </w:rPr>
              <w:t>3,472</w:t>
            </w:r>
          </w:p>
        </w:tc>
      </w:tr>
      <w:tr>
        <w:tc>
          <w:tcPr>
            <w:tcW w:type="dxa" w:w="3384"/>
          </w:tcPr>
          <w:p>
            <w:pPr>
              <w:spacing w:after="20"/>
            </w:pPr>
            <w:r>
              <w:rPr>
                <w:color w:val="1C3A36"/>
                <w:sz w:val="16"/>
              </w:rPr>
              <w:t>EBITDA margin</w:t>
            </w:r>
          </w:p>
        </w:tc>
        <w:tc>
          <w:tcPr>
            <w:tcW w:type="dxa" w:w="1325"/>
          </w:tcPr>
          <w:p>
            <w:pPr>
              <w:spacing w:after="20"/>
              <w:jc w:val="right"/>
            </w:pPr>
            <w:r>
              <w:rPr>
                <w:color w:val="1C3A36"/>
                <w:sz w:val="16"/>
              </w:rPr>
              <w:t>5.22%</w:t>
            </w:r>
          </w:p>
        </w:tc>
        <w:tc>
          <w:tcPr>
            <w:tcW w:type="dxa" w:w="1325"/>
          </w:tcPr>
          <w:p>
            <w:pPr>
              <w:spacing w:after="20"/>
              <w:jc w:val="right"/>
            </w:pPr>
            <w:r>
              <w:rPr>
                <w:color w:val="1C3A36"/>
                <w:sz w:val="16"/>
              </w:rPr>
              <w:t>5.27%</w:t>
            </w:r>
          </w:p>
        </w:tc>
        <w:tc>
          <w:tcPr>
            <w:tcW w:type="dxa" w:w="1325"/>
          </w:tcPr>
          <w:p>
            <w:pPr>
              <w:spacing w:after="20"/>
              <w:jc w:val="right"/>
            </w:pPr>
            <w:r>
              <w:rPr>
                <w:color w:val="1C3A36"/>
                <w:sz w:val="16"/>
              </w:rPr>
              <w:t>5.29%</w:t>
            </w:r>
          </w:p>
        </w:tc>
        <w:tc>
          <w:tcPr>
            <w:tcW w:type="dxa" w:w="1325"/>
          </w:tcPr>
          <w:p>
            <w:pPr>
              <w:spacing w:after="20"/>
              <w:jc w:val="right"/>
            </w:pPr>
            <w:r>
              <w:rPr>
                <w:color w:val="1C3A36"/>
                <w:sz w:val="16"/>
              </w:rPr>
              <w:t>5.30%</w:t>
            </w:r>
          </w:p>
        </w:tc>
        <w:tc>
          <w:tcPr>
            <w:tcW w:type="dxa" w:w="1325"/>
          </w:tcPr>
          <w:p>
            <w:pPr>
              <w:spacing w:after="20"/>
              <w:jc w:val="right"/>
            </w:pPr>
            <w:r>
              <w:rPr>
                <w:color w:val="1C3A36"/>
                <w:sz w:val="16"/>
              </w:rPr>
              <w:t>5.31%</w:t>
            </w:r>
          </w:p>
        </w:tc>
      </w:tr>
      <w:tr>
        <w:tc>
          <w:tcPr>
            <w:tcW w:type="dxa" w:w="3384"/>
          </w:tcPr>
          <w:p>
            <w:pPr>
              <w:spacing w:after="20"/>
            </w:pPr>
            <w:r>
              <w:rPr>
                <w:color w:val="1C3A36"/>
                <w:sz w:val="16"/>
              </w:rPr>
              <w:t>less depreciation and amortisation</w:t>
            </w:r>
          </w:p>
        </w:tc>
        <w:tc>
          <w:tcPr>
            <w:tcW w:type="dxa" w:w="1325"/>
          </w:tcPr>
          <w:p>
            <w:pPr>
              <w:spacing w:after="20"/>
              <w:jc w:val="right"/>
            </w:pPr>
            <w:r>
              <w:rPr>
                <w:color w:val="1C3A36"/>
                <w:sz w:val="16"/>
              </w:rPr>
              <w:t>(492)</w:t>
            </w:r>
          </w:p>
        </w:tc>
        <w:tc>
          <w:tcPr>
            <w:tcW w:type="dxa" w:w="1325"/>
          </w:tcPr>
          <w:p>
            <w:pPr>
              <w:spacing w:after="20"/>
              <w:jc w:val="right"/>
            </w:pPr>
            <w:r>
              <w:rPr>
                <w:color w:val="1C3A36"/>
                <w:sz w:val="16"/>
              </w:rPr>
              <w:t>(549)</w:t>
            </w:r>
          </w:p>
        </w:tc>
        <w:tc>
          <w:tcPr>
            <w:tcW w:type="dxa" w:w="1325"/>
          </w:tcPr>
          <w:p>
            <w:pPr>
              <w:spacing w:after="20"/>
              <w:jc w:val="right"/>
            </w:pPr>
            <w:r>
              <w:rPr>
                <w:color w:val="1C3A36"/>
                <w:sz w:val="16"/>
              </w:rPr>
              <w:t>(606)</w:t>
            </w:r>
          </w:p>
        </w:tc>
        <w:tc>
          <w:tcPr>
            <w:tcW w:type="dxa" w:w="1325"/>
          </w:tcPr>
          <w:p>
            <w:pPr>
              <w:spacing w:after="20"/>
              <w:jc w:val="right"/>
            </w:pPr>
            <w:r>
              <w:rPr>
                <w:color w:val="1C3A36"/>
                <w:sz w:val="16"/>
              </w:rPr>
              <w:t>(663)</w:t>
            </w:r>
          </w:p>
        </w:tc>
        <w:tc>
          <w:tcPr>
            <w:tcW w:type="dxa" w:w="1325"/>
          </w:tcPr>
          <w:p>
            <w:pPr>
              <w:spacing w:after="20"/>
              <w:jc w:val="right"/>
            </w:pPr>
            <w:r>
              <w:rPr>
                <w:color w:val="1C3A36"/>
                <w:sz w:val="16"/>
              </w:rPr>
              <w:t>(719)</w:t>
            </w:r>
          </w:p>
        </w:tc>
      </w:tr>
      <w:tr>
        <w:tc>
          <w:tcPr>
            <w:tcW w:type="dxa" w:w="3384"/>
          </w:tcPr>
          <w:p>
            <w:pPr>
              <w:spacing w:after="20"/>
            </w:pPr>
            <w:r>
              <w:rPr>
                <w:color w:val="1C3A36"/>
                <w:sz w:val="16"/>
              </w:rPr>
              <w:t>EBIT</w:t>
            </w:r>
          </w:p>
        </w:tc>
        <w:tc>
          <w:tcPr>
            <w:tcW w:type="dxa" w:w="1325"/>
          </w:tcPr>
          <w:p>
            <w:pPr>
              <w:spacing w:after="20"/>
              <w:jc w:val="right"/>
            </w:pPr>
            <w:r>
              <w:rPr>
                <w:color w:val="1C3A36"/>
                <w:sz w:val="16"/>
              </w:rPr>
              <w:t>1,845</w:t>
            </w:r>
          </w:p>
        </w:tc>
        <w:tc>
          <w:tcPr>
            <w:tcW w:type="dxa" w:w="1325"/>
          </w:tcPr>
          <w:p>
            <w:pPr>
              <w:spacing w:after="20"/>
              <w:jc w:val="right"/>
            </w:pPr>
            <w:r>
              <w:rPr>
                <w:color w:val="1C3A36"/>
                <w:sz w:val="16"/>
              </w:rPr>
              <w:t>2,081</w:t>
            </w:r>
          </w:p>
        </w:tc>
        <w:tc>
          <w:tcPr>
            <w:tcW w:type="dxa" w:w="1325"/>
          </w:tcPr>
          <w:p>
            <w:pPr>
              <w:spacing w:after="20"/>
              <w:jc w:val="right"/>
            </w:pPr>
            <w:r>
              <w:rPr>
                <w:color w:val="1C3A36"/>
                <w:sz w:val="16"/>
              </w:rPr>
              <w:t>2,309</w:t>
            </w:r>
          </w:p>
        </w:tc>
        <w:tc>
          <w:tcPr>
            <w:tcW w:type="dxa" w:w="1325"/>
          </w:tcPr>
          <w:p>
            <w:pPr>
              <w:spacing w:after="20"/>
              <w:jc w:val="right"/>
            </w:pPr>
            <w:r>
              <w:rPr>
                <w:color w:val="1C3A36"/>
                <w:sz w:val="16"/>
              </w:rPr>
              <w:t>2,532</w:t>
            </w:r>
          </w:p>
        </w:tc>
        <w:tc>
          <w:tcPr>
            <w:tcW w:type="dxa" w:w="1325"/>
          </w:tcPr>
          <w:p>
            <w:pPr>
              <w:spacing w:after="20"/>
              <w:jc w:val="right"/>
            </w:pPr>
            <w:r>
              <w:rPr>
                <w:color w:val="1C3A36"/>
                <w:sz w:val="16"/>
              </w:rPr>
              <w:t>2,753</w:t>
            </w:r>
          </w:p>
        </w:tc>
      </w:tr>
      <w:tr>
        <w:tc>
          <w:tcPr>
            <w:tcW w:type="dxa" w:w="3384"/>
          </w:tcPr>
          <w:p>
            <w:pPr>
              <w:spacing w:after="20"/>
            </w:pPr>
            <w:r>
              <w:rPr>
                <w:color w:val="1C3A36"/>
                <w:sz w:val="16"/>
              </w:rPr>
              <w:t>NOPAT = EBIT × (1 − 23.5%)</w:t>
            </w:r>
          </w:p>
        </w:tc>
        <w:tc>
          <w:tcPr>
            <w:tcW w:type="dxa" w:w="1325"/>
          </w:tcPr>
          <w:p>
            <w:pPr>
              <w:spacing w:after="20"/>
              <w:jc w:val="right"/>
            </w:pPr>
            <w:r>
              <w:rPr>
                <w:color w:val="1C3A36"/>
                <w:sz w:val="16"/>
              </w:rPr>
              <w:t>1,412</w:t>
            </w:r>
          </w:p>
        </w:tc>
        <w:tc>
          <w:tcPr>
            <w:tcW w:type="dxa" w:w="1325"/>
          </w:tcPr>
          <w:p>
            <w:pPr>
              <w:spacing w:after="20"/>
              <w:jc w:val="right"/>
            </w:pPr>
            <w:r>
              <w:rPr>
                <w:color w:val="1C3A36"/>
                <w:sz w:val="16"/>
              </w:rPr>
              <w:t>1,592</w:t>
            </w:r>
          </w:p>
        </w:tc>
        <w:tc>
          <w:tcPr>
            <w:tcW w:type="dxa" w:w="1325"/>
          </w:tcPr>
          <w:p>
            <w:pPr>
              <w:spacing w:after="20"/>
              <w:jc w:val="right"/>
            </w:pPr>
            <w:r>
              <w:rPr>
                <w:color w:val="1C3A36"/>
                <w:sz w:val="16"/>
              </w:rPr>
              <w:t>1,766</w:t>
            </w:r>
          </w:p>
        </w:tc>
        <w:tc>
          <w:tcPr>
            <w:tcW w:type="dxa" w:w="1325"/>
          </w:tcPr>
          <w:p>
            <w:pPr>
              <w:spacing w:after="20"/>
              <w:jc w:val="right"/>
            </w:pPr>
            <w:r>
              <w:rPr>
                <w:color w:val="1C3A36"/>
                <w:sz w:val="16"/>
              </w:rPr>
              <w:t>1,937</w:t>
            </w:r>
          </w:p>
        </w:tc>
        <w:tc>
          <w:tcPr>
            <w:tcW w:type="dxa" w:w="1325"/>
          </w:tcPr>
          <w:p>
            <w:pPr>
              <w:spacing w:after="20"/>
              <w:jc w:val="right"/>
            </w:pPr>
            <w:r>
              <w:rPr>
                <w:color w:val="1C3A36"/>
                <w:sz w:val="16"/>
              </w:rPr>
              <w:t>2,106</w:t>
            </w:r>
          </w:p>
        </w:tc>
      </w:tr>
      <w:tr>
        <w:tc>
          <w:tcPr>
            <w:tcW w:type="dxa" w:w="3384"/>
          </w:tcPr>
          <w:p>
            <w:pPr>
              <w:spacing w:after="20"/>
            </w:pPr>
            <w:r>
              <w:rPr>
                <w:color w:val="1C3A36"/>
                <w:sz w:val="16"/>
              </w:rPr>
              <w:t>add back depreciation and amortisation</w:t>
            </w:r>
          </w:p>
        </w:tc>
        <w:tc>
          <w:tcPr>
            <w:tcW w:type="dxa" w:w="1325"/>
          </w:tcPr>
          <w:p>
            <w:pPr>
              <w:spacing w:after="20"/>
              <w:jc w:val="right"/>
            </w:pPr>
            <w:r>
              <w:rPr>
                <w:color w:val="1C3A36"/>
                <w:sz w:val="16"/>
              </w:rPr>
              <w:t>492</w:t>
            </w:r>
          </w:p>
        </w:tc>
        <w:tc>
          <w:tcPr>
            <w:tcW w:type="dxa" w:w="1325"/>
          </w:tcPr>
          <w:p>
            <w:pPr>
              <w:spacing w:after="20"/>
              <w:jc w:val="right"/>
            </w:pPr>
            <w:r>
              <w:rPr>
                <w:color w:val="1C3A36"/>
                <w:sz w:val="16"/>
              </w:rPr>
              <w:t>549</w:t>
            </w:r>
          </w:p>
        </w:tc>
        <w:tc>
          <w:tcPr>
            <w:tcW w:type="dxa" w:w="1325"/>
          </w:tcPr>
          <w:p>
            <w:pPr>
              <w:spacing w:after="20"/>
              <w:jc w:val="right"/>
            </w:pPr>
            <w:r>
              <w:rPr>
                <w:color w:val="1C3A36"/>
                <w:sz w:val="16"/>
              </w:rPr>
              <w:t>606</w:t>
            </w:r>
          </w:p>
        </w:tc>
        <w:tc>
          <w:tcPr>
            <w:tcW w:type="dxa" w:w="1325"/>
          </w:tcPr>
          <w:p>
            <w:pPr>
              <w:spacing w:after="20"/>
              <w:jc w:val="right"/>
            </w:pPr>
            <w:r>
              <w:rPr>
                <w:color w:val="1C3A36"/>
                <w:sz w:val="16"/>
              </w:rPr>
              <w:t>663</w:t>
            </w:r>
          </w:p>
        </w:tc>
        <w:tc>
          <w:tcPr>
            <w:tcW w:type="dxa" w:w="1325"/>
          </w:tcPr>
          <w:p>
            <w:pPr>
              <w:spacing w:after="20"/>
              <w:jc w:val="right"/>
            </w:pPr>
            <w:r>
              <w:rPr>
                <w:color w:val="1C3A36"/>
                <w:sz w:val="16"/>
              </w:rPr>
              <w:t>719</w:t>
            </w:r>
          </w:p>
        </w:tc>
      </w:tr>
      <w:tr>
        <w:tc>
          <w:tcPr>
            <w:tcW w:type="dxa" w:w="3384"/>
          </w:tcPr>
          <w:p>
            <w:pPr>
              <w:spacing w:after="20"/>
            </w:pPr>
            <w:r>
              <w:rPr>
                <w:color w:val="1C3A36"/>
                <w:sz w:val="16"/>
              </w:rPr>
              <w:t>less capital expenditure</w:t>
            </w:r>
          </w:p>
        </w:tc>
        <w:tc>
          <w:tcPr>
            <w:tcW w:type="dxa" w:w="1325"/>
          </w:tcPr>
          <w:p>
            <w:pPr>
              <w:spacing w:after="20"/>
              <w:jc w:val="right"/>
            </w:pPr>
            <w:r>
              <w:rPr>
                <w:color w:val="1C3A36"/>
                <w:sz w:val="16"/>
              </w:rPr>
              <w:t>(649)</w:t>
            </w:r>
          </w:p>
        </w:tc>
        <w:tc>
          <w:tcPr>
            <w:tcW w:type="dxa" w:w="1325"/>
          </w:tcPr>
          <w:p>
            <w:pPr>
              <w:spacing w:after="20"/>
              <w:jc w:val="right"/>
            </w:pPr>
            <w:r>
              <w:rPr>
                <w:color w:val="1C3A36"/>
                <w:sz w:val="16"/>
              </w:rPr>
              <w:t>(699)</w:t>
            </w:r>
          </w:p>
        </w:tc>
        <w:tc>
          <w:tcPr>
            <w:tcW w:type="dxa" w:w="1325"/>
          </w:tcPr>
          <w:p>
            <w:pPr>
              <w:spacing w:after="20"/>
              <w:jc w:val="right"/>
            </w:pPr>
            <w:r>
              <w:rPr>
                <w:color w:val="1C3A36"/>
                <w:sz w:val="16"/>
              </w:rPr>
              <w:t>(744)</w:t>
            </w:r>
          </w:p>
        </w:tc>
        <w:tc>
          <w:tcPr>
            <w:tcW w:type="dxa" w:w="1325"/>
          </w:tcPr>
          <w:p>
            <w:pPr>
              <w:spacing w:after="20"/>
              <w:jc w:val="right"/>
            </w:pPr>
            <w:r>
              <w:rPr>
                <w:color w:val="1C3A36"/>
                <w:sz w:val="16"/>
              </w:rPr>
              <w:t>(783)</w:t>
            </w:r>
          </w:p>
        </w:tc>
        <w:tc>
          <w:tcPr>
            <w:tcW w:type="dxa" w:w="1325"/>
          </w:tcPr>
          <w:p>
            <w:pPr>
              <w:spacing w:after="20"/>
              <w:jc w:val="right"/>
            </w:pPr>
            <w:r>
              <w:rPr>
                <w:color w:val="1C3A36"/>
                <w:sz w:val="16"/>
              </w:rPr>
              <w:t>(817)</w:t>
            </w:r>
          </w:p>
        </w:tc>
      </w:tr>
      <w:tr>
        <w:tc>
          <w:tcPr>
            <w:tcW w:type="dxa" w:w="3384"/>
          </w:tcPr>
          <w:p>
            <w:pPr>
              <w:spacing w:after="20"/>
            </w:pPr>
            <w:r>
              <w:rPr>
                <w:color w:val="1C3A36"/>
                <w:sz w:val="16"/>
              </w:rPr>
              <w:t>less change in net working capital</w:t>
            </w:r>
          </w:p>
        </w:tc>
        <w:tc>
          <w:tcPr>
            <w:tcW w:type="dxa" w:w="1325"/>
          </w:tcPr>
          <w:p>
            <w:pPr>
              <w:spacing w:after="20"/>
              <w:jc w:val="right"/>
            </w:pPr>
            <w:r>
              <w:rPr>
                <w:color w:val="1C3A36"/>
                <w:sz w:val="16"/>
              </w:rPr>
              <w:t>(96)</w:t>
            </w:r>
          </w:p>
        </w:tc>
        <w:tc>
          <w:tcPr>
            <w:tcW w:type="dxa" w:w="1325"/>
          </w:tcPr>
          <w:p>
            <w:pPr>
              <w:spacing w:after="20"/>
              <w:jc w:val="right"/>
            </w:pPr>
            <w:r>
              <w:rPr>
                <w:color w:val="1C3A36"/>
                <w:sz w:val="16"/>
              </w:rPr>
              <w:t>(104)</w:t>
            </w:r>
          </w:p>
        </w:tc>
        <w:tc>
          <w:tcPr>
            <w:tcW w:type="dxa" w:w="1325"/>
          </w:tcPr>
          <w:p>
            <w:pPr>
              <w:spacing w:after="20"/>
              <w:jc w:val="right"/>
            </w:pPr>
            <w:r>
              <w:rPr>
                <w:color w:val="1C3A36"/>
                <w:sz w:val="16"/>
              </w:rPr>
              <w:t>(105)</w:t>
            </w:r>
          </w:p>
        </w:tc>
        <w:tc>
          <w:tcPr>
            <w:tcW w:type="dxa" w:w="1325"/>
          </w:tcPr>
          <w:p>
            <w:pPr>
              <w:spacing w:after="20"/>
              <w:jc w:val="right"/>
            </w:pPr>
            <w:r>
              <w:rPr>
                <w:color w:val="1C3A36"/>
                <w:sz w:val="16"/>
              </w:rPr>
              <w:t>(104)</w:t>
            </w:r>
          </w:p>
        </w:tc>
        <w:tc>
          <w:tcPr>
            <w:tcW w:type="dxa" w:w="1325"/>
          </w:tcPr>
          <w:p>
            <w:pPr>
              <w:spacing w:after="20"/>
              <w:jc w:val="right"/>
            </w:pPr>
            <w:r>
              <w:rPr>
                <w:color w:val="1C3A36"/>
                <w:sz w:val="16"/>
              </w:rPr>
              <w:t>(103)</w:t>
            </w:r>
          </w:p>
        </w:tc>
      </w:tr>
      <w:tr>
        <w:tc>
          <w:tcPr>
            <w:tcW w:type="dxa" w:w="3384"/>
            <w:shd w:val="clear" w:color="auto" w:fill="F6F1E6"/>
          </w:tcPr>
          <w:p>
            <w:pPr>
              <w:spacing w:after="20"/>
            </w:pPr>
            <w:r>
              <w:rPr>
                <w:b/>
                <w:color w:val="1C3A36"/>
                <w:sz w:val="16"/>
              </w:rPr>
              <w:t>FREE CASH FLOW TO THE FIRM</w:t>
            </w:r>
          </w:p>
        </w:tc>
        <w:tc>
          <w:tcPr>
            <w:tcW w:type="dxa" w:w="1325"/>
            <w:shd w:val="clear" w:color="auto" w:fill="F6F1E6"/>
          </w:tcPr>
          <w:p>
            <w:pPr>
              <w:spacing w:after="20"/>
              <w:jc w:val="right"/>
            </w:pPr>
            <w:r>
              <w:rPr>
                <w:b/>
                <w:color w:val="1C3A36"/>
                <w:sz w:val="16"/>
              </w:rPr>
              <w:t>1,159</w:t>
            </w:r>
          </w:p>
        </w:tc>
        <w:tc>
          <w:tcPr>
            <w:tcW w:type="dxa" w:w="1325"/>
            <w:shd w:val="clear" w:color="auto" w:fill="F6F1E6"/>
          </w:tcPr>
          <w:p>
            <w:pPr>
              <w:spacing w:after="20"/>
              <w:jc w:val="right"/>
            </w:pPr>
            <w:r>
              <w:rPr>
                <w:b/>
                <w:color w:val="1C3A36"/>
                <w:sz w:val="16"/>
              </w:rPr>
              <w:t>1,338</w:t>
            </w:r>
          </w:p>
        </w:tc>
        <w:tc>
          <w:tcPr>
            <w:tcW w:type="dxa" w:w="1325"/>
            <w:shd w:val="clear" w:color="auto" w:fill="F6F1E6"/>
          </w:tcPr>
          <w:p>
            <w:pPr>
              <w:spacing w:after="20"/>
              <w:jc w:val="right"/>
            </w:pPr>
            <w:r>
              <w:rPr>
                <w:b/>
                <w:color w:val="1C3A36"/>
                <w:sz w:val="16"/>
              </w:rPr>
              <w:t>1,523</w:t>
            </w:r>
          </w:p>
        </w:tc>
        <w:tc>
          <w:tcPr>
            <w:tcW w:type="dxa" w:w="1325"/>
            <w:shd w:val="clear" w:color="auto" w:fill="F6F1E6"/>
          </w:tcPr>
          <w:p>
            <w:pPr>
              <w:spacing w:after="20"/>
              <w:jc w:val="right"/>
            </w:pPr>
            <w:r>
              <w:rPr>
                <w:b/>
                <w:color w:val="1C3A36"/>
                <w:sz w:val="16"/>
              </w:rPr>
              <w:t>1,713</w:t>
            </w:r>
          </w:p>
        </w:tc>
        <w:tc>
          <w:tcPr>
            <w:tcW w:type="dxa" w:w="1325"/>
            <w:shd w:val="clear" w:color="auto" w:fill="F6F1E6"/>
          </w:tcPr>
          <w:p>
            <w:pPr>
              <w:spacing w:after="20"/>
              <w:jc w:val="right"/>
            </w:pPr>
            <w:r>
              <w:rPr>
                <w:b/>
                <w:color w:val="1C3A36"/>
                <w:sz w:val="16"/>
              </w:rPr>
              <w:t>1,906</w:t>
            </w:r>
          </w:p>
        </w:tc>
      </w:tr>
      <w:tr>
        <w:tc>
          <w:tcPr>
            <w:tcW w:type="dxa" w:w="3384"/>
          </w:tcPr>
          <w:p>
            <w:pPr>
              <w:spacing w:after="20"/>
            </w:pPr>
            <w:r>
              <w:rPr>
                <w:color w:val="1C3A36"/>
                <w:sz w:val="16"/>
              </w:rPr>
              <w:t>Discount factor</w:t>
            </w:r>
          </w:p>
        </w:tc>
        <w:tc>
          <w:tcPr>
            <w:tcW w:type="dxa" w:w="1325"/>
          </w:tcPr>
          <w:p>
            <w:pPr>
              <w:spacing w:after="20"/>
              <w:jc w:val="right"/>
            </w:pPr>
            <w:r>
              <w:rPr>
                <w:color w:val="1C3A36"/>
                <w:sz w:val="16"/>
              </w:rPr>
              <w:t>0.7597</w:t>
            </w:r>
          </w:p>
        </w:tc>
        <w:tc>
          <w:tcPr>
            <w:tcW w:type="dxa" w:w="1325"/>
          </w:tcPr>
          <w:p>
            <w:pPr>
              <w:spacing w:after="20"/>
              <w:jc w:val="right"/>
            </w:pPr>
            <w:r>
              <w:rPr>
                <w:color w:val="1C3A36"/>
                <w:sz w:val="16"/>
              </w:rPr>
              <w:t>0.6018</w:t>
            </w:r>
          </w:p>
        </w:tc>
        <w:tc>
          <w:tcPr>
            <w:tcW w:type="dxa" w:w="1325"/>
          </w:tcPr>
          <w:p>
            <w:pPr>
              <w:spacing w:after="20"/>
              <w:jc w:val="right"/>
            </w:pPr>
            <w:r>
              <w:rPr>
                <w:color w:val="1C3A36"/>
                <w:sz w:val="16"/>
              </w:rPr>
              <w:t>0.4936</w:t>
            </w:r>
          </w:p>
        </w:tc>
        <w:tc>
          <w:tcPr>
            <w:tcW w:type="dxa" w:w="1325"/>
          </w:tcPr>
          <w:p>
            <w:pPr>
              <w:spacing w:after="20"/>
              <w:jc w:val="right"/>
            </w:pPr>
            <w:r>
              <w:rPr>
                <w:color w:val="1C3A36"/>
                <w:sz w:val="16"/>
              </w:rPr>
              <w:t>0.4159</w:t>
            </w:r>
          </w:p>
        </w:tc>
        <w:tc>
          <w:tcPr>
            <w:tcW w:type="dxa" w:w="1325"/>
          </w:tcPr>
          <w:p>
            <w:pPr>
              <w:spacing w:after="20"/>
              <w:jc w:val="right"/>
            </w:pPr>
            <w:r>
              <w:rPr>
                <w:color w:val="1C3A36"/>
                <w:sz w:val="16"/>
              </w:rPr>
              <w:t>0.3569</w:t>
            </w:r>
          </w:p>
        </w:tc>
      </w:tr>
      <w:tr>
        <w:tc>
          <w:tcPr>
            <w:tcW w:type="dxa" w:w="3384"/>
            <w:shd w:val="clear" w:color="auto" w:fill="F6F1E6"/>
          </w:tcPr>
          <w:p>
            <w:pPr>
              <w:spacing w:after="20"/>
            </w:pPr>
            <w:r>
              <w:rPr>
                <w:b/>
                <w:color w:val="1C3A36"/>
                <w:sz w:val="16"/>
              </w:rPr>
              <w:t>PRESENT VALUE OF FREE CASH FLOW</w:t>
            </w:r>
          </w:p>
        </w:tc>
        <w:tc>
          <w:tcPr>
            <w:tcW w:type="dxa" w:w="1325"/>
            <w:shd w:val="clear" w:color="auto" w:fill="F6F1E6"/>
          </w:tcPr>
          <w:p>
            <w:pPr>
              <w:spacing w:after="20"/>
              <w:jc w:val="right"/>
            </w:pPr>
            <w:r>
              <w:rPr>
                <w:b/>
                <w:color w:val="1C3A36"/>
                <w:sz w:val="16"/>
              </w:rPr>
              <w:t>880</w:t>
            </w:r>
          </w:p>
        </w:tc>
        <w:tc>
          <w:tcPr>
            <w:tcW w:type="dxa" w:w="1325"/>
            <w:shd w:val="clear" w:color="auto" w:fill="F6F1E6"/>
          </w:tcPr>
          <w:p>
            <w:pPr>
              <w:spacing w:after="20"/>
              <w:jc w:val="right"/>
            </w:pPr>
            <w:r>
              <w:rPr>
                <w:b/>
                <w:color w:val="1C3A36"/>
                <w:sz w:val="16"/>
              </w:rPr>
              <w:t>805</w:t>
            </w:r>
          </w:p>
        </w:tc>
        <w:tc>
          <w:tcPr>
            <w:tcW w:type="dxa" w:w="1325"/>
            <w:shd w:val="clear" w:color="auto" w:fill="F6F1E6"/>
          </w:tcPr>
          <w:p>
            <w:pPr>
              <w:spacing w:after="20"/>
              <w:jc w:val="right"/>
            </w:pPr>
            <w:r>
              <w:rPr>
                <w:b/>
                <w:color w:val="1C3A36"/>
                <w:sz w:val="16"/>
              </w:rPr>
              <w:t>752</w:t>
            </w:r>
          </w:p>
        </w:tc>
        <w:tc>
          <w:tcPr>
            <w:tcW w:type="dxa" w:w="1325"/>
            <w:shd w:val="clear" w:color="auto" w:fill="F6F1E6"/>
          </w:tcPr>
          <w:p>
            <w:pPr>
              <w:spacing w:after="20"/>
              <w:jc w:val="right"/>
            </w:pPr>
            <w:r>
              <w:rPr>
                <w:b/>
                <w:color w:val="1C3A36"/>
                <w:sz w:val="16"/>
              </w:rPr>
              <w:t>712</w:t>
            </w:r>
          </w:p>
        </w:tc>
        <w:tc>
          <w:tcPr>
            <w:tcW w:type="dxa" w:w="1325"/>
            <w:shd w:val="clear" w:color="auto" w:fill="F6F1E6"/>
          </w:tcPr>
          <w:p>
            <w:pPr>
              <w:spacing w:after="20"/>
              <w:jc w:val="right"/>
            </w:pPr>
            <w:r>
              <w:rPr>
                <w:b/>
                <w:color w:val="1C3A36"/>
                <w:sz w:val="16"/>
              </w:rPr>
              <w:t>680</w:t>
            </w:r>
          </w:p>
        </w:tc>
      </w:tr>
    </w:tbl>
    <w:p>
      <w:pPr>
        <w:spacing w:after="40"/>
      </w:pPr>
    </w:p>
    <w:p>
      <w:pPr>
        <w:spacing w:after="200" w:before="0"/>
      </w:pPr>
      <w:r>
        <w:rPr>
          <w:b w:val="0"/>
          <w:i/>
          <w:color w:val="6E7B77"/>
          <w:sz w:val="17"/>
        </w:rPr>
        <w:t>The full build is shown to the present value of free cash flow rather than stopping at the cash-flow line, so every step between the margin and the discounted number is visible and checkable.</w:t>
      </w:r>
    </w:p>
    <w:p>
      <w:pPr>
        <w:spacing w:after="40"/>
        <w:jc w:val="center"/>
      </w:pPr>
      <w:r>
        <w:drawing>
          <wp:inline xmlns:a="http://schemas.openxmlformats.org/drawingml/2006/main" xmlns:pic="http://schemas.openxmlformats.org/drawingml/2006/picture">
            <wp:extent cx="6035040" cy="2621280"/>
            <wp:docPr id="3" name="Picture 3"/>
            <wp:cNvGraphicFramePr>
              <a:graphicFrameLocks noChangeAspect="1"/>
            </wp:cNvGraphicFramePr>
            <a:graphic>
              <a:graphicData uri="http://schemas.openxmlformats.org/drawingml/2006/picture">
                <pic:pic>
                  <pic:nvPicPr>
                    <pic:cNvPr id="0" name="fig8_waterfall.png"/>
                    <pic:cNvPicPr/>
                  </pic:nvPicPr>
                  <pic:blipFill>
                    <a:blip r:embed="rId11"/>
                    <a:stretch>
                      <a:fillRect/>
                    </a:stretch>
                  </pic:blipFill>
                  <pic:spPr>
                    <a:xfrm>
                      <a:off x="0" y="0"/>
                      <a:ext cx="6035040" cy="2621280"/>
                    </a:xfrm>
                    <a:prstGeom prst="rect"/>
                  </pic:spPr>
                </pic:pic>
              </a:graphicData>
            </a:graphic>
          </wp:inline>
        </w:drawing>
      </w:r>
    </w:p>
    <w:p>
      <w:pPr>
        <w:spacing w:after="200" w:before="0"/>
      </w:pPr>
      <w:r>
        <w:rPr>
          <w:b w:val="0"/>
          <w:i/>
          <w:color w:val="6E7B77"/>
          <w:sz w:val="17"/>
        </w:rPr>
        <w:t>Figure 3 — the same waterfall for the first forecast year, drawn to scale.</w:t>
      </w:r>
    </w:p>
    <w:p>
      <w:pPr>
        <w:spacing w:after="80" w:before="200"/>
      </w:pPr>
      <w:r>
        <w:rPr>
          <w:b/>
          <w:i w:val="0"/>
          <w:color w:val="1C3A36"/>
          <w:sz w:val="24"/>
        </w:rPr>
        <w:t>1.9  The terminal block</w:t>
      </w:r>
    </w:p>
    <w:p>
      <w:pPr>
        <w:spacing w:after="120" w:before="0"/>
      </w:pPr>
      <w:r>
        <w:rPr>
          <w:b w:val="0"/>
          <w:i w:val="0"/>
          <w:color w:val="1C3A36"/>
          <w:sz w:val="21"/>
        </w:rPr>
        <w:t>Growth in perpetuity has to be paid for with capital. The reinvestment rate is therefore not a free choice: it is forced to satisfy growth = return × reinvestment exactly. At a terminal return on invested capital of 50.4% — next year's profit over closing invested capital, the standard convention — funding 5% of growth requires reinvesting 9.9% of profit, and the rest is available to the providers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544"/>
        <w:gridCol w:w="2088"/>
        <w:gridCol w:w="1872"/>
      </w:tblGrid>
      <w:tr>
        <w:tc>
          <w:tcPr>
            <w:tcW w:type="dxa" w:w="5544"/>
            <w:shd w:val="clear" w:color="auto" w:fill="EAF0EE"/>
          </w:tcPr>
          <w:p>
            <w:pPr>
              <w:spacing w:after="20"/>
            </w:pPr>
            <w:r>
              <w:rPr>
                <w:b/>
                <w:color w:val="1C3A36"/>
                <w:sz w:val="17"/>
              </w:rPr>
              <w:t>Enterprise value to equity, and what makes it up</w:t>
            </w:r>
          </w:p>
        </w:tc>
        <w:tc>
          <w:tcPr>
            <w:tcW w:type="dxa" w:w="2088"/>
            <w:shd w:val="clear" w:color="auto" w:fill="EAF0EE"/>
          </w:tcPr>
          <w:p>
            <w:pPr>
              <w:spacing w:after="20"/>
            </w:pPr>
            <w:r>
              <w:rPr>
                <w:b/>
                <w:color w:val="1C3A36"/>
                <w:sz w:val="17"/>
              </w:rPr>
              <w:t>EGP mn</w:t>
            </w:r>
          </w:p>
        </w:tc>
        <w:tc>
          <w:tcPr>
            <w:tcW w:type="dxa" w:w="1872"/>
            <w:shd w:val="clear" w:color="auto" w:fill="EAF0EE"/>
          </w:tcPr>
          <w:p>
            <w:pPr>
              <w:spacing w:after="20"/>
            </w:pPr>
            <w:r>
              <w:rPr>
                <w:b/>
                <w:color w:val="1C3A36"/>
                <w:sz w:val="17"/>
              </w:rPr>
              <w:t>EGP / share</w:t>
            </w:r>
          </w:p>
        </w:tc>
      </w:tr>
      <w:tr>
        <w:tc>
          <w:tcPr>
            <w:tcW w:type="dxa" w:w="5544"/>
          </w:tcPr>
          <w:p>
            <w:pPr>
              <w:spacing w:after="20"/>
            </w:pPr>
            <w:r>
              <w:rPr>
                <w:color w:val="1C3A36"/>
                <w:sz w:val="17"/>
              </w:rPr>
              <w:t>Present value of the explicit five years</w:t>
            </w:r>
          </w:p>
        </w:tc>
        <w:tc>
          <w:tcPr>
            <w:tcW w:type="dxa" w:w="2088"/>
          </w:tcPr>
          <w:p>
            <w:pPr>
              <w:spacing w:after="20"/>
              <w:jc w:val="right"/>
            </w:pPr>
            <w:r>
              <w:rPr>
                <w:color w:val="1C3A36"/>
                <w:sz w:val="17"/>
              </w:rPr>
              <w:t>3,830</w:t>
            </w:r>
          </w:p>
        </w:tc>
        <w:tc>
          <w:tcPr>
            <w:tcW w:type="dxa" w:w="1872"/>
          </w:tcPr>
          <w:p>
            <w:pPr>
              <w:spacing w:after="20"/>
              <w:jc w:val="right"/>
            </w:pPr>
            <w:r>
              <w:rPr>
                <w:color w:val="1C3A36"/>
                <w:sz w:val="17"/>
              </w:rPr>
              <w:t>2.97</w:t>
            </w:r>
          </w:p>
        </w:tc>
      </w:tr>
      <w:tr>
        <w:tc>
          <w:tcPr>
            <w:tcW w:type="dxa" w:w="5544"/>
          </w:tcPr>
          <w:p>
            <w:pPr>
              <w:spacing w:after="20"/>
            </w:pPr>
            <w:r>
              <w:rPr>
                <w:color w:val="1C3A36"/>
                <w:sz w:val="17"/>
              </w:rPr>
              <w:t>Present value of the terminal value</w:t>
            </w:r>
          </w:p>
        </w:tc>
        <w:tc>
          <w:tcPr>
            <w:tcW w:type="dxa" w:w="2088"/>
          </w:tcPr>
          <w:p>
            <w:pPr>
              <w:spacing w:after="20"/>
              <w:jc w:val="right"/>
            </w:pPr>
            <w:r>
              <w:rPr>
                <w:color w:val="1C3A36"/>
                <w:sz w:val="17"/>
              </w:rPr>
              <w:t>6,172</w:t>
            </w:r>
          </w:p>
        </w:tc>
        <w:tc>
          <w:tcPr>
            <w:tcW w:type="dxa" w:w="1872"/>
          </w:tcPr>
          <w:p>
            <w:pPr>
              <w:spacing w:after="20"/>
              <w:jc w:val="right"/>
            </w:pPr>
            <w:r>
              <w:rPr>
                <w:color w:val="1C3A36"/>
                <w:sz w:val="17"/>
              </w:rPr>
              <w:t>4.78</w:t>
            </w:r>
          </w:p>
        </w:tc>
      </w:tr>
      <w:tr>
        <w:tc>
          <w:tcPr>
            <w:tcW w:type="dxa" w:w="5544"/>
            <w:shd w:val="clear" w:color="auto" w:fill="F6F1E6"/>
          </w:tcPr>
          <w:p>
            <w:pPr>
              <w:spacing w:after="20"/>
            </w:pPr>
            <w:r>
              <w:rPr>
                <w:b/>
                <w:color w:val="1C3A36"/>
                <w:sz w:val="17"/>
              </w:rPr>
              <w:t>TERMINAL VALUE AS A PERCENTAGE OF ENTERPRISE VALUE</w:t>
            </w:r>
          </w:p>
        </w:tc>
        <w:tc>
          <w:tcPr>
            <w:tcW w:type="dxa" w:w="2088"/>
            <w:shd w:val="clear" w:color="auto" w:fill="F6F1E6"/>
          </w:tcPr>
          <w:p>
            <w:pPr>
              <w:spacing w:after="20"/>
              <w:jc w:val="right"/>
            </w:pPr>
            <w:r>
              <w:rPr>
                <w:b/>
                <w:color w:val="1C3A36"/>
                <w:sz w:val="17"/>
              </w:rPr>
              <w:t>61.7%</w:t>
            </w:r>
          </w:p>
        </w:tc>
        <w:tc>
          <w:tcPr>
            <w:tcW w:type="dxa" w:w="1872"/>
            <w:shd w:val="clear" w:color="auto" w:fill="F6F1E6"/>
          </w:tcPr>
          <w:p>
            <w:pPr>
              <w:spacing w:after="20"/>
              <w:jc w:val="right"/>
            </w:pPr>
            <w:r>
              <w:rPr>
                <w:b/>
                <w:color w:val="1C3A36"/>
                <w:sz w:val="17"/>
              </w:rPr>
            </w:r>
          </w:p>
        </w:tc>
      </w:tr>
      <w:tr>
        <w:tc>
          <w:tcPr>
            <w:tcW w:type="dxa" w:w="5544"/>
            <w:shd w:val="clear" w:color="auto" w:fill="F6F1E6"/>
          </w:tcPr>
          <w:p>
            <w:pPr>
              <w:spacing w:after="20"/>
            </w:pPr>
            <w:r>
              <w:rPr>
                <w:b/>
                <w:color w:val="1C3A36"/>
                <w:sz w:val="17"/>
              </w:rPr>
              <w:t>ENTERPRISE VALUE (the operating assets)</w:t>
            </w:r>
          </w:p>
        </w:tc>
        <w:tc>
          <w:tcPr>
            <w:tcW w:type="dxa" w:w="2088"/>
            <w:shd w:val="clear" w:color="auto" w:fill="F6F1E6"/>
          </w:tcPr>
          <w:p>
            <w:pPr>
              <w:spacing w:after="20"/>
              <w:jc w:val="right"/>
            </w:pPr>
            <w:r>
              <w:rPr>
                <w:b/>
                <w:color w:val="1C3A36"/>
                <w:sz w:val="17"/>
              </w:rPr>
              <w:t>10,002</w:t>
            </w:r>
          </w:p>
        </w:tc>
        <w:tc>
          <w:tcPr>
            <w:tcW w:type="dxa" w:w="1872"/>
            <w:shd w:val="clear" w:color="auto" w:fill="F6F1E6"/>
          </w:tcPr>
          <w:p>
            <w:pPr>
              <w:spacing w:after="20"/>
              <w:jc w:val="right"/>
            </w:pPr>
            <w:r>
              <w:rPr>
                <w:b/>
                <w:color w:val="1C3A36"/>
                <w:sz w:val="17"/>
              </w:rPr>
              <w:t>7.74</w:t>
            </w:r>
          </w:p>
        </w:tc>
      </w:tr>
      <w:tr>
        <w:tc>
          <w:tcPr>
            <w:tcW w:type="dxa" w:w="5544"/>
          </w:tcPr>
          <w:p>
            <w:pPr>
              <w:spacing w:after="20"/>
            </w:pPr>
            <w:r>
              <w:rPr>
                <w:color w:val="1C3A36"/>
                <w:sz w:val="17"/>
              </w:rPr>
              <w:t>less minority interests at 3.0%, ON THE ENTERPRISE VALUE</w:t>
            </w:r>
          </w:p>
        </w:tc>
        <w:tc>
          <w:tcPr>
            <w:tcW w:type="dxa" w:w="2088"/>
          </w:tcPr>
          <w:p>
            <w:pPr>
              <w:spacing w:after="20"/>
              <w:jc w:val="right"/>
            </w:pPr>
            <w:r>
              <w:rPr>
                <w:color w:val="1C3A36"/>
                <w:sz w:val="17"/>
              </w:rPr>
              <w:t>(300)</w:t>
            </w:r>
          </w:p>
        </w:tc>
        <w:tc>
          <w:tcPr>
            <w:tcW w:type="dxa" w:w="1872"/>
          </w:tcPr>
          <w:p>
            <w:pPr>
              <w:spacing w:after="20"/>
              <w:jc w:val="right"/>
            </w:pPr>
            <w:r>
              <w:rPr>
                <w:color w:val="1C3A36"/>
                <w:sz w:val="17"/>
              </w:rPr>
              <w:t>(0.23)</w:t>
            </w:r>
          </w:p>
        </w:tc>
      </w:tr>
      <w:tr>
        <w:tc>
          <w:tcPr>
            <w:tcW w:type="dxa" w:w="5544"/>
          </w:tcPr>
          <w:p>
            <w:pPr>
              <w:spacing w:after="20"/>
            </w:pPr>
            <w:r>
              <w:rPr>
                <w:color w:val="1C3A36"/>
                <w:sz w:val="17"/>
              </w:rPr>
              <w:t>= operating assets attributable to shareholders</w:t>
            </w:r>
          </w:p>
        </w:tc>
        <w:tc>
          <w:tcPr>
            <w:tcW w:type="dxa" w:w="2088"/>
          </w:tcPr>
          <w:p>
            <w:pPr>
              <w:spacing w:after="20"/>
              <w:jc w:val="right"/>
            </w:pPr>
            <w:r>
              <w:rPr>
                <w:color w:val="1C3A36"/>
                <w:sz w:val="17"/>
              </w:rPr>
              <w:t>9,702</w:t>
            </w:r>
          </w:p>
        </w:tc>
        <w:tc>
          <w:tcPr>
            <w:tcW w:type="dxa" w:w="1872"/>
          </w:tcPr>
          <w:p>
            <w:pPr>
              <w:spacing w:after="20"/>
              <w:jc w:val="right"/>
            </w:pPr>
            <w:r>
              <w:rPr>
                <w:color w:val="1C3A36"/>
                <w:sz w:val="17"/>
              </w:rPr>
              <w:t>7.51</w:t>
            </w:r>
          </w:p>
        </w:tc>
      </w:tr>
      <w:tr>
        <w:tc>
          <w:tcPr>
            <w:tcW w:type="dxa" w:w="5544"/>
          </w:tcPr>
          <w:p>
            <w:pPr>
              <w:spacing w:after="20"/>
            </w:pPr>
            <w:r>
              <w:rPr>
                <w:color w:val="1C3A36"/>
                <w:sz w:val="17"/>
              </w:rPr>
              <w:t>less net debt (negative — net cash is ADDED, in full)</w:t>
            </w:r>
          </w:p>
        </w:tc>
        <w:tc>
          <w:tcPr>
            <w:tcW w:type="dxa" w:w="2088"/>
          </w:tcPr>
          <w:p>
            <w:pPr>
              <w:spacing w:after="20"/>
              <w:jc w:val="right"/>
            </w:pPr>
            <w:r>
              <w:rPr>
                <w:color w:val="1C3A36"/>
                <w:sz w:val="17"/>
              </w:rPr>
              <w:t>-2,438</w:t>
            </w:r>
          </w:p>
        </w:tc>
        <w:tc>
          <w:tcPr>
            <w:tcW w:type="dxa" w:w="1872"/>
          </w:tcPr>
          <w:p>
            <w:pPr>
              <w:spacing w:after="20"/>
              <w:jc w:val="right"/>
            </w:pPr>
            <w:r>
              <w:rPr>
                <w:color w:val="1C3A36"/>
                <w:sz w:val="17"/>
              </w:rPr>
              <w:t>-1.89</w:t>
            </w:r>
          </w:p>
        </w:tc>
      </w:tr>
      <w:tr>
        <w:tc>
          <w:tcPr>
            <w:tcW w:type="dxa" w:w="5544"/>
            <w:shd w:val="clear" w:color="auto" w:fill="F6F1E6"/>
          </w:tcPr>
          <w:p>
            <w:pPr>
              <w:spacing w:after="20"/>
            </w:pPr>
            <w:r>
              <w:rPr>
                <w:b/>
                <w:color w:val="1C3A36"/>
                <w:sz w:val="17"/>
              </w:rPr>
              <w:t>EQUITY ATTRIBUTABLE TO SHAREHOLDERS</w:t>
            </w:r>
          </w:p>
        </w:tc>
        <w:tc>
          <w:tcPr>
            <w:tcW w:type="dxa" w:w="2088"/>
            <w:shd w:val="clear" w:color="auto" w:fill="F6F1E6"/>
          </w:tcPr>
          <w:p>
            <w:pPr>
              <w:spacing w:after="20"/>
              <w:jc w:val="right"/>
            </w:pPr>
            <w:r>
              <w:rPr>
                <w:b/>
                <w:color w:val="1C3A36"/>
                <w:sz w:val="17"/>
              </w:rPr>
              <w:t>12,140</w:t>
            </w:r>
          </w:p>
        </w:tc>
        <w:tc>
          <w:tcPr>
            <w:tcW w:type="dxa" w:w="1872"/>
            <w:shd w:val="clear" w:color="auto" w:fill="F6F1E6"/>
          </w:tcPr>
          <w:p>
            <w:pPr>
              <w:spacing w:after="20"/>
              <w:jc w:val="right"/>
            </w:pPr>
            <w:r>
              <w:rPr>
                <w:b/>
                <w:color w:val="1C3A36"/>
                <w:sz w:val="17"/>
              </w:rPr>
              <w:t>9.40</w:t>
            </w:r>
          </w:p>
        </w:tc>
      </w:tr>
      <w:tr>
        <w:tc>
          <w:tcPr>
            <w:tcW w:type="dxa" w:w="5544"/>
          </w:tcPr>
          <w:p>
            <w:pPr>
              <w:spacing w:after="20"/>
            </w:pPr>
            <w:r>
              <w:rPr>
                <w:color w:val="1C3A36"/>
                <w:sz w:val="17"/>
              </w:rPr>
              <w:t>Market price</w:t>
            </w:r>
          </w:p>
        </w:tc>
        <w:tc>
          <w:tcPr>
            <w:tcW w:type="dxa" w:w="2088"/>
          </w:tcPr>
          <w:p>
            <w:pPr>
              <w:spacing w:after="20"/>
              <w:jc w:val="right"/>
            </w:pPr>
            <w:r>
              <w:rPr>
                <w:color w:val="1C3A36"/>
                <w:sz w:val="17"/>
              </w:rPr>
            </w:r>
          </w:p>
        </w:tc>
        <w:tc>
          <w:tcPr>
            <w:tcW w:type="dxa" w:w="1872"/>
          </w:tcPr>
          <w:p>
            <w:pPr>
              <w:spacing w:after="20"/>
              <w:jc w:val="right"/>
            </w:pPr>
            <w:r>
              <w:rPr>
                <w:color w:val="1C3A36"/>
                <w:sz w:val="17"/>
              </w:rPr>
              <w:t>9.10</w:t>
            </w:r>
          </w:p>
        </w:tc>
      </w:tr>
    </w:tbl>
    <w:p>
      <w:pPr>
        <w:spacing w:after="40"/>
      </w:pPr>
    </w:p>
    <w:p>
      <w:pPr>
        <w:spacing w:after="200" w:before="0"/>
      </w:pPr>
      <w:r>
        <w:rPr>
          <w:b w:val="0"/>
          <w:i/>
          <w:color w:val="6E7B77"/>
          <w:sz w:val="17"/>
        </w:rPr>
        <w:t>Terminal value is 61.7% of enterprise value, stated here as well as in the summary table so the reader meets it in both places. The ORDER of the last three rows is the substantive point and it was wrong in an earlier edition. That edition added the cash first and then deducted the minority from the combined total, and defended it in a caption reading 'the minority deduction is taken AFTER net debt, so the minority does not carry a share of the parent's cash'. The algebra runs the other way: deducting 3.0% of a total that already INCLUDES the cash hands the minority 3.0% of the parent's balance — about EGP 73mn of it. An external review caught this and it is accepted. The minority is now deducted from the OPERATING enterprise value, before the cash, and the cash is added back in full because it belongs to the parent. The correction is worth EGP 0.06 a share.</w:t>
      </w:r>
    </w:p>
    <w:p>
      <w:pPr>
        <w:spacing w:after="80" w:before="200"/>
      </w:pPr>
      <w:r>
        <w:rPr>
          <w:b/>
          <w:i w:val="0"/>
          <w:color w:val="1C3A36"/>
          <w:sz w:val="24"/>
        </w:rPr>
        <w:t>1.10  Terminal growth, reconciled against the company’s own record</w:t>
      </w:r>
    </w:p>
    <w:p>
      <w:pPr>
        <w:spacing w:after="120" w:before="0"/>
      </w:pPr>
      <w:r>
        <w:rPr>
          <w:b w:val="0"/>
          <w:i w:val="0"/>
          <w:color w:val="1C3A36"/>
          <w:sz w:val="21"/>
        </w:rPr>
        <w:t>A terminal rate is the single easiest place to manufacture a valuation, so it is checked against what the business has actually done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570"/>
        <w:gridCol w:w="1570"/>
        <w:gridCol w:w="1570"/>
        <w:gridCol w:w="1570"/>
      </w:tblGrid>
      <w:tr>
        <w:tc>
          <w:tcPr>
            <w:tcW w:type="dxa" w:w="3485"/>
            <w:shd w:val="clear" w:color="auto" w:fill="EAF0EE"/>
          </w:tcPr>
          <w:p>
            <w:pPr>
              <w:spacing w:after="20"/>
            </w:pPr>
            <w:r>
              <w:rPr>
                <w:b/>
                <w:color w:val="1C3A36"/>
                <w:sz w:val="16"/>
              </w:rPr>
            </w:r>
          </w:p>
        </w:tc>
        <w:tc>
          <w:tcPr>
            <w:tcW w:type="dxa" w:w="1570"/>
            <w:shd w:val="clear" w:color="auto" w:fill="EAF0EE"/>
          </w:tcPr>
          <w:p>
            <w:pPr>
              <w:spacing w:after="20"/>
            </w:pPr>
            <w:r>
              <w:rPr>
                <w:b/>
                <w:color w:val="1C3A36"/>
                <w:sz w:val="16"/>
              </w:rPr>
              <w:t>FY2022/23</w:t>
            </w:r>
          </w:p>
        </w:tc>
        <w:tc>
          <w:tcPr>
            <w:tcW w:type="dxa" w:w="1570"/>
            <w:shd w:val="clear" w:color="auto" w:fill="EAF0EE"/>
          </w:tcPr>
          <w:p>
            <w:pPr>
              <w:spacing w:after="20"/>
            </w:pPr>
            <w:r>
              <w:rPr>
                <w:b/>
                <w:color w:val="1C3A36"/>
                <w:sz w:val="16"/>
              </w:rPr>
              <w:t>FY2023/24</w:t>
            </w:r>
          </w:p>
        </w:tc>
        <w:tc>
          <w:tcPr>
            <w:tcW w:type="dxa" w:w="1570"/>
            <w:shd w:val="clear" w:color="auto" w:fill="EAF0EE"/>
          </w:tcPr>
          <w:p>
            <w:pPr>
              <w:spacing w:after="20"/>
            </w:pPr>
            <w:r>
              <w:rPr>
                <w:b/>
                <w:color w:val="1C3A36"/>
                <w:sz w:val="16"/>
              </w:rPr>
              <w:t>FY2024/25</w:t>
            </w:r>
          </w:p>
        </w:tc>
        <w:tc>
          <w:tcPr>
            <w:tcW w:type="dxa" w:w="1570"/>
            <w:shd w:val="clear" w:color="auto" w:fill="EAF0EE"/>
          </w:tcPr>
          <w:p>
            <w:pPr>
              <w:spacing w:after="20"/>
            </w:pPr>
            <w:r>
              <w:rPr>
                <w:b/>
                <w:color w:val="1C3A36"/>
                <w:sz w:val="16"/>
              </w:rPr>
              <w:t>CY2025</w:t>
            </w:r>
          </w:p>
        </w:tc>
      </w:tr>
      <w:tr>
        <w:tc>
          <w:tcPr>
            <w:tcW w:type="dxa" w:w="3485"/>
          </w:tcPr>
          <w:p>
            <w:pPr>
              <w:spacing w:after="20"/>
            </w:pPr>
            <w:r>
              <w:rPr>
                <w:color w:val="1C3A36"/>
                <w:sz w:val="16"/>
              </w:rPr>
              <w:t>NOPAT (EGP mn)</w:t>
            </w:r>
          </w:p>
        </w:tc>
        <w:tc>
          <w:tcPr>
            <w:tcW w:type="dxa" w:w="1570"/>
          </w:tcPr>
          <w:p>
            <w:pPr>
              <w:spacing w:after="20"/>
              <w:jc w:val="right"/>
            </w:pPr>
            <w:r>
              <w:rPr>
                <w:color w:val="1C3A36"/>
                <w:sz w:val="16"/>
              </w:rPr>
              <w:t>587</w:t>
            </w:r>
          </w:p>
        </w:tc>
        <w:tc>
          <w:tcPr>
            <w:tcW w:type="dxa" w:w="1570"/>
          </w:tcPr>
          <w:p>
            <w:pPr>
              <w:spacing w:after="20"/>
              <w:jc w:val="right"/>
            </w:pPr>
            <w:r>
              <w:rPr>
                <w:color w:val="1C3A36"/>
                <w:sz w:val="16"/>
              </w:rPr>
              <w:t>936</w:t>
            </w:r>
          </w:p>
        </w:tc>
        <w:tc>
          <w:tcPr>
            <w:tcW w:type="dxa" w:w="1570"/>
          </w:tcPr>
          <w:p>
            <w:pPr>
              <w:spacing w:after="20"/>
              <w:jc w:val="right"/>
            </w:pPr>
            <w:r>
              <w:rPr>
                <w:color w:val="1C3A36"/>
                <w:sz w:val="16"/>
              </w:rPr>
              <w:t>1,105</w:t>
            </w:r>
          </w:p>
        </w:tc>
        <w:tc>
          <w:tcPr>
            <w:tcW w:type="dxa" w:w="1570"/>
          </w:tcPr>
          <w:p>
            <w:pPr>
              <w:spacing w:after="20"/>
              <w:jc w:val="right"/>
            </w:pPr>
            <w:r>
              <w:rPr>
                <w:color w:val="1C3A36"/>
                <w:sz w:val="16"/>
              </w:rPr>
              <w:t>1,239</w:t>
            </w:r>
          </w:p>
        </w:tc>
      </w:tr>
      <w:tr>
        <w:tc>
          <w:tcPr>
            <w:tcW w:type="dxa" w:w="3485"/>
          </w:tcPr>
          <w:p>
            <w:pPr>
              <w:spacing w:after="20"/>
            </w:pPr>
            <w:r>
              <w:rPr>
                <w:color w:val="1C3A36"/>
                <w:sz w:val="16"/>
              </w:rPr>
              <w:t>Invested capital (EGP mn)</w:t>
            </w:r>
          </w:p>
        </w:tc>
        <w:tc>
          <w:tcPr>
            <w:tcW w:type="dxa" w:w="1570"/>
          </w:tcPr>
          <w:p>
            <w:pPr>
              <w:spacing w:after="20"/>
              <w:jc w:val="right"/>
            </w:pPr>
            <w:r>
              <w:rPr>
                <w:color w:val="1C3A36"/>
                <w:sz w:val="16"/>
              </w:rPr>
              <w:t>2,385</w:t>
            </w:r>
          </w:p>
        </w:tc>
        <w:tc>
          <w:tcPr>
            <w:tcW w:type="dxa" w:w="1570"/>
          </w:tcPr>
          <w:p>
            <w:pPr>
              <w:spacing w:after="20"/>
              <w:jc w:val="right"/>
            </w:pPr>
            <w:r>
              <w:rPr>
                <w:color w:val="1C3A36"/>
                <w:sz w:val="16"/>
              </w:rPr>
              <w:t>2,923</w:t>
            </w:r>
          </w:p>
        </w:tc>
        <w:tc>
          <w:tcPr>
            <w:tcW w:type="dxa" w:w="1570"/>
          </w:tcPr>
          <w:p>
            <w:pPr>
              <w:spacing w:after="20"/>
              <w:jc w:val="right"/>
            </w:pPr>
            <w:r>
              <w:rPr>
                <w:color w:val="1C3A36"/>
                <w:sz w:val="16"/>
              </w:rPr>
              <w:t>3,102</w:t>
            </w:r>
          </w:p>
        </w:tc>
        <w:tc>
          <w:tcPr>
            <w:tcW w:type="dxa" w:w="1570"/>
          </w:tcPr>
          <w:p>
            <w:pPr>
              <w:spacing w:after="20"/>
              <w:jc w:val="right"/>
            </w:pPr>
            <w:r>
              <w:rPr>
                <w:color w:val="1C3A36"/>
                <w:sz w:val="16"/>
              </w:rPr>
              <w:t>3,211</w:t>
            </w:r>
          </w:p>
        </w:tc>
      </w:tr>
      <w:tr>
        <w:tc>
          <w:tcPr>
            <w:tcW w:type="dxa" w:w="3485"/>
          </w:tcPr>
          <w:p>
            <w:pPr>
              <w:spacing w:after="20"/>
            </w:pPr>
            <w:r>
              <w:rPr>
                <w:color w:val="1C3A36"/>
                <w:sz w:val="16"/>
              </w:rPr>
              <w:t>Return on invested capital</w:t>
            </w:r>
          </w:p>
        </w:tc>
        <w:tc>
          <w:tcPr>
            <w:tcW w:type="dxa" w:w="1570"/>
          </w:tcPr>
          <w:p>
            <w:pPr>
              <w:spacing w:after="20"/>
              <w:jc w:val="right"/>
            </w:pPr>
            <w:r>
              <w:rPr>
                <w:color w:val="1C3A36"/>
                <w:sz w:val="16"/>
              </w:rPr>
              <w:t>24.6%</w:t>
            </w:r>
          </w:p>
        </w:tc>
        <w:tc>
          <w:tcPr>
            <w:tcW w:type="dxa" w:w="1570"/>
          </w:tcPr>
          <w:p>
            <w:pPr>
              <w:spacing w:after="20"/>
              <w:jc w:val="right"/>
            </w:pPr>
            <w:r>
              <w:rPr>
                <w:color w:val="1C3A36"/>
                <w:sz w:val="16"/>
              </w:rPr>
              <w:t>32.0%</w:t>
            </w:r>
          </w:p>
        </w:tc>
        <w:tc>
          <w:tcPr>
            <w:tcW w:type="dxa" w:w="1570"/>
          </w:tcPr>
          <w:p>
            <w:pPr>
              <w:spacing w:after="20"/>
              <w:jc w:val="right"/>
            </w:pPr>
            <w:r>
              <w:rPr>
                <w:color w:val="1C3A36"/>
                <w:sz w:val="16"/>
              </w:rPr>
              <w:t>35.6%</w:t>
            </w:r>
          </w:p>
        </w:tc>
        <w:tc>
          <w:tcPr>
            <w:tcW w:type="dxa" w:w="1570"/>
          </w:tcPr>
          <w:p>
            <w:pPr>
              <w:spacing w:after="20"/>
              <w:jc w:val="right"/>
            </w:pPr>
            <w:r>
              <w:rPr>
                <w:color w:val="1C3A36"/>
                <w:sz w:val="16"/>
              </w:rPr>
              <w:t>38.6%</w:t>
            </w:r>
          </w:p>
        </w:tc>
      </w:tr>
      <w:tr>
        <w:tc>
          <w:tcPr>
            <w:tcW w:type="dxa" w:w="3485"/>
          </w:tcPr>
          <w:p>
            <w:pPr>
              <w:spacing w:after="20"/>
            </w:pPr>
            <w:r>
              <w:rPr>
                <w:color w:val="1C3A36"/>
                <w:sz w:val="16"/>
              </w:rPr>
              <w:t>Capital expenditure (EGP mn)</w:t>
            </w:r>
          </w:p>
        </w:tc>
        <w:tc>
          <w:tcPr>
            <w:tcW w:type="dxa" w:w="1570"/>
          </w:tcPr>
          <w:p>
            <w:pPr>
              <w:spacing w:after="20"/>
              <w:jc w:val="right"/>
            </w:pPr>
            <w:r>
              <w:rPr>
                <w:color w:val="1C3A36"/>
                <w:sz w:val="16"/>
              </w:rPr>
              <w:t>326</w:t>
            </w:r>
          </w:p>
        </w:tc>
        <w:tc>
          <w:tcPr>
            <w:tcW w:type="dxa" w:w="1570"/>
          </w:tcPr>
          <w:p>
            <w:pPr>
              <w:spacing w:after="20"/>
              <w:jc w:val="right"/>
            </w:pPr>
            <w:r>
              <w:rPr>
                <w:color w:val="1C3A36"/>
                <w:sz w:val="16"/>
              </w:rPr>
              <w:t>486</w:t>
            </w:r>
          </w:p>
        </w:tc>
        <w:tc>
          <w:tcPr>
            <w:tcW w:type="dxa" w:w="1570"/>
          </w:tcPr>
          <w:p>
            <w:pPr>
              <w:spacing w:after="20"/>
              <w:jc w:val="right"/>
            </w:pPr>
            <w:r>
              <w:rPr>
                <w:color w:val="1C3A36"/>
                <w:sz w:val="16"/>
              </w:rPr>
              <w:t>544</w:t>
            </w:r>
          </w:p>
        </w:tc>
        <w:tc>
          <w:tcPr>
            <w:tcW w:type="dxa" w:w="1570"/>
          </w:tcPr>
          <w:p>
            <w:pPr>
              <w:spacing w:after="20"/>
              <w:jc w:val="right"/>
            </w:pPr>
            <w:r>
              <w:rPr>
                <w:color w:val="1C3A36"/>
                <w:sz w:val="16"/>
              </w:rPr>
              <w:t>580</w:t>
            </w:r>
          </w:p>
        </w:tc>
      </w:tr>
      <w:tr>
        <w:tc>
          <w:tcPr>
            <w:tcW w:type="dxa" w:w="3485"/>
          </w:tcPr>
          <w:p>
            <w:pPr>
              <w:spacing w:after="20"/>
            </w:pPr>
            <w:r>
              <w:rPr>
                <w:color w:val="1C3A36"/>
                <w:sz w:val="16"/>
              </w:rPr>
              <w:t>Reinvestment rate</w:t>
            </w:r>
          </w:p>
        </w:tc>
        <w:tc>
          <w:tcPr>
            <w:tcW w:type="dxa" w:w="1570"/>
          </w:tcPr>
          <w:p>
            <w:pPr>
              <w:spacing w:after="20"/>
              <w:jc w:val="right"/>
            </w:pPr>
            <w:r>
              <w:rPr>
                <w:color w:val="1C3A36"/>
                <w:sz w:val="16"/>
              </w:rPr>
              <w:t>13.4%</w:t>
            </w:r>
          </w:p>
        </w:tc>
        <w:tc>
          <w:tcPr>
            <w:tcW w:type="dxa" w:w="1570"/>
          </w:tcPr>
          <w:p>
            <w:pPr>
              <w:spacing w:after="20"/>
              <w:jc w:val="right"/>
            </w:pPr>
            <w:r>
              <w:rPr>
                <w:color w:val="1C3A36"/>
                <w:sz w:val="16"/>
              </w:rPr>
              <w:t>12.5%</w:t>
            </w:r>
          </w:p>
        </w:tc>
        <w:tc>
          <w:tcPr>
            <w:tcW w:type="dxa" w:w="1570"/>
          </w:tcPr>
          <w:p>
            <w:pPr>
              <w:spacing w:after="20"/>
              <w:jc w:val="right"/>
            </w:pPr>
            <w:r>
              <w:rPr>
                <w:color w:val="1C3A36"/>
                <w:sz w:val="16"/>
              </w:rPr>
              <w:t>11.9%</w:t>
            </w:r>
          </w:p>
        </w:tc>
        <w:tc>
          <w:tcPr>
            <w:tcW w:type="dxa" w:w="1570"/>
          </w:tcPr>
          <w:p>
            <w:pPr>
              <w:spacing w:after="20"/>
              <w:jc w:val="right"/>
            </w:pPr>
            <w:r>
              <w:rPr>
                <w:color w:val="1C3A36"/>
                <w:sz w:val="16"/>
              </w:rPr>
              <w:t>11.3%</w:t>
            </w:r>
          </w:p>
        </w:tc>
      </w:tr>
      <w:tr>
        <w:tc>
          <w:tcPr>
            <w:tcW w:type="dxa" w:w="3485"/>
          </w:tcPr>
          <w:p>
            <w:pPr>
              <w:spacing w:after="20"/>
            </w:pPr>
            <w:r>
              <w:rPr>
                <w:color w:val="1C3A36"/>
                <w:sz w:val="16"/>
              </w:rPr>
              <w:t>Character</w:t>
            </w:r>
          </w:p>
        </w:tc>
        <w:tc>
          <w:tcPr>
            <w:tcW w:type="dxa" w:w="1570"/>
          </w:tcPr>
          <w:p>
            <w:pPr>
              <w:spacing w:after="20"/>
              <w:jc w:val="right"/>
            </w:pPr>
            <w:r>
              <w:rPr>
                <w:color w:val="1C3A36"/>
                <w:sz w:val="16"/>
              </w:rPr>
              <w:t>stable</w:t>
            </w:r>
          </w:p>
        </w:tc>
        <w:tc>
          <w:tcPr>
            <w:tcW w:type="dxa" w:w="1570"/>
          </w:tcPr>
          <w:p>
            <w:pPr>
              <w:spacing w:after="20"/>
              <w:jc w:val="right"/>
            </w:pPr>
            <w:r>
              <w:rPr>
                <w:color w:val="1C3A36"/>
                <w:sz w:val="16"/>
              </w:rPr>
              <w:t>stable</w:t>
            </w:r>
          </w:p>
        </w:tc>
        <w:tc>
          <w:tcPr>
            <w:tcW w:type="dxa" w:w="1570"/>
          </w:tcPr>
          <w:p>
            <w:pPr>
              <w:spacing w:after="20"/>
              <w:jc w:val="right"/>
            </w:pPr>
            <w:r>
              <w:rPr>
                <w:color w:val="1C3A36"/>
                <w:sz w:val="16"/>
              </w:rPr>
              <w:t>stable</w:t>
            </w:r>
          </w:p>
        </w:tc>
        <w:tc>
          <w:tcPr>
            <w:tcW w:type="dxa" w:w="1570"/>
          </w:tcPr>
          <w:p>
            <w:pPr>
              <w:spacing w:after="20"/>
              <w:jc w:val="right"/>
            </w:pPr>
            <w:r>
              <w:rPr>
                <w:color w:val="1C3A36"/>
                <w:sz w:val="16"/>
              </w:rPr>
              <w:t>stable</w:t>
            </w:r>
          </w:p>
        </w:tc>
      </w:tr>
      <w:tr>
        <w:tc>
          <w:tcPr>
            <w:tcW w:type="dxa" w:w="3485"/>
            <w:shd w:val="clear" w:color="auto" w:fill="F6F1E6"/>
          </w:tcPr>
          <w:p>
            <w:pPr>
              <w:spacing w:after="20"/>
            </w:pPr>
            <w:r>
              <w:rPr>
                <w:b/>
                <w:color w:val="1C3A36"/>
                <w:sz w:val="16"/>
              </w:rPr>
              <w:t>Implied growth (return × reinvestment)</w:t>
            </w:r>
          </w:p>
        </w:tc>
        <w:tc>
          <w:tcPr>
            <w:tcW w:type="dxa" w:w="1570"/>
            <w:shd w:val="clear" w:color="auto" w:fill="F6F1E6"/>
          </w:tcPr>
          <w:p>
            <w:pPr>
              <w:spacing w:after="20"/>
              <w:jc w:val="right"/>
            </w:pPr>
            <w:r>
              <w:rPr>
                <w:b/>
                <w:color w:val="1C3A36"/>
                <w:sz w:val="16"/>
              </w:rPr>
              <w:t>3.3%</w:t>
            </w:r>
          </w:p>
        </w:tc>
        <w:tc>
          <w:tcPr>
            <w:tcW w:type="dxa" w:w="1570"/>
            <w:shd w:val="clear" w:color="auto" w:fill="F6F1E6"/>
          </w:tcPr>
          <w:p>
            <w:pPr>
              <w:spacing w:after="20"/>
              <w:jc w:val="right"/>
            </w:pPr>
            <w:r>
              <w:rPr>
                <w:b/>
                <w:color w:val="1C3A36"/>
                <w:sz w:val="16"/>
              </w:rPr>
              <w:t>4.0%</w:t>
            </w:r>
          </w:p>
        </w:tc>
        <w:tc>
          <w:tcPr>
            <w:tcW w:type="dxa" w:w="1570"/>
            <w:shd w:val="clear" w:color="auto" w:fill="F6F1E6"/>
          </w:tcPr>
          <w:p>
            <w:pPr>
              <w:spacing w:after="20"/>
              <w:jc w:val="right"/>
            </w:pPr>
            <w:r>
              <w:rPr>
                <w:b/>
                <w:color w:val="1C3A36"/>
                <w:sz w:val="16"/>
              </w:rPr>
              <w:t>4.2%</w:t>
            </w:r>
          </w:p>
        </w:tc>
        <w:tc>
          <w:tcPr>
            <w:tcW w:type="dxa" w:w="1570"/>
            <w:shd w:val="clear" w:color="auto" w:fill="F6F1E6"/>
          </w:tcPr>
          <w:p>
            <w:pPr>
              <w:spacing w:after="20"/>
              <w:jc w:val="right"/>
            </w:pPr>
            <w:r>
              <w:rPr>
                <w:b/>
                <w:color w:val="1C3A36"/>
                <w:sz w:val="16"/>
              </w:rPr>
              <w:t>4.4%</w:t>
            </w:r>
          </w:p>
        </w:tc>
      </w:tr>
    </w:tbl>
    <w:p>
      <w:pPr>
        <w:spacing w:after="40"/>
      </w:pPr>
    </w:p>
    <w:p>
      <w:pPr>
        <w:spacing w:after="120" w:before="0"/>
      </w:pPr>
      <w:r>
        <w:rPr>
          <w:b w:val="0"/>
          <w:i w:val="0"/>
          <w:color w:val="1C3A36"/>
          <w:sz w:val="21"/>
        </w:rPr>
        <w:t>Two check numbers, stated plainly. Actual compound NOPAT growth from the June-2023 year to the constructed calendar-2025 base was +34.8% a year. The growth implied by return times reinvestment, taken from stable years only — every year here is self-funded, with reinvestment well under 100% of profit — is 4.0%. The adopted terminal rate is 5%, the standing centre for an established name in this market once currency turbulence has passed.</w:t>
      </w:r>
    </w:p>
    <w:p>
      <w:pPr>
        <w:spacing w:after="120" w:before="0"/>
      </w:pPr>
      <w:r>
        <w:rPr>
          <w:b w:val="0"/>
          <w:i w:val="0"/>
          <w:color w:val="1C3A36"/>
          <w:sz w:val="21"/>
        </w:rPr>
        <w:t>THE TWO CHECKS DISAGREE WITH EACH OTHER, and that is the honest reading rather than a problem to be smoothed. An earlier edition of this section said 'both checks come in below the adopted rate'. That sentence was true of the model as it then stood and became FALSE when the margin build was rebuilt from the product lines up, which moved the historical NOPAT compound rate from +2.6% to +34.8%; the sentence survived the rebuild because the assertion guarding it only tested the adopted rate against its ceiling and never against the checks. It is corrected here and the guard now reports each candidate individually.</w:t>
      </w:r>
    </w:p>
    <w:p>
      <w:pPr>
        <w:spacing w:after="120" w:before="0"/>
      </w:pPr>
      <w:r>
        <w:rPr>
          <w:b w:val="0"/>
          <w:i w:val="0"/>
          <w:color w:val="1C3A36"/>
          <w:sz w:val="21"/>
        </w:rPr>
        <w:t>Taken one at a time: check (a), the historical compound rate of +34.8%, is far ABOVE the adopted 5% — but it is a recovery rate off a devaluation-compressed base and belongs in the explicit years, not in a perpetuity. Check (b), return times reinvestment on the stable years, is 4.0% and is BELOW the adopted rate. The adopted 5% sits between them, and above the one that actually describes a steady state — so on the check that matters for a perpetuity it remains on the GENEROUS side of the company's own record, not the conservative side. It is sensitised from 3% to 7% and the whole grid is on the face of the companion model.</w:t>
      </w:r>
    </w:p>
    <w:p>
      <w:pPr>
        <w:spacing w:after="120" w:before="0"/>
      </w:pPr>
      <w:r>
        <w:rPr>
          <w:b w:val="0"/>
          <w:i w:val="0"/>
          <w:color w:val="1C3A36"/>
          <w:sz w:val="21"/>
        </w:rPr>
        <w:t>One definitional caution on check (b), because it changes the answer. It is struck on net capital expenditure over profit, EXCLUDING working capital, while the free-cash-flow waterfall above subtracts working capital as well. On the waterfall-consistent definition the base-year reinvestment rate is 19.1% and the implied growth is 7.4% — ABOVE the adopted rate rather than below it. Both definitions are shown and neither is hidden; a reader who prefers the waterfall-consistent one should read the 5% as conservative instead.</w:t>
      </w:r>
    </w:p>
    <w:p>
      <w:pPr>
        <w:spacing w:after="120" w:before="0"/>
      </w:pPr>
      <w:r>
        <w:rPr>
          <w:b w:val="0"/>
          <w:i w:val="0"/>
          <w:color w:val="1C3A36"/>
          <w:sz w:val="21"/>
        </w:rPr>
        <w:t>The crossover test — how long a candidate growth rate would take to make the company larger than the economy it sits in — is reported candidate by candidate, because a blanket 'it does not bind' would be wrong. Against Egyptian nominal growth of about 15%: the forecast revenue rate of +10.3% is BELOW it and does not bind; the adopted terminal rate of 5% is BELOW it and does not bind; the recent compound NOPAT rate of +34.8% is ABOVE it and DOES bind — at that rate the company would overtake Egypt's entire nominal gross domestic product in about 36 years, which is precisely why it is a historical rate and not a terminal one. The binding constraint on the rate actually adopted is the reinvestment identity, not the ceiling.</w:t>
      </w:r>
    </w:p>
    <w:p>
      <w:pPr>
        <w:spacing w:after="80" w:before="200"/>
      </w:pPr>
      <w:r>
        <w:rPr>
          <w:b/>
          <w:i w:val="0"/>
          <w:color w:val="1C3A36"/>
          <w:sz w:val="24"/>
        </w:rPr>
        <w:t>1.11  Sensitivities</w:t>
      </w:r>
    </w:p>
    <w:p>
      <w:pPr>
        <w:spacing w:after="40"/>
        <w:jc w:val="center"/>
      </w:pPr>
      <w:r>
        <w:drawing>
          <wp:inline xmlns:a="http://schemas.openxmlformats.org/drawingml/2006/main" xmlns:pic="http://schemas.openxmlformats.org/drawingml/2006/picture">
            <wp:extent cx="5760720" cy="267462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760720" cy="2674620"/>
                    </a:xfrm>
                    <a:prstGeom prst="rect"/>
                  </pic:spPr>
                </pic:pic>
              </a:graphicData>
            </a:graphic>
          </wp:inline>
        </w:drawing>
      </w:r>
    </w:p>
    <w:p>
      <w:pPr>
        <w:spacing w:after="200" w:before="0"/>
      </w:pPr>
      <w:r>
        <w:rPr>
          <w:b w:val="0"/>
          <w:i/>
          <w:color w:val="6E7B77"/>
          <w:sz w:val="17"/>
        </w:rPr>
        <w:t>Figure 4 — fair value across the terminal cost of capital and the terminal growth rate. Bold entries sit within half a pound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392"/>
      </w:tblGrid>
      <w:tr>
        <w:tc>
          <w:tcPr>
            <w:tcW w:type="dxa" w:w="2664"/>
            <w:shd w:val="clear" w:color="auto" w:fill="EAF0EE"/>
          </w:tcPr>
          <w:p>
            <w:pPr>
              <w:spacing w:after="20"/>
            </w:pPr>
            <w:r>
              <w:rPr>
                <w:b/>
                <w:color w:val="1C3A36"/>
                <w:sz w:val="16"/>
              </w:rPr>
              <w:t>Driver</w:t>
            </w:r>
          </w:p>
        </w:tc>
        <w:tc>
          <w:tcPr>
            <w:tcW w:type="dxa" w:w="2952"/>
            <w:shd w:val="clear" w:color="auto" w:fill="EAF0EE"/>
          </w:tcPr>
          <w:p>
            <w:pPr>
              <w:spacing w:after="20"/>
            </w:pPr>
            <w:r>
              <w:rPr>
                <w:b/>
                <w:color w:val="1C3A36"/>
                <w:sz w:val="16"/>
              </w:rPr>
              <w:t>Range tested</w:t>
            </w:r>
          </w:p>
        </w:tc>
        <w:tc>
          <w:tcPr>
            <w:tcW w:type="dxa" w:w="4392"/>
            <w:shd w:val="clear" w:color="auto" w:fill="EAF0EE"/>
          </w:tcPr>
          <w:p>
            <w:pPr>
              <w:spacing w:after="20"/>
            </w:pPr>
            <w:r>
              <w:rPr>
                <w:b/>
                <w:color w:val="1C3A36"/>
                <w:sz w:val="16"/>
              </w:rPr>
              <w:t>Fair value across the range (EGP)</w:t>
            </w:r>
          </w:p>
        </w:tc>
      </w:tr>
      <w:tr>
        <w:tc>
          <w:tcPr>
            <w:tcW w:type="dxa" w:w="2664"/>
          </w:tcPr>
          <w:p>
            <w:pPr>
              <w:spacing w:after="20"/>
            </w:pPr>
            <w:r>
              <w:rPr>
                <w:color w:val="1C3A36"/>
                <w:sz w:val="16"/>
              </w:rPr>
              <w:t>Terminal cost of capital</w:t>
            </w:r>
          </w:p>
        </w:tc>
        <w:tc>
          <w:tcPr>
            <w:tcW w:type="dxa" w:w="2952"/>
          </w:tcPr>
          <w:p>
            <w:pPr>
              <w:spacing w:after="20"/>
            </w:pPr>
            <w:r>
              <w:rPr>
                <w:color w:val="1C3A36"/>
                <w:sz w:val="16"/>
              </w:rPr>
              <w:t>14.5% – 18.5%</w:t>
            </w:r>
          </w:p>
        </w:tc>
        <w:tc>
          <w:tcPr>
            <w:tcW w:type="dxa" w:w="4392"/>
          </w:tcPr>
          <w:p>
            <w:pPr>
              <w:spacing w:after="20"/>
            </w:pPr>
            <w:r>
              <w:rPr>
                <w:color w:val="1C3A36"/>
                <w:sz w:val="16"/>
              </w:rPr>
              <w:t>10.70 · 9.99 · 9.40 · 8.90 · 8.48</w:t>
            </w:r>
          </w:p>
        </w:tc>
      </w:tr>
      <w:tr>
        <w:tc>
          <w:tcPr>
            <w:tcW w:type="dxa" w:w="2664"/>
          </w:tcPr>
          <w:p>
            <w:pPr>
              <w:spacing w:after="20"/>
            </w:pPr>
            <w:r>
              <w:rPr>
                <w:color w:val="1C3A36"/>
                <w:sz w:val="16"/>
              </w:rPr>
              <w:t>Terminal growth</w:t>
            </w:r>
          </w:p>
        </w:tc>
        <w:tc>
          <w:tcPr>
            <w:tcW w:type="dxa" w:w="2952"/>
          </w:tcPr>
          <w:p>
            <w:pPr>
              <w:spacing w:after="20"/>
            </w:pPr>
            <w:r>
              <w:rPr>
                <w:color w:val="1C3A36"/>
                <w:sz w:val="16"/>
              </w:rPr>
              <w:t>3% – 7%</w:t>
            </w:r>
          </w:p>
        </w:tc>
        <w:tc>
          <w:tcPr>
            <w:tcW w:type="dxa" w:w="4392"/>
          </w:tcPr>
          <w:p>
            <w:pPr>
              <w:spacing w:after="20"/>
            </w:pPr>
            <w:r>
              <w:rPr>
                <w:color w:val="1C3A36"/>
                <w:sz w:val="16"/>
              </w:rPr>
              <w:t>8.80 · 9.08 · 9.40 · 9.78 · 10.24</w:t>
            </w:r>
          </w:p>
        </w:tc>
      </w:tr>
      <w:tr>
        <w:tc>
          <w:tcPr>
            <w:tcW w:type="dxa" w:w="2664"/>
          </w:tcPr>
          <w:p>
            <w:pPr>
              <w:spacing w:after="20"/>
            </w:pPr>
            <w:r>
              <w:rPr>
                <w:color w:val="1C3A36"/>
                <w:sz w:val="16"/>
              </w:rPr>
              <w:t>Explicit-window cost of capital</w:t>
            </w:r>
          </w:p>
        </w:tc>
        <w:tc>
          <w:tcPr>
            <w:tcW w:type="dxa" w:w="2952"/>
          </w:tcPr>
          <w:p>
            <w:pPr>
              <w:spacing w:after="20"/>
            </w:pPr>
            <w:r>
              <w:rPr>
                <w:color w:val="1C3A36"/>
                <w:sz w:val="16"/>
              </w:rPr>
              <w:t>28.6% – 34.6%</w:t>
            </w:r>
          </w:p>
        </w:tc>
        <w:tc>
          <w:tcPr>
            <w:tcW w:type="dxa" w:w="4392"/>
          </w:tcPr>
          <w:p>
            <w:pPr>
              <w:spacing w:after="20"/>
            </w:pPr>
            <w:r>
              <w:rPr>
                <w:color w:val="1C3A36"/>
                <w:sz w:val="16"/>
              </w:rPr>
              <w:t>9.76 · 9.58 · 9.40 · 9.23 · 9.06</w:t>
            </w:r>
          </w:p>
        </w:tc>
      </w:tr>
      <w:tr>
        <w:tc>
          <w:tcPr>
            <w:tcW w:type="dxa" w:w="2664"/>
          </w:tcPr>
          <w:p>
            <w:pPr>
              <w:spacing w:after="20"/>
            </w:pPr>
            <w:r>
              <w:rPr>
                <w:color w:val="1C3A36"/>
                <w:sz w:val="16"/>
              </w:rPr>
              <w:t>Beta</w:t>
            </w:r>
          </w:p>
        </w:tc>
        <w:tc>
          <w:tcPr>
            <w:tcW w:type="dxa" w:w="2952"/>
          </w:tcPr>
          <w:p>
            <w:pPr>
              <w:spacing w:after="20"/>
            </w:pPr>
            <w:r>
              <w:rPr>
                <w:color w:val="1C3A36"/>
                <w:sz w:val="16"/>
              </w:rPr>
              <w:t>0.60 – 1.30</w:t>
            </w:r>
          </w:p>
        </w:tc>
        <w:tc>
          <w:tcPr>
            <w:tcW w:type="dxa" w:w="4392"/>
          </w:tcPr>
          <w:p>
            <w:pPr>
              <w:spacing w:after="20"/>
            </w:pPr>
            <w:r>
              <w:rPr>
                <w:color w:val="1C3A36"/>
                <w:sz w:val="16"/>
              </w:rPr>
              <w:t>11.58 · 10.26 · 9.52 · 8.61 · 8.06</w:t>
            </w:r>
          </w:p>
        </w:tc>
      </w:tr>
      <w:tr>
        <w:tc>
          <w:tcPr>
            <w:tcW w:type="dxa" w:w="2664"/>
          </w:tcPr>
          <w:p>
            <w:pPr>
              <w:spacing w:after="20"/>
            </w:pPr>
            <w:r>
              <w:rPr>
                <w:color w:val="1C3A36"/>
                <w:sz w:val="16"/>
              </w:rPr>
              <w:t>Gross margin shift</w:t>
            </w:r>
          </w:p>
        </w:tc>
        <w:tc>
          <w:tcPr>
            <w:tcW w:type="dxa" w:w="2952"/>
          </w:tcPr>
          <w:p>
            <w:pPr>
              <w:spacing w:after="20"/>
            </w:pPr>
            <w:r>
              <w:rPr>
                <w:color w:val="1C3A36"/>
                <w:sz w:val="16"/>
              </w:rPr>
              <w:t>-1.0% – +1.0% on the whole path</w:t>
            </w:r>
          </w:p>
        </w:tc>
        <w:tc>
          <w:tcPr>
            <w:tcW w:type="dxa" w:w="4392"/>
          </w:tcPr>
          <w:p>
            <w:pPr>
              <w:spacing w:after="20"/>
            </w:pPr>
            <w:r>
              <w:rPr>
                <w:color w:val="1C3A36"/>
                <w:sz w:val="16"/>
              </w:rPr>
              <w:t>7.38 · 8.39 · 9.40 · 10.41 · 11.42</w:t>
            </w:r>
          </w:p>
        </w:tc>
      </w:tr>
      <w:tr>
        <w:tc>
          <w:tcPr>
            <w:tcW w:type="dxa" w:w="2664"/>
          </w:tcPr>
          <w:p>
            <w:pPr>
              <w:spacing w:after="20"/>
            </w:pPr>
            <w:r>
              <w:rPr>
                <w:color w:val="1C3A36"/>
                <w:sz w:val="16"/>
              </w:rPr>
              <w:t>Volume growth</w:t>
            </w:r>
          </w:p>
        </w:tc>
        <w:tc>
          <w:tcPr>
            <w:tcW w:type="dxa" w:w="2952"/>
          </w:tcPr>
          <w:p>
            <w:pPr>
              <w:spacing w:after="20"/>
            </w:pPr>
            <w:r>
              <w:rPr>
                <w:color w:val="1C3A36"/>
                <w:sz w:val="16"/>
              </w:rPr>
              <w:t>zero to double the assumed path</w:t>
            </w:r>
          </w:p>
        </w:tc>
        <w:tc>
          <w:tcPr>
            <w:tcW w:type="dxa" w:w="4392"/>
          </w:tcPr>
          <w:p>
            <w:pPr>
              <w:spacing w:after="20"/>
            </w:pPr>
            <w:r>
              <w:rPr>
                <w:color w:val="1C3A36"/>
                <w:sz w:val="16"/>
              </w:rPr>
              <w:t>8.04 · 8.69 · 9.40 · 10.17 · 11.01</w:t>
            </w:r>
          </w:p>
        </w:tc>
      </w:tr>
      <w:tr>
        <w:tc>
          <w:tcPr>
            <w:tcW w:type="dxa" w:w="2664"/>
          </w:tcPr>
          <w:p>
            <w:pPr>
              <w:spacing w:after="20"/>
            </w:pPr>
            <w:r>
              <w:rPr>
                <w:color w:val="1C3A36"/>
                <w:sz w:val="16"/>
              </w:rPr>
              <w:t>Exchange-rate path</w:t>
            </w:r>
          </w:p>
        </w:tc>
        <w:tc>
          <w:tcPr>
            <w:tcW w:type="dxa" w:w="2952"/>
          </w:tcPr>
          <w:p>
            <w:pPr>
              <w:spacing w:after="20"/>
            </w:pPr>
            <w:r>
              <w:rPr>
                <w:color w:val="1C3A36"/>
                <w:sz w:val="16"/>
              </w:rPr>
              <w:t>−10% to +10% on the assumed path</w:t>
            </w:r>
          </w:p>
        </w:tc>
        <w:tc>
          <w:tcPr>
            <w:tcW w:type="dxa" w:w="4392"/>
          </w:tcPr>
          <w:p>
            <w:pPr>
              <w:spacing w:after="20"/>
            </w:pPr>
            <w:r>
              <w:rPr>
                <w:color w:val="1C3A36"/>
                <w:sz w:val="16"/>
              </w:rPr>
              <w:t>8.67 · 9.03 · 9.40 · 9.77 · 10.13</w:t>
            </w:r>
          </w:p>
        </w:tc>
      </w:tr>
      <w:tr>
        <w:tc>
          <w:tcPr>
            <w:tcW w:type="dxa" w:w="2664"/>
          </w:tcPr>
          <w:p>
            <w:pPr>
              <w:spacing w:after="20"/>
            </w:pPr>
            <w:r>
              <w:rPr>
                <w:color w:val="1C3A36"/>
                <w:sz w:val="16"/>
              </w:rPr>
              <w:t>Net working capital</w:t>
            </w:r>
          </w:p>
        </w:tc>
        <w:tc>
          <w:tcPr>
            <w:tcW w:type="dxa" w:w="2952"/>
          </w:tcPr>
          <w:p>
            <w:pPr>
              <w:spacing w:after="20"/>
            </w:pPr>
            <w:r>
              <w:rPr>
                <w:color w:val="1C3A36"/>
                <w:sz w:val="16"/>
              </w:rPr>
              <w:t>0% – 5% of revenue</w:t>
            </w:r>
          </w:p>
        </w:tc>
        <w:tc>
          <w:tcPr>
            <w:tcW w:type="dxa" w:w="4392"/>
          </w:tcPr>
          <w:p>
            <w:pPr>
              <w:spacing w:after="20"/>
            </w:pPr>
            <w:r>
              <w:rPr>
                <w:color w:val="1C3A36"/>
                <w:sz w:val="16"/>
              </w:rPr>
              <w:t>9.75 · 9.58 · 9.40 · 9.23 · 8.88</w:t>
            </w:r>
          </w:p>
        </w:tc>
      </w:tr>
    </w:tbl>
    <w:p>
      <w:pPr>
        <w:spacing w:after="40"/>
      </w:pPr>
    </w:p>
    <w:p>
      <w:pPr>
        <w:spacing w:after="200" w:before="0"/>
      </w:pPr>
      <w:r>
        <w:rPr>
          <w:b w:val="0"/>
          <w:i/>
          <w:color w:val="6E7B77"/>
          <w:sz w:val="17"/>
        </w:rPr>
        <w:t>The crux is the cost of capital, not the operating assumptions. Doubling the entire volume growth path moves the answer from EGP 9.40 to 11.01; a two-point move in the terminal rate alone moves it across a wider span than that. This is a valuation about Egyptian interest rates at least as much as it is about a refinery.</w:t>
      </w:r>
    </w:p>
    <w:p>
      <w:pPr>
        <w:spacing w:after="80" w:before="200"/>
      </w:pPr>
      <w:r>
        <w:rPr>
          <w:b/>
          <w:i w:val="0"/>
          <w:color w:val="1C3A36"/>
          <w:sz w:val="24"/>
        </w:rPr>
        <w:t>1.12  The three cross-check lenses</w:t>
      </w:r>
    </w:p>
    <w:p>
      <w:pPr>
        <w:spacing w:after="120" w:before="0"/>
      </w:pPr>
      <w:r>
        <w:rPr>
          <w:b w:val="0"/>
          <w:i w:val="0"/>
          <w:color w:val="1C3A36"/>
          <w:sz w:val="21"/>
        </w:rPr>
        <w:t>Relative multiples. Applying 4.5× enterprise value to EBITDA to 2027E EBITDA of EGP 2,630mn gives an enterprise value of EGP 11,836mn AS AT the end of that year. It has to be discounted back before it can be compared to today's price: at the model's own year-two factor of 0.6018 that is EGP 7,123mn today, and EGP 8.50 a share after the bridge. Not discounting a forward enterprise value would have produced EGP 10.72 — the difference between the two is the whole reason multiples and discounted cash flows are so often reconciled badly. The company's own trailing multiples are 4.5× enterprise value to EBITDA and 7.8× earnings.</w:t>
      </w:r>
    </w:p>
    <w:p>
      <w:pPr>
        <w:spacing w:after="120" w:before="0"/>
      </w:pPr>
      <w:r>
        <w:rPr>
          <w:b w:val="0"/>
          <w:i w:val="0"/>
          <w:color w:val="1C3A36"/>
          <w:sz w:val="21"/>
        </w:rPr>
        <w:t>Normalised earnings power. Every component is taken from the same year, 2028E, so the lens is not a blend of different points in the cycle: EBITDA of EGP 2,915mn less depreciation of EGP 606mn, plus net finance income of EGP 420mn, taxed and after minorities, gives EGP 1.57 a share. At 7.5× that is EGP 11.76. This lens is a statement of mid-cycle earnings POWER at a through-cycle multiple, not a discounted present value — which is exactly why it is the most generous of the four and why it carries only 20% of the weight.</w:t>
      </w:r>
    </w:p>
    <w:p>
      <w:pPr>
        <w:spacing w:after="120" w:before="0"/>
      </w:pPr>
      <w:r>
        <w:rPr>
          <w:b w:val="0"/>
          <w:i w:val="0"/>
          <w:color w:val="1C3A36"/>
          <w:sz w:val="21"/>
        </w:rPr>
        <w:t>Book value and sustainable return. The justified price-to-book identity gives 1.9× = (sustainable return 28% less growth 5%) divided by (perpetual cost of equity 17.1% less growth), applied to attributable book value of EGP 3.72 a share, for EGP 7.07. The perpetual rate is the correct one inside a perpetuity identity; using a blend of the explicit and terminal rates would be internally inconsistent. Trailing return on average attributable equity is 32.0%, and the sustainable rate is struck below it because the reported figure is flattered by an asset base that is nearly written off and will have to be renewed.</w:t>
      </w:r>
    </w:p>
    <w:p>
      <w:pPr>
        <w:spacing w:after="80" w:before="200"/>
      </w:pPr>
      <w:r>
        <w:rPr>
          <w:b/>
          <w:i w:val="0"/>
          <w:color w:val="1C3A36"/>
          <w:sz w:val="24"/>
        </w:rPr>
        <w:t>1.13  Contested choices, computed rather than argued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232"/>
        <w:gridCol w:w="3312"/>
        <w:gridCol w:w="1440"/>
        <w:gridCol w:w="1008"/>
      </w:tblGrid>
      <w:tr>
        <w:tc>
          <w:tcPr>
            <w:tcW w:type="dxa" w:w="2232"/>
            <w:shd w:val="clear" w:color="auto" w:fill="EAF0EE"/>
          </w:tcPr>
          <w:p>
            <w:pPr>
              <w:spacing w:after="20"/>
            </w:pPr>
            <w:r>
              <w:rPr>
                <w:b/>
                <w:color w:val="1C3A36"/>
                <w:sz w:val="16"/>
              </w:rPr>
              <w:t>Choice</w:t>
            </w:r>
          </w:p>
        </w:tc>
        <w:tc>
          <w:tcPr>
            <w:tcW w:type="dxa" w:w="2232"/>
            <w:shd w:val="clear" w:color="auto" w:fill="EAF0EE"/>
          </w:tcPr>
          <w:p>
            <w:pPr>
              <w:spacing w:after="20"/>
            </w:pPr>
            <w:r>
              <w:rPr>
                <w:b/>
                <w:color w:val="1C3A36"/>
                <w:sz w:val="16"/>
              </w:rPr>
              <w:t>This study</w:t>
            </w:r>
          </w:p>
        </w:tc>
        <w:tc>
          <w:tcPr>
            <w:tcW w:type="dxa" w:w="3312"/>
            <w:shd w:val="clear" w:color="auto" w:fill="EAF0EE"/>
          </w:tcPr>
          <w:p>
            <w:pPr>
              <w:spacing w:after="20"/>
            </w:pPr>
            <w:r>
              <w:rPr>
                <w:b/>
                <w:color w:val="1C3A36"/>
                <w:sz w:val="16"/>
              </w:rPr>
              <w:t>The alternative</w:t>
            </w:r>
          </w:p>
        </w:tc>
        <w:tc>
          <w:tcPr>
            <w:tcW w:type="dxa" w:w="1440"/>
            <w:shd w:val="clear" w:color="auto" w:fill="EAF0EE"/>
          </w:tcPr>
          <w:p>
            <w:pPr>
              <w:spacing w:after="20"/>
            </w:pPr>
            <w:r>
              <w:rPr>
                <w:b/>
                <w:color w:val="1C3A36"/>
                <w:sz w:val="16"/>
              </w:rPr>
              <w:t>Fair value on the alternative</w:t>
            </w:r>
          </w:p>
        </w:tc>
        <w:tc>
          <w:tcPr>
            <w:tcW w:type="dxa" w:w="1008"/>
            <w:shd w:val="clear" w:color="auto" w:fill="EAF0EE"/>
          </w:tcPr>
          <w:p>
            <w:pPr>
              <w:spacing w:after="20"/>
            </w:pPr>
            <w:r>
              <w:rPr>
                <w:b/>
                <w:color w:val="1C3A36"/>
                <w:sz w:val="16"/>
              </w:rPr>
              <w:t>Effect</w:t>
            </w:r>
          </w:p>
        </w:tc>
      </w:tr>
      <w:tr>
        <w:tc>
          <w:tcPr>
            <w:tcW w:type="dxa" w:w="2232"/>
          </w:tcPr>
          <w:p>
            <w:pPr>
              <w:spacing w:after="20"/>
            </w:pPr>
            <w:r>
              <w:rPr>
                <w:color w:val="1C3A36"/>
                <w:sz w:val="16"/>
              </w:rPr>
              <w:t>Country risk basis</w:t>
            </w:r>
          </w:p>
        </w:tc>
        <w:tc>
          <w:tcPr>
            <w:tcW w:type="dxa" w:w="2232"/>
          </w:tcPr>
          <w:p>
            <w:pPr>
              <w:spacing w:after="20"/>
            </w:pPr>
            <w:r>
              <w:rPr>
                <w:color w:val="1C3A36"/>
                <w:sz w:val="16"/>
              </w:rPr>
              <w:t>Credit-default-swap column</w:t>
            </w:r>
          </w:p>
        </w:tc>
        <w:tc>
          <w:tcPr>
            <w:tcW w:type="dxa" w:w="3312"/>
          </w:tcPr>
          <w:p>
            <w:pPr>
              <w:spacing w:after="20"/>
            </w:pPr>
            <w:r>
              <w:rPr>
                <w:color w:val="1C3A36"/>
                <w:sz w:val="16"/>
              </w:rPr>
              <w:t>Rating basis: cost of capital 32.2% explicit / 20.3% terminal</w:t>
            </w:r>
          </w:p>
        </w:tc>
        <w:tc>
          <w:tcPr>
            <w:tcW w:type="dxa" w:w="1440"/>
          </w:tcPr>
          <w:p>
            <w:pPr>
              <w:spacing w:after="20"/>
              <w:jc w:val="right"/>
            </w:pPr>
            <w:r>
              <w:rPr>
                <w:color w:val="1C3A36"/>
                <w:sz w:val="16"/>
              </w:rPr>
              <w:t>7.80</w:t>
            </w:r>
          </w:p>
        </w:tc>
        <w:tc>
          <w:tcPr>
            <w:tcW w:type="dxa" w:w="1008"/>
          </w:tcPr>
          <w:p>
            <w:pPr>
              <w:spacing w:after="20"/>
              <w:jc w:val="right"/>
            </w:pPr>
            <w:r>
              <w:rPr>
                <w:color w:val="1C3A36"/>
                <w:sz w:val="16"/>
              </w:rPr>
              <w:t>-17.1%</w:t>
            </w:r>
          </w:p>
        </w:tc>
      </w:tr>
      <w:tr>
        <w:tc>
          <w:tcPr>
            <w:tcW w:type="dxa" w:w="2232"/>
          </w:tcPr>
          <w:p>
            <w:pPr>
              <w:spacing w:after="20"/>
            </w:pPr>
            <w:r>
              <w:rPr>
                <w:color w:val="1C3A36"/>
                <w:sz w:val="16"/>
              </w:rPr>
              <w:t>Capital-structure weights</w:t>
            </w:r>
          </w:p>
        </w:tc>
        <w:tc>
          <w:tcPr>
            <w:tcW w:type="dxa" w:w="2232"/>
          </w:tcPr>
          <w:p>
            <w:pPr>
              <w:spacing w:after="20"/>
            </w:pPr>
            <w:r>
              <w:rPr>
                <w:color w:val="1C3A36"/>
                <w:sz w:val="16"/>
              </w:rPr>
              <w:t>Net debt (negative)</w:t>
            </w:r>
          </w:p>
        </w:tc>
        <w:tc>
          <w:tcPr>
            <w:tcW w:type="dxa" w:w="3312"/>
          </w:tcPr>
          <w:p>
            <w:pPr>
              <w:spacing w:after="20"/>
            </w:pPr>
            <w:r>
              <w:rPr>
                <w:color w:val="1C3A36"/>
                <w:sz w:val="16"/>
              </w:rPr>
              <w:t>Gross debt</w:t>
            </w:r>
          </w:p>
        </w:tc>
        <w:tc>
          <w:tcPr>
            <w:tcW w:type="dxa" w:w="1440"/>
          </w:tcPr>
          <w:p>
            <w:pPr>
              <w:spacing w:after="20"/>
              <w:jc w:val="right"/>
            </w:pPr>
            <w:r>
              <w:rPr>
                <w:color w:val="1C3A36"/>
                <w:sz w:val="16"/>
              </w:rPr>
              <w:t>9.88</w:t>
            </w:r>
          </w:p>
        </w:tc>
        <w:tc>
          <w:tcPr>
            <w:tcW w:type="dxa" w:w="1008"/>
          </w:tcPr>
          <w:p>
            <w:pPr>
              <w:spacing w:after="20"/>
              <w:jc w:val="right"/>
            </w:pPr>
            <w:r>
              <w:rPr>
                <w:color w:val="1C3A36"/>
                <w:sz w:val="16"/>
              </w:rPr>
              <w:t>+5.1%</w:t>
            </w:r>
          </w:p>
        </w:tc>
      </w:tr>
      <w:tr>
        <w:tc>
          <w:tcPr>
            <w:tcW w:type="dxa" w:w="2232"/>
          </w:tcPr>
          <w:p>
            <w:pPr>
              <w:spacing w:after="20"/>
            </w:pPr>
            <w:r>
              <w:rPr>
                <w:color w:val="1C3A36"/>
                <w:sz w:val="16"/>
              </w:rPr>
              <w:t>Minority share of group profit</w:t>
            </w:r>
          </w:p>
        </w:tc>
        <w:tc>
          <w:tcPr>
            <w:tcW w:type="dxa" w:w="2232"/>
          </w:tcPr>
          <w:p>
            <w:pPr>
              <w:spacing w:after="20"/>
            </w:pPr>
            <w:r>
              <w:rPr>
                <w:color w:val="1C3A36"/>
                <w:sz w:val="16"/>
              </w:rPr>
              <w:t>3.0%</w:t>
            </w:r>
          </w:p>
        </w:tc>
        <w:tc>
          <w:tcPr>
            <w:tcW w:type="dxa" w:w="3312"/>
          </w:tcPr>
          <w:p>
            <w:pPr>
              <w:spacing w:after="20"/>
            </w:pPr>
            <w:r>
              <w:rPr>
                <w:color w:val="1C3A36"/>
                <w:sz w:val="16"/>
              </w:rPr>
              <w:t>Doubled to 6%</w:t>
            </w:r>
          </w:p>
        </w:tc>
        <w:tc>
          <w:tcPr>
            <w:tcW w:type="dxa" w:w="1440"/>
          </w:tcPr>
          <w:p>
            <w:pPr>
              <w:spacing w:after="20"/>
              <w:jc w:val="right"/>
            </w:pPr>
            <w:r>
              <w:rPr>
                <w:color w:val="1C3A36"/>
                <w:sz w:val="16"/>
              </w:rPr>
              <w:t>9.17</w:t>
            </w:r>
          </w:p>
        </w:tc>
        <w:tc>
          <w:tcPr>
            <w:tcW w:type="dxa" w:w="1008"/>
          </w:tcPr>
          <w:p>
            <w:pPr>
              <w:spacing w:after="20"/>
              <w:jc w:val="right"/>
            </w:pPr>
            <w:r>
              <w:rPr>
                <w:color w:val="1C3A36"/>
                <w:sz w:val="16"/>
              </w:rPr>
              <w:t>-2.5%</w:t>
            </w:r>
          </w:p>
        </w:tc>
      </w:tr>
      <w:tr>
        <w:tc>
          <w:tcPr>
            <w:tcW w:type="dxa" w:w="2232"/>
          </w:tcPr>
          <w:p>
            <w:pPr>
              <w:spacing w:after="20"/>
            </w:pPr>
            <w:r>
              <w:rPr>
                <w:color w:val="1C3A36"/>
                <w:sz w:val="16"/>
              </w:rPr>
              <w:t>Currency of discounting</w:t>
            </w:r>
          </w:p>
        </w:tc>
        <w:tc>
          <w:tcPr>
            <w:tcW w:type="dxa" w:w="2232"/>
          </w:tcPr>
          <w:p>
            <w:pPr>
              <w:spacing w:after="20"/>
            </w:pPr>
            <w:r>
              <w:rPr>
                <w:color w:val="1C3A36"/>
                <w:sz w:val="16"/>
              </w:rPr>
              <w:t>Egyptian pound throughout</w:t>
            </w:r>
          </w:p>
        </w:tc>
        <w:tc>
          <w:tcPr>
            <w:tcW w:type="dxa" w:w="3312"/>
          </w:tcPr>
          <w:p>
            <w:pPr>
              <w:spacing w:after="20"/>
            </w:pPr>
            <w:r>
              <w:rPr>
                <w:color w:val="1C3A36"/>
                <w:sz w:val="16"/>
              </w:rPr>
              <w:t>Export leg deflated to dollars and discounted at 10.7%</w:t>
            </w:r>
          </w:p>
        </w:tc>
        <w:tc>
          <w:tcPr>
            <w:tcW w:type="dxa" w:w="1440"/>
          </w:tcPr>
          <w:p>
            <w:pPr>
              <w:spacing w:after="20"/>
              <w:jc w:val="right"/>
            </w:pPr>
            <w:r>
              <w:rPr>
                <w:color w:val="1C3A36"/>
                <w:sz w:val="16"/>
              </w:rPr>
              <w:t>9.99</w:t>
            </w:r>
          </w:p>
        </w:tc>
        <w:tc>
          <w:tcPr>
            <w:tcW w:type="dxa" w:w="1008"/>
          </w:tcPr>
          <w:p>
            <w:pPr>
              <w:spacing w:after="20"/>
              <w:jc w:val="right"/>
            </w:pPr>
            <w:r>
              <w:rPr>
                <w:color w:val="1C3A36"/>
                <w:sz w:val="16"/>
              </w:rPr>
              <w:t>+6.2%</w:t>
            </w:r>
          </w:p>
        </w:tc>
      </w:tr>
      <w:tr>
        <w:tc>
          <w:tcPr>
            <w:tcW w:type="dxa" w:w="2232"/>
            <w:shd w:val="clear" w:color="auto" w:fill="F6F1E6"/>
          </w:tcPr>
          <w:p>
            <w:pPr>
              <w:spacing w:after="20"/>
            </w:pPr>
            <w:r>
              <w:rPr>
                <w:b/>
                <w:color w:val="1C3A36"/>
                <w:sz w:val="16"/>
              </w:rPr>
              <w:t>THIS STUDY, ALL FOUR CHOICES AS MADE ABOVE</w:t>
            </w:r>
          </w:p>
        </w:tc>
        <w:tc>
          <w:tcPr>
            <w:tcW w:type="dxa" w:w="2232"/>
            <w:shd w:val="clear" w:color="auto" w:fill="F6F1E6"/>
          </w:tcPr>
          <w:p>
            <w:pPr>
              <w:spacing w:after="20"/>
            </w:pPr>
            <w:r>
              <w:rPr>
                <w:b/>
                <w:color w:val="1C3A36"/>
                <w:sz w:val="16"/>
              </w:rPr>
              <w:t>—</w:t>
            </w:r>
          </w:p>
        </w:tc>
        <w:tc>
          <w:tcPr>
            <w:tcW w:type="dxa" w:w="3312"/>
            <w:shd w:val="clear" w:color="auto" w:fill="F6F1E6"/>
          </w:tcPr>
          <w:p>
            <w:pPr>
              <w:spacing w:after="20"/>
            </w:pPr>
            <w:r>
              <w:rPr>
                <w:b/>
                <w:color w:val="1C3A36"/>
                <w:sz w:val="16"/>
              </w:rPr>
              <w:t>—</w:t>
            </w:r>
          </w:p>
        </w:tc>
        <w:tc>
          <w:tcPr>
            <w:tcW w:type="dxa" w:w="1440"/>
            <w:shd w:val="clear" w:color="auto" w:fill="F6F1E6"/>
          </w:tcPr>
          <w:p>
            <w:pPr>
              <w:spacing w:after="20"/>
              <w:jc w:val="right"/>
            </w:pPr>
            <w:r>
              <w:rPr>
                <w:b/>
                <w:color w:val="1C3A36"/>
                <w:sz w:val="16"/>
              </w:rPr>
              <w:t>9.40</w:t>
            </w:r>
          </w:p>
        </w:tc>
        <w:tc>
          <w:tcPr>
            <w:tcW w:type="dxa" w:w="1008"/>
            <w:shd w:val="clear" w:color="auto" w:fill="F6F1E6"/>
          </w:tcPr>
          <w:p>
            <w:pPr>
              <w:spacing w:after="20"/>
              <w:jc w:val="right"/>
            </w:pPr>
            <w:r>
              <w:rPr>
                <w:b/>
                <w:color w:val="1C3A36"/>
                <w:sz w:val="16"/>
              </w:rPr>
              <w:t>—</w:t>
            </w:r>
          </w:p>
        </w:tc>
      </w:tr>
    </w:tbl>
    <w:p>
      <w:pPr>
        <w:spacing w:after="40"/>
      </w:pPr>
    </w:p>
    <w:p>
      <w:pPr>
        <w:spacing w:after="200" w:before="0"/>
      </w:pPr>
      <w:r>
        <w:rPr>
          <w:b w:val="0"/>
          <w:i/>
          <w:color w:val="6E7B77"/>
          <w:sz w:val="17"/>
        </w:rPr>
        <w:t>The base is stated in the last row so the percentages are checkable rather than relative to a number the reader has to go and find: every effect column is measured against the cash-flow lens at EGP 9.40 a share, which is the primary construction and not the weighted central of EGP 9.34. Note the asymmetry that follows from that. The four choices move the answer between -17.1% and +6.2%, so the single largest contested choice in this study is worth more than the entire gap between the central estimate and the market price. Each alternative is run through the whole model and reported as a VALUE, not described. The currency alternative deflates the export cash flows to dollars at each year’s exchange rate before discounting them at a dollar rate, and only then translates back — discounting a pound cash flow already inflated by the assumed depreciation path directly at a dollar rate would count the currency benefit twice.</w:t>
      </w:r>
    </w:p>
    <w:p>
      <w:pPr>
        <w:spacing w:after="120" w:before="280"/>
      </w:pPr>
      <w:r>
        <w:rPr>
          <w:b/>
          <w:i w:val="0"/>
          <w:color w:val="1C3A36"/>
          <w:sz w:val="30"/>
        </w:rPr>
        <w:t>2  The price record</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 the closing price against its 20, 50, 100 and 200-session moving averages over the last twelve months of trading.</w:t>
      </w:r>
    </w:p>
    <w:p>
      <w:pPr>
        <w:spacing w:after="120" w:before="0"/>
      </w:pPr>
      <w:r>
        <w:rPr>
          <w:b w:val="0"/>
          <w:i w:val="0"/>
          <w:color w:val="1C3A36"/>
          <w:sz w:val="21"/>
        </w:rPr>
        <w:t>The series used throughout this study runs from 2011-01-02 to 2026-08-06 and covers 3,754 clean sessions out of 3,755 raw rows, over 15.6 years at 240.8 sessions a year, which matches the exchange's own Sunday-to-Thursday calendar. An earlier edition of this section said the series 'runs from 2022'; it does not — 2022 is where the CALIBRATION exercise in the appendix starts scoring forecasts, and every price statistic in this study is taken from the full fifteen-and-a-half-year series.</w:t>
      </w:r>
    </w:p>
    <w:p>
      <w:pPr>
        <w:spacing w:after="120" w:before="0"/>
      </w:pPr>
      <w:r>
        <w:rPr>
          <w:b w:val="0"/>
          <w:i w:val="0"/>
          <w:color w:val="1C3A36"/>
          <w:sz w:val="21"/>
        </w:rPr>
        <w:t>It was screened before use. One row carrying a non-positive price was removed (2013-05-07); 9.6% of sessions are flat, which is normal for a mid-cap on this exchange and well inside the gate. The largest single-session move in the whole history is 0.1813 in log terms. Two thresholds bear on that number and they are different things, which the earlier edition ran together. The exchange's own ±20% daily price limit is 0.1823 in logs — the largest observed move sits just INSIDE it, by four ten-thousandths. The engine's artefact screen fires at 0.2901, set deliberately ABOVE the price limit so that only a move no trade could have produced is flagged. Nothing fires. A share split or an unadjusted dividend would have shown up as a move the price limit forbids, and none does, so there is no unadjusted corporate action hiding in the series and no block of pre-listing placeholder rows.</w:t>
      </w:r>
    </w:p>
    <w:p>
      <w:pPr>
        <w:spacing w:after="120" w:before="280"/>
      </w:pPr>
      <w:r>
        <w:rPr>
          <w:b/>
          <w:i w:val="0"/>
          <w:color w:val="1C3A36"/>
          <w:sz w:val="30"/>
        </w:rPr>
        <w:t>3  Where the price could trade</w:t>
      </w:r>
    </w:p>
    <w:p>
      <w:pPr>
        <w:spacing w:after="120" w:before="0"/>
      </w:pPr>
      <w:r>
        <w:rPr>
          <w:b w:val="0"/>
          <w:i w:val="0"/>
          <w:color w:val="1C3A36"/>
          <w:sz w:val="21"/>
        </w:rPr>
        <w:t>This section is a different object from the valuation above and is never blended with it. It is a probability map of the share price over one and three months, produced by simulating 50,000 paths from the cleaned price history with a volatility model fitted on the whole Egyptian market rather than on this name alone.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forward price cone to three months. The dashed rule is the fundamental central estimate; the dotted rule is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448"/>
        <w:gridCol w:w="2448"/>
      </w:tblGrid>
      <w:tr>
        <w:tc>
          <w:tcPr>
            <w:tcW w:type="dxa" w:w="4608"/>
            <w:shd w:val="clear" w:color="auto" w:fill="EAF0EE"/>
          </w:tcPr>
          <w:p>
            <w:pPr>
              <w:spacing w:after="20"/>
            </w:pPr>
            <w:r>
              <w:rPr>
                <w:b/>
                <w:color w:val="1C3A36"/>
                <w:sz w:val="17"/>
              </w:rPr>
            </w:r>
          </w:p>
        </w:tc>
        <w:tc>
          <w:tcPr>
            <w:tcW w:type="dxa" w:w="2448"/>
            <w:shd w:val="clear" w:color="auto" w:fill="EAF0EE"/>
          </w:tcPr>
          <w:p>
            <w:pPr>
              <w:spacing w:after="20"/>
            </w:pPr>
            <w:r>
              <w:rPr>
                <w:b/>
                <w:color w:val="1C3A36"/>
                <w:sz w:val="17"/>
              </w:rPr>
              <w:t>One month</w:t>
            </w:r>
          </w:p>
        </w:tc>
        <w:tc>
          <w:tcPr>
            <w:tcW w:type="dxa" w:w="2448"/>
            <w:shd w:val="clear" w:color="auto" w:fill="EAF0EE"/>
          </w:tcPr>
          <w:p>
            <w:pPr>
              <w:spacing w:after="20"/>
            </w:pPr>
            <w:r>
              <w:rPr>
                <w:b/>
                <w:color w:val="1C3A36"/>
                <w:sz w:val="17"/>
              </w:rPr>
              <w:t>Three months</w:t>
            </w:r>
          </w:p>
        </w:tc>
      </w:tr>
      <w:tr>
        <w:tc>
          <w:tcPr>
            <w:tcW w:type="dxa" w:w="4608"/>
          </w:tcPr>
          <w:p>
            <w:pPr>
              <w:spacing w:after="20"/>
            </w:pPr>
            <w:r>
              <w:rPr>
                <w:color w:val="1C3A36"/>
                <w:sz w:val="17"/>
              </w:rPr>
              <w:t>Calendar horizon date</w:t>
            </w:r>
          </w:p>
        </w:tc>
        <w:tc>
          <w:tcPr>
            <w:tcW w:type="dxa" w:w="2448"/>
          </w:tcPr>
          <w:p>
            <w:pPr>
              <w:spacing w:after="20"/>
              <w:jc w:val="right"/>
            </w:pPr>
            <w:r>
              <w:rPr>
                <w:color w:val="1C3A36"/>
                <w:sz w:val="17"/>
              </w:rPr>
              <w:t>2026-09-06</w:t>
            </w:r>
          </w:p>
        </w:tc>
        <w:tc>
          <w:tcPr>
            <w:tcW w:type="dxa" w:w="2448"/>
          </w:tcPr>
          <w:p>
            <w:pPr>
              <w:spacing w:after="20"/>
              <w:jc w:val="right"/>
            </w:pPr>
            <w:r>
              <w:rPr>
                <w:color w:val="1C3A36"/>
                <w:sz w:val="17"/>
              </w:rPr>
              <w:t>2026-11-06</w:t>
            </w:r>
          </w:p>
        </w:tc>
      </w:tr>
      <w:tr>
        <w:tc>
          <w:tcPr>
            <w:tcW w:type="dxa" w:w="4608"/>
          </w:tcPr>
          <w:p>
            <w:pPr>
              <w:spacing w:after="20"/>
            </w:pPr>
            <w:r>
              <w:rPr>
                <w:color w:val="1C3A36"/>
                <w:sz w:val="17"/>
              </w:rPr>
              <w:t>Check date actually used</w:t>
            </w:r>
          </w:p>
        </w:tc>
        <w:tc>
          <w:tcPr>
            <w:tcW w:type="dxa" w:w="2448"/>
          </w:tcPr>
          <w:p>
            <w:pPr>
              <w:spacing w:after="20"/>
              <w:jc w:val="right"/>
            </w:pPr>
            <w:r>
              <w:rPr>
                <w:color w:val="1C3A36"/>
                <w:sz w:val="17"/>
              </w:rPr>
              <w:t>2026-09-06</w:t>
            </w:r>
          </w:p>
        </w:tc>
        <w:tc>
          <w:tcPr>
            <w:tcW w:type="dxa" w:w="2448"/>
          </w:tcPr>
          <w:p>
            <w:pPr>
              <w:spacing w:after="20"/>
              <w:jc w:val="right"/>
            </w:pPr>
            <w:r>
              <w:rPr>
                <w:color w:val="1C3A36"/>
                <w:sz w:val="17"/>
              </w:rPr>
              <w:t>2026-11-08</w:t>
            </w:r>
          </w:p>
        </w:tc>
      </w:tr>
      <w:tr>
        <w:tc>
          <w:tcPr>
            <w:tcW w:type="dxa" w:w="4608"/>
          </w:tcPr>
          <w:p>
            <w:pPr>
              <w:spacing w:after="20"/>
            </w:pPr>
            <w:r>
              <w:rPr>
                <w:color w:val="1C3A36"/>
                <w:sz w:val="17"/>
              </w:rPr>
              <w:t>Sessions simulated</w:t>
            </w:r>
          </w:p>
        </w:tc>
        <w:tc>
          <w:tcPr>
            <w:tcW w:type="dxa" w:w="2448"/>
          </w:tcPr>
          <w:p>
            <w:pPr>
              <w:spacing w:after="20"/>
              <w:jc w:val="right"/>
            </w:pPr>
            <w:r>
              <w:rPr>
                <w:color w:val="1C3A36"/>
                <w:sz w:val="17"/>
              </w:rPr>
              <w:t>20</w:t>
            </w:r>
          </w:p>
        </w:tc>
        <w:tc>
          <w:tcPr>
            <w:tcW w:type="dxa" w:w="2448"/>
          </w:tcPr>
          <w:p>
            <w:pPr>
              <w:spacing w:after="20"/>
              <w:jc w:val="right"/>
            </w:pPr>
            <w:r>
              <w:rPr>
                <w:color w:val="1C3A36"/>
                <w:sz w:val="17"/>
              </w:rPr>
              <w:t>62</w:t>
            </w:r>
          </w:p>
        </w:tc>
      </w:tr>
      <w:tr>
        <w:tc>
          <w:tcPr>
            <w:tcW w:type="dxa" w:w="4608"/>
          </w:tcPr>
          <w:p>
            <w:pPr>
              <w:spacing w:after="20"/>
            </w:pPr>
            <w:r>
              <w:rPr>
                <w:color w:val="1C3A36"/>
                <w:sz w:val="17"/>
              </w:rPr>
              <w:t>5th percentile</w:t>
            </w:r>
          </w:p>
        </w:tc>
        <w:tc>
          <w:tcPr>
            <w:tcW w:type="dxa" w:w="2448"/>
          </w:tcPr>
          <w:p>
            <w:pPr>
              <w:spacing w:after="20"/>
              <w:jc w:val="right"/>
            </w:pPr>
            <w:r>
              <w:rPr>
                <w:color w:val="1C3A36"/>
                <w:sz w:val="17"/>
              </w:rPr>
              <w:t>7.71</w:t>
            </w:r>
          </w:p>
        </w:tc>
        <w:tc>
          <w:tcPr>
            <w:tcW w:type="dxa" w:w="2448"/>
          </w:tcPr>
          <w:p>
            <w:pPr>
              <w:spacing w:after="20"/>
              <w:jc w:val="right"/>
            </w:pPr>
            <w:r>
              <w:rPr>
                <w:color w:val="1C3A36"/>
                <w:sz w:val="17"/>
              </w:rPr>
              <w:t>6.90</w:t>
            </w:r>
          </w:p>
        </w:tc>
      </w:tr>
      <w:tr>
        <w:tc>
          <w:tcPr>
            <w:tcW w:type="dxa" w:w="4608"/>
          </w:tcPr>
          <w:p>
            <w:pPr>
              <w:spacing w:after="20"/>
            </w:pPr>
            <w:r>
              <w:rPr>
                <w:color w:val="1C3A36"/>
                <w:sz w:val="17"/>
              </w:rPr>
              <w:t>25th percentile</w:t>
            </w:r>
          </w:p>
        </w:tc>
        <w:tc>
          <w:tcPr>
            <w:tcW w:type="dxa" w:w="2448"/>
          </w:tcPr>
          <w:p>
            <w:pPr>
              <w:spacing w:after="20"/>
              <w:jc w:val="right"/>
            </w:pPr>
            <w:r>
              <w:rPr>
                <w:color w:val="1C3A36"/>
                <w:sz w:val="17"/>
              </w:rPr>
              <w:t>8.60</w:t>
            </w:r>
          </w:p>
        </w:tc>
        <w:tc>
          <w:tcPr>
            <w:tcW w:type="dxa" w:w="2448"/>
          </w:tcPr>
          <w:p>
            <w:pPr>
              <w:spacing w:after="20"/>
              <w:jc w:val="right"/>
            </w:pPr>
            <w:r>
              <w:rPr>
                <w:color w:val="1C3A36"/>
                <w:sz w:val="17"/>
              </w:rPr>
              <w:t>8.34</w:t>
            </w:r>
          </w:p>
        </w:tc>
      </w:tr>
      <w:tr>
        <w:tc>
          <w:tcPr>
            <w:tcW w:type="dxa" w:w="4608"/>
          </w:tcPr>
          <w:p>
            <w:pPr>
              <w:spacing w:after="20"/>
            </w:pPr>
            <w:r>
              <w:rPr>
                <w:color w:val="1C3A36"/>
                <w:sz w:val="17"/>
              </w:rPr>
              <w:t>Median</w:t>
            </w:r>
          </w:p>
        </w:tc>
        <w:tc>
          <w:tcPr>
            <w:tcW w:type="dxa" w:w="2448"/>
          </w:tcPr>
          <w:p>
            <w:pPr>
              <w:spacing w:after="20"/>
              <w:jc w:val="right"/>
            </w:pPr>
            <w:r>
              <w:rPr>
                <w:color w:val="1C3A36"/>
                <w:sz w:val="17"/>
              </w:rPr>
              <w:t>9.17</w:t>
            </w:r>
          </w:p>
        </w:tc>
        <w:tc>
          <w:tcPr>
            <w:tcW w:type="dxa" w:w="2448"/>
          </w:tcPr>
          <w:p>
            <w:pPr>
              <w:spacing w:after="20"/>
              <w:jc w:val="right"/>
            </w:pPr>
            <w:r>
              <w:rPr>
                <w:color w:val="1C3A36"/>
                <w:sz w:val="17"/>
              </w:rPr>
              <w:t>9.33</w:t>
            </w:r>
          </w:p>
        </w:tc>
      </w:tr>
      <w:tr>
        <w:tc>
          <w:tcPr>
            <w:tcW w:type="dxa" w:w="4608"/>
          </w:tcPr>
          <w:p>
            <w:pPr>
              <w:spacing w:after="20"/>
            </w:pPr>
            <w:r>
              <w:rPr>
                <w:color w:val="1C3A36"/>
                <w:sz w:val="17"/>
              </w:rPr>
              <w:t>75th percentile</w:t>
            </w:r>
          </w:p>
        </w:tc>
        <w:tc>
          <w:tcPr>
            <w:tcW w:type="dxa" w:w="2448"/>
          </w:tcPr>
          <w:p>
            <w:pPr>
              <w:spacing w:after="20"/>
              <w:jc w:val="right"/>
            </w:pPr>
            <w:r>
              <w:rPr>
                <w:color w:val="1C3A36"/>
                <w:sz w:val="17"/>
              </w:rPr>
              <w:t>9.79</w:t>
            </w:r>
          </w:p>
        </w:tc>
        <w:tc>
          <w:tcPr>
            <w:tcW w:type="dxa" w:w="2448"/>
          </w:tcPr>
          <w:p>
            <w:pPr>
              <w:spacing w:after="20"/>
              <w:jc w:val="right"/>
            </w:pPr>
            <w:r>
              <w:rPr>
                <w:color w:val="1C3A36"/>
                <w:sz w:val="17"/>
              </w:rPr>
              <w:t>10.42</w:t>
            </w:r>
          </w:p>
        </w:tc>
      </w:tr>
      <w:tr>
        <w:tc>
          <w:tcPr>
            <w:tcW w:type="dxa" w:w="4608"/>
          </w:tcPr>
          <w:p>
            <w:pPr>
              <w:spacing w:after="20"/>
            </w:pPr>
            <w:r>
              <w:rPr>
                <w:color w:val="1C3A36"/>
                <w:sz w:val="17"/>
              </w:rPr>
              <w:t>95th percentile</w:t>
            </w:r>
          </w:p>
        </w:tc>
        <w:tc>
          <w:tcPr>
            <w:tcW w:type="dxa" w:w="2448"/>
          </w:tcPr>
          <w:p>
            <w:pPr>
              <w:spacing w:after="20"/>
              <w:jc w:val="right"/>
            </w:pPr>
            <w:r>
              <w:rPr>
                <w:color w:val="1C3A36"/>
                <w:sz w:val="17"/>
              </w:rPr>
              <w:t>10.91</w:t>
            </w:r>
          </w:p>
        </w:tc>
        <w:tc>
          <w:tcPr>
            <w:tcW w:type="dxa" w:w="2448"/>
          </w:tcPr>
          <w:p>
            <w:pPr>
              <w:spacing w:after="20"/>
              <w:jc w:val="right"/>
            </w:pPr>
            <w:r>
              <w:rPr>
                <w:color w:val="1C3A36"/>
                <w:sz w:val="17"/>
              </w:rPr>
              <w:t>12.60</w:t>
            </w:r>
          </w:p>
        </w:tc>
      </w:tr>
      <w:tr>
        <w:tc>
          <w:tcPr>
            <w:tcW w:type="dxa" w:w="4608"/>
          </w:tcPr>
          <w:p>
            <w:pPr>
              <w:spacing w:after="20"/>
            </w:pPr>
            <w:r>
              <w:rPr>
                <w:color w:val="1C3A36"/>
                <w:sz w:val="17"/>
              </w:rPr>
              <w:t>Probability above today’s price</w:t>
            </w:r>
          </w:p>
        </w:tc>
        <w:tc>
          <w:tcPr>
            <w:tcW w:type="dxa" w:w="2448"/>
          </w:tcPr>
          <w:p>
            <w:pPr>
              <w:spacing w:after="20"/>
              <w:jc w:val="right"/>
            </w:pPr>
            <w:r>
              <w:rPr>
                <w:color w:val="1C3A36"/>
                <w:sz w:val="17"/>
              </w:rPr>
              <w:t>53.3%</w:t>
            </w:r>
          </w:p>
        </w:tc>
        <w:tc>
          <w:tcPr>
            <w:tcW w:type="dxa" w:w="2448"/>
          </w:tcPr>
          <w:p>
            <w:pPr>
              <w:spacing w:after="20"/>
              <w:jc w:val="right"/>
            </w:pPr>
            <w:r>
              <w:rPr>
                <w:color w:val="1C3A36"/>
                <w:sz w:val="17"/>
              </w:rPr>
              <w:t>56.0%</w:t>
            </w:r>
          </w:p>
        </w:tc>
      </w:tr>
      <w:tr>
        <w:tc>
          <w:tcPr>
            <w:tcW w:type="dxa" w:w="4608"/>
          </w:tcPr>
          <w:p>
            <w:pPr>
              <w:spacing w:after="20"/>
            </w:pPr>
            <w:r>
              <w:rPr>
                <w:color w:val="1C3A36"/>
                <w:sz w:val="17"/>
              </w:rPr>
              <w:t>Probability 10% or more up</w:t>
            </w:r>
          </w:p>
        </w:tc>
        <w:tc>
          <w:tcPr>
            <w:tcW w:type="dxa" w:w="2448"/>
          </w:tcPr>
          <w:p>
            <w:pPr>
              <w:spacing w:after="20"/>
              <w:jc w:val="right"/>
            </w:pPr>
            <w:r>
              <w:rPr>
                <w:color w:val="1C3A36"/>
                <w:sz w:val="17"/>
              </w:rPr>
              <w:t>18.3%</w:t>
            </w:r>
          </w:p>
        </w:tc>
        <w:tc>
          <w:tcPr>
            <w:tcW w:type="dxa" w:w="2448"/>
          </w:tcPr>
          <w:p>
            <w:pPr>
              <w:spacing w:after="20"/>
              <w:jc w:val="right"/>
            </w:pPr>
            <w:r>
              <w:rPr>
                <w:color w:val="1C3A36"/>
                <w:sz w:val="17"/>
              </w:rPr>
              <w:t>33.2%</w:t>
            </w:r>
          </w:p>
        </w:tc>
      </w:tr>
      <w:tr>
        <w:tc>
          <w:tcPr>
            <w:tcW w:type="dxa" w:w="4608"/>
          </w:tcPr>
          <w:p>
            <w:pPr>
              <w:spacing w:after="20"/>
            </w:pPr>
            <w:r>
              <w:rPr>
                <w:color w:val="1C3A36"/>
                <w:sz w:val="17"/>
              </w:rPr>
              <w:t>Probability 10% or more down</w:t>
            </w:r>
          </w:p>
        </w:tc>
        <w:tc>
          <w:tcPr>
            <w:tcW w:type="dxa" w:w="2448"/>
          </w:tcPr>
          <w:p>
            <w:pPr>
              <w:spacing w:after="20"/>
              <w:jc w:val="right"/>
            </w:pPr>
            <w:r>
              <w:rPr>
                <w:color w:val="1C3A36"/>
                <w:sz w:val="17"/>
              </w:rPr>
              <w:t>12.7%</w:t>
            </w:r>
          </w:p>
        </w:tc>
        <w:tc>
          <w:tcPr>
            <w:tcW w:type="dxa" w:w="2448"/>
          </w:tcPr>
          <w:p>
            <w:pPr>
              <w:spacing w:after="20"/>
              <w:jc w:val="right"/>
            </w:pPr>
            <w:r>
              <w:rPr>
                <w:color w:val="1C3A36"/>
                <w:sz w:val="17"/>
              </w:rPr>
              <w:t>21.6%</w:t>
            </w:r>
          </w:p>
        </w:tc>
      </w:tr>
      <w:tr>
        <w:tc>
          <w:tcPr>
            <w:tcW w:type="dxa" w:w="4608"/>
          </w:tcPr>
          <w:p>
            <w:pPr>
              <w:spacing w:after="20"/>
            </w:pPr>
            <w:r>
              <w:rPr>
                <w:color w:val="1C3A36"/>
                <w:sz w:val="17"/>
              </w:rPr>
              <w:t>Probability of touching +10% at any point</w:t>
            </w:r>
          </w:p>
        </w:tc>
        <w:tc>
          <w:tcPr>
            <w:tcW w:type="dxa" w:w="2448"/>
          </w:tcPr>
          <w:p>
            <w:pPr>
              <w:spacing w:after="20"/>
              <w:jc w:val="right"/>
            </w:pPr>
            <w:r>
              <w:rPr>
                <w:color w:val="1C3A36"/>
                <w:sz w:val="17"/>
              </w:rPr>
              <w:t>30.0%</w:t>
            </w:r>
          </w:p>
        </w:tc>
        <w:tc>
          <w:tcPr>
            <w:tcW w:type="dxa" w:w="2448"/>
          </w:tcPr>
          <w:p>
            <w:pPr>
              <w:spacing w:after="20"/>
              <w:jc w:val="right"/>
            </w:pPr>
            <w:r>
              <w:rPr>
                <w:color w:val="1C3A36"/>
                <w:sz w:val="17"/>
              </w:rPr>
              <w:t>56.4%</w:t>
            </w:r>
          </w:p>
        </w:tc>
      </w:tr>
      <w:tr>
        <w:tc>
          <w:tcPr>
            <w:tcW w:type="dxa" w:w="4608"/>
          </w:tcPr>
          <w:p>
            <w:pPr>
              <w:spacing w:after="20"/>
            </w:pPr>
            <w:r>
              <w:rPr>
                <w:color w:val="1C3A36"/>
                <w:sz w:val="17"/>
              </w:rPr>
              <w:t>Probability of touching −10% at any point</w:t>
            </w:r>
          </w:p>
        </w:tc>
        <w:tc>
          <w:tcPr>
            <w:tcW w:type="dxa" w:w="2448"/>
          </w:tcPr>
          <w:p>
            <w:pPr>
              <w:spacing w:after="20"/>
              <w:jc w:val="right"/>
            </w:pPr>
            <w:r>
              <w:rPr>
                <w:color w:val="1C3A36"/>
                <w:sz w:val="17"/>
              </w:rPr>
              <w:t>21.7%</w:t>
            </w:r>
          </w:p>
        </w:tc>
        <w:tc>
          <w:tcPr>
            <w:tcW w:type="dxa" w:w="2448"/>
          </w:tcPr>
          <w:p>
            <w:pPr>
              <w:spacing w:after="20"/>
              <w:jc w:val="right"/>
            </w:pPr>
            <w:r>
              <w:rPr>
                <w:color w:val="1C3A36"/>
                <w:sz w:val="17"/>
              </w:rPr>
              <w:t>42.9%</w:t>
            </w:r>
          </w:p>
        </w:tc>
      </w:tr>
      <w:tr>
        <w:tc>
          <w:tcPr>
            <w:tcW w:type="dxa" w:w="4608"/>
          </w:tcPr>
          <w:p>
            <w:pPr>
              <w:spacing w:after="20"/>
            </w:pPr>
            <w:r>
              <w:rPr>
                <w:color w:val="1C3A36"/>
                <w:sz w:val="17"/>
              </w:rPr>
              <w:t>Annualised volatility at the anchor</w:t>
            </w:r>
          </w:p>
        </w:tc>
        <w:tc>
          <w:tcPr>
            <w:tcW w:type="dxa" w:w="2448"/>
          </w:tcPr>
          <w:p>
            <w:pPr>
              <w:spacing w:after="20"/>
              <w:jc w:val="right"/>
            </w:pPr>
            <w:r>
              <w:rPr>
                <w:color w:val="1C3A36"/>
                <w:sz w:val="17"/>
              </w:rPr>
              <w:t>41.8%</w:t>
            </w:r>
          </w:p>
        </w:tc>
        <w:tc>
          <w:tcPr>
            <w:tcW w:type="dxa" w:w="2448"/>
          </w:tcPr>
          <w:p>
            <w:pPr>
              <w:spacing w:after="20"/>
              <w:jc w:val="right"/>
            </w:pPr>
            <w:r>
              <w:rPr>
                <w:color w:val="1C3A36"/>
                <w:sz w:val="17"/>
              </w:rPr>
              <w:t>40.9%</w:t>
            </w:r>
          </w:p>
        </w:tc>
      </w:tr>
    </w:tbl>
    <w:p>
      <w:pPr>
        <w:spacing w:after="40"/>
      </w:pPr>
    </w:p>
    <w:p>
      <w:pPr>
        <w:spacing w:after="200" w:before="0"/>
      </w:pPr>
      <w:r>
        <w:rPr>
          <w:b w:val="0"/>
          <w:i/>
          <w:color w:val="6E7B77"/>
          <w:sz w:val="17"/>
        </w:rPr>
        <w:t>Two dates are shown because they differ, and an earlier edition printed only one of them. The Egyptian Exchange trades Sunday to Thursday, so the three-month calendar date of 2026-11-06 falls on a non-trading day; the cone is graded on the first session at or after it, 2026-11-08. The horizon is therefore 62 sessions rather than a round quarter, and the percentiles above are the distribution at that session.</w:t>
      </w:r>
    </w:p>
    <w:p>
      <w:pPr>
        <w:spacing w:after="120" w:before="0"/>
      </w:pPr>
      <w:r>
        <w:rPr>
          <w:b w:val="0"/>
          <w:i w:val="0"/>
          <w:color w:val="1C3A36"/>
          <w:sz w:val="20"/>
        </w:rPr>
        <w:t>The drift is not zero and is not a view. Over three months the simulated log drift is +0.0235, which annualises to about 9.4% — the CARRY, and nothing else: the local risk-free rate of 19.5% less the dividend yield of 8.8% the share currently pays, less the half-variance convexity term. NO PART OF THE DRIFT COMES FROM THE VALUATION. The fundamental estimate of EGP 9.34 does not enter this section at any point; it is drawn on the charts as a reference rule and used to cut the zones in section 6, and that is the whole of its role here. If the drift were set from the valuation the two halves of this study would no longer be independent and the comparison in section 4 would be circular.</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the simulated price distribution at one month.</w:t>
      </w:r>
    </w:p>
    <w:p>
      <w:pPr>
        <w:spacing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8 — the same at three months.</w:t>
      </w:r>
    </w:p>
    <w:p>
      <w:pPr>
        <w:spacing w:after="120" w:before="0"/>
      </w:pPr>
      <w:r>
        <w:rPr>
          <w:b w:val="0"/>
          <w:i w:val="0"/>
          <w:color w:val="1C3A36"/>
          <w:sz w:val="21"/>
        </w:rPr>
        <w:t>Is the cone credible? It is tested against the honest null — a random walk anchored on the carry, so the test cannot be won simply by pointing at the direction interest rates push a price. THE VERDICT ON THIS NAME IS PARITY, NOT SKILL, AND THAT IS STATED BEFORE THE FAVOURABLE NUMBERS RATHER THAN AFTER THEM. On the production window set — the 17 post-break origins the standing gate actually scores, running 2022-04-05 to 2026-04-12 — the margin over the benchmark is +0.68% and the verdict is PARITY: the confidence interval straddles zero on every bootstrap block tested, so the honest reading is that this cone is AS GOOD AS the carry-anchored random walk on this name, not better than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232"/>
        <w:gridCol w:w="1728"/>
        <w:gridCol w:w="1152"/>
      </w:tblGrid>
      <w:tr>
        <w:tc>
          <w:tcPr>
            <w:tcW w:type="dxa" w:w="2952"/>
            <w:shd w:val="clear" w:color="auto" w:fill="EAF0EE"/>
          </w:tcPr>
          <w:p>
            <w:pPr>
              <w:spacing w:after="20"/>
            </w:pPr>
            <w:r>
              <w:rPr>
                <w:b/>
                <w:color w:val="1C3A36"/>
                <w:sz w:val="16"/>
              </w:rPr>
              <w:t>Window set</w:t>
            </w:r>
          </w:p>
        </w:tc>
        <w:tc>
          <w:tcPr>
            <w:tcW w:type="dxa" w:w="1152"/>
            <w:shd w:val="clear" w:color="auto" w:fill="EAF0EE"/>
          </w:tcPr>
          <w:p>
            <w:pPr>
              <w:spacing w:after="20"/>
            </w:pPr>
            <w:r>
              <w:rPr>
                <w:b/>
                <w:color w:val="1C3A36"/>
                <w:sz w:val="16"/>
              </w:rPr>
              <w:t>Origins</w:t>
            </w:r>
          </w:p>
        </w:tc>
        <w:tc>
          <w:tcPr>
            <w:tcW w:type="dxa" w:w="2232"/>
            <w:shd w:val="clear" w:color="auto" w:fill="EAF0EE"/>
          </w:tcPr>
          <w:p>
            <w:pPr>
              <w:spacing w:after="20"/>
            </w:pPr>
            <w:r>
              <w:rPr>
                <w:b/>
                <w:color w:val="1C3A36"/>
                <w:sz w:val="16"/>
              </w:rPr>
              <w:t>Period</w:t>
            </w:r>
          </w:p>
        </w:tc>
        <w:tc>
          <w:tcPr>
            <w:tcW w:type="dxa" w:w="1728"/>
            <w:shd w:val="clear" w:color="auto" w:fill="EAF0EE"/>
          </w:tcPr>
          <w:p>
            <w:pPr>
              <w:spacing w:after="20"/>
            </w:pPr>
            <w:r>
              <w:rPr>
                <w:b/>
                <w:color w:val="1C3A36"/>
                <w:sz w:val="16"/>
              </w:rPr>
              <w:t>Margin over benchmark</w:t>
            </w:r>
          </w:p>
        </w:tc>
        <w:tc>
          <w:tcPr>
            <w:tcW w:type="dxa" w:w="1152"/>
            <w:shd w:val="clear" w:color="auto" w:fill="EAF0EE"/>
          </w:tcPr>
          <w:p>
            <w:pPr>
              <w:spacing w:after="20"/>
            </w:pPr>
            <w:r>
              <w:rPr>
                <w:b/>
                <w:color w:val="1C3A36"/>
                <w:sz w:val="16"/>
              </w:rPr>
              <w:t>Verdict</w:t>
            </w:r>
          </w:p>
        </w:tc>
      </w:tr>
      <w:tr>
        <w:tc>
          <w:tcPr>
            <w:tcW w:type="dxa" w:w="2952"/>
          </w:tcPr>
          <w:p>
            <w:pPr>
              <w:spacing w:after="20"/>
            </w:pPr>
            <w:r>
              <w:rPr>
                <w:color w:val="1C3A36"/>
                <w:sz w:val="16"/>
              </w:rPr>
              <w:t>production window set (post-break origins)</w:t>
            </w:r>
          </w:p>
        </w:tc>
        <w:tc>
          <w:tcPr>
            <w:tcW w:type="dxa" w:w="1152"/>
          </w:tcPr>
          <w:p>
            <w:pPr>
              <w:spacing w:after="20"/>
              <w:jc w:val="right"/>
            </w:pPr>
            <w:r>
              <w:rPr>
                <w:color w:val="1C3A36"/>
                <w:sz w:val="16"/>
              </w:rPr>
              <w:t>17</w:t>
            </w:r>
          </w:p>
        </w:tc>
        <w:tc>
          <w:tcPr>
            <w:tcW w:type="dxa" w:w="2232"/>
          </w:tcPr>
          <w:p>
            <w:pPr>
              <w:spacing w:after="20"/>
              <w:jc w:val="right"/>
            </w:pPr>
            <w:r>
              <w:rPr>
                <w:color w:val="1C3A36"/>
                <w:sz w:val="16"/>
              </w:rPr>
              <w:t>2022-04-05 – 2026-04-12</w:t>
            </w:r>
          </w:p>
        </w:tc>
        <w:tc>
          <w:tcPr>
            <w:tcW w:type="dxa" w:w="1728"/>
          </w:tcPr>
          <w:p>
            <w:pPr>
              <w:spacing w:after="20"/>
              <w:jc w:val="right"/>
            </w:pPr>
            <w:r>
              <w:rPr>
                <w:color w:val="1C3A36"/>
                <w:sz w:val="16"/>
              </w:rPr>
              <w:t>+0.68%</w:t>
            </w:r>
          </w:p>
        </w:tc>
        <w:tc>
          <w:tcPr>
            <w:tcW w:type="dxa" w:w="1152"/>
          </w:tcPr>
          <w:p>
            <w:pPr>
              <w:spacing w:after="20"/>
              <w:jc w:val="right"/>
            </w:pPr>
            <w:r>
              <w:rPr>
                <w:color w:val="1C3A36"/>
                <w:sz w:val="16"/>
              </w:rPr>
              <w:t>PARITY</w:t>
            </w:r>
          </w:p>
        </w:tc>
      </w:tr>
      <w:tr>
        <w:tc>
          <w:tcPr>
            <w:tcW w:type="dxa" w:w="2952"/>
          </w:tcPr>
          <w:p>
            <w:pPr>
              <w:spacing w:after="20"/>
            </w:pPr>
            <w:r>
              <w:rPr>
                <w:color w:val="1C3A36"/>
                <w:sz w:val="16"/>
              </w:rPr>
              <w:t>LAST FIVE YEARS of origins</w:t>
            </w:r>
          </w:p>
        </w:tc>
        <w:tc>
          <w:tcPr>
            <w:tcW w:type="dxa" w:w="1152"/>
          </w:tcPr>
          <w:p>
            <w:pPr>
              <w:spacing w:after="20"/>
              <w:jc w:val="right"/>
            </w:pPr>
            <w:r>
              <w:rPr>
                <w:color w:val="1C3A36"/>
                <w:sz w:val="16"/>
              </w:rPr>
              <w:t>19</w:t>
            </w:r>
          </w:p>
        </w:tc>
        <w:tc>
          <w:tcPr>
            <w:tcW w:type="dxa" w:w="2232"/>
          </w:tcPr>
          <w:p>
            <w:pPr>
              <w:spacing w:after="20"/>
              <w:jc w:val="right"/>
            </w:pPr>
            <w:r>
              <w:rPr>
                <w:color w:val="1C3A36"/>
                <w:sz w:val="16"/>
              </w:rPr>
              <w:t>2021-10-05 – 2026-04-12</w:t>
            </w:r>
          </w:p>
        </w:tc>
        <w:tc>
          <w:tcPr>
            <w:tcW w:type="dxa" w:w="1728"/>
          </w:tcPr>
          <w:p>
            <w:pPr>
              <w:spacing w:after="20"/>
              <w:jc w:val="right"/>
            </w:pPr>
            <w:r>
              <w:rPr>
                <w:color w:val="1C3A36"/>
                <w:sz w:val="16"/>
              </w:rPr>
              <w:t>+0.92%</w:t>
            </w:r>
          </w:p>
        </w:tc>
        <w:tc>
          <w:tcPr>
            <w:tcW w:type="dxa" w:w="1152"/>
          </w:tcPr>
          <w:p>
            <w:pPr>
              <w:spacing w:after="20"/>
              <w:jc w:val="right"/>
            </w:pPr>
            <w:r>
              <w:rPr>
                <w:color w:val="1C3A36"/>
                <w:sz w:val="16"/>
              </w:rPr>
              <w:t>PARITY</w:t>
            </w:r>
          </w:p>
        </w:tc>
      </w:tr>
      <w:tr>
        <w:tc>
          <w:tcPr>
            <w:tcW w:type="dxa" w:w="2952"/>
          </w:tcPr>
          <w:p>
            <w:pPr>
              <w:spacing w:after="20"/>
            </w:pPr>
            <w:r>
              <w:rPr>
                <w:color w:val="1C3A36"/>
                <w:sz w:val="16"/>
              </w:rPr>
              <w:t>FULL cleaned history</w:t>
            </w:r>
          </w:p>
        </w:tc>
        <w:tc>
          <w:tcPr>
            <w:tcW w:type="dxa" w:w="1152"/>
          </w:tcPr>
          <w:p>
            <w:pPr>
              <w:spacing w:after="20"/>
              <w:jc w:val="right"/>
            </w:pPr>
            <w:r>
              <w:rPr>
                <w:color w:val="1C3A36"/>
                <w:sz w:val="16"/>
              </w:rPr>
              <w:t>57</w:t>
            </w:r>
          </w:p>
        </w:tc>
        <w:tc>
          <w:tcPr>
            <w:tcW w:type="dxa" w:w="2232"/>
          </w:tcPr>
          <w:p>
            <w:pPr>
              <w:spacing w:after="20"/>
              <w:jc w:val="right"/>
            </w:pPr>
            <w:r>
              <w:rPr>
                <w:color w:val="1C3A36"/>
                <w:sz w:val="16"/>
              </w:rPr>
              <w:t>2012-03-20 – 2026-04-12</w:t>
            </w:r>
          </w:p>
        </w:tc>
        <w:tc>
          <w:tcPr>
            <w:tcW w:type="dxa" w:w="1728"/>
          </w:tcPr>
          <w:p>
            <w:pPr>
              <w:spacing w:after="20"/>
              <w:jc w:val="right"/>
            </w:pPr>
            <w:r>
              <w:rPr>
                <w:color w:val="1C3A36"/>
                <w:sz w:val="16"/>
              </w:rPr>
              <w:t>+1.32%</w:t>
            </w:r>
          </w:p>
        </w:tc>
        <w:tc>
          <w:tcPr>
            <w:tcW w:type="dxa" w:w="1152"/>
          </w:tcPr>
          <w:p>
            <w:pPr>
              <w:spacing w:after="20"/>
              <w:jc w:val="right"/>
            </w:pPr>
            <w:r>
              <w:rPr>
                <w:color w:val="1C3A36"/>
                <w:sz w:val="16"/>
              </w:rPr>
              <w:t>PASS</w:t>
            </w:r>
          </w:p>
        </w:tc>
      </w:tr>
      <w:tr>
        <w:tc>
          <w:tcPr>
            <w:tcW w:type="dxa" w:w="2952"/>
          </w:tcPr>
          <w:p>
            <w:pPr>
              <w:spacing w:after="20"/>
            </w:pPr>
            <w:r>
              <w:rPr>
                <w:color w:val="1C3A36"/>
                <w:sz w:val="16"/>
              </w:rPr>
              <w:t>Market-level fit (all covered Egyptian names)</w:t>
            </w:r>
          </w:p>
        </w:tc>
        <w:tc>
          <w:tcPr>
            <w:tcW w:type="dxa" w:w="1152"/>
          </w:tcPr>
          <w:p>
            <w:pPr>
              <w:spacing w:after="20"/>
              <w:jc w:val="right"/>
            </w:pPr>
            <w:r>
              <w:rPr>
                <w:color w:val="1C3A36"/>
                <w:sz w:val="16"/>
              </w:rPr>
              <w:t>30 names</w:t>
            </w:r>
          </w:p>
        </w:tc>
        <w:tc>
          <w:tcPr>
            <w:tcW w:type="dxa" w:w="2232"/>
          </w:tcPr>
          <w:p>
            <w:pPr>
              <w:spacing w:after="20"/>
              <w:jc w:val="right"/>
            </w:pPr>
            <w:r>
              <w:rPr>
                <w:color w:val="1C3A36"/>
                <w:sz w:val="16"/>
              </w:rPr>
              <w:t>fitted 2026-07-29</w:t>
            </w:r>
          </w:p>
        </w:tc>
        <w:tc>
          <w:tcPr>
            <w:tcW w:type="dxa" w:w="1728"/>
          </w:tcPr>
          <w:p>
            <w:pPr>
              <w:spacing w:after="20"/>
              <w:jc w:val="right"/>
            </w:pPr>
            <w:r>
              <w:rPr>
                <w:color w:val="1C3A36"/>
                <w:sz w:val="16"/>
              </w:rPr>
              <w:t>+1.58%</w:t>
            </w:r>
          </w:p>
        </w:tc>
        <w:tc>
          <w:tcPr>
            <w:tcW w:type="dxa" w:w="1152"/>
          </w:tcPr>
          <w:p>
            <w:pPr>
              <w:spacing w:after="20"/>
              <w:jc w:val="right"/>
            </w:pPr>
            <w:r>
              <w:rPr>
                <w:color w:val="1C3A36"/>
                <w:sz w:val="16"/>
              </w:rPr>
              <w:t>PASS</w:t>
            </w:r>
          </w:p>
        </w:tc>
      </w:tr>
    </w:tbl>
    <w:p>
      <w:pPr>
        <w:spacing w:after="40"/>
      </w:pPr>
    </w:p>
    <w:p>
      <w:pPr>
        <w:spacing w:after="200" w:before="0"/>
      </w:pPr>
      <w:r>
        <w:rPr>
          <w:b w:val="0"/>
          <w:i/>
          <w:color w:val="6E7B77"/>
          <w:sz w:val="17"/>
        </w:rPr>
        <w:t>All three name-level window sets are shown, not the flattering one. Only the FULL history reaches a PASS, and it reaches it on 57 origins stretching back to 2012-03-20 — a period that includes market conditions the current fit was not calibrated on. The two recent sets both return PARITY. What carries the cone into this study is the MARKET-level gate, which passes at +1.58% across 30 names: the volatility model is fitted on the whole exchange, not on AMOC, and it is the market fit that is required to pass. A reader who wants a name-level demonstration of skill will not find one here.</w:t>
      </w:r>
    </w:p>
    <w:p>
      <w:pPr>
        <w:spacing w:after="120" w:before="0"/>
      </w:pPr>
      <w:r>
        <w:rPr>
          <w:b w:val="0"/>
          <w:i w:val="0"/>
          <w:color w:val="1C3A36"/>
          <w:sz w:val="21"/>
        </w:rPr>
        <w:t>What the tests DO establish, and it is not nothing: the cone is correctly SHAPED even where it is not sharper. The probability-integral transform is close to uniform on the production set (chi-square p = 0.854, Kolmogorov-Smirnov p = 0.568), so the cone is neither systematically too wide nor too narrow nor off-centre; coverage of the stated 90% band runs at 94% against a target of 90%; and the cone is 1.0 times the benchmark's width, so whatever margin it does earn comes from being better centred rather than from being wider. A well-calibrated cone that merely matches the random walk is still a usable probability map — it is just not evidence of forecasting edge, and this study does not claim one.</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4824"/>
        <w:gridCol w:w="1728"/>
      </w:tblGrid>
      <w:tr>
        <w:tc>
          <w:tcPr>
            <w:tcW w:type="dxa" w:w="3384"/>
            <w:shd w:val="clear" w:color="auto" w:fill="EAF0EE"/>
          </w:tcPr>
          <w:p>
            <w:pPr>
              <w:spacing w:after="20"/>
            </w:pPr>
            <w:r>
              <w:rPr>
                <w:b/>
                <w:color w:val="1C3A36"/>
                <w:sz w:val="17"/>
              </w:rPr>
            </w:r>
          </w:p>
        </w:tc>
        <w:tc>
          <w:tcPr>
            <w:tcW w:type="dxa" w:w="48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Value</w:t>
            </w:r>
          </w:p>
        </w:tc>
      </w:tr>
      <w:tr>
        <w:tc>
          <w:tcPr>
            <w:tcW w:type="dxa" w:w="3384"/>
          </w:tcPr>
          <w:p>
            <w:pPr>
              <w:spacing w:after="20"/>
            </w:pPr>
            <w:r>
              <w:rPr>
                <w:color w:val="1C3A36"/>
                <w:sz w:val="17"/>
              </w:rPr>
              <w:t>Fundamental central</w:t>
            </w:r>
          </w:p>
        </w:tc>
        <w:tc>
          <w:tcPr>
            <w:tcW w:type="dxa" w:w="4824"/>
          </w:tcPr>
          <w:p>
            <w:pPr>
              <w:spacing w:after="20"/>
            </w:pPr>
            <w:r>
              <w:rPr>
                <w:color w:val="1C3A36"/>
                <w:sz w:val="17"/>
              </w:rPr>
              <w:t>What the business appears to be worth on the assumptions here</w:t>
            </w:r>
          </w:p>
        </w:tc>
        <w:tc>
          <w:tcPr>
            <w:tcW w:type="dxa" w:w="1728"/>
          </w:tcPr>
          <w:p>
            <w:pPr>
              <w:spacing w:after="20"/>
              <w:jc w:val="right"/>
            </w:pPr>
            <w:r>
              <w:rPr>
                <w:color w:val="1C3A36"/>
                <w:sz w:val="17"/>
              </w:rPr>
              <w:t>9.34</w:t>
            </w:r>
          </w:p>
        </w:tc>
      </w:tr>
      <w:tr>
        <w:tc>
          <w:tcPr>
            <w:tcW w:type="dxa" w:w="3384"/>
          </w:tcPr>
          <w:p>
            <w:pPr>
              <w:spacing w:after="20"/>
            </w:pPr>
            <w:r>
              <w:rPr>
                <w:color w:val="1C3A36"/>
                <w:sz w:val="17"/>
              </w:rPr>
              <w:t>Market price</w:t>
            </w:r>
          </w:p>
        </w:tc>
        <w:tc>
          <w:tcPr>
            <w:tcW w:type="dxa" w:w="4824"/>
          </w:tcPr>
          <w:p>
            <w:pPr>
              <w:spacing w:after="20"/>
            </w:pPr>
            <w:r>
              <w:rPr>
                <w:color w:val="1C3A36"/>
                <w:sz w:val="17"/>
              </w:rPr>
              <w:t>What it costs today</w:t>
            </w:r>
          </w:p>
        </w:tc>
        <w:tc>
          <w:tcPr>
            <w:tcW w:type="dxa" w:w="1728"/>
          </w:tcPr>
          <w:p>
            <w:pPr>
              <w:spacing w:after="20"/>
              <w:jc w:val="right"/>
            </w:pPr>
            <w:r>
              <w:rPr>
                <w:color w:val="1C3A36"/>
                <w:sz w:val="17"/>
              </w:rPr>
              <w:t>9.10</w:t>
            </w:r>
          </w:p>
        </w:tc>
      </w:tr>
      <w:tr>
        <w:tc>
          <w:tcPr>
            <w:tcW w:type="dxa" w:w="3384"/>
          </w:tcPr>
          <w:p>
            <w:pPr>
              <w:spacing w:after="20"/>
            </w:pPr>
            <w:r>
              <w:rPr>
                <w:color w:val="1C3A36"/>
                <w:sz w:val="17"/>
              </w:rPr>
              <w:t>Gap</w:t>
            </w:r>
          </w:p>
        </w:tc>
        <w:tc>
          <w:tcPr>
            <w:tcW w:type="dxa" w:w="4824"/>
          </w:tcPr>
          <w:p>
            <w:pPr>
              <w:spacing w:after="20"/>
            </w:pPr>
            <w:r>
              <w:rPr>
                <w:color w:val="1C3A36"/>
                <w:sz w:val="17"/>
              </w:rPr>
              <w:t>Fundamental against market</w:t>
            </w:r>
          </w:p>
        </w:tc>
        <w:tc>
          <w:tcPr>
            <w:tcW w:type="dxa" w:w="1728"/>
          </w:tcPr>
          <w:p>
            <w:pPr>
              <w:spacing w:after="20"/>
              <w:jc w:val="right"/>
            </w:pPr>
            <w:r>
              <w:rPr>
                <w:color w:val="1C3A36"/>
                <w:sz w:val="17"/>
              </w:rPr>
              <w:t>+2.7%</w:t>
            </w:r>
          </w:p>
        </w:tc>
      </w:tr>
      <w:tr>
        <w:tc>
          <w:tcPr>
            <w:tcW w:type="dxa" w:w="3384"/>
          </w:tcPr>
          <w:p>
            <w:pPr>
              <w:spacing w:after="20"/>
            </w:pPr>
            <w:r>
              <w:rPr>
                <w:color w:val="1C3A36"/>
                <w:sz w:val="17"/>
              </w:rPr>
              <w:t>Three-month median of the price map</w:t>
            </w:r>
          </w:p>
        </w:tc>
        <w:tc>
          <w:tcPr>
            <w:tcW w:type="dxa" w:w="4824"/>
          </w:tcPr>
          <w:p>
            <w:pPr>
              <w:spacing w:after="20"/>
            </w:pPr>
            <w:r>
              <w:rPr>
                <w:color w:val="1C3A36"/>
                <w:sz w:val="17"/>
              </w:rPr>
              <w:t>The centre of the simulated distribution, which is anchored on today’s price and knows nothing about the valuation</w:t>
            </w:r>
          </w:p>
        </w:tc>
        <w:tc>
          <w:tcPr>
            <w:tcW w:type="dxa" w:w="1728"/>
          </w:tcPr>
          <w:p>
            <w:pPr>
              <w:spacing w:after="20"/>
              <w:jc w:val="right"/>
            </w:pPr>
            <w:r>
              <w:rPr>
                <w:color w:val="1C3A36"/>
                <w:sz w:val="17"/>
              </w:rPr>
              <w:t>9.33</w:t>
            </w:r>
          </w:p>
        </w:tc>
      </w:tr>
      <w:tr>
        <w:tc>
          <w:tcPr>
            <w:tcW w:type="dxa" w:w="3384"/>
          </w:tcPr>
          <w:p>
            <w:pPr>
              <w:spacing w:after="20"/>
            </w:pPr>
            <w:r>
              <w:rPr>
                <w:color w:val="1C3A36"/>
                <w:sz w:val="17"/>
              </w:rPr>
              <w:t>Probability the price is above the fundamental central in three months</w:t>
            </w:r>
          </w:p>
        </w:tc>
        <w:tc>
          <w:tcPr>
            <w:tcW w:type="dxa" w:w="4824"/>
          </w:tcPr>
          <w:p>
            <w:pPr>
              <w:spacing w:after="20"/>
            </w:pPr>
            <w:r>
              <w:rPr>
                <w:color w:val="1C3A36"/>
                <w:sz w:val="17"/>
              </w:rPr>
              <w:t>Read directly off the simulated distribution</w:t>
            </w:r>
          </w:p>
        </w:tc>
        <w:tc>
          <w:tcPr>
            <w:tcW w:type="dxa" w:w="1728"/>
          </w:tcPr>
          <w:p>
            <w:pPr>
              <w:spacing w:after="20"/>
              <w:jc w:val="right"/>
            </w:pPr>
            <w:r>
              <w:rPr>
                <w:color w:val="1C3A36"/>
                <w:sz w:val="17"/>
              </w:rPr>
              <w:t>49.5%</w:t>
            </w:r>
          </w:p>
        </w:tc>
      </w:tr>
    </w:tbl>
    <w:p>
      <w:pPr>
        <w:spacing w:after="40"/>
      </w:pPr>
    </w:p>
    <w:p>
      <w:pPr>
        <w:spacing w:after="200" w:before="0"/>
      </w:pPr>
      <w:r>
        <w:rPr>
          <w:b w:val="0"/>
          <w:i/>
          <w:color w:val="6E7B77"/>
          <w:sz w:val="17"/>
        </w:rPr>
        <w:t>The valuation and the price map are produced by entirely separate machinery and are presented side by side rather than reconciled. Where they disagree, that disagreement is information.</w:t>
      </w:r>
    </w:p>
    <w:p>
      <w:pPr>
        <w:spacing w:after="120" w:before="280"/>
      </w:pPr>
      <w:r>
        <w:rPr>
          <w:b/>
          <w:i w:val="0"/>
          <w:color w:val="1C3A36"/>
          <w:sz w:val="30"/>
        </w:rPr>
        <w:t>5  What would move the answer</w:t>
      </w:r>
    </w:p>
    <w:p>
      <w:pPr>
        <w:pStyle w:val="ListBullet"/>
        <w:spacing w:after="60"/>
      </w:pPr>
      <w:r>
        <w:rPr>
          <w:b/>
          <w:color w:val="1C3A36"/>
          <w:sz w:val="21"/>
        </w:rPr>
        <w:t xml:space="preserve">Whether the 2026 margin holds. </w:t>
      </w:r>
      <w:r>
        <w:rPr>
          <w:color w:val="1C3A36"/>
          <w:sz w:val="21"/>
        </w:rPr>
        <w:t>The margin path is the operating crux. The six months to June 2026 imply a margin far above anything in the record, and this study deliberately forecasts under it. If that print proves to be a durable step rather than a spread windfall, the cash-flow lens is too low. A half-point on the gross margin across the whole path is worth roughly EGP 1.01 a share.</w:t>
      </w:r>
    </w:p>
    <w:p>
      <w:pPr>
        <w:pStyle w:val="ListBullet"/>
        <w:spacing w:after="60"/>
      </w:pPr>
      <w:r>
        <w:rPr>
          <w:b/>
          <w:color w:val="1C3A36"/>
          <w:sz w:val="21"/>
        </w:rPr>
        <w:t xml:space="preserve">Whether the volume ramp continues. </w:t>
      </w:r>
      <w:r>
        <w:rPr>
          <w:color w:val="1C3A36"/>
          <w:sz w:val="21"/>
        </w:rPr>
        <w:t>Throughput annualises to 1.616mn tonnes on the transition half against 1.3mn in the June-2025 year. The forecast assumes the ramp is largely done and only the residual utilisation gain remains. Doubling the assumed growth path is worth about EGP 1.61 a share; halting it altogether costs about EGP 1.36.</w:t>
      </w:r>
    </w:p>
    <w:p>
      <w:pPr>
        <w:pStyle w:val="ListBullet"/>
        <w:spacing w:after="60"/>
      </w:pPr>
      <w:r>
        <w:rPr>
          <w:b/>
          <w:color w:val="1C3A36"/>
          <w:sz w:val="21"/>
        </w:rPr>
        <w:t xml:space="preserve">The pace of Egyptian disinflation. </w:t>
      </w:r>
      <w:r>
        <w:rPr>
          <w:color w:val="1C3A36"/>
          <w:sz w:val="21"/>
        </w:rPr>
        <w:t>This is the largest single lever in the study. Two points off the terminal cost of capital is worth about EGP 1.30 a share — more than any operating assumption tested. The terminal rate is built from the central bank's own stated medium-term inflation target; if disinflation stalls, that assumption is the one that breaks first.</w:t>
      </w:r>
    </w:p>
    <w:p>
      <w:pPr>
        <w:pStyle w:val="ListBullet"/>
        <w:spacing w:after="60"/>
      </w:pPr>
      <w:r>
        <w:rPr>
          <w:b/>
          <w:color w:val="1C3A36"/>
          <w:sz w:val="21"/>
        </w:rPr>
        <w:t xml:space="preserve">The relationship with the state petroleum complex. </w:t>
      </w:r>
      <w:r>
        <w:rPr>
          <w:color w:val="1C3A36"/>
          <w:sz w:val="21"/>
        </w:rPr>
        <w:t>The state petroleum corporation is both the second-largest shareholder at 20% and the counterparty on both sides of the trade. The feedstock price, the offtake price and the payables that fund the working-capital cycle are all administered relationships rather than arm's-length markets. A change in any of them would move the margin without any change in the external environment.</w:t>
      </w:r>
    </w:p>
    <w:p>
      <w:pPr>
        <w:pStyle w:val="ListBullet"/>
        <w:spacing w:after="60"/>
      </w:pPr>
      <w:r>
        <w:rPr>
          <w:b/>
          <w:color w:val="1C3A36"/>
          <w:sz w:val="21"/>
        </w:rPr>
        <w:t xml:space="preserve">The currency. </w:t>
      </w:r>
      <w:r>
        <w:rPr>
          <w:color w:val="1C3A36"/>
          <w:sz w:val="21"/>
        </w:rPr>
        <w:t>Roughly a third of the specialty leg is exported and both legs price off dollar benchmarks. A ten per cent move on the exchange-rate path is worth about EGP 0.73 a share.</w:t>
      </w:r>
    </w:p>
    <w:p>
      <w:pPr>
        <w:pStyle w:val="ListBullet"/>
        <w:spacing w:after="60"/>
      </w:pPr>
      <w:r>
        <w:rPr>
          <w:b/>
          <w:color w:val="1C3A36"/>
          <w:sz w:val="21"/>
        </w:rPr>
        <w:t xml:space="preserve">What happens to the cash. </w:t>
      </w:r>
      <w:r>
        <w:rPr>
          <w:color w:val="1C3A36"/>
          <w:sz w:val="21"/>
        </w:rPr>
        <w:t>The declared dividend is EGP 0.80 a share, a yield of 8.8% at today's price against a reported payout ratio of 69.4%. With the company already net cash and generating more, the payout policy is a live question — and one the market may care about more than the discounted cash flow.</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160"/>
      </w:tblGrid>
      <w:tr>
        <w:tc>
          <w:tcPr>
            <w:tcW w:type="dxa" w:w="6048"/>
            <w:shd w:val="clear" w:color="auto" w:fill="EAF0EE"/>
          </w:tcPr>
          <w:p>
            <w:pPr>
              <w:spacing w:after="20"/>
            </w:pPr>
            <w:r>
              <w:rPr>
                <w:b/>
                <w:color w:val="1C3A36"/>
                <w:sz w:val="17"/>
              </w:rPr>
              <w:t>Zone at three months</w:t>
            </w:r>
          </w:p>
        </w:tc>
        <w:tc>
          <w:tcPr>
            <w:tcW w:type="dxa" w:w="2160"/>
            <w:shd w:val="clear" w:color="auto" w:fill="EAF0EE"/>
          </w:tcPr>
          <w:p>
            <w:pPr>
              <w:spacing w:after="20"/>
            </w:pPr>
            <w:r>
              <w:rPr>
                <w:b/>
                <w:color w:val="1C3A36"/>
                <w:sz w:val="17"/>
              </w:rPr>
              <w:t>Probability</w:t>
            </w:r>
          </w:p>
        </w:tc>
      </w:tr>
      <w:tr>
        <w:tc>
          <w:tcPr>
            <w:tcW w:type="dxa" w:w="6048"/>
          </w:tcPr>
          <w:p>
            <w:pPr>
              <w:spacing w:after="20"/>
            </w:pPr>
            <w:r>
              <w:rPr>
                <w:color w:val="1C3A36"/>
                <w:sz w:val="17"/>
              </w:rPr>
              <w:t>Below EGP 7.50</w:t>
            </w:r>
          </w:p>
        </w:tc>
        <w:tc>
          <w:tcPr>
            <w:tcW w:type="dxa" w:w="2160"/>
          </w:tcPr>
          <w:p>
            <w:pPr>
              <w:spacing w:after="20"/>
              <w:jc w:val="right"/>
            </w:pPr>
            <w:r>
              <w:rPr>
                <w:color w:val="1C3A36"/>
                <w:sz w:val="17"/>
              </w:rPr>
              <w:t>10.3%</w:t>
            </w:r>
          </w:p>
        </w:tc>
      </w:tr>
      <w:tr>
        <w:tc>
          <w:tcPr>
            <w:tcW w:type="dxa" w:w="6048"/>
          </w:tcPr>
          <w:p>
            <w:pPr>
              <w:spacing w:after="20"/>
            </w:pPr>
            <w:r>
              <w:rPr>
                <w:color w:val="1C3A36"/>
                <w:sz w:val="17"/>
              </w:rPr>
              <w:t>EGP 7.50 – 9.10 (below today)</w:t>
            </w:r>
          </w:p>
        </w:tc>
        <w:tc>
          <w:tcPr>
            <w:tcW w:type="dxa" w:w="2160"/>
          </w:tcPr>
          <w:p>
            <w:pPr>
              <w:spacing w:after="20"/>
              <w:jc w:val="right"/>
            </w:pPr>
            <w:r>
              <w:rPr>
                <w:color w:val="1C3A36"/>
                <w:sz w:val="17"/>
              </w:rPr>
              <w:t>33.7%</w:t>
            </w:r>
          </w:p>
        </w:tc>
      </w:tr>
      <w:tr>
        <w:tc>
          <w:tcPr>
            <w:tcW w:type="dxa" w:w="6048"/>
          </w:tcPr>
          <w:p>
            <w:pPr>
              <w:spacing w:after="20"/>
            </w:pPr>
            <w:r>
              <w:rPr>
                <w:color w:val="1C3A36"/>
                <w:sz w:val="17"/>
              </w:rPr>
              <w:t>EGP 9.10 – 9.34 (today to the central estimate)</w:t>
            </w:r>
          </w:p>
        </w:tc>
        <w:tc>
          <w:tcPr>
            <w:tcW w:type="dxa" w:w="2160"/>
          </w:tcPr>
          <w:p>
            <w:pPr>
              <w:spacing w:after="20"/>
              <w:jc w:val="right"/>
            </w:pPr>
            <w:r>
              <w:rPr>
                <w:color w:val="1C3A36"/>
                <w:sz w:val="17"/>
              </w:rPr>
              <w:t>6.5%</w:t>
            </w:r>
          </w:p>
        </w:tc>
      </w:tr>
      <w:tr>
        <w:tc>
          <w:tcPr>
            <w:tcW w:type="dxa" w:w="6048"/>
          </w:tcPr>
          <w:p>
            <w:pPr>
              <w:spacing w:after="20"/>
            </w:pPr>
            <w:r>
              <w:rPr>
                <w:color w:val="1C3A36"/>
                <w:sz w:val="17"/>
              </w:rPr>
              <w:t>EGP 9.34 – 11.00 (above the central estimate)</w:t>
            </w:r>
          </w:p>
        </w:tc>
        <w:tc>
          <w:tcPr>
            <w:tcW w:type="dxa" w:w="2160"/>
          </w:tcPr>
          <w:p>
            <w:pPr>
              <w:spacing w:after="20"/>
              <w:jc w:val="right"/>
            </w:pPr>
            <w:r>
              <w:rPr>
                <w:color w:val="1C3A36"/>
                <w:sz w:val="17"/>
              </w:rPr>
              <w:t>33.5%</w:t>
            </w:r>
          </w:p>
        </w:tc>
      </w:tr>
      <w:tr>
        <w:tc>
          <w:tcPr>
            <w:tcW w:type="dxa" w:w="6048"/>
          </w:tcPr>
          <w:p>
            <w:pPr>
              <w:spacing w:after="20"/>
            </w:pPr>
            <w:r>
              <w:rPr>
                <w:color w:val="1C3A36"/>
                <w:sz w:val="17"/>
              </w:rPr>
              <w:t>Above EGP 11.00</w:t>
            </w:r>
          </w:p>
        </w:tc>
        <w:tc>
          <w:tcPr>
            <w:tcW w:type="dxa" w:w="2160"/>
          </w:tcPr>
          <w:p>
            <w:pPr>
              <w:spacing w:after="20"/>
              <w:jc w:val="right"/>
            </w:pPr>
            <w:r>
              <w:rPr>
                <w:color w:val="1C3A36"/>
                <w:sz w:val="17"/>
              </w:rPr>
              <w:t>15.9%</w:t>
            </w:r>
          </w:p>
        </w:tc>
      </w:tr>
    </w:tbl>
    <w:p>
      <w:pPr>
        <w:spacing w:after="40"/>
      </w:pPr>
    </w:p>
    <w:p>
      <w:pPr>
        <w:spacing w:after="200" w:before="0"/>
      </w:pPr>
      <w:r>
        <w:rPr>
          <w:b w:val="0"/>
          <w:i/>
          <w:color w:val="6E7B77"/>
          <w:sz w:val="17"/>
        </w:rPr>
        <w:t>Read off the simulated distribution directly. The zones are cut at the market price and at the fundamental central estimate so the reader can see how much of the distribution sits on each side of each.</w:t>
      </w:r>
    </w:p>
    <w:p>
      <w:pPr>
        <w:spacing w:after="120" w:before="280"/>
      </w:pPr>
      <w:r>
        <w:rPr>
          <w:b/>
          <w:i w:val="0"/>
          <w:color w:val="1C3A36"/>
          <w:sz w:val="30"/>
        </w:rPr>
        <w:t>7  Caveats — what is weak in this study</w:t>
      </w:r>
    </w:p>
    <w:p>
      <w:pPr>
        <w:spacing w:after="120" w:before="0"/>
      </w:pPr>
      <w:r>
        <w:rPr>
          <w:b w:val="0"/>
          <w:i w:val="0"/>
          <w:color w:val="1C3A36"/>
          <w:sz w:val="21"/>
        </w:rPr>
        <w:t>Stated at the level of detail a reader would need to disagree with it.</w:t>
      </w:r>
    </w:p>
    <w:p>
      <w:pPr>
        <w:pStyle w:val="ListBullet"/>
        <w:spacing w:after="60"/>
      </w:pPr>
      <w:r>
        <w:rPr>
          <w:b/>
          <w:color w:val="1C3A36"/>
          <w:sz w:val="21"/>
        </w:rPr>
        <w:t xml:space="preserve">The base year is constructed, not filed. </w:t>
      </w:r>
      <w:r>
        <w:rPr>
          <w:color w:val="1C3A36"/>
          <w:sz w:val="21"/>
        </w:rPr>
        <w:t>The company changed its financial year end mid-period, and the disclosure available for the stub periods is thinner than for a clean twelve-month year. The base year here is built from two separately disclosed halves; each half is a filed figure, but the combination is ours and not the company’s.</w:t>
      </w:r>
    </w:p>
    <w:p>
      <w:pPr>
        <w:pStyle w:val="ListBullet"/>
        <w:spacing w:after="60"/>
      </w:pPr>
      <w:r>
        <w:rPr>
          <w:b/>
          <w:color w:val="1C3A36"/>
          <w:sz w:val="21"/>
        </w:rPr>
        <w:t xml:space="preserve">The historical balance sheets are reconstructed. </w:t>
      </w:r>
      <w:r>
        <w:rPr>
          <w:color w:val="1C3A36"/>
          <w:sz w:val="21"/>
        </w:rPr>
        <w:t>Only four balance-sheet lines are available at a single date — total assets, total liabilities, cash and gross debt. Everything else on the balance sheets in Appendix A is built from days drivers and rolled backwards through disclosed profit and dividends. It is a reconstruction and is labelled as one wherever it appears. Be careful with the two 'checks' offered for it, because ONE OF THEM IS A TAUTOLOGY AND THE OTHER IS NEARLY ONE. That the balance sheet balances proves nothing: property, plant and equipment is the RESIDUAL off disclosed total assets, so it balances by construction and would balance just as neatly on any working-capital assumption at all. The implied remaining asset life of 5.5 years is only slightly better — it is that same residual divided by the depreciation charge, so it is a direct function of the receivable, inventory and payable day counts assumed above it, and a reader who disagreed with those would get a different 'check'. What the life figure genuinely tests is narrow: it says the residual is not absurd — not negative, and not so large that a 1997 plant would appear newly built. Treat it as a bounds test, not a verification. The only true external check available is share capital plus disclosed reserves against total equity, and that one uses a figure the company published.</w:t>
      </w:r>
    </w:p>
    <w:p>
      <w:pPr>
        <w:pStyle w:val="ListBullet"/>
        <w:spacing w:after="60"/>
      </w:pPr>
      <w:r>
        <w:rPr>
          <w:b/>
          <w:color w:val="1C3A36"/>
          <w:sz w:val="21"/>
        </w:rPr>
        <w:t xml:space="preserve">Two revenue figures are triangulated, not disclosed. </w:t>
      </w:r>
      <w:r>
        <w:rPr>
          <w:color w:val="1C3A36"/>
          <w:sz w:val="21"/>
        </w:rPr>
        <w:t>Revenue for two of the historical years is available only through growth-rate disclosures, so each is carried as the AVERAGE of independently sourced methods: 33,770 and 33,303 for the June-2024 year; 36,900, 37,620 and 38,000 for June-2025. The methods and the average are on the face of the companion model rather than asserted here.</w:t>
      </w:r>
    </w:p>
    <w:p>
      <w:pPr>
        <w:pStyle w:val="ListBullet"/>
        <w:spacing w:after="60"/>
      </w:pPr>
      <w:r>
        <w:rPr>
          <w:b/>
          <w:color w:val="1C3A36"/>
          <w:sz w:val="21"/>
        </w:rPr>
        <w:t xml:space="preserve">The most recent print is single-sourced. </w:t>
      </w:r>
      <w:r>
        <w:rPr>
          <w:color w:val="1C3A36"/>
          <w:sz w:val="21"/>
        </w:rPr>
        <w:t>The half-year release covering the six months to June 2026 rests on one source. Its reported growth rates reconcile independently against the constructed comparative, which is why it is used as corroboration; but it is not the forecast base and the margin path is struck under what it implies.</w:t>
      </w:r>
    </w:p>
    <w:p>
      <w:pPr>
        <w:pStyle w:val="ListBullet"/>
        <w:spacing w:after="60"/>
      </w:pPr>
      <w:r>
        <w:rPr>
          <w:b/>
          <w:color w:val="1C3A36"/>
          <w:sz w:val="21"/>
        </w:rPr>
        <w:t xml:space="preserve">The terminal value carries most of the weight. </w:t>
      </w:r>
      <w:r>
        <w:rPr>
          <w:color w:val="1C3A36"/>
          <w:sz w:val="21"/>
        </w:rPr>
        <w:t>61.7% of enterprise value sits beyond year five. That is what happens when a cost of capital is expected to fall by 1,511 basis points across a forecast, and it means the answer is a statement about the terminal state as much as about the explicit years. Both terminal anchors are house views, disclosed as such, and neither is reverse-engineered from a price.</w:t>
      </w:r>
    </w:p>
    <w:p>
      <w:pPr>
        <w:pStyle w:val="ListBullet"/>
        <w:spacing w:after="60"/>
      </w:pPr>
      <w:r>
        <w:rPr>
          <w:b/>
          <w:color w:val="1C3A36"/>
          <w:sz w:val="21"/>
        </w:rPr>
        <w:t xml:space="preserve">The return on capital may not be repeatable. </w:t>
      </w:r>
      <w:r>
        <w:rPr>
          <w:color w:val="1C3A36"/>
          <w:sz w:val="21"/>
        </w:rPr>
        <w:t>The reported return on invested capital of 38.6% is partly a statement about depreciation on a plant commissioned between 1997 and 2000. The terminal reinvestment rate of 9.9% that this return implies would not survive a replacement cycle at current construction costs. This is the sharpest single criticism available of the cash-flow lens and it is not answered here — it is disclosed.</w:t>
      </w:r>
    </w:p>
    <w:p>
      <w:pPr>
        <w:pStyle w:val="ListBullet"/>
        <w:spacing w:after="60"/>
      </w:pPr>
      <w:r>
        <w:rPr>
          <w:b/>
          <w:color w:val="1C3A36"/>
          <w:sz w:val="21"/>
        </w:rPr>
        <w:t xml:space="preserve">The counterparty is also the shareholder. </w:t>
      </w:r>
      <w:r>
        <w:rPr>
          <w:color w:val="1C3A36"/>
          <w:sz w:val="21"/>
        </w:rPr>
        <w:t>The company neither buys its feedstock nor sells much of its output in an arm's-length market, and the counterparty owns 20% of it. A margin forecast for a business like that is a forecast about an administered relationship.</w:t>
      </w:r>
    </w:p>
    <w:p>
      <w:pPr>
        <w:pStyle w:val="ListBullet"/>
        <w:spacing w:after="60"/>
      </w:pPr>
      <w:r>
        <w:rPr>
          <w:b/>
          <w:color w:val="1C3A36"/>
          <w:sz w:val="21"/>
        </w:rPr>
        <w:t xml:space="preserve">Other income is read as non-recurring, and might not be. </w:t>
      </w:r>
      <w:r>
        <w:rPr>
          <w:color w:val="1C3A36"/>
          <w:sz w:val="21"/>
        </w:rPr>
        <w:t>Reported pre-tax profit in the historical years contains EGP 253mn to 760mn a year of other and non-operating income, which this study reads as devaluation-driven exchange gains and excludes from the forecast entirely. If some of it is in fact recurring — a durable trading or investment stream rather than a currency effect — then the forecast profit line and the normalised-earnings lens are both understated.</w:t>
      </w:r>
    </w:p>
    <w:p>
      <w:pPr>
        <w:pStyle w:val="ListBullet"/>
        <w:spacing w:after="60"/>
      </w:pPr>
      <w:r>
        <w:rPr>
          <w:b/>
          <w:color w:val="1C3A36"/>
          <w:sz w:val="21"/>
        </w:rPr>
        <w:t xml:space="preserve">The minority interest is inferred. </w:t>
      </w:r>
      <w:r>
        <w:rPr>
          <w:color w:val="1C3A36"/>
          <w:sz w:val="21"/>
        </w:rPr>
        <w:t>The minority share of group profit is estimated at 3.0% from the gap between consolidated and standalone profit rather than disclosed directly. Doubling it moves the answer by -2.5%.</w:t>
      </w:r>
    </w:p>
    <w:p>
      <w:pPr>
        <w:spacing w:after="120" w:before="280"/>
      </w:pPr>
      <w:r>
        <w:rPr>
          <w:b/>
          <w:i w:val="0"/>
          <w:color w:val="1C3A36"/>
          <w:sz w:val="30"/>
        </w:rPr>
        <w:t>Appendix A  Financial statements</w:t>
      </w:r>
    </w:p>
    <w:p>
      <w:pPr>
        <w:spacing w:after="80" w:before="200"/>
      </w:pPr>
      <w:r>
        <w:rPr>
          <w:b/>
          <w:i w:val="0"/>
          <w:color w:val="1C3A36"/>
          <w:sz w:val="24"/>
        </w:rPr>
        <w:t>A.1  Income statement — four historical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907"/>
        <w:gridCol w:w="907"/>
        <w:gridCol w:w="907"/>
        <w:gridCol w:w="907"/>
        <w:gridCol w:w="893"/>
        <w:gridCol w:w="893"/>
        <w:gridCol w:w="893"/>
        <w:gridCol w:w="893"/>
        <w:gridCol w:w="893"/>
      </w:tblGrid>
      <w:tr>
        <w:tc>
          <w:tcPr>
            <w:tcW w:type="dxa" w:w="2333"/>
            <w:shd w:val="clear" w:color="auto" w:fill="EAF0EE"/>
          </w:tcPr>
          <w:p>
            <w:pPr>
              <w:spacing w:after="20"/>
            </w:pPr>
            <w:r>
              <w:rPr>
                <w:b/>
                <w:color w:val="1C3A36"/>
                <w:sz w:val="15"/>
              </w:rPr>
              <w:t>EGP mn</w:t>
            </w:r>
          </w:p>
        </w:tc>
        <w:tc>
          <w:tcPr>
            <w:tcW w:type="dxa" w:w="907"/>
            <w:shd w:val="clear" w:color="auto" w:fill="EAF0EE"/>
          </w:tcPr>
          <w:p>
            <w:pPr>
              <w:spacing w:after="20"/>
            </w:pPr>
            <w:r>
              <w:rPr>
                <w:b/>
                <w:color w:val="1C3A36"/>
                <w:sz w:val="15"/>
              </w:rPr>
              <w:t>Jun-23</w:t>
            </w:r>
          </w:p>
        </w:tc>
        <w:tc>
          <w:tcPr>
            <w:tcW w:type="dxa" w:w="907"/>
            <w:shd w:val="clear" w:color="auto" w:fill="EAF0EE"/>
          </w:tcPr>
          <w:p>
            <w:pPr>
              <w:spacing w:after="20"/>
            </w:pPr>
            <w:r>
              <w:rPr>
                <w:b/>
                <w:color w:val="1C3A36"/>
                <w:sz w:val="15"/>
              </w:rPr>
              <w:t>Jun-24</w:t>
            </w:r>
          </w:p>
        </w:tc>
        <w:tc>
          <w:tcPr>
            <w:tcW w:type="dxa" w:w="907"/>
            <w:shd w:val="clear" w:color="auto" w:fill="EAF0EE"/>
          </w:tcPr>
          <w:p>
            <w:pPr>
              <w:spacing w:after="20"/>
            </w:pPr>
            <w:r>
              <w:rPr>
                <w:b/>
                <w:color w:val="1C3A36"/>
                <w:sz w:val="15"/>
              </w:rPr>
              <w:t>Jun-25</w:t>
            </w:r>
          </w:p>
        </w:tc>
        <w:tc>
          <w:tcPr>
            <w:tcW w:type="dxa" w:w="907"/>
            <w:shd w:val="clear" w:color="auto" w:fill="EAF0EE"/>
          </w:tcPr>
          <w:p>
            <w:pPr>
              <w:spacing w:after="20"/>
            </w:pPr>
            <w:r>
              <w:rPr>
                <w:b/>
                <w:color w:val="1C3A36"/>
                <w:sz w:val="15"/>
              </w:rPr>
              <w:t>CY2025</w:t>
            </w:r>
          </w:p>
        </w:tc>
        <w:tc>
          <w:tcPr>
            <w:tcW w:type="dxa" w:w="893"/>
            <w:shd w:val="clear" w:color="auto" w:fill="EAF0EE"/>
          </w:tcPr>
          <w:p>
            <w:pPr>
              <w:spacing w:after="20"/>
            </w:pPr>
            <w:r>
              <w:rPr>
                <w:b/>
                <w:color w:val="1C3A36"/>
                <w:sz w:val="15"/>
              </w:rPr>
              <w:t>2026E</w:t>
            </w:r>
          </w:p>
        </w:tc>
        <w:tc>
          <w:tcPr>
            <w:tcW w:type="dxa" w:w="893"/>
            <w:shd w:val="clear" w:color="auto" w:fill="EAF0EE"/>
          </w:tcPr>
          <w:p>
            <w:pPr>
              <w:spacing w:after="20"/>
            </w:pPr>
            <w:r>
              <w:rPr>
                <w:b/>
                <w:color w:val="1C3A36"/>
                <w:sz w:val="15"/>
              </w:rPr>
              <w:t>2027E</w:t>
            </w:r>
          </w:p>
        </w:tc>
        <w:tc>
          <w:tcPr>
            <w:tcW w:type="dxa" w:w="893"/>
            <w:shd w:val="clear" w:color="auto" w:fill="EAF0EE"/>
          </w:tcPr>
          <w:p>
            <w:pPr>
              <w:spacing w:after="20"/>
            </w:pPr>
            <w:r>
              <w:rPr>
                <w:b/>
                <w:color w:val="1C3A36"/>
                <w:sz w:val="15"/>
              </w:rPr>
              <w:t>2028E</w:t>
            </w:r>
          </w:p>
        </w:tc>
        <w:tc>
          <w:tcPr>
            <w:tcW w:type="dxa" w:w="893"/>
            <w:shd w:val="clear" w:color="auto" w:fill="EAF0EE"/>
          </w:tcPr>
          <w:p>
            <w:pPr>
              <w:spacing w:after="20"/>
            </w:pPr>
            <w:r>
              <w:rPr>
                <w:b/>
                <w:color w:val="1C3A36"/>
                <w:sz w:val="15"/>
              </w:rPr>
              <w:t>2029E</w:t>
            </w:r>
          </w:p>
        </w:tc>
        <w:tc>
          <w:tcPr>
            <w:tcW w:type="dxa" w:w="893"/>
            <w:shd w:val="clear" w:color="auto" w:fill="EAF0EE"/>
          </w:tcPr>
          <w:p>
            <w:pPr>
              <w:spacing w:after="20"/>
            </w:pPr>
            <w:r>
              <w:rPr>
                <w:b/>
                <w:color w:val="1C3A36"/>
                <w:sz w:val="15"/>
              </w:rPr>
              <w:t>2030E</w:t>
            </w:r>
          </w:p>
        </w:tc>
      </w:tr>
      <w:tr>
        <w:tc>
          <w:tcPr>
            <w:tcW w:type="dxa" w:w="2333"/>
          </w:tcPr>
          <w:p>
            <w:pPr>
              <w:spacing w:after="20"/>
            </w:pPr>
            <w:r>
              <w:rPr>
                <w:color w:val="1C3A36"/>
                <w:sz w:val="15"/>
              </w:rPr>
              <w:t>Revenue</w:t>
            </w:r>
          </w:p>
        </w:tc>
        <w:tc>
          <w:tcPr>
            <w:tcW w:type="dxa" w:w="907"/>
          </w:tcPr>
          <w:p>
            <w:pPr>
              <w:spacing w:after="20"/>
              <w:jc w:val="right"/>
            </w:pPr>
            <w:r>
              <w:rPr>
                <w:color w:val="1C3A36"/>
                <w:sz w:val="15"/>
              </w:rPr>
              <w:t>22,516</w:t>
            </w:r>
          </w:p>
        </w:tc>
        <w:tc>
          <w:tcPr>
            <w:tcW w:type="dxa" w:w="907"/>
          </w:tcPr>
          <w:p>
            <w:pPr>
              <w:spacing w:after="20"/>
              <w:jc w:val="right"/>
            </w:pPr>
            <w:r>
              <w:rPr>
                <w:color w:val="1C3A36"/>
                <w:sz w:val="15"/>
              </w:rPr>
              <w:t>33,536</w:t>
            </w:r>
          </w:p>
        </w:tc>
        <w:tc>
          <w:tcPr>
            <w:tcW w:type="dxa" w:w="907"/>
          </w:tcPr>
          <w:p>
            <w:pPr>
              <w:spacing w:after="20"/>
              <w:jc w:val="right"/>
            </w:pPr>
            <w:r>
              <w:rPr>
                <w:color w:val="1C3A36"/>
                <w:sz w:val="15"/>
              </w:rPr>
              <w:t>37,507</w:t>
            </w:r>
          </w:p>
        </w:tc>
        <w:tc>
          <w:tcPr>
            <w:tcW w:type="dxa" w:w="907"/>
          </w:tcPr>
          <w:p>
            <w:pPr>
              <w:spacing w:after="20"/>
              <w:jc w:val="right"/>
            </w:pPr>
            <w:r>
              <w:rPr>
                <w:color w:val="1C3A36"/>
                <w:sz w:val="15"/>
              </w:rPr>
              <w:t>39,996</w:t>
            </w:r>
          </w:p>
        </w:tc>
        <w:tc>
          <w:tcPr>
            <w:tcW w:type="dxa" w:w="893"/>
          </w:tcPr>
          <w:p>
            <w:pPr>
              <w:spacing w:after="20"/>
              <w:jc w:val="right"/>
            </w:pPr>
            <w:r>
              <w:rPr>
                <w:color w:val="1C3A36"/>
                <w:sz w:val="15"/>
              </w:rPr>
              <w:t>44,752</w:t>
            </w:r>
          </w:p>
        </w:tc>
        <w:tc>
          <w:tcPr>
            <w:tcW w:type="dxa" w:w="893"/>
          </w:tcPr>
          <w:p>
            <w:pPr>
              <w:spacing w:after="20"/>
              <w:jc w:val="right"/>
            </w:pPr>
            <w:r>
              <w:rPr>
                <w:color w:val="1C3A36"/>
                <w:sz w:val="15"/>
              </w:rPr>
              <w:t>49,913</w:t>
            </w:r>
          </w:p>
        </w:tc>
        <w:tc>
          <w:tcPr>
            <w:tcW w:type="dxa" w:w="893"/>
          </w:tcPr>
          <w:p>
            <w:pPr>
              <w:spacing w:after="20"/>
              <w:jc w:val="right"/>
            </w:pPr>
            <w:r>
              <w:rPr>
                <w:color w:val="1C3A36"/>
                <w:sz w:val="15"/>
              </w:rPr>
              <w:t>55,118</w:t>
            </w:r>
          </w:p>
        </w:tc>
        <w:tc>
          <w:tcPr>
            <w:tcW w:type="dxa" w:w="893"/>
          </w:tcPr>
          <w:p>
            <w:pPr>
              <w:spacing w:after="20"/>
              <w:jc w:val="right"/>
            </w:pPr>
            <w:r>
              <w:rPr>
                <w:color w:val="1C3A36"/>
                <w:sz w:val="15"/>
              </w:rPr>
              <w:t>60,254</w:t>
            </w:r>
          </w:p>
        </w:tc>
        <w:tc>
          <w:tcPr>
            <w:tcW w:type="dxa" w:w="893"/>
          </w:tcPr>
          <w:p>
            <w:pPr>
              <w:spacing w:after="20"/>
              <w:jc w:val="right"/>
            </w:pPr>
            <w:r>
              <w:rPr>
                <w:color w:val="1C3A36"/>
                <w:sz w:val="15"/>
              </w:rPr>
              <w:t>65,338</w:t>
            </w:r>
          </w:p>
        </w:tc>
      </w:tr>
      <w:tr>
        <w:tc>
          <w:tcPr>
            <w:tcW w:type="dxa" w:w="2333"/>
          </w:tcPr>
          <w:p>
            <w:pPr>
              <w:spacing w:after="20"/>
            </w:pPr>
            <w:r>
              <w:rPr>
                <w:color w:val="1C3A36"/>
                <w:sz w:val="15"/>
              </w:rPr>
              <w:t>Gross profit</w:t>
            </w:r>
          </w:p>
        </w:tc>
        <w:tc>
          <w:tcPr>
            <w:tcW w:type="dxa" w:w="907"/>
          </w:tcPr>
          <w:p>
            <w:pPr>
              <w:spacing w:after="20"/>
              <w:jc w:val="right"/>
            </w:pPr>
            <w:r>
              <w:rPr>
                <w:color w:val="1C3A36"/>
                <w:sz w:val="15"/>
              </w:rPr>
              <w:t>1,297</w:t>
            </w:r>
          </w:p>
        </w:tc>
        <w:tc>
          <w:tcPr>
            <w:tcW w:type="dxa" w:w="907"/>
          </w:tcPr>
          <w:p>
            <w:pPr>
              <w:spacing w:after="20"/>
              <w:jc w:val="right"/>
            </w:pPr>
            <w:r>
              <w:rPr>
                <w:color w:val="1C3A36"/>
                <w:sz w:val="15"/>
              </w:rPr>
              <w:t>2,012</w:t>
            </w:r>
          </w:p>
        </w:tc>
        <w:tc>
          <w:tcPr>
            <w:tcW w:type="dxa" w:w="907"/>
          </w:tcPr>
          <w:p>
            <w:pPr>
              <w:spacing w:after="20"/>
              <w:jc w:val="right"/>
            </w:pPr>
            <w:r>
              <w:rPr>
                <w:color w:val="1C3A36"/>
                <w:sz w:val="15"/>
              </w:rPr>
              <w:t>2,325</w:t>
            </w:r>
          </w:p>
        </w:tc>
        <w:tc>
          <w:tcPr>
            <w:tcW w:type="dxa" w:w="907"/>
          </w:tcPr>
          <w:p>
            <w:pPr>
              <w:spacing w:after="20"/>
              <w:jc w:val="right"/>
            </w:pPr>
            <w:r>
              <w:rPr>
                <w:color w:val="1C3A36"/>
                <w:sz w:val="15"/>
              </w:rPr>
              <w:t>2,560</w:t>
            </w:r>
          </w:p>
        </w:tc>
        <w:tc>
          <w:tcPr>
            <w:tcW w:type="dxa" w:w="893"/>
          </w:tcPr>
          <w:p>
            <w:pPr>
              <w:spacing w:after="20"/>
              <w:jc w:val="right"/>
            </w:pPr>
            <w:r>
              <w:rPr>
                <w:color w:val="1C3A36"/>
                <w:sz w:val="15"/>
              </w:rPr>
              <w:t>2,897</w:t>
            </w:r>
          </w:p>
        </w:tc>
        <w:tc>
          <w:tcPr>
            <w:tcW w:type="dxa" w:w="893"/>
          </w:tcPr>
          <w:p>
            <w:pPr>
              <w:spacing w:after="20"/>
              <w:jc w:val="right"/>
            </w:pPr>
            <w:r>
              <w:rPr>
                <w:color w:val="1C3A36"/>
                <w:sz w:val="15"/>
              </w:rPr>
              <w:t>3,254</w:t>
            </w:r>
          </w:p>
        </w:tc>
        <w:tc>
          <w:tcPr>
            <w:tcW w:type="dxa" w:w="893"/>
          </w:tcPr>
          <w:p>
            <w:pPr>
              <w:spacing w:after="20"/>
              <w:jc w:val="right"/>
            </w:pPr>
            <w:r>
              <w:rPr>
                <w:color w:val="1C3A36"/>
                <w:sz w:val="15"/>
              </w:rPr>
              <w:t>3,610</w:t>
            </w:r>
          </w:p>
        </w:tc>
        <w:tc>
          <w:tcPr>
            <w:tcW w:type="dxa" w:w="893"/>
          </w:tcPr>
          <w:p>
            <w:pPr>
              <w:spacing w:after="20"/>
              <w:jc w:val="right"/>
            </w:pPr>
            <w:r>
              <w:rPr>
                <w:color w:val="1C3A36"/>
                <w:sz w:val="15"/>
              </w:rPr>
              <w:t>3,960</w:t>
            </w:r>
          </w:p>
        </w:tc>
        <w:tc>
          <w:tcPr>
            <w:tcW w:type="dxa" w:w="893"/>
          </w:tcPr>
          <w:p>
            <w:pPr>
              <w:spacing w:after="20"/>
              <w:jc w:val="right"/>
            </w:pPr>
            <w:r>
              <w:rPr>
                <w:color w:val="1C3A36"/>
                <w:sz w:val="15"/>
              </w:rPr>
              <w:t>4,309</w:t>
            </w:r>
          </w:p>
        </w:tc>
      </w:tr>
      <w:tr>
        <w:tc>
          <w:tcPr>
            <w:tcW w:type="dxa" w:w="2333"/>
          </w:tcPr>
          <w:p>
            <w:pPr>
              <w:spacing w:after="20"/>
            </w:pPr>
            <w:r>
              <w:rPr>
                <w:color w:val="1C3A36"/>
                <w:sz w:val="15"/>
              </w:rPr>
              <w:t>Gross margin</w:t>
            </w:r>
          </w:p>
        </w:tc>
        <w:tc>
          <w:tcPr>
            <w:tcW w:type="dxa" w:w="907"/>
          </w:tcPr>
          <w:p>
            <w:pPr>
              <w:spacing w:after="20"/>
              <w:jc w:val="right"/>
            </w:pPr>
            <w:r>
              <w:rPr>
                <w:color w:val="1C3A36"/>
                <w:sz w:val="15"/>
              </w:rPr>
              <w:t>5.76%</w:t>
            </w:r>
          </w:p>
        </w:tc>
        <w:tc>
          <w:tcPr>
            <w:tcW w:type="dxa" w:w="907"/>
          </w:tcPr>
          <w:p>
            <w:pPr>
              <w:spacing w:after="20"/>
              <w:jc w:val="right"/>
            </w:pPr>
            <w:r>
              <w:rPr>
                <w:color w:val="1C3A36"/>
                <w:sz w:val="15"/>
              </w:rPr>
              <w:t>6.00%</w:t>
            </w:r>
          </w:p>
        </w:tc>
        <w:tc>
          <w:tcPr>
            <w:tcW w:type="dxa" w:w="907"/>
          </w:tcPr>
          <w:p>
            <w:pPr>
              <w:spacing w:after="20"/>
              <w:jc w:val="right"/>
            </w:pPr>
            <w:r>
              <w:rPr>
                <w:color w:val="1C3A36"/>
                <w:sz w:val="15"/>
              </w:rPr>
              <w:t>6.20%</w:t>
            </w:r>
          </w:p>
        </w:tc>
        <w:tc>
          <w:tcPr>
            <w:tcW w:type="dxa" w:w="907"/>
          </w:tcPr>
          <w:p>
            <w:pPr>
              <w:spacing w:after="20"/>
              <w:jc w:val="right"/>
            </w:pPr>
            <w:r>
              <w:rPr>
                <w:color w:val="1C3A36"/>
                <w:sz w:val="15"/>
              </w:rPr>
              <w:t>6.40%</w:t>
            </w:r>
          </w:p>
        </w:tc>
        <w:tc>
          <w:tcPr>
            <w:tcW w:type="dxa" w:w="893"/>
          </w:tcPr>
          <w:p>
            <w:pPr>
              <w:spacing w:after="20"/>
              <w:jc w:val="right"/>
            </w:pPr>
            <w:r>
              <w:rPr>
                <w:color w:val="1C3A36"/>
                <w:sz w:val="15"/>
              </w:rPr>
              <w:t>6.47%</w:t>
            </w:r>
          </w:p>
        </w:tc>
        <w:tc>
          <w:tcPr>
            <w:tcW w:type="dxa" w:w="893"/>
          </w:tcPr>
          <w:p>
            <w:pPr>
              <w:spacing w:after="20"/>
              <w:jc w:val="right"/>
            </w:pPr>
            <w:r>
              <w:rPr>
                <w:color w:val="1C3A36"/>
                <w:sz w:val="15"/>
              </w:rPr>
              <w:t>6.52%</w:t>
            </w:r>
          </w:p>
        </w:tc>
        <w:tc>
          <w:tcPr>
            <w:tcW w:type="dxa" w:w="893"/>
          </w:tcPr>
          <w:p>
            <w:pPr>
              <w:spacing w:after="20"/>
              <w:jc w:val="right"/>
            </w:pPr>
            <w:r>
              <w:rPr>
                <w:color w:val="1C3A36"/>
                <w:sz w:val="15"/>
              </w:rPr>
              <w:t>6.55%</w:t>
            </w:r>
          </w:p>
        </w:tc>
        <w:tc>
          <w:tcPr>
            <w:tcW w:type="dxa" w:w="893"/>
          </w:tcPr>
          <w:p>
            <w:pPr>
              <w:spacing w:after="20"/>
              <w:jc w:val="right"/>
            </w:pPr>
            <w:r>
              <w:rPr>
                <w:color w:val="1C3A36"/>
                <w:sz w:val="15"/>
              </w:rPr>
              <w:t>6.57%</w:t>
            </w:r>
          </w:p>
        </w:tc>
        <w:tc>
          <w:tcPr>
            <w:tcW w:type="dxa" w:w="893"/>
          </w:tcPr>
          <w:p>
            <w:pPr>
              <w:spacing w:after="20"/>
              <w:jc w:val="right"/>
            </w:pPr>
            <w:r>
              <w:rPr>
                <w:color w:val="1C3A36"/>
                <w:sz w:val="15"/>
              </w:rPr>
              <w:t>6.59%</w:t>
            </w:r>
          </w:p>
        </w:tc>
      </w:tr>
      <w:tr>
        <w:tc>
          <w:tcPr>
            <w:tcW w:type="dxa" w:w="2333"/>
          </w:tcPr>
          <w:p>
            <w:pPr>
              <w:spacing w:after="20"/>
            </w:pPr>
            <w:r>
              <w:rPr>
                <w:color w:val="1C3A36"/>
                <w:sz w:val="15"/>
              </w:rPr>
              <w:t>Operating cost load</w:t>
            </w:r>
          </w:p>
        </w:tc>
        <w:tc>
          <w:tcPr>
            <w:tcW w:type="dxa" w:w="907"/>
          </w:tcPr>
          <w:p>
            <w:pPr>
              <w:spacing w:after="20"/>
              <w:jc w:val="right"/>
            </w:pPr>
            <w:r>
              <w:rPr>
                <w:color w:val="1C3A36"/>
                <w:sz w:val="15"/>
              </w:rPr>
              <w:t>(281)</w:t>
            </w:r>
          </w:p>
        </w:tc>
        <w:tc>
          <w:tcPr>
            <w:tcW w:type="dxa" w:w="907"/>
          </w:tcPr>
          <w:p>
            <w:pPr>
              <w:spacing w:after="20"/>
              <w:jc w:val="right"/>
            </w:pPr>
            <w:r>
              <w:rPr>
                <w:color w:val="1C3A36"/>
                <w:sz w:val="15"/>
              </w:rPr>
              <w:t>(419)</w:t>
            </w:r>
          </w:p>
        </w:tc>
        <w:tc>
          <w:tcPr>
            <w:tcW w:type="dxa" w:w="907"/>
          </w:tcPr>
          <w:p>
            <w:pPr>
              <w:spacing w:after="20"/>
              <w:jc w:val="right"/>
            </w:pPr>
            <w:r>
              <w:rPr>
                <w:color w:val="1C3A36"/>
                <w:sz w:val="15"/>
              </w:rPr>
              <w:t>(469)</w:t>
            </w:r>
          </w:p>
        </w:tc>
        <w:tc>
          <w:tcPr>
            <w:tcW w:type="dxa" w:w="907"/>
          </w:tcPr>
          <w:p>
            <w:pPr>
              <w:spacing w:after="20"/>
              <w:jc w:val="right"/>
            </w:pPr>
            <w:r>
              <w:rPr>
                <w:color w:val="1C3A36"/>
                <w:sz w:val="15"/>
              </w:rPr>
              <w:t>(500)</w:t>
            </w:r>
          </w:p>
        </w:tc>
        <w:tc>
          <w:tcPr>
            <w:tcW w:type="dxa" w:w="893"/>
          </w:tcPr>
          <w:p>
            <w:pPr>
              <w:spacing w:after="20"/>
              <w:jc w:val="right"/>
            </w:pPr>
            <w:r>
              <w:rPr>
                <w:color w:val="1C3A36"/>
                <w:sz w:val="15"/>
              </w:rPr>
              <w:t>(559)</w:t>
            </w:r>
          </w:p>
        </w:tc>
        <w:tc>
          <w:tcPr>
            <w:tcW w:type="dxa" w:w="893"/>
          </w:tcPr>
          <w:p>
            <w:pPr>
              <w:spacing w:after="20"/>
              <w:jc w:val="right"/>
            </w:pPr>
            <w:r>
              <w:rPr>
                <w:color w:val="1C3A36"/>
                <w:sz w:val="15"/>
              </w:rPr>
              <w:t>(624)</w:t>
            </w:r>
          </w:p>
        </w:tc>
        <w:tc>
          <w:tcPr>
            <w:tcW w:type="dxa" w:w="893"/>
          </w:tcPr>
          <w:p>
            <w:pPr>
              <w:spacing w:after="20"/>
              <w:jc w:val="right"/>
            </w:pPr>
            <w:r>
              <w:rPr>
                <w:color w:val="1C3A36"/>
                <w:sz w:val="15"/>
              </w:rPr>
              <w:t>(694)</w:t>
            </w:r>
          </w:p>
        </w:tc>
        <w:tc>
          <w:tcPr>
            <w:tcW w:type="dxa" w:w="893"/>
          </w:tcPr>
          <w:p>
            <w:pPr>
              <w:spacing w:after="20"/>
              <w:jc w:val="right"/>
            </w:pPr>
            <w:r>
              <w:rPr>
                <w:color w:val="1C3A36"/>
                <w:sz w:val="15"/>
              </w:rPr>
              <w:t>(765)</w:t>
            </w:r>
          </w:p>
        </w:tc>
        <w:tc>
          <w:tcPr>
            <w:tcW w:type="dxa" w:w="893"/>
          </w:tcPr>
          <w:p>
            <w:pPr>
              <w:spacing w:after="20"/>
              <w:jc w:val="right"/>
            </w:pPr>
            <w:r>
              <w:rPr>
                <w:color w:val="1C3A36"/>
                <w:sz w:val="15"/>
              </w:rPr>
              <w:t>(836)</w:t>
            </w:r>
          </w:p>
        </w:tc>
      </w:tr>
      <w:tr>
        <w:tc>
          <w:tcPr>
            <w:tcW w:type="dxa" w:w="2333"/>
            <w:shd w:val="clear" w:color="auto" w:fill="F6F1E6"/>
          </w:tcPr>
          <w:p>
            <w:pPr>
              <w:spacing w:after="20"/>
            </w:pPr>
            <w:r>
              <w:rPr>
                <w:b/>
                <w:color w:val="1C3A36"/>
                <w:sz w:val="15"/>
              </w:rPr>
              <w:t>EBITDA</w:t>
            </w:r>
          </w:p>
        </w:tc>
        <w:tc>
          <w:tcPr>
            <w:tcW w:type="dxa" w:w="907"/>
            <w:shd w:val="clear" w:color="auto" w:fill="F6F1E6"/>
          </w:tcPr>
          <w:p>
            <w:pPr>
              <w:spacing w:after="20"/>
              <w:jc w:val="right"/>
            </w:pPr>
            <w:r>
              <w:rPr>
                <w:b/>
                <w:color w:val="1C3A36"/>
                <w:sz w:val="15"/>
              </w:rPr>
              <w:t>1,015</w:t>
            </w:r>
          </w:p>
        </w:tc>
        <w:tc>
          <w:tcPr>
            <w:tcW w:type="dxa" w:w="907"/>
            <w:shd w:val="clear" w:color="auto" w:fill="F6F1E6"/>
          </w:tcPr>
          <w:p>
            <w:pPr>
              <w:spacing w:after="20"/>
              <w:jc w:val="right"/>
            </w:pPr>
            <w:r>
              <w:rPr>
                <w:b/>
                <w:color w:val="1C3A36"/>
                <w:sz w:val="15"/>
              </w:rPr>
              <w:t>1,593</w:t>
            </w:r>
          </w:p>
        </w:tc>
        <w:tc>
          <w:tcPr>
            <w:tcW w:type="dxa" w:w="907"/>
            <w:shd w:val="clear" w:color="auto" w:fill="F6F1E6"/>
          </w:tcPr>
          <w:p>
            <w:pPr>
              <w:spacing w:after="20"/>
              <w:jc w:val="right"/>
            </w:pPr>
            <w:r>
              <w:rPr>
                <w:b/>
                <w:color w:val="1C3A36"/>
                <w:sz w:val="15"/>
              </w:rPr>
              <w:t>1,857</w:t>
            </w:r>
          </w:p>
        </w:tc>
        <w:tc>
          <w:tcPr>
            <w:tcW w:type="dxa" w:w="907"/>
            <w:shd w:val="clear" w:color="auto" w:fill="F6F1E6"/>
          </w:tcPr>
          <w:p>
            <w:pPr>
              <w:spacing w:after="20"/>
              <w:jc w:val="right"/>
            </w:pPr>
            <w:r>
              <w:rPr>
                <w:b/>
                <w:color w:val="1C3A36"/>
                <w:sz w:val="15"/>
              </w:rPr>
              <w:t>2,060</w:t>
            </w:r>
          </w:p>
        </w:tc>
        <w:tc>
          <w:tcPr>
            <w:tcW w:type="dxa" w:w="893"/>
            <w:shd w:val="clear" w:color="auto" w:fill="F6F1E6"/>
          </w:tcPr>
          <w:p>
            <w:pPr>
              <w:spacing w:after="20"/>
              <w:jc w:val="right"/>
            </w:pPr>
            <w:r>
              <w:rPr>
                <w:b/>
                <w:color w:val="1C3A36"/>
                <w:sz w:val="15"/>
              </w:rPr>
              <w:t>2,337</w:t>
            </w:r>
          </w:p>
        </w:tc>
        <w:tc>
          <w:tcPr>
            <w:tcW w:type="dxa" w:w="893"/>
            <w:shd w:val="clear" w:color="auto" w:fill="F6F1E6"/>
          </w:tcPr>
          <w:p>
            <w:pPr>
              <w:spacing w:after="20"/>
              <w:jc w:val="right"/>
            </w:pPr>
            <w:r>
              <w:rPr>
                <w:b/>
                <w:color w:val="1C3A36"/>
                <w:sz w:val="15"/>
              </w:rPr>
              <w:t>2,630</w:t>
            </w:r>
          </w:p>
        </w:tc>
        <w:tc>
          <w:tcPr>
            <w:tcW w:type="dxa" w:w="893"/>
            <w:shd w:val="clear" w:color="auto" w:fill="F6F1E6"/>
          </w:tcPr>
          <w:p>
            <w:pPr>
              <w:spacing w:after="20"/>
              <w:jc w:val="right"/>
            </w:pPr>
            <w:r>
              <w:rPr>
                <w:b/>
                <w:color w:val="1C3A36"/>
                <w:sz w:val="15"/>
              </w:rPr>
              <w:t>2,915</w:t>
            </w:r>
          </w:p>
        </w:tc>
        <w:tc>
          <w:tcPr>
            <w:tcW w:type="dxa" w:w="893"/>
            <w:shd w:val="clear" w:color="auto" w:fill="F6F1E6"/>
          </w:tcPr>
          <w:p>
            <w:pPr>
              <w:spacing w:after="20"/>
              <w:jc w:val="right"/>
            </w:pPr>
            <w:r>
              <w:rPr>
                <w:b/>
                <w:color w:val="1C3A36"/>
                <w:sz w:val="15"/>
              </w:rPr>
              <w:t>3,195</w:t>
            </w:r>
          </w:p>
        </w:tc>
        <w:tc>
          <w:tcPr>
            <w:tcW w:type="dxa" w:w="893"/>
            <w:shd w:val="clear" w:color="auto" w:fill="F6F1E6"/>
          </w:tcPr>
          <w:p>
            <w:pPr>
              <w:spacing w:after="20"/>
              <w:jc w:val="right"/>
            </w:pPr>
            <w:r>
              <w:rPr>
                <w:b/>
                <w:color w:val="1C3A36"/>
                <w:sz w:val="15"/>
              </w:rPr>
              <w:t>3,472</w:t>
            </w:r>
          </w:p>
        </w:tc>
      </w:tr>
      <w:tr>
        <w:tc>
          <w:tcPr>
            <w:tcW w:type="dxa" w:w="2333"/>
          </w:tcPr>
          <w:p>
            <w:pPr>
              <w:spacing w:after="20"/>
            </w:pPr>
            <w:r>
              <w:rPr>
                <w:color w:val="1C3A36"/>
                <w:sz w:val="15"/>
              </w:rPr>
              <w:t>EBITDA margin</w:t>
            </w:r>
          </w:p>
        </w:tc>
        <w:tc>
          <w:tcPr>
            <w:tcW w:type="dxa" w:w="907"/>
          </w:tcPr>
          <w:p>
            <w:pPr>
              <w:spacing w:after="20"/>
              <w:jc w:val="right"/>
            </w:pPr>
            <w:r>
              <w:rPr>
                <w:color w:val="1C3A36"/>
                <w:sz w:val="15"/>
              </w:rPr>
              <w:t>4.51%</w:t>
            </w:r>
          </w:p>
        </w:tc>
        <w:tc>
          <w:tcPr>
            <w:tcW w:type="dxa" w:w="907"/>
          </w:tcPr>
          <w:p>
            <w:pPr>
              <w:spacing w:after="20"/>
              <w:jc w:val="right"/>
            </w:pPr>
            <w:r>
              <w:rPr>
                <w:color w:val="1C3A36"/>
                <w:sz w:val="15"/>
              </w:rPr>
              <w:t>4.75%</w:t>
            </w:r>
          </w:p>
        </w:tc>
        <w:tc>
          <w:tcPr>
            <w:tcW w:type="dxa" w:w="907"/>
          </w:tcPr>
          <w:p>
            <w:pPr>
              <w:spacing w:after="20"/>
              <w:jc w:val="right"/>
            </w:pPr>
            <w:r>
              <w:rPr>
                <w:color w:val="1C3A36"/>
                <w:sz w:val="15"/>
              </w:rPr>
              <w:t>4.95%</w:t>
            </w:r>
          </w:p>
        </w:tc>
        <w:tc>
          <w:tcPr>
            <w:tcW w:type="dxa" w:w="907"/>
          </w:tcPr>
          <w:p>
            <w:pPr>
              <w:spacing w:after="20"/>
              <w:jc w:val="right"/>
            </w:pPr>
            <w:r>
              <w:rPr>
                <w:color w:val="1C3A36"/>
                <w:sz w:val="15"/>
              </w:rPr>
              <w:t>5.15%</w:t>
            </w:r>
          </w:p>
        </w:tc>
        <w:tc>
          <w:tcPr>
            <w:tcW w:type="dxa" w:w="893"/>
          </w:tcPr>
          <w:p>
            <w:pPr>
              <w:spacing w:after="20"/>
              <w:jc w:val="right"/>
            </w:pPr>
            <w:r>
              <w:rPr>
                <w:color w:val="1C3A36"/>
                <w:sz w:val="15"/>
              </w:rPr>
              <w:t>5.22%</w:t>
            </w:r>
          </w:p>
        </w:tc>
        <w:tc>
          <w:tcPr>
            <w:tcW w:type="dxa" w:w="893"/>
          </w:tcPr>
          <w:p>
            <w:pPr>
              <w:spacing w:after="20"/>
              <w:jc w:val="right"/>
            </w:pPr>
            <w:r>
              <w:rPr>
                <w:color w:val="1C3A36"/>
                <w:sz w:val="15"/>
              </w:rPr>
              <w:t>5.27%</w:t>
            </w:r>
          </w:p>
        </w:tc>
        <w:tc>
          <w:tcPr>
            <w:tcW w:type="dxa" w:w="893"/>
          </w:tcPr>
          <w:p>
            <w:pPr>
              <w:spacing w:after="20"/>
              <w:jc w:val="right"/>
            </w:pPr>
            <w:r>
              <w:rPr>
                <w:color w:val="1C3A36"/>
                <w:sz w:val="15"/>
              </w:rPr>
              <w:t>5.29%</w:t>
            </w:r>
          </w:p>
        </w:tc>
        <w:tc>
          <w:tcPr>
            <w:tcW w:type="dxa" w:w="893"/>
          </w:tcPr>
          <w:p>
            <w:pPr>
              <w:spacing w:after="20"/>
              <w:jc w:val="right"/>
            </w:pPr>
            <w:r>
              <w:rPr>
                <w:color w:val="1C3A36"/>
                <w:sz w:val="15"/>
              </w:rPr>
              <w:t>5.30%</w:t>
            </w:r>
          </w:p>
        </w:tc>
        <w:tc>
          <w:tcPr>
            <w:tcW w:type="dxa" w:w="893"/>
          </w:tcPr>
          <w:p>
            <w:pPr>
              <w:spacing w:after="20"/>
              <w:jc w:val="right"/>
            </w:pPr>
            <w:r>
              <w:rPr>
                <w:color w:val="1C3A36"/>
                <w:sz w:val="15"/>
              </w:rPr>
              <w:t>5.31%</w:t>
            </w:r>
          </w:p>
        </w:tc>
      </w:tr>
      <w:tr>
        <w:tc>
          <w:tcPr>
            <w:tcW w:type="dxa" w:w="2333"/>
          </w:tcPr>
          <w:p>
            <w:pPr>
              <w:spacing w:after="20"/>
            </w:pPr>
            <w:r>
              <w:rPr>
                <w:color w:val="1C3A36"/>
                <w:sz w:val="15"/>
              </w:rPr>
              <w:t>Depreciation and amortisation</w:t>
            </w:r>
          </w:p>
        </w:tc>
        <w:tc>
          <w:tcPr>
            <w:tcW w:type="dxa" w:w="907"/>
          </w:tcPr>
          <w:p>
            <w:pPr>
              <w:spacing w:after="20"/>
              <w:jc w:val="right"/>
            </w:pPr>
            <w:r>
              <w:rPr>
                <w:color w:val="1C3A36"/>
                <w:sz w:val="15"/>
              </w:rPr>
              <w:t>(248)</w:t>
            </w:r>
          </w:p>
        </w:tc>
        <w:tc>
          <w:tcPr>
            <w:tcW w:type="dxa" w:w="907"/>
          </w:tcPr>
          <w:p>
            <w:pPr>
              <w:spacing w:after="20"/>
              <w:jc w:val="right"/>
            </w:pPr>
            <w:r>
              <w:rPr>
                <w:color w:val="1C3A36"/>
                <w:sz w:val="15"/>
              </w:rPr>
              <w:t>(369)</w:t>
            </w:r>
          </w:p>
        </w:tc>
        <w:tc>
          <w:tcPr>
            <w:tcW w:type="dxa" w:w="907"/>
          </w:tcPr>
          <w:p>
            <w:pPr>
              <w:spacing w:after="20"/>
              <w:jc w:val="right"/>
            </w:pPr>
            <w:r>
              <w:rPr>
                <w:color w:val="1C3A36"/>
                <w:sz w:val="15"/>
              </w:rPr>
              <w:t>(413)</w:t>
            </w:r>
          </w:p>
        </w:tc>
        <w:tc>
          <w:tcPr>
            <w:tcW w:type="dxa" w:w="907"/>
          </w:tcPr>
          <w:p>
            <w:pPr>
              <w:spacing w:after="20"/>
              <w:jc w:val="right"/>
            </w:pPr>
            <w:r>
              <w:rPr>
                <w:color w:val="1C3A36"/>
                <w:sz w:val="15"/>
              </w:rPr>
              <w:t>(440)</w:t>
            </w:r>
          </w:p>
        </w:tc>
        <w:tc>
          <w:tcPr>
            <w:tcW w:type="dxa" w:w="893"/>
          </w:tcPr>
          <w:p>
            <w:pPr>
              <w:spacing w:after="20"/>
              <w:jc w:val="right"/>
            </w:pPr>
            <w:r>
              <w:rPr>
                <w:color w:val="1C3A36"/>
                <w:sz w:val="15"/>
              </w:rPr>
              <w:t>(492)</w:t>
            </w:r>
          </w:p>
        </w:tc>
        <w:tc>
          <w:tcPr>
            <w:tcW w:type="dxa" w:w="893"/>
          </w:tcPr>
          <w:p>
            <w:pPr>
              <w:spacing w:after="20"/>
              <w:jc w:val="right"/>
            </w:pPr>
            <w:r>
              <w:rPr>
                <w:color w:val="1C3A36"/>
                <w:sz w:val="15"/>
              </w:rPr>
              <w:t>(549)</w:t>
            </w:r>
          </w:p>
        </w:tc>
        <w:tc>
          <w:tcPr>
            <w:tcW w:type="dxa" w:w="893"/>
          </w:tcPr>
          <w:p>
            <w:pPr>
              <w:spacing w:after="20"/>
              <w:jc w:val="right"/>
            </w:pPr>
            <w:r>
              <w:rPr>
                <w:color w:val="1C3A36"/>
                <w:sz w:val="15"/>
              </w:rPr>
              <w:t>(606)</w:t>
            </w:r>
          </w:p>
        </w:tc>
        <w:tc>
          <w:tcPr>
            <w:tcW w:type="dxa" w:w="893"/>
          </w:tcPr>
          <w:p>
            <w:pPr>
              <w:spacing w:after="20"/>
              <w:jc w:val="right"/>
            </w:pPr>
            <w:r>
              <w:rPr>
                <w:color w:val="1C3A36"/>
                <w:sz w:val="15"/>
              </w:rPr>
              <w:t>(663)</w:t>
            </w:r>
          </w:p>
        </w:tc>
        <w:tc>
          <w:tcPr>
            <w:tcW w:type="dxa" w:w="893"/>
          </w:tcPr>
          <w:p>
            <w:pPr>
              <w:spacing w:after="20"/>
              <w:jc w:val="right"/>
            </w:pPr>
            <w:r>
              <w:rPr>
                <w:color w:val="1C3A36"/>
                <w:sz w:val="15"/>
              </w:rPr>
              <w:t>(719)</w:t>
            </w:r>
          </w:p>
        </w:tc>
      </w:tr>
      <w:tr>
        <w:tc>
          <w:tcPr>
            <w:tcW w:type="dxa" w:w="2333"/>
            <w:shd w:val="clear" w:color="auto" w:fill="F6F1E6"/>
          </w:tcPr>
          <w:p>
            <w:pPr>
              <w:spacing w:after="20"/>
            </w:pPr>
            <w:r>
              <w:rPr>
                <w:b/>
                <w:color w:val="1C3A36"/>
                <w:sz w:val="15"/>
              </w:rPr>
              <w:t>EBIT</w:t>
            </w:r>
          </w:p>
        </w:tc>
        <w:tc>
          <w:tcPr>
            <w:tcW w:type="dxa" w:w="907"/>
            <w:shd w:val="clear" w:color="auto" w:fill="F6F1E6"/>
          </w:tcPr>
          <w:p>
            <w:pPr>
              <w:spacing w:after="20"/>
              <w:jc w:val="right"/>
            </w:pPr>
            <w:r>
              <w:rPr>
                <w:b/>
                <w:color w:val="1C3A36"/>
                <w:sz w:val="15"/>
              </w:rPr>
              <w:t>768</w:t>
            </w:r>
          </w:p>
        </w:tc>
        <w:tc>
          <w:tcPr>
            <w:tcW w:type="dxa" w:w="907"/>
            <w:shd w:val="clear" w:color="auto" w:fill="F6F1E6"/>
          </w:tcPr>
          <w:p>
            <w:pPr>
              <w:spacing w:after="20"/>
              <w:jc w:val="right"/>
            </w:pPr>
            <w:r>
              <w:rPr>
                <w:b/>
                <w:color w:val="1C3A36"/>
                <w:sz w:val="15"/>
              </w:rPr>
              <w:t>1,224</w:t>
            </w:r>
          </w:p>
        </w:tc>
        <w:tc>
          <w:tcPr>
            <w:tcW w:type="dxa" w:w="907"/>
            <w:shd w:val="clear" w:color="auto" w:fill="F6F1E6"/>
          </w:tcPr>
          <w:p>
            <w:pPr>
              <w:spacing w:after="20"/>
              <w:jc w:val="right"/>
            </w:pPr>
            <w:r>
              <w:rPr>
                <w:b/>
                <w:color w:val="1C3A36"/>
                <w:sz w:val="15"/>
              </w:rPr>
              <w:t>1,444</w:t>
            </w:r>
          </w:p>
        </w:tc>
        <w:tc>
          <w:tcPr>
            <w:tcW w:type="dxa" w:w="907"/>
            <w:shd w:val="clear" w:color="auto" w:fill="F6F1E6"/>
          </w:tcPr>
          <w:p>
            <w:pPr>
              <w:spacing w:after="20"/>
              <w:jc w:val="right"/>
            </w:pPr>
            <w:r>
              <w:rPr>
                <w:b/>
                <w:color w:val="1C3A36"/>
                <w:sz w:val="15"/>
              </w:rPr>
              <w:t>1,620</w:t>
            </w:r>
          </w:p>
        </w:tc>
        <w:tc>
          <w:tcPr>
            <w:tcW w:type="dxa" w:w="893"/>
            <w:shd w:val="clear" w:color="auto" w:fill="F6F1E6"/>
          </w:tcPr>
          <w:p>
            <w:pPr>
              <w:spacing w:after="20"/>
              <w:jc w:val="right"/>
            </w:pPr>
            <w:r>
              <w:rPr>
                <w:b/>
                <w:color w:val="1C3A36"/>
                <w:sz w:val="15"/>
              </w:rPr>
              <w:t>1,845</w:t>
            </w:r>
          </w:p>
        </w:tc>
        <w:tc>
          <w:tcPr>
            <w:tcW w:type="dxa" w:w="893"/>
            <w:shd w:val="clear" w:color="auto" w:fill="F6F1E6"/>
          </w:tcPr>
          <w:p>
            <w:pPr>
              <w:spacing w:after="20"/>
              <w:jc w:val="right"/>
            </w:pPr>
            <w:r>
              <w:rPr>
                <w:b/>
                <w:color w:val="1C3A36"/>
                <w:sz w:val="15"/>
              </w:rPr>
              <w:t>2,081</w:t>
            </w:r>
          </w:p>
        </w:tc>
        <w:tc>
          <w:tcPr>
            <w:tcW w:type="dxa" w:w="893"/>
            <w:shd w:val="clear" w:color="auto" w:fill="F6F1E6"/>
          </w:tcPr>
          <w:p>
            <w:pPr>
              <w:spacing w:after="20"/>
              <w:jc w:val="right"/>
            </w:pPr>
            <w:r>
              <w:rPr>
                <w:b/>
                <w:color w:val="1C3A36"/>
                <w:sz w:val="15"/>
              </w:rPr>
              <w:t>2,309</w:t>
            </w:r>
          </w:p>
        </w:tc>
        <w:tc>
          <w:tcPr>
            <w:tcW w:type="dxa" w:w="893"/>
            <w:shd w:val="clear" w:color="auto" w:fill="F6F1E6"/>
          </w:tcPr>
          <w:p>
            <w:pPr>
              <w:spacing w:after="20"/>
              <w:jc w:val="right"/>
            </w:pPr>
            <w:r>
              <w:rPr>
                <w:b/>
                <w:color w:val="1C3A36"/>
                <w:sz w:val="15"/>
              </w:rPr>
              <w:t>2,532</w:t>
            </w:r>
          </w:p>
        </w:tc>
        <w:tc>
          <w:tcPr>
            <w:tcW w:type="dxa" w:w="893"/>
            <w:shd w:val="clear" w:color="auto" w:fill="F6F1E6"/>
          </w:tcPr>
          <w:p>
            <w:pPr>
              <w:spacing w:after="20"/>
              <w:jc w:val="right"/>
            </w:pPr>
            <w:r>
              <w:rPr>
                <w:b/>
                <w:color w:val="1C3A36"/>
                <w:sz w:val="15"/>
              </w:rPr>
              <w:t>2,753</w:t>
            </w:r>
          </w:p>
        </w:tc>
      </w:tr>
      <w:tr>
        <w:tc>
          <w:tcPr>
            <w:tcW w:type="dxa" w:w="2333"/>
          </w:tcPr>
          <w:p>
            <w:pPr>
              <w:spacing w:after="20"/>
            </w:pPr>
            <w:r>
              <w:rPr>
                <w:color w:val="1C3A36"/>
                <w:sz w:val="15"/>
              </w:rPr>
              <w:t>Net finance income</w:t>
            </w:r>
          </w:p>
        </w:tc>
        <w:tc>
          <w:tcPr>
            <w:tcW w:type="dxa" w:w="907"/>
          </w:tcPr>
          <w:p>
            <w:pPr>
              <w:spacing w:after="20"/>
              <w:jc w:val="right"/>
            </w:pPr>
            <w:r>
              <w:rPr>
                <w:color w:val="1C3A36"/>
                <w:sz w:val="15"/>
              </w:rPr>
              <w:t>198</w:t>
            </w:r>
          </w:p>
        </w:tc>
        <w:tc>
          <w:tcPr>
            <w:tcW w:type="dxa" w:w="907"/>
          </w:tcPr>
          <w:p>
            <w:pPr>
              <w:spacing w:after="20"/>
              <w:jc w:val="right"/>
            </w:pPr>
            <w:r>
              <w:rPr>
                <w:color w:val="1C3A36"/>
                <w:sz w:val="15"/>
              </w:rPr>
              <w:t>295</w:t>
            </w:r>
          </w:p>
        </w:tc>
        <w:tc>
          <w:tcPr>
            <w:tcW w:type="dxa" w:w="907"/>
          </w:tcPr>
          <w:p>
            <w:pPr>
              <w:spacing w:after="20"/>
              <w:jc w:val="right"/>
            </w:pPr>
            <w:r>
              <w:rPr>
                <w:color w:val="1C3A36"/>
                <w:sz w:val="15"/>
              </w:rPr>
              <w:t>329</w:t>
            </w:r>
          </w:p>
        </w:tc>
        <w:tc>
          <w:tcPr>
            <w:tcW w:type="dxa" w:w="907"/>
          </w:tcPr>
          <w:p>
            <w:pPr>
              <w:spacing w:after="20"/>
              <w:jc w:val="right"/>
            </w:pPr>
            <w:r>
              <w:rPr>
                <w:color w:val="1C3A36"/>
                <w:sz w:val="15"/>
              </w:rPr>
              <w:t>413</w:t>
            </w:r>
          </w:p>
        </w:tc>
        <w:tc>
          <w:tcPr>
            <w:tcW w:type="dxa" w:w="893"/>
          </w:tcPr>
          <w:p>
            <w:pPr>
              <w:spacing w:after="20"/>
              <w:jc w:val="right"/>
            </w:pPr>
            <w:r>
              <w:rPr>
                <w:color w:val="1C3A36"/>
                <w:sz w:val="15"/>
              </w:rPr>
              <w:t>413</w:t>
            </w:r>
          </w:p>
        </w:tc>
        <w:tc>
          <w:tcPr>
            <w:tcW w:type="dxa" w:w="893"/>
          </w:tcPr>
          <w:p>
            <w:pPr>
              <w:spacing w:after="20"/>
              <w:jc w:val="right"/>
            </w:pPr>
            <w:r>
              <w:rPr>
                <w:color w:val="1C3A36"/>
                <w:sz w:val="15"/>
              </w:rPr>
              <w:t>411</w:t>
            </w:r>
          </w:p>
        </w:tc>
        <w:tc>
          <w:tcPr>
            <w:tcW w:type="dxa" w:w="893"/>
          </w:tcPr>
          <w:p>
            <w:pPr>
              <w:spacing w:after="20"/>
              <w:jc w:val="right"/>
            </w:pPr>
            <w:r>
              <w:rPr>
                <w:color w:val="1C3A36"/>
                <w:sz w:val="15"/>
              </w:rPr>
              <w:t>420</w:t>
            </w:r>
          </w:p>
        </w:tc>
        <w:tc>
          <w:tcPr>
            <w:tcW w:type="dxa" w:w="893"/>
          </w:tcPr>
          <w:p>
            <w:pPr>
              <w:spacing w:after="20"/>
              <w:jc w:val="right"/>
            </w:pPr>
            <w:r>
              <w:rPr>
                <w:color w:val="1C3A36"/>
                <w:sz w:val="15"/>
              </w:rPr>
              <w:t>444</w:t>
            </w:r>
          </w:p>
        </w:tc>
        <w:tc>
          <w:tcPr>
            <w:tcW w:type="dxa" w:w="893"/>
          </w:tcPr>
          <w:p>
            <w:pPr>
              <w:spacing w:after="20"/>
              <w:jc w:val="right"/>
            </w:pPr>
            <w:r>
              <w:rPr>
                <w:color w:val="1C3A36"/>
                <w:sz w:val="15"/>
              </w:rPr>
              <w:t>480</w:t>
            </w:r>
          </w:p>
        </w:tc>
      </w:tr>
      <w:tr>
        <w:tc>
          <w:tcPr>
            <w:tcW w:type="dxa" w:w="2333"/>
          </w:tcPr>
          <w:p>
            <w:pPr>
              <w:spacing w:after="20"/>
            </w:pPr>
            <w:r>
              <w:rPr>
                <w:color w:val="1C3A36"/>
                <w:sz w:val="15"/>
              </w:rPr>
              <w:t>Other and non-operating income</w:t>
            </w:r>
          </w:p>
        </w:tc>
        <w:tc>
          <w:tcPr>
            <w:tcW w:type="dxa" w:w="907"/>
          </w:tcPr>
          <w:p>
            <w:pPr>
              <w:spacing w:after="20"/>
              <w:jc w:val="right"/>
            </w:pPr>
            <w:r>
              <w:rPr>
                <w:color w:val="1C3A36"/>
                <w:sz w:val="15"/>
              </w:rPr>
              <w:t>760</w:t>
            </w:r>
          </w:p>
        </w:tc>
        <w:tc>
          <w:tcPr>
            <w:tcW w:type="dxa" w:w="907"/>
          </w:tcPr>
          <w:p>
            <w:pPr>
              <w:spacing w:after="20"/>
              <w:jc w:val="right"/>
            </w:pPr>
            <w:r>
              <w:rPr>
                <w:color w:val="1C3A36"/>
                <w:sz w:val="15"/>
              </w:rPr>
              <w:t>442</w:t>
            </w:r>
          </w:p>
        </w:tc>
        <w:tc>
          <w:tcPr>
            <w:tcW w:type="dxa" w:w="907"/>
          </w:tcPr>
          <w:p>
            <w:pPr>
              <w:spacing w:after="20"/>
              <w:jc w:val="right"/>
            </w:pPr>
            <w:r>
              <w:rPr>
                <w:color w:val="1C3A36"/>
                <w:sz w:val="15"/>
              </w:rPr>
              <w:t>253</w:t>
            </w:r>
          </w:p>
        </w:tc>
        <w:tc>
          <w:tcPr>
            <w:tcW w:type="dxa" w:w="907"/>
          </w:tcPr>
          <w:p>
            <w:pPr>
              <w:spacing w:after="20"/>
              <w:jc w:val="right"/>
            </w:pPr>
            <w:r>
              <w:rPr>
                <w:color w:val="1C3A36"/>
                <w:sz w:val="15"/>
              </w:rPr>
              <w:t>10</w:t>
            </w:r>
          </w:p>
        </w:tc>
        <w:tc>
          <w:tcPr>
            <w:tcW w:type="dxa" w:w="893"/>
          </w:tcPr>
          <w:p>
            <w:pPr>
              <w:spacing w:after="20"/>
              <w:jc w:val="right"/>
            </w:pPr>
            <w:r>
              <w:rPr>
                <w:color w:val="1C3A36"/>
                <w:sz w:val="15"/>
              </w:rPr>
              <w:t>—</w:t>
            </w:r>
          </w:p>
        </w:tc>
        <w:tc>
          <w:tcPr>
            <w:tcW w:type="dxa" w:w="893"/>
          </w:tcPr>
          <w:p>
            <w:pPr>
              <w:spacing w:after="20"/>
              <w:jc w:val="right"/>
            </w:pPr>
            <w:r>
              <w:rPr>
                <w:color w:val="1C3A36"/>
                <w:sz w:val="15"/>
              </w:rPr>
              <w:t>—</w:t>
            </w:r>
          </w:p>
        </w:tc>
        <w:tc>
          <w:tcPr>
            <w:tcW w:type="dxa" w:w="893"/>
          </w:tcPr>
          <w:p>
            <w:pPr>
              <w:spacing w:after="20"/>
              <w:jc w:val="right"/>
            </w:pPr>
            <w:r>
              <w:rPr>
                <w:color w:val="1C3A36"/>
                <w:sz w:val="15"/>
              </w:rPr>
              <w:t>—</w:t>
            </w:r>
          </w:p>
        </w:tc>
        <w:tc>
          <w:tcPr>
            <w:tcW w:type="dxa" w:w="893"/>
          </w:tcPr>
          <w:p>
            <w:pPr>
              <w:spacing w:after="20"/>
              <w:jc w:val="right"/>
            </w:pPr>
            <w:r>
              <w:rPr>
                <w:color w:val="1C3A36"/>
                <w:sz w:val="15"/>
              </w:rPr>
              <w:t>—</w:t>
            </w:r>
          </w:p>
        </w:tc>
        <w:tc>
          <w:tcPr>
            <w:tcW w:type="dxa" w:w="893"/>
          </w:tcPr>
          <w:p>
            <w:pPr>
              <w:spacing w:after="20"/>
              <w:jc w:val="right"/>
            </w:pPr>
            <w:r>
              <w:rPr>
                <w:color w:val="1C3A36"/>
                <w:sz w:val="15"/>
              </w:rPr>
              <w:t>—</w:t>
            </w:r>
          </w:p>
        </w:tc>
      </w:tr>
      <w:tr>
        <w:tc>
          <w:tcPr>
            <w:tcW w:type="dxa" w:w="2333"/>
          </w:tcPr>
          <w:p>
            <w:pPr>
              <w:spacing w:after="20"/>
            </w:pPr>
            <w:r>
              <w:rPr>
                <w:color w:val="1C3A36"/>
                <w:sz w:val="15"/>
              </w:rPr>
              <w:t>Profit before tax</w:t>
            </w:r>
          </w:p>
        </w:tc>
        <w:tc>
          <w:tcPr>
            <w:tcW w:type="dxa" w:w="907"/>
          </w:tcPr>
          <w:p>
            <w:pPr>
              <w:spacing w:after="20"/>
              <w:jc w:val="right"/>
            </w:pPr>
            <w:r>
              <w:rPr>
                <w:color w:val="1C3A36"/>
                <w:sz w:val="15"/>
              </w:rPr>
              <w:t>1,725</w:t>
            </w:r>
          </w:p>
        </w:tc>
        <w:tc>
          <w:tcPr>
            <w:tcW w:type="dxa" w:w="907"/>
          </w:tcPr>
          <w:p>
            <w:pPr>
              <w:spacing w:after="20"/>
              <w:jc w:val="right"/>
            </w:pPr>
            <w:r>
              <w:rPr>
                <w:color w:val="1C3A36"/>
                <w:sz w:val="15"/>
              </w:rPr>
              <w:t>1,961</w:t>
            </w:r>
          </w:p>
        </w:tc>
        <w:tc>
          <w:tcPr>
            <w:tcW w:type="dxa" w:w="907"/>
          </w:tcPr>
          <w:p>
            <w:pPr>
              <w:spacing w:after="20"/>
              <w:jc w:val="right"/>
            </w:pPr>
            <w:r>
              <w:rPr>
                <w:color w:val="1C3A36"/>
                <w:sz w:val="15"/>
              </w:rPr>
              <w:t>2,026</w:t>
            </w:r>
          </w:p>
        </w:tc>
        <w:tc>
          <w:tcPr>
            <w:tcW w:type="dxa" w:w="907"/>
          </w:tcPr>
          <w:p>
            <w:pPr>
              <w:spacing w:after="20"/>
              <w:jc w:val="right"/>
            </w:pPr>
            <w:r>
              <w:rPr>
                <w:color w:val="1C3A36"/>
                <w:sz w:val="15"/>
              </w:rPr>
              <w:t>2,043</w:t>
            </w:r>
          </w:p>
        </w:tc>
        <w:tc>
          <w:tcPr>
            <w:tcW w:type="dxa" w:w="893"/>
          </w:tcPr>
          <w:p>
            <w:pPr>
              <w:spacing w:after="20"/>
              <w:jc w:val="right"/>
            </w:pPr>
            <w:r>
              <w:rPr>
                <w:color w:val="1C3A36"/>
                <w:sz w:val="15"/>
              </w:rPr>
              <w:t>2,258</w:t>
            </w:r>
          </w:p>
        </w:tc>
        <w:tc>
          <w:tcPr>
            <w:tcW w:type="dxa" w:w="893"/>
          </w:tcPr>
          <w:p>
            <w:pPr>
              <w:spacing w:after="20"/>
              <w:jc w:val="right"/>
            </w:pPr>
            <w:r>
              <w:rPr>
                <w:color w:val="1C3A36"/>
                <w:sz w:val="15"/>
              </w:rPr>
              <w:t>2,492</w:t>
            </w:r>
          </w:p>
        </w:tc>
        <w:tc>
          <w:tcPr>
            <w:tcW w:type="dxa" w:w="893"/>
          </w:tcPr>
          <w:p>
            <w:pPr>
              <w:spacing w:after="20"/>
              <w:jc w:val="right"/>
            </w:pPr>
            <w:r>
              <w:rPr>
                <w:color w:val="1C3A36"/>
                <w:sz w:val="15"/>
              </w:rPr>
              <w:t>2,729</w:t>
            </w:r>
          </w:p>
        </w:tc>
        <w:tc>
          <w:tcPr>
            <w:tcW w:type="dxa" w:w="893"/>
          </w:tcPr>
          <w:p>
            <w:pPr>
              <w:spacing w:after="20"/>
              <w:jc w:val="right"/>
            </w:pPr>
            <w:r>
              <w:rPr>
                <w:color w:val="1C3A36"/>
                <w:sz w:val="15"/>
              </w:rPr>
              <w:t>2,976</w:t>
            </w:r>
          </w:p>
        </w:tc>
        <w:tc>
          <w:tcPr>
            <w:tcW w:type="dxa" w:w="893"/>
          </w:tcPr>
          <w:p>
            <w:pPr>
              <w:spacing w:after="20"/>
              <w:jc w:val="right"/>
            </w:pPr>
            <w:r>
              <w:rPr>
                <w:color w:val="1C3A36"/>
                <w:sz w:val="15"/>
              </w:rPr>
              <w:t>3,234</w:t>
            </w:r>
          </w:p>
        </w:tc>
      </w:tr>
      <w:tr>
        <w:tc>
          <w:tcPr>
            <w:tcW w:type="dxa" w:w="2333"/>
          </w:tcPr>
          <w:p>
            <w:pPr>
              <w:spacing w:after="20"/>
            </w:pPr>
            <w:r>
              <w:rPr>
                <w:color w:val="1C3A36"/>
                <w:sz w:val="15"/>
              </w:rPr>
              <w:t>Tax</w:t>
            </w:r>
          </w:p>
        </w:tc>
        <w:tc>
          <w:tcPr>
            <w:tcW w:type="dxa" w:w="907"/>
          </w:tcPr>
          <w:p>
            <w:pPr>
              <w:spacing w:after="20"/>
              <w:jc w:val="right"/>
            </w:pPr>
            <w:r>
              <w:rPr>
                <w:color w:val="1C3A36"/>
                <w:sz w:val="15"/>
              </w:rPr>
              <w:t>(405)</w:t>
            </w:r>
          </w:p>
        </w:tc>
        <w:tc>
          <w:tcPr>
            <w:tcW w:type="dxa" w:w="907"/>
          </w:tcPr>
          <w:p>
            <w:pPr>
              <w:spacing w:after="20"/>
              <w:jc w:val="right"/>
            </w:pPr>
            <w:r>
              <w:rPr>
                <w:color w:val="1C3A36"/>
                <w:sz w:val="15"/>
              </w:rPr>
              <w:t>(461)</w:t>
            </w:r>
          </w:p>
        </w:tc>
        <w:tc>
          <w:tcPr>
            <w:tcW w:type="dxa" w:w="907"/>
          </w:tcPr>
          <w:p>
            <w:pPr>
              <w:spacing w:after="20"/>
              <w:jc w:val="right"/>
            </w:pPr>
            <w:r>
              <w:rPr>
                <w:color w:val="1C3A36"/>
                <w:sz w:val="15"/>
              </w:rPr>
              <w:t>(476)</w:t>
            </w:r>
          </w:p>
        </w:tc>
        <w:tc>
          <w:tcPr>
            <w:tcW w:type="dxa" w:w="907"/>
          </w:tcPr>
          <w:p>
            <w:pPr>
              <w:spacing w:after="20"/>
              <w:jc w:val="right"/>
            </w:pPr>
            <w:r>
              <w:rPr>
                <w:color w:val="1C3A36"/>
                <w:sz w:val="15"/>
              </w:rPr>
              <w:t>(480)</w:t>
            </w:r>
          </w:p>
        </w:tc>
        <w:tc>
          <w:tcPr>
            <w:tcW w:type="dxa" w:w="893"/>
          </w:tcPr>
          <w:p>
            <w:pPr>
              <w:spacing w:after="20"/>
              <w:jc w:val="right"/>
            </w:pPr>
            <w:r>
              <w:rPr>
                <w:color w:val="1C3A36"/>
                <w:sz w:val="15"/>
              </w:rPr>
              <w:t>(531)</w:t>
            </w:r>
          </w:p>
        </w:tc>
        <w:tc>
          <w:tcPr>
            <w:tcW w:type="dxa" w:w="893"/>
          </w:tcPr>
          <w:p>
            <w:pPr>
              <w:spacing w:after="20"/>
              <w:jc w:val="right"/>
            </w:pPr>
            <w:r>
              <w:rPr>
                <w:color w:val="1C3A36"/>
                <w:sz w:val="15"/>
              </w:rPr>
              <w:t>(586)</w:t>
            </w:r>
          </w:p>
        </w:tc>
        <w:tc>
          <w:tcPr>
            <w:tcW w:type="dxa" w:w="893"/>
          </w:tcPr>
          <w:p>
            <w:pPr>
              <w:spacing w:after="20"/>
              <w:jc w:val="right"/>
            </w:pPr>
            <w:r>
              <w:rPr>
                <w:color w:val="1C3A36"/>
                <w:sz w:val="15"/>
              </w:rPr>
              <w:t>(641)</w:t>
            </w:r>
          </w:p>
        </w:tc>
        <w:tc>
          <w:tcPr>
            <w:tcW w:type="dxa" w:w="893"/>
          </w:tcPr>
          <w:p>
            <w:pPr>
              <w:spacing w:after="20"/>
              <w:jc w:val="right"/>
            </w:pPr>
            <w:r>
              <w:rPr>
                <w:color w:val="1C3A36"/>
                <w:sz w:val="15"/>
              </w:rPr>
              <w:t>(699)</w:t>
            </w:r>
          </w:p>
        </w:tc>
        <w:tc>
          <w:tcPr>
            <w:tcW w:type="dxa" w:w="893"/>
          </w:tcPr>
          <w:p>
            <w:pPr>
              <w:spacing w:after="20"/>
              <w:jc w:val="right"/>
            </w:pPr>
            <w:r>
              <w:rPr>
                <w:color w:val="1C3A36"/>
                <w:sz w:val="15"/>
              </w:rPr>
              <w:t>(760)</w:t>
            </w:r>
          </w:p>
        </w:tc>
      </w:tr>
      <w:tr>
        <w:tc>
          <w:tcPr>
            <w:tcW w:type="dxa" w:w="2333"/>
          </w:tcPr>
          <w:p>
            <w:pPr>
              <w:spacing w:after="20"/>
            </w:pPr>
            <w:r>
              <w:rPr>
                <w:color w:val="1C3A36"/>
                <w:sz w:val="15"/>
              </w:rPr>
              <w:t>Profit after tax</w:t>
            </w:r>
          </w:p>
        </w:tc>
        <w:tc>
          <w:tcPr>
            <w:tcW w:type="dxa" w:w="907"/>
          </w:tcPr>
          <w:p>
            <w:pPr>
              <w:spacing w:after="20"/>
              <w:jc w:val="right"/>
            </w:pPr>
            <w:r>
              <w:rPr>
                <w:color w:val="1C3A36"/>
                <w:sz w:val="15"/>
              </w:rPr>
              <w:t>1,320</w:t>
            </w:r>
          </w:p>
        </w:tc>
        <w:tc>
          <w:tcPr>
            <w:tcW w:type="dxa" w:w="907"/>
          </w:tcPr>
          <w:p>
            <w:pPr>
              <w:spacing w:after="20"/>
              <w:jc w:val="right"/>
            </w:pPr>
            <w:r>
              <w:rPr>
                <w:color w:val="1C3A36"/>
                <w:sz w:val="15"/>
              </w:rPr>
              <w:t>1,500</w:t>
            </w:r>
          </w:p>
        </w:tc>
        <w:tc>
          <w:tcPr>
            <w:tcW w:type="dxa" w:w="907"/>
          </w:tcPr>
          <w:p>
            <w:pPr>
              <w:spacing w:after="20"/>
              <w:jc w:val="right"/>
            </w:pPr>
            <w:r>
              <w:rPr>
                <w:color w:val="1C3A36"/>
                <w:sz w:val="15"/>
              </w:rPr>
              <w:t>1,550</w:t>
            </w:r>
          </w:p>
        </w:tc>
        <w:tc>
          <w:tcPr>
            <w:tcW w:type="dxa" w:w="907"/>
          </w:tcPr>
          <w:p>
            <w:pPr>
              <w:spacing w:after="20"/>
              <w:jc w:val="right"/>
            </w:pPr>
            <w:r>
              <w:rPr>
                <w:color w:val="1C3A36"/>
                <w:sz w:val="15"/>
              </w:rPr>
              <w:t>1,563</w:t>
            </w:r>
          </w:p>
        </w:tc>
        <w:tc>
          <w:tcPr>
            <w:tcW w:type="dxa" w:w="893"/>
          </w:tcPr>
          <w:p>
            <w:pPr>
              <w:spacing w:after="20"/>
              <w:jc w:val="right"/>
            </w:pPr>
            <w:r>
              <w:rPr>
                <w:color w:val="1C3A36"/>
                <w:sz w:val="15"/>
              </w:rPr>
              <w:t>1,728</w:t>
            </w:r>
          </w:p>
        </w:tc>
        <w:tc>
          <w:tcPr>
            <w:tcW w:type="dxa" w:w="893"/>
          </w:tcPr>
          <w:p>
            <w:pPr>
              <w:spacing w:after="20"/>
              <w:jc w:val="right"/>
            </w:pPr>
            <w:r>
              <w:rPr>
                <w:color w:val="1C3A36"/>
                <w:sz w:val="15"/>
              </w:rPr>
              <w:t>1,907</w:t>
            </w:r>
          </w:p>
        </w:tc>
        <w:tc>
          <w:tcPr>
            <w:tcW w:type="dxa" w:w="893"/>
          </w:tcPr>
          <w:p>
            <w:pPr>
              <w:spacing w:after="20"/>
              <w:jc w:val="right"/>
            </w:pPr>
            <w:r>
              <w:rPr>
                <w:color w:val="1C3A36"/>
                <w:sz w:val="15"/>
              </w:rPr>
              <w:t>2,088</w:t>
            </w:r>
          </w:p>
        </w:tc>
        <w:tc>
          <w:tcPr>
            <w:tcW w:type="dxa" w:w="893"/>
          </w:tcPr>
          <w:p>
            <w:pPr>
              <w:spacing w:after="20"/>
              <w:jc w:val="right"/>
            </w:pPr>
            <w:r>
              <w:rPr>
                <w:color w:val="1C3A36"/>
                <w:sz w:val="15"/>
              </w:rPr>
              <w:t>2,277</w:t>
            </w:r>
          </w:p>
        </w:tc>
        <w:tc>
          <w:tcPr>
            <w:tcW w:type="dxa" w:w="893"/>
          </w:tcPr>
          <w:p>
            <w:pPr>
              <w:spacing w:after="20"/>
              <w:jc w:val="right"/>
            </w:pPr>
            <w:r>
              <w:rPr>
                <w:color w:val="1C3A36"/>
                <w:sz w:val="15"/>
              </w:rPr>
              <w:t>2,474</w:t>
            </w:r>
          </w:p>
        </w:tc>
      </w:tr>
      <w:tr>
        <w:tc>
          <w:tcPr>
            <w:tcW w:type="dxa" w:w="2333"/>
          </w:tcPr>
          <w:p>
            <w:pPr>
              <w:spacing w:after="20"/>
            </w:pPr>
            <w:r>
              <w:rPr>
                <w:color w:val="1C3A36"/>
                <w:sz w:val="15"/>
              </w:rPr>
              <w:t>Minority interests</w:t>
            </w:r>
          </w:p>
        </w:tc>
        <w:tc>
          <w:tcPr>
            <w:tcW w:type="dxa" w:w="907"/>
          </w:tcPr>
          <w:p>
            <w:pPr>
              <w:spacing w:after="20"/>
              <w:jc w:val="right"/>
            </w:pPr>
            <w:r>
              <w:rPr>
                <w:color w:val="1C3A36"/>
                <w:sz w:val="15"/>
              </w:rPr>
              <w:t>(40)</w:t>
            </w:r>
          </w:p>
        </w:tc>
        <w:tc>
          <w:tcPr>
            <w:tcW w:type="dxa" w:w="907"/>
          </w:tcPr>
          <w:p>
            <w:pPr>
              <w:spacing w:after="20"/>
              <w:jc w:val="right"/>
            </w:pPr>
            <w:r>
              <w:rPr>
                <w:color w:val="1C3A36"/>
                <w:sz w:val="15"/>
              </w:rPr>
              <w:t>(45)</w:t>
            </w:r>
          </w:p>
        </w:tc>
        <w:tc>
          <w:tcPr>
            <w:tcW w:type="dxa" w:w="907"/>
          </w:tcPr>
          <w:p>
            <w:pPr>
              <w:spacing w:after="20"/>
              <w:jc w:val="right"/>
            </w:pPr>
            <w:r>
              <w:rPr>
                <w:color w:val="1C3A36"/>
                <w:sz w:val="15"/>
              </w:rPr>
              <w:t>(46)</w:t>
            </w:r>
          </w:p>
        </w:tc>
        <w:tc>
          <w:tcPr>
            <w:tcW w:type="dxa" w:w="907"/>
          </w:tcPr>
          <w:p>
            <w:pPr>
              <w:spacing w:after="20"/>
              <w:jc w:val="right"/>
            </w:pPr>
            <w:r>
              <w:rPr>
                <w:color w:val="1C3A36"/>
                <w:sz w:val="15"/>
              </w:rPr>
              <w:t>(47)</w:t>
            </w:r>
          </w:p>
        </w:tc>
        <w:tc>
          <w:tcPr>
            <w:tcW w:type="dxa" w:w="893"/>
          </w:tcPr>
          <w:p>
            <w:pPr>
              <w:spacing w:after="20"/>
              <w:jc w:val="right"/>
            </w:pPr>
            <w:r>
              <w:rPr>
                <w:color w:val="1C3A36"/>
                <w:sz w:val="15"/>
              </w:rPr>
              <w:t>(52)</w:t>
            </w:r>
          </w:p>
        </w:tc>
        <w:tc>
          <w:tcPr>
            <w:tcW w:type="dxa" w:w="893"/>
          </w:tcPr>
          <w:p>
            <w:pPr>
              <w:spacing w:after="20"/>
              <w:jc w:val="right"/>
            </w:pPr>
            <w:r>
              <w:rPr>
                <w:color w:val="1C3A36"/>
                <w:sz w:val="15"/>
              </w:rPr>
              <w:t>(57)</w:t>
            </w:r>
          </w:p>
        </w:tc>
        <w:tc>
          <w:tcPr>
            <w:tcW w:type="dxa" w:w="893"/>
          </w:tcPr>
          <w:p>
            <w:pPr>
              <w:spacing w:after="20"/>
              <w:jc w:val="right"/>
            </w:pPr>
            <w:r>
              <w:rPr>
                <w:color w:val="1C3A36"/>
                <w:sz w:val="15"/>
              </w:rPr>
              <w:t>(63)</w:t>
            </w:r>
          </w:p>
        </w:tc>
        <w:tc>
          <w:tcPr>
            <w:tcW w:type="dxa" w:w="893"/>
          </w:tcPr>
          <w:p>
            <w:pPr>
              <w:spacing w:after="20"/>
              <w:jc w:val="right"/>
            </w:pPr>
            <w:r>
              <w:rPr>
                <w:color w:val="1C3A36"/>
                <w:sz w:val="15"/>
              </w:rPr>
              <w:t>(68)</w:t>
            </w:r>
          </w:p>
        </w:tc>
        <w:tc>
          <w:tcPr>
            <w:tcW w:type="dxa" w:w="893"/>
          </w:tcPr>
          <w:p>
            <w:pPr>
              <w:spacing w:after="20"/>
              <w:jc w:val="right"/>
            </w:pPr>
            <w:r>
              <w:rPr>
                <w:color w:val="1C3A36"/>
                <w:sz w:val="15"/>
              </w:rPr>
              <w:t>(74)</w:t>
            </w:r>
          </w:p>
        </w:tc>
      </w:tr>
      <w:tr>
        <w:tc>
          <w:tcPr>
            <w:tcW w:type="dxa" w:w="2333"/>
            <w:shd w:val="clear" w:color="auto" w:fill="F6F1E6"/>
          </w:tcPr>
          <w:p>
            <w:pPr>
              <w:spacing w:after="20"/>
            </w:pPr>
            <w:r>
              <w:rPr>
                <w:b/>
                <w:color w:val="1C3A36"/>
                <w:sz w:val="15"/>
              </w:rPr>
              <w:t>Profit attributable to shareholders</w:t>
            </w:r>
          </w:p>
        </w:tc>
        <w:tc>
          <w:tcPr>
            <w:tcW w:type="dxa" w:w="907"/>
            <w:shd w:val="clear" w:color="auto" w:fill="F6F1E6"/>
          </w:tcPr>
          <w:p>
            <w:pPr>
              <w:spacing w:after="20"/>
              <w:jc w:val="right"/>
            </w:pPr>
            <w:r>
              <w:rPr>
                <w:b/>
                <w:color w:val="1C3A36"/>
                <w:sz w:val="15"/>
              </w:rPr>
              <w:t>1,280</w:t>
            </w:r>
          </w:p>
        </w:tc>
        <w:tc>
          <w:tcPr>
            <w:tcW w:type="dxa" w:w="907"/>
            <w:shd w:val="clear" w:color="auto" w:fill="F6F1E6"/>
          </w:tcPr>
          <w:p>
            <w:pPr>
              <w:spacing w:after="20"/>
              <w:jc w:val="right"/>
            </w:pPr>
            <w:r>
              <w:rPr>
                <w:b/>
                <w:color w:val="1C3A36"/>
                <w:sz w:val="15"/>
              </w:rPr>
              <w:t>1,455</w:t>
            </w:r>
          </w:p>
        </w:tc>
        <w:tc>
          <w:tcPr>
            <w:tcW w:type="dxa" w:w="907"/>
            <w:shd w:val="clear" w:color="auto" w:fill="F6F1E6"/>
          </w:tcPr>
          <w:p>
            <w:pPr>
              <w:spacing w:after="20"/>
              <w:jc w:val="right"/>
            </w:pPr>
            <w:r>
              <w:rPr>
                <w:b/>
                <w:color w:val="1C3A36"/>
                <w:sz w:val="15"/>
              </w:rPr>
              <w:t>1,504</w:t>
            </w:r>
          </w:p>
        </w:tc>
        <w:tc>
          <w:tcPr>
            <w:tcW w:type="dxa" w:w="907"/>
            <w:shd w:val="clear" w:color="auto" w:fill="F6F1E6"/>
          </w:tcPr>
          <w:p>
            <w:pPr>
              <w:spacing w:after="20"/>
              <w:jc w:val="right"/>
            </w:pPr>
            <w:r>
              <w:rPr>
                <w:b/>
                <w:color w:val="1C3A36"/>
                <w:sz w:val="15"/>
              </w:rPr>
              <w:t>1,516</w:t>
            </w:r>
          </w:p>
        </w:tc>
        <w:tc>
          <w:tcPr>
            <w:tcW w:type="dxa" w:w="893"/>
            <w:shd w:val="clear" w:color="auto" w:fill="F6F1E6"/>
          </w:tcPr>
          <w:p>
            <w:pPr>
              <w:spacing w:after="20"/>
              <w:jc w:val="right"/>
            </w:pPr>
            <w:r>
              <w:rPr>
                <w:b/>
                <w:color w:val="1C3A36"/>
                <w:sz w:val="15"/>
              </w:rPr>
              <w:t>1,676</w:t>
            </w:r>
          </w:p>
        </w:tc>
        <w:tc>
          <w:tcPr>
            <w:tcW w:type="dxa" w:w="893"/>
            <w:shd w:val="clear" w:color="auto" w:fill="F6F1E6"/>
          </w:tcPr>
          <w:p>
            <w:pPr>
              <w:spacing w:after="20"/>
              <w:jc w:val="right"/>
            </w:pPr>
            <w:r>
              <w:rPr>
                <w:b/>
                <w:color w:val="1C3A36"/>
                <w:sz w:val="15"/>
              </w:rPr>
              <w:t>1,850</w:t>
            </w:r>
          </w:p>
        </w:tc>
        <w:tc>
          <w:tcPr>
            <w:tcW w:type="dxa" w:w="893"/>
            <w:shd w:val="clear" w:color="auto" w:fill="F6F1E6"/>
          </w:tcPr>
          <w:p>
            <w:pPr>
              <w:spacing w:after="20"/>
              <w:jc w:val="right"/>
            </w:pPr>
            <w:r>
              <w:rPr>
                <w:b/>
                <w:color w:val="1C3A36"/>
                <w:sz w:val="15"/>
              </w:rPr>
              <w:t>2,025</w:t>
            </w:r>
          </w:p>
        </w:tc>
        <w:tc>
          <w:tcPr>
            <w:tcW w:type="dxa" w:w="893"/>
            <w:shd w:val="clear" w:color="auto" w:fill="F6F1E6"/>
          </w:tcPr>
          <w:p>
            <w:pPr>
              <w:spacing w:after="20"/>
              <w:jc w:val="right"/>
            </w:pPr>
            <w:r>
              <w:rPr>
                <w:b/>
                <w:color w:val="1C3A36"/>
                <w:sz w:val="15"/>
              </w:rPr>
              <w:t>2,208</w:t>
            </w:r>
          </w:p>
        </w:tc>
        <w:tc>
          <w:tcPr>
            <w:tcW w:type="dxa" w:w="893"/>
            <w:shd w:val="clear" w:color="auto" w:fill="F6F1E6"/>
          </w:tcPr>
          <w:p>
            <w:pPr>
              <w:spacing w:after="20"/>
              <w:jc w:val="right"/>
            </w:pPr>
            <w:r>
              <w:rPr>
                <w:b/>
                <w:color w:val="1C3A36"/>
                <w:sz w:val="15"/>
              </w:rPr>
              <w:t>2,400</w:t>
            </w:r>
          </w:p>
        </w:tc>
      </w:tr>
      <w:tr>
        <w:tc>
          <w:tcPr>
            <w:tcW w:type="dxa" w:w="2333"/>
          </w:tcPr>
          <w:p>
            <w:pPr>
              <w:spacing w:after="20"/>
            </w:pPr>
            <w:r>
              <w:rPr>
                <w:color w:val="1C3A36"/>
                <w:sz w:val="15"/>
              </w:rPr>
              <w:t>Earnings per share (EGP)</w:t>
            </w:r>
          </w:p>
        </w:tc>
        <w:tc>
          <w:tcPr>
            <w:tcW w:type="dxa" w:w="907"/>
          </w:tcPr>
          <w:p>
            <w:pPr>
              <w:spacing w:after="20"/>
              <w:jc w:val="right"/>
            </w:pPr>
            <w:r>
              <w:rPr>
                <w:color w:val="1C3A36"/>
                <w:sz w:val="15"/>
              </w:rPr>
              <w:t>0.99</w:t>
            </w:r>
          </w:p>
        </w:tc>
        <w:tc>
          <w:tcPr>
            <w:tcW w:type="dxa" w:w="907"/>
          </w:tcPr>
          <w:p>
            <w:pPr>
              <w:spacing w:after="20"/>
              <w:jc w:val="right"/>
            </w:pPr>
            <w:r>
              <w:rPr>
                <w:color w:val="1C3A36"/>
                <w:sz w:val="15"/>
              </w:rPr>
              <w:t>1.13</w:t>
            </w:r>
          </w:p>
        </w:tc>
        <w:tc>
          <w:tcPr>
            <w:tcW w:type="dxa" w:w="907"/>
          </w:tcPr>
          <w:p>
            <w:pPr>
              <w:spacing w:after="20"/>
              <w:jc w:val="right"/>
            </w:pPr>
            <w:r>
              <w:rPr>
                <w:color w:val="1C3A36"/>
                <w:sz w:val="15"/>
              </w:rPr>
              <w:t>1.16</w:t>
            </w:r>
          </w:p>
        </w:tc>
        <w:tc>
          <w:tcPr>
            <w:tcW w:type="dxa" w:w="907"/>
          </w:tcPr>
          <w:p>
            <w:pPr>
              <w:spacing w:after="20"/>
              <w:jc w:val="right"/>
            </w:pPr>
            <w:r>
              <w:rPr>
                <w:color w:val="1C3A36"/>
                <w:sz w:val="15"/>
              </w:rPr>
              <w:t>1.17</w:t>
            </w:r>
          </w:p>
        </w:tc>
        <w:tc>
          <w:tcPr>
            <w:tcW w:type="dxa" w:w="893"/>
          </w:tcPr>
          <w:p>
            <w:pPr>
              <w:spacing w:after="20"/>
              <w:jc w:val="right"/>
            </w:pPr>
            <w:r>
              <w:rPr>
                <w:color w:val="1C3A36"/>
                <w:sz w:val="15"/>
              </w:rPr>
              <w:t>1.30</w:t>
            </w:r>
          </w:p>
        </w:tc>
        <w:tc>
          <w:tcPr>
            <w:tcW w:type="dxa" w:w="893"/>
          </w:tcPr>
          <w:p>
            <w:pPr>
              <w:spacing w:after="20"/>
              <w:jc w:val="right"/>
            </w:pPr>
            <w:r>
              <w:rPr>
                <w:color w:val="1C3A36"/>
                <w:sz w:val="15"/>
              </w:rPr>
              <w:t>1.43</w:t>
            </w:r>
          </w:p>
        </w:tc>
        <w:tc>
          <w:tcPr>
            <w:tcW w:type="dxa" w:w="893"/>
          </w:tcPr>
          <w:p>
            <w:pPr>
              <w:spacing w:after="20"/>
              <w:jc w:val="right"/>
            </w:pPr>
            <w:r>
              <w:rPr>
                <w:color w:val="1C3A36"/>
                <w:sz w:val="15"/>
              </w:rPr>
              <w:t>1.57</w:t>
            </w:r>
          </w:p>
        </w:tc>
        <w:tc>
          <w:tcPr>
            <w:tcW w:type="dxa" w:w="893"/>
          </w:tcPr>
          <w:p>
            <w:pPr>
              <w:spacing w:after="20"/>
              <w:jc w:val="right"/>
            </w:pPr>
            <w:r>
              <w:rPr>
                <w:color w:val="1C3A36"/>
                <w:sz w:val="15"/>
              </w:rPr>
              <w:t>1.71</w:t>
            </w:r>
          </w:p>
        </w:tc>
        <w:tc>
          <w:tcPr>
            <w:tcW w:type="dxa" w:w="893"/>
          </w:tcPr>
          <w:p>
            <w:pPr>
              <w:spacing w:after="20"/>
              <w:jc w:val="right"/>
            </w:pPr>
            <w:r>
              <w:rPr>
                <w:color w:val="1C3A36"/>
                <w:sz w:val="15"/>
              </w:rPr>
              <w:t>1.86</w:t>
            </w:r>
          </w:p>
        </w:tc>
      </w:tr>
    </w:tbl>
    <w:p>
      <w:pPr>
        <w:spacing w:after="40"/>
      </w:pPr>
    </w:p>
    <w:p>
      <w:pPr>
        <w:spacing w:after="200" w:before="0"/>
      </w:pPr>
      <w:r>
        <w:rPr>
          <w:b w:val="0"/>
          <w:i/>
          <w:color w:val="6E7B77"/>
          <w:sz w:val="17"/>
        </w:rPr>
        <w:t>Revenue and gross profit for the June-2023 year are disclosed. The June-2024 and June-2025 revenue figures are the average of independently sourced methods. The calendar-2025 column is constructed from two disclosed halves as shown in section 1.2, and its intermediate lines are closed from the disclosed profit at the stated effective tax rate. Forecast profit is struck after net finance income and therefore differs from the free-cash-flow waterfall, which is a pre-financing measure by construction.</w:t>
      </w:r>
    </w:p>
    <w:p>
      <w:pPr>
        <w:spacing w:after="80" w:before="200"/>
      </w:pPr>
      <w:r>
        <w:rPr>
          <w:b/>
          <w:i w:val="0"/>
          <w:color w:val="1C3A36"/>
          <w:sz w:val="24"/>
        </w:rPr>
        <w:t>A.2  Balance sheet — four historical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907"/>
        <w:gridCol w:w="907"/>
        <w:gridCol w:w="907"/>
        <w:gridCol w:w="907"/>
        <w:gridCol w:w="893"/>
        <w:gridCol w:w="893"/>
        <w:gridCol w:w="893"/>
        <w:gridCol w:w="893"/>
        <w:gridCol w:w="893"/>
      </w:tblGrid>
      <w:tr>
        <w:tc>
          <w:tcPr>
            <w:tcW w:type="dxa" w:w="2333"/>
            <w:shd w:val="clear" w:color="auto" w:fill="EAF0EE"/>
          </w:tcPr>
          <w:p>
            <w:pPr>
              <w:spacing w:after="20"/>
            </w:pPr>
            <w:r>
              <w:rPr>
                <w:b/>
                <w:color w:val="1C3A36"/>
                <w:sz w:val="15"/>
              </w:rPr>
              <w:t>EGP mn</w:t>
            </w:r>
          </w:p>
        </w:tc>
        <w:tc>
          <w:tcPr>
            <w:tcW w:type="dxa" w:w="907"/>
            <w:shd w:val="clear" w:color="auto" w:fill="EAF0EE"/>
          </w:tcPr>
          <w:p>
            <w:pPr>
              <w:spacing w:after="20"/>
            </w:pPr>
            <w:r>
              <w:rPr>
                <w:b/>
                <w:color w:val="1C3A36"/>
                <w:sz w:val="15"/>
              </w:rPr>
              <w:t>Jun-23</w:t>
            </w:r>
          </w:p>
        </w:tc>
        <w:tc>
          <w:tcPr>
            <w:tcW w:type="dxa" w:w="907"/>
            <w:shd w:val="clear" w:color="auto" w:fill="EAF0EE"/>
          </w:tcPr>
          <w:p>
            <w:pPr>
              <w:spacing w:after="20"/>
            </w:pPr>
            <w:r>
              <w:rPr>
                <w:b/>
                <w:color w:val="1C3A36"/>
                <w:sz w:val="15"/>
              </w:rPr>
              <w:t>Jun-24</w:t>
            </w:r>
          </w:p>
        </w:tc>
        <w:tc>
          <w:tcPr>
            <w:tcW w:type="dxa" w:w="907"/>
            <w:shd w:val="clear" w:color="auto" w:fill="EAF0EE"/>
          </w:tcPr>
          <w:p>
            <w:pPr>
              <w:spacing w:after="20"/>
            </w:pPr>
            <w:r>
              <w:rPr>
                <w:b/>
                <w:color w:val="1C3A36"/>
                <w:sz w:val="15"/>
              </w:rPr>
              <w:t>Jun-25</w:t>
            </w:r>
          </w:p>
        </w:tc>
        <w:tc>
          <w:tcPr>
            <w:tcW w:type="dxa" w:w="907"/>
            <w:shd w:val="clear" w:color="auto" w:fill="EAF0EE"/>
          </w:tcPr>
          <w:p>
            <w:pPr>
              <w:spacing w:after="20"/>
            </w:pPr>
            <w:r>
              <w:rPr>
                <w:b/>
                <w:color w:val="1C3A36"/>
                <w:sz w:val="15"/>
              </w:rPr>
              <w:t>CY2025</w:t>
            </w:r>
          </w:p>
        </w:tc>
        <w:tc>
          <w:tcPr>
            <w:tcW w:type="dxa" w:w="893"/>
            <w:shd w:val="clear" w:color="auto" w:fill="EAF0EE"/>
          </w:tcPr>
          <w:p>
            <w:pPr>
              <w:spacing w:after="20"/>
            </w:pPr>
            <w:r>
              <w:rPr>
                <w:b/>
                <w:color w:val="1C3A36"/>
                <w:sz w:val="15"/>
              </w:rPr>
              <w:t>2026E</w:t>
            </w:r>
          </w:p>
        </w:tc>
        <w:tc>
          <w:tcPr>
            <w:tcW w:type="dxa" w:w="893"/>
            <w:shd w:val="clear" w:color="auto" w:fill="EAF0EE"/>
          </w:tcPr>
          <w:p>
            <w:pPr>
              <w:spacing w:after="20"/>
            </w:pPr>
            <w:r>
              <w:rPr>
                <w:b/>
                <w:color w:val="1C3A36"/>
                <w:sz w:val="15"/>
              </w:rPr>
              <w:t>2027E</w:t>
            </w:r>
          </w:p>
        </w:tc>
        <w:tc>
          <w:tcPr>
            <w:tcW w:type="dxa" w:w="893"/>
            <w:shd w:val="clear" w:color="auto" w:fill="EAF0EE"/>
          </w:tcPr>
          <w:p>
            <w:pPr>
              <w:spacing w:after="20"/>
            </w:pPr>
            <w:r>
              <w:rPr>
                <w:b/>
                <w:color w:val="1C3A36"/>
                <w:sz w:val="15"/>
              </w:rPr>
              <w:t>2028E</w:t>
            </w:r>
          </w:p>
        </w:tc>
        <w:tc>
          <w:tcPr>
            <w:tcW w:type="dxa" w:w="893"/>
            <w:shd w:val="clear" w:color="auto" w:fill="EAF0EE"/>
          </w:tcPr>
          <w:p>
            <w:pPr>
              <w:spacing w:after="20"/>
            </w:pPr>
            <w:r>
              <w:rPr>
                <w:b/>
                <w:color w:val="1C3A36"/>
                <w:sz w:val="15"/>
              </w:rPr>
              <w:t>2029E</w:t>
            </w:r>
          </w:p>
        </w:tc>
        <w:tc>
          <w:tcPr>
            <w:tcW w:type="dxa" w:w="893"/>
            <w:shd w:val="clear" w:color="auto" w:fill="EAF0EE"/>
          </w:tcPr>
          <w:p>
            <w:pPr>
              <w:spacing w:after="20"/>
            </w:pPr>
            <w:r>
              <w:rPr>
                <w:b/>
                <w:color w:val="1C3A36"/>
                <w:sz w:val="15"/>
              </w:rPr>
              <w:t>2030E</w:t>
            </w:r>
          </w:p>
        </w:tc>
      </w:tr>
      <w:tr>
        <w:tc>
          <w:tcPr>
            <w:tcW w:type="dxa" w:w="2333"/>
          </w:tcPr>
          <w:p>
            <w:pPr>
              <w:spacing w:after="20"/>
            </w:pPr>
            <w:r>
              <w:rPr>
                <w:color w:val="1C3A36"/>
                <w:sz w:val="15"/>
              </w:rPr>
              <w:t>Property, plant and equipment</w:t>
            </w:r>
          </w:p>
        </w:tc>
        <w:tc>
          <w:tcPr>
            <w:tcW w:type="dxa" w:w="907"/>
          </w:tcPr>
          <w:p>
            <w:pPr>
              <w:spacing w:after="20"/>
              <w:jc w:val="right"/>
            </w:pPr>
            <w:r>
              <w:rPr>
                <w:color w:val="1C3A36"/>
                <w:sz w:val="15"/>
              </w:rPr>
              <w:t>1,803</w:t>
            </w:r>
          </w:p>
        </w:tc>
        <w:tc>
          <w:tcPr>
            <w:tcW w:type="dxa" w:w="907"/>
          </w:tcPr>
          <w:p>
            <w:pPr>
              <w:spacing w:after="20"/>
              <w:jc w:val="right"/>
            </w:pPr>
            <w:r>
              <w:rPr>
                <w:color w:val="1C3A36"/>
                <w:sz w:val="15"/>
              </w:rPr>
              <w:t>2,200</w:t>
            </w:r>
          </w:p>
        </w:tc>
        <w:tc>
          <w:tcPr>
            <w:tcW w:type="dxa" w:w="907"/>
          </w:tcPr>
          <w:p>
            <w:pPr>
              <w:spacing w:after="20"/>
              <w:jc w:val="right"/>
            </w:pPr>
            <w:r>
              <w:rPr>
                <w:color w:val="1C3A36"/>
                <w:sz w:val="15"/>
              </w:rPr>
              <w:t>2,327</w:t>
            </w:r>
          </w:p>
        </w:tc>
        <w:tc>
          <w:tcPr>
            <w:tcW w:type="dxa" w:w="907"/>
          </w:tcPr>
          <w:p>
            <w:pPr>
              <w:spacing w:after="20"/>
              <w:jc w:val="right"/>
            </w:pPr>
            <w:r>
              <w:rPr>
                <w:color w:val="1C3A36"/>
                <w:sz w:val="15"/>
              </w:rPr>
              <w:t>2,403</w:t>
            </w:r>
          </w:p>
        </w:tc>
        <w:tc>
          <w:tcPr>
            <w:tcW w:type="dxa" w:w="893"/>
          </w:tcPr>
          <w:p>
            <w:pPr>
              <w:spacing w:after="20"/>
              <w:jc w:val="right"/>
            </w:pPr>
            <w:r>
              <w:rPr>
                <w:color w:val="1C3A36"/>
                <w:sz w:val="15"/>
              </w:rPr>
              <w:t>2,560</w:t>
            </w:r>
          </w:p>
        </w:tc>
        <w:tc>
          <w:tcPr>
            <w:tcW w:type="dxa" w:w="893"/>
          </w:tcPr>
          <w:p>
            <w:pPr>
              <w:spacing w:after="20"/>
              <w:jc w:val="right"/>
            </w:pPr>
            <w:r>
              <w:rPr>
                <w:color w:val="1C3A36"/>
                <w:sz w:val="15"/>
              </w:rPr>
              <w:t>2,709</w:t>
            </w:r>
          </w:p>
        </w:tc>
        <w:tc>
          <w:tcPr>
            <w:tcW w:type="dxa" w:w="893"/>
          </w:tcPr>
          <w:p>
            <w:pPr>
              <w:spacing w:after="20"/>
              <w:jc w:val="right"/>
            </w:pPr>
            <w:r>
              <w:rPr>
                <w:color w:val="1C3A36"/>
                <w:sz w:val="15"/>
              </w:rPr>
              <w:t>2,847</w:t>
            </w:r>
          </w:p>
        </w:tc>
        <w:tc>
          <w:tcPr>
            <w:tcW w:type="dxa" w:w="893"/>
          </w:tcPr>
          <w:p>
            <w:pPr>
              <w:spacing w:after="20"/>
              <w:jc w:val="right"/>
            </w:pPr>
            <w:r>
              <w:rPr>
                <w:color w:val="1C3A36"/>
                <w:sz w:val="15"/>
              </w:rPr>
              <w:t>2,968</w:t>
            </w:r>
          </w:p>
        </w:tc>
        <w:tc>
          <w:tcPr>
            <w:tcW w:type="dxa" w:w="893"/>
          </w:tcPr>
          <w:p>
            <w:pPr>
              <w:spacing w:after="20"/>
              <w:jc w:val="right"/>
            </w:pPr>
            <w:r>
              <w:rPr>
                <w:color w:val="1C3A36"/>
                <w:sz w:val="15"/>
              </w:rPr>
              <w:t>3,066</w:t>
            </w:r>
          </w:p>
        </w:tc>
      </w:tr>
      <w:tr>
        <w:tc>
          <w:tcPr>
            <w:tcW w:type="dxa" w:w="2333"/>
          </w:tcPr>
          <w:p>
            <w:pPr>
              <w:spacing w:after="20"/>
            </w:pPr>
            <w:r>
              <w:rPr>
                <w:color w:val="1C3A36"/>
                <w:sz w:val="15"/>
              </w:rPr>
              <w:t>Inventories</w:t>
            </w:r>
          </w:p>
        </w:tc>
        <w:tc>
          <w:tcPr>
            <w:tcW w:type="dxa" w:w="907"/>
          </w:tcPr>
          <w:p>
            <w:pPr>
              <w:spacing w:after="20"/>
              <w:jc w:val="right"/>
            </w:pPr>
            <w:r>
              <w:rPr>
                <w:color w:val="1C3A36"/>
                <w:sz w:val="15"/>
              </w:rPr>
              <w:t>814</w:t>
            </w:r>
          </w:p>
        </w:tc>
        <w:tc>
          <w:tcPr>
            <w:tcW w:type="dxa" w:w="907"/>
          </w:tcPr>
          <w:p>
            <w:pPr>
              <w:spacing w:after="20"/>
              <w:jc w:val="right"/>
            </w:pPr>
            <w:r>
              <w:rPr>
                <w:color w:val="1C3A36"/>
                <w:sz w:val="15"/>
              </w:rPr>
              <w:t>1,209</w:t>
            </w:r>
          </w:p>
        </w:tc>
        <w:tc>
          <w:tcPr>
            <w:tcW w:type="dxa" w:w="907"/>
          </w:tcPr>
          <w:p>
            <w:pPr>
              <w:spacing w:after="20"/>
              <w:jc w:val="right"/>
            </w:pPr>
            <w:r>
              <w:rPr>
                <w:color w:val="1C3A36"/>
                <w:sz w:val="15"/>
              </w:rPr>
              <w:t>1,349</w:t>
            </w:r>
          </w:p>
        </w:tc>
        <w:tc>
          <w:tcPr>
            <w:tcW w:type="dxa" w:w="907"/>
          </w:tcPr>
          <w:p>
            <w:pPr>
              <w:spacing w:after="20"/>
              <w:jc w:val="right"/>
            </w:pPr>
            <w:r>
              <w:rPr>
                <w:color w:val="1C3A36"/>
                <w:sz w:val="15"/>
              </w:rPr>
              <w:t>1,436</w:t>
            </w:r>
          </w:p>
        </w:tc>
        <w:tc>
          <w:tcPr>
            <w:tcW w:type="dxa" w:w="893"/>
          </w:tcPr>
          <w:p>
            <w:pPr>
              <w:spacing w:after="20"/>
              <w:jc w:val="right"/>
            </w:pPr>
            <w:r>
              <w:rPr>
                <w:color w:val="1C3A36"/>
                <w:sz w:val="15"/>
              </w:rPr>
              <w:t>1,605</w:t>
            </w:r>
          </w:p>
        </w:tc>
        <w:tc>
          <w:tcPr>
            <w:tcW w:type="dxa" w:w="893"/>
          </w:tcPr>
          <w:p>
            <w:pPr>
              <w:spacing w:after="20"/>
              <w:jc w:val="right"/>
            </w:pPr>
            <w:r>
              <w:rPr>
                <w:color w:val="1C3A36"/>
                <w:sz w:val="15"/>
              </w:rPr>
              <w:t>1,790</w:t>
            </w:r>
          </w:p>
        </w:tc>
        <w:tc>
          <w:tcPr>
            <w:tcW w:type="dxa" w:w="893"/>
          </w:tcPr>
          <w:p>
            <w:pPr>
              <w:spacing w:after="20"/>
              <w:jc w:val="right"/>
            </w:pPr>
            <w:r>
              <w:rPr>
                <w:color w:val="1C3A36"/>
                <w:sz w:val="15"/>
              </w:rPr>
              <w:t>1,976</w:t>
            </w:r>
          </w:p>
        </w:tc>
        <w:tc>
          <w:tcPr>
            <w:tcW w:type="dxa" w:w="893"/>
          </w:tcPr>
          <w:p>
            <w:pPr>
              <w:spacing w:after="20"/>
              <w:jc w:val="right"/>
            </w:pPr>
            <w:r>
              <w:rPr>
                <w:color w:val="1C3A36"/>
                <w:sz w:val="15"/>
              </w:rPr>
              <w:t>2,159</w:t>
            </w:r>
          </w:p>
        </w:tc>
        <w:tc>
          <w:tcPr>
            <w:tcW w:type="dxa" w:w="893"/>
          </w:tcPr>
          <w:p>
            <w:pPr>
              <w:spacing w:after="20"/>
              <w:jc w:val="right"/>
            </w:pPr>
            <w:r>
              <w:rPr>
                <w:color w:val="1C3A36"/>
                <w:sz w:val="15"/>
              </w:rPr>
              <w:t>2,341</w:t>
            </w:r>
          </w:p>
        </w:tc>
      </w:tr>
      <w:tr>
        <w:tc>
          <w:tcPr>
            <w:tcW w:type="dxa" w:w="2333"/>
          </w:tcPr>
          <w:p>
            <w:pPr>
              <w:spacing w:after="20"/>
            </w:pPr>
            <w:r>
              <w:rPr>
                <w:color w:val="1C3A36"/>
                <w:sz w:val="15"/>
              </w:rPr>
              <w:t>Trade receivables</w:t>
            </w:r>
          </w:p>
        </w:tc>
        <w:tc>
          <w:tcPr>
            <w:tcW w:type="dxa" w:w="907"/>
          </w:tcPr>
          <w:p>
            <w:pPr>
              <w:spacing w:after="20"/>
              <w:jc w:val="right"/>
            </w:pPr>
            <w:r>
              <w:rPr>
                <w:color w:val="1C3A36"/>
                <w:sz w:val="15"/>
              </w:rPr>
              <w:t>864</w:t>
            </w:r>
          </w:p>
        </w:tc>
        <w:tc>
          <w:tcPr>
            <w:tcW w:type="dxa" w:w="907"/>
          </w:tcPr>
          <w:p>
            <w:pPr>
              <w:spacing w:after="20"/>
              <w:jc w:val="right"/>
            </w:pPr>
            <w:r>
              <w:rPr>
                <w:color w:val="1C3A36"/>
                <w:sz w:val="15"/>
              </w:rPr>
              <w:t>1,286</w:t>
            </w:r>
          </w:p>
        </w:tc>
        <w:tc>
          <w:tcPr>
            <w:tcW w:type="dxa" w:w="907"/>
          </w:tcPr>
          <w:p>
            <w:pPr>
              <w:spacing w:after="20"/>
              <w:jc w:val="right"/>
            </w:pPr>
            <w:r>
              <w:rPr>
                <w:color w:val="1C3A36"/>
                <w:sz w:val="15"/>
              </w:rPr>
              <w:t>1,439</w:t>
            </w:r>
          </w:p>
        </w:tc>
        <w:tc>
          <w:tcPr>
            <w:tcW w:type="dxa" w:w="907"/>
          </w:tcPr>
          <w:p>
            <w:pPr>
              <w:spacing w:after="20"/>
              <w:jc w:val="right"/>
            </w:pPr>
            <w:r>
              <w:rPr>
                <w:color w:val="1C3A36"/>
                <w:sz w:val="15"/>
              </w:rPr>
              <w:t>1,534</w:t>
            </w:r>
          </w:p>
        </w:tc>
        <w:tc>
          <w:tcPr>
            <w:tcW w:type="dxa" w:w="893"/>
          </w:tcPr>
          <w:p>
            <w:pPr>
              <w:spacing w:after="20"/>
              <w:jc w:val="right"/>
            </w:pPr>
            <w:r>
              <w:rPr>
                <w:color w:val="1C3A36"/>
                <w:sz w:val="15"/>
              </w:rPr>
              <w:t>1,717</w:t>
            </w:r>
          </w:p>
        </w:tc>
        <w:tc>
          <w:tcPr>
            <w:tcW w:type="dxa" w:w="893"/>
          </w:tcPr>
          <w:p>
            <w:pPr>
              <w:spacing w:after="20"/>
              <w:jc w:val="right"/>
            </w:pPr>
            <w:r>
              <w:rPr>
                <w:color w:val="1C3A36"/>
                <w:sz w:val="15"/>
              </w:rPr>
              <w:t>1,914</w:t>
            </w:r>
          </w:p>
        </w:tc>
        <w:tc>
          <w:tcPr>
            <w:tcW w:type="dxa" w:w="893"/>
          </w:tcPr>
          <w:p>
            <w:pPr>
              <w:spacing w:after="20"/>
              <w:jc w:val="right"/>
            </w:pPr>
            <w:r>
              <w:rPr>
                <w:color w:val="1C3A36"/>
                <w:sz w:val="15"/>
              </w:rPr>
              <w:t>2,114</w:t>
            </w:r>
          </w:p>
        </w:tc>
        <w:tc>
          <w:tcPr>
            <w:tcW w:type="dxa" w:w="893"/>
          </w:tcPr>
          <w:p>
            <w:pPr>
              <w:spacing w:after="20"/>
              <w:jc w:val="right"/>
            </w:pPr>
            <w:r>
              <w:rPr>
                <w:color w:val="1C3A36"/>
                <w:sz w:val="15"/>
              </w:rPr>
              <w:t>2,311</w:t>
            </w:r>
          </w:p>
        </w:tc>
        <w:tc>
          <w:tcPr>
            <w:tcW w:type="dxa" w:w="893"/>
          </w:tcPr>
          <w:p>
            <w:pPr>
              <w:spacing w:after="20"/>
              <w:jc w:val="right"/>
            </w:pPr>
            <w:r>
              <w:rPr>
                <w:color w:val="1C3A36"/>
                <w:sz w:val="15"/>
              </w:rPr>
              <w:t>2,506</w:t>
            </w:r>
          </w:p>
        </w:tc>
      </w:tr>
      <w:tr>
        <w:tc>
          <w:tcPr>
            <w:tcW w:type="dxa" w:w="2333"/>
          </w:tcPr>
          <w:p>
            <w:pPr>
              <w:spacing w:after="20"/>
            </w:pPr>
            <w:r>
              <w:rPr>
                <w:color w:val="1C3A36"/>
                <w:sz w:val="15"/>
              </w:rPr>
              <w:t>Other current assets</w:t>
            </w:r>
          </w:p>
        </w:tc>
        <w:tc>
          <w:tcPr>
            <w:tcW w:type="dxa" w:w="907"/>
          </w:tcPr>
          <w:p>
            <w:pPr>
              <w:spacing w:after="20"/>
              <w:jc w:val="right"/>
            </w:pPr>
            <w:r>
              <w:rPr>
                <w:color w:val="1C3A36"/>
                <w:sz w:val="15"/>
              </w:rPr>
              <w:t>300</w:t>
            </w:r>
          </w:p>
        </w:tc>
        <w:tc>
          <w:tcPr>
            <w:tcW w:type="dxa" w:w="907"/>
          </w:tcPr>
          <w:p>
            <w:pPr>
              <w:spacing w:after="20"/>
              <w:jc w:val="right"/>
            </w:pPr>
            <w:r>
              <w:rPr>
                <w:color w:val="1C3A36"/>
                <w:sz w:val="15"/>
              </w:rPr>
              <w:t>300</w:t>
            </w:r>
          </w:p>
        </w:tc>
        <w:tc>
          <w:tcPr>
            <w:tcW w:type="dxa" w:w="907"/>
          </w:tcPr>
          <w:p>
            <w:pPr>
              <w:spacing w:after="20"/>
              <w:jc w:val="right"/>
            </w:pPr>
            <w:r>
              <w:rPr>
                <w:color w:val="1C3A36"/>
                <w:sz w:val="15"/>
              </w:rPr>
              <w:t>300</w:t>
            </w:r>
          </w:p>
        </w:tc>
        <w:tc>
          <w:tcPr>
            <w:tcW w:type="dxa" w:w="907"/>
          </w:tcPr>
          <w:p>
            <w:pPr>
              <w:spacing w:after="20"/>
              <w:jc w:val="right"/>
            </w:pPr>
            <w:r>
              <w:rPr>
                <w:color w:val="1C3A36"/>
                <w:sz w:val="15"/>
              </w:rPr>
              <w:t>300</w:t>
            </w:r>
          </w:p>
        </w:tc>
        <w:tc>
          <w:tcPr>
            <w:tcW w:type="dxa" w:w="893"/>
          </w:tcPr>
          <w:p>
            <w:pPr>
              <w:spacing w:after="20"/>
              <w:jc w:val="right"/>
            </w:pPr>
            <w:r>
              <w:rPr>
                <w:color w:val="1C3A36"/>
                <w:sz w:val="15"/>
              </w:rPr>
              <w:t>300</w:t>
            </w:r>
          </w:p>
        </w:tc>
        <w:tc>
          <w:tcPr>
            <w:tcW w:type="dxa" w:w="893"/>
          </w:tcPr>
          <w:p>
            <w:pPr>
              <w:spacing w:after="20"/>
              <w:jc w:val="right"/>
            </w:pPr>
            <w:r>
              <w:rPr>
                <w:color w:val="1C3A36"/>
                <w:sz w:val="15"/>
              </w:rPr>
              <w:t>300</w:t>
            </w:r>
          </w:p>
        </w:tc>
        <w:tc>
          <w:tcPr>
            <w:tcW w:type="dxa" w:w="893"/>
          </w:tcPr>
          <w:p>
            <w:pPr>
              <w:spacing w:after="20"/>
              <w:jc w:val="right"/>
            </w:pPr>
            <w:r>
              <w:rPr>
                <w:color w:val="1C3A36"/>
                <w:sz w:val="15"/>
              </w:rPr>
              <w:t>300</w:t>
            </w:r>
          </w:p>
        </w:tc>
        <w:tc>
          <w:tcPr>
            <w:tcW w:type="dxa" w:w="893"/>
          </w:tcPr>
          <w:p>
            <w:pPr>
              <w:spacing w:after="20"/>
              <w:jc w:val="right"/>
            </w:pPr>
            <w:r>
              <w:rPr>
                <w:color w:val="1C3A36"/>
                <w:sz w:val="15"/>
              </w:rPr>
              <w:t>300</w:t>
            </w:r>
          </w:p>
        </w:tc>
        <w:tc>
          <w:tcPr>
            <w:tcW w:type="dxa" w:w="893"/>
          </w:tcPr>
          <w:p>
            <w:pPr>
              <w:spacing w:after="20"/>
              <w:jc w:val="right"/>
            </w:pPr>
            <w:r>
              <w:rPr>
                <w:color w:val="1C3A36"/>
                <w:sz w:val="15"/>
              </w:rPr>
              <w:t>300</w:t>
            </w:r>
          </w:p>
        </w:tc>
      </w:tr>
      <w:tr>
        <w:tc>
          <w:tcPr>
            <w:tcW w:type="dxa" w:w="2333"/>
          </w:tcPr>
          <w:p>
            <w:pPr>
              <w:spacing w:after="20"/>
            </w:pPr>
            <w:r>
              <w:rPr>
                <w:color w:val="1C3A36"/>
                <w:sz w:val="15"/>
              </w:rPr>
              <w:t>Cash and equivalents</w:t>
            </w:r>
          </w:p>
        </w:tc>
        <w:tc>
          <w:tcPr>
            <w:tcW w:type="dxa" w:w="907"/>
          </w:tcPr>
          <w:p>
            <w:pPr>
              <w:spacing w:after="20"/>
              <w:jc w:val="right"/>
            </w:pPr>
            <w:r>
              <w:rPr>
                <w:color w:val="1C3A36"/>
                <w:sz w:val="15"/>
              </w:rPr>
              <w:t>1,859</w:t>
            </w:r>
          </w:p>
        </w:tc>
        <w:tc>
          <w:tcPr>
            <w:tcW w:type="dxa" w:w="907"/>
          </w:tcPr>
          <w:p>
            <w:pPr>
              <w:spacing w:after="20"/>
              <w:jc w:val="right"/>
            </w:pPr>
            <w:r>
              <w:rPr>
                <w:color w:val="1C3A36"/>
                <w:sz w:val="15"/>
              </w:rPr>
              <w:t>1,982</w:t>
            </w:r>
          </w:p>
        </w:tc>
        <w:tc>
          <w:tcPr>
            <w:tcW w:type="dxa" w:w="907"/>
          </w:tcPr>
          <w:p>
            <w:pPr>
              <w:spacing w:after="20"/>
              <w:jc w:val="right"/>
            </w:pPr>
            <w:r>
              <w:rPr>
                <w:color w:val="1C3A36"/>
                <w:sz w:val="15"/>
              </w:rPr>
              <w:t>2,390</w:t>
            </w:r>
          </w:p>
        </w:tc>
        <w:tc>
          <w:tcPr>
            <w:tcW w:type="dxa" w:w="907"/>
          </w:tcPr>
          <w:p>
            <w:pPr>
              <w:spacing w:after="20"/>
              <w:jc w:val="right"/>
            </w:pPr>
            <w:r>
              <w:rPr>
                <w:color w:val="1C3A36"/>
                <w:sz w:val="15"/>
              </w:rPr>
              <w:t>2,464</w:t>
            </w:r>
          </w:p>
        </w:tc>
        <w:tc>
          <w:tcPr>
            <w:tcW w:type="dxa" w:w="893"/>
          </w:tcPr>
          <w:p>
            <w:pPr>
              <w:spacing w:after="20"/>
              <w:jc w:val="right"/>
            </w:pPr>
            <w:r>
              <w:rPr>
                <w:color w:val="1C3A36"/>
                <w:sz w:val="15"/>
              </w:rPr>
              <w:t>2,775</w:t>
            </w:r>
          </w:p>
        </w:tc>
        <w:tc>
          <w:tcPr>
            <w:tcW w:type="dxa" w:w="893"/>
          </w:tcPr>
          <w:p>
            <w:pPr>
              <w:spacing w:after="20"/>
              <w:jc w:val="right"/>
            </w:pPr>
            <w:r>
              <w:rPr>
                <w:color w:val="1C3A36"/>
                <w:sz w:val="15"/>
              </w:rPr>
              <w:t>3,144</w:t>
            </w:r>
          </w:p>
        </w:tc>
        <w:tc>
          <w:tcPr>
            <w:tcW w:type="dxa" w:w="893"/>
          </w:tcPr>
          <w:p>
            <w:pPr>
              <w:spacing w:after="20"/>
              <w:jc w:val="right"/>
            </w:pPr>
            <w:r>
              <w:rPr>
                <w:color w:val="1C3A36"/>
                <w:sz w:val="15"/>
              </w:rPr>
              <w:t>3,584</w:t>
            </w:r>
          </w:p>
        </w:tc>
        <w:tc>
          <w:tcPr>
            <w:tcW w:type="dxa" w:w="893"/>
          </w:tcPr>
          <w:p>
            <w:pPr>
              <w:spacing w:after="20"/>
              <w:jc w:val="right"/>
            </w:pPr>
            <w:r>
              <w:rPr>
                <w:color w:val="1C3A36"/>
                <w:sz w:val="15"/>
              </w:rPr>
              <w:t>4,104</w:t>
            </w:r>
          </w:p>
        </w:tc>
        <w:tc>
          <w:tcPr>
            <w:tcW w:type="dxa" w:w="893"/>
          </w:tcPr>
          <w:p>
            <w:pPr>
              <w:spacing w:after="20"/>
              <w:jc w:val="right"/>
            </w:pPr>
            <w:r>
              <w:rPr>
                <w:color w:val="1C3A36"/>
                <w:sz w:val="15"/>
              </w:rPr>
              <w:t>4,711</w:t>
            </w:r>
          </w:p>
        </w:tc>
      </w:tr>
      <w:tr>
        <w:tc>
          <w:tcPr>
            <w:tcW w:type="dxa" w:w="2333"/>
            <w:shd w:val="clear" w:color="auto" w:fill="F6F1E6"/>
          </w:tcPr>
          <w:p>
            <w:pPr>
              <w:spacing w:after="20"/>
            </w:pPr>
            <w:r>
              <w:rPr>
                <w:b/>
                <w:color w:val="1C3A36"/>
                <w:sz w:val="15"/>
              </w:rPr>
              <w:t>TOTAL ASSETS</w:t>
            </w:r>
          </w:p>
        </w:tc>
        <w:tc>
          <w:tcPr>
            <w:tcW w:type="dxa" w:w="907"/>
            <w:shd w:val="clear" w:color="auto" w:fill="F6F1E6"/>
          </w:tcPr>
          <w:p>
            <w:pPr>
              <w:spacing w:after="20"/>
              <w:jc w:val="right"/>
            </w:pPr>
            <w:r>
              <w:rPr>
                <w:b/>
                <w:color w:val="1C3A36"/>
                <w:sz w:val="15"/>
              </w:rPr>
              <w:t>5,640</w:t>
            </w:r>
          </w:p>
        </w:tc>
        <w:tc>
          <w:tcPr>
            <w:tcW w:type="dxa" w:w="907"/>
            <w:shd w:val="clear" w:color="auto" w:fill="F6F1E6"/>
          </w:tcPr>
          <w:p>
            <w:pPr>
              <w:spacing w:after="20"/>
              <w:jc w:val="right"/>
            </w:pPr>
            <w:r>
              <w:rPr>
                <w:b/>
                <w:color w:val="1C3A36"/>
                <w:sz w:val="15"/>
              </w:rPr>
              <w:t>6,978</w:t>
            </w:r>
          </w:p>
        </w:tc>
        <w:tc>
          <w:tcPr>
            <w:tcW w:type="dxa" w:w="907"/>
            <w:shd w:val="clear" w:color="auto" w:fill="F6F1E6"/>
          </w:tcPr>
          <w:p>
            <w:pPr>
              <w:spacing w:after="20"/>
              <w:jc w:val="right"/>
            </w:pPr>
            <w:r>
              <w:rPr>
                <w:b/>
                <w:color w:val="1C3A36"/>
                <w:sz w:val="15"/>
              </w:rPr>
              <w:t>7,805</w:t>
            </w:r>
          </w:p>
        </w:tc>
        <w:tc>
          <w:tcPr>
            <w:tcW w:type="dxa" w:w="907"/>
            <w:shd w:val="clear" w:color="auto" w:fill="F6F1E6"/>
          </w:tcPr>
          <w:p>
            <w:pPr>
              <w:spacing w:after="20"/>
              <w:jc w:val="right"/>
            </w:pPr>
            <w:r>
              <w:rPr>
                <w:b/>
                <w:color w:val="1C3A36"/>
                <w:sz w:val="15"/>
              </w:rPr>
              <w:t>8,136</w:t>
            </w:r>
          </w:p>
        </w:tc>
        <w:tc>
          <w:tcPr>
            <w:tcW w:type="dxa" w:w="893"/>
            <w:shd w:val="clear" w:color="auto" w:fill="F6F1E6"/>
          </w:tcPr>
          <w:p>
            <w:pPr>
              <w:spacing w:after="20"/>
              <w:jc w:val="right"/>
            </w:pPr>
            <w:r>
              <w:rPr>
                <w:b/>
                <w:color w:val="1C3A36"/>
                <w:sz w:val="15"/>
              </w:rPr>
              <w:t>8,957</w:t>
            </w:r>
          </w:p>
        </w:tc>
        <w:tc>
          <w:tcPr>
            <w:tcW w:type="dxa" w:w="893"/>
            <w:shd w:val="clear" w:color="auto" w:fill="F6F1E6"/>
          </w:tcPr>
          <w:p>
            <w:pPr>
              <w:spacing w:after="20"/>
              <w:jc w:val="right"/>
            </w:pPr>
            <w:r>
              <w:rPr>
                <w:b/>
                <w:color w:val="1C3A36"/>
                <w:sz w:val="15"/>
              </w:rPr>
              <w:t>9,858</w:t>
            </w:r>
          </w:p>
        </w:tc>
        <w:tc>
          <w:tcPr>
            <w:tcW w:type="dxa" w:w="893"/>
            <w:shd w:val="clear" w:color="auto" w:fill="F6F1E6"/>
          </w:tcPr>
          <w:p>
            <w:pPr>
              <w:spacing w:after="20"/>
              <w:jc w:val="right"/>
            </w:pPr>
            <w:r>
              <w:rPr>
                <w:b/>
                <w:color w:val="1C3A36"/>
                <w:sz w:val="15"/>
              </w:rPr>
              <w:t>10,821</w:t>
            </w:r>
          </w:p>
        </w:tc>
        <w:tc>
          <w:tcPr>
            <w:tcW w:type="dxa" w:w="893"/>
            <w:shd w:val="clear" w:color="auto" w:fill="F6F1E6"/>
          </w:tcPr>
          <w:p>
            <w:pPr>
              <w:spacing w:after="20"/>
              <w:jc w:val="right"/>
            </w:pPr>
            <w:r>
              <w:rPr>
                <w:b/>
                <w:color w:val="1C3A36"/>
                <w:sz w:val="15"/>
              </w:rPr>
              <w:t>11,841</w:t>
            </w:r>
          </w:p>
        </w:tc>
        <w:tc>
          <w:tcPr>
            <w:tcW w:type="dxa" w:w="893"/>
            <w:shd w:val="clear" w:color="auto" w:fill="F6F1E6"/>
          </w:tcPr>
          <w:p>
            <w:pPr>
              <w:spacing w:after="20"/>
              <w:jc w:val="right"/>
            </w:pPr>
            <w:r>
              <w:rPr>
                <w:b/>
                <w:color w:val="1C3A36"/>
                <w:sz w:val="15"/>
              </w:rPr>
              <w:t>12,924</w:t>
            </w:r>
          </w:p>
        </w:tc>
      </w:tr>
      <w:tr>
        <w:tc>
          <w:tcPr>
            <w:tcW w:type="dxa" w:w="2333"/>
          </w:tcPr>
          <w:p>
            <w:pPr>
              <w:spacing w:after="20"/>
            </w:pPr>
            <w:r>
              <w:rPr>
                <w:color w:val="1C3A36"/>
                <w:sz w:val="15"/>
              </w:rPr>
              <w:t>Trade payables</w:t>
            </w:r>
          </w:p>
        </w:tc>
        <w:tc>
          <w:tcPr>
            <w:tcW w:type="dxa" w:w="907"/>
          </w:tcPr>
          <w:p>
            <w:pPr>
              <w:spacing w:after="20"/>
              <w:jc w:val="right"/>
            </w:pPr>
            <w:r>
              <w:rPr>
                <w:color w:val="1C3A36"/>
                <w:sz w:val="15"/>
              </w:rPr>
              <w:t>1,395</w:t>
            </w:r>
          </w:p>
        </w:tc>
        <w:tc>
          <w:tcPr>
            <w:tcW w:type="dxa" w:w="907"/>
          </w:tcPr>
          <w:p>
            <w:pPr>
              <w:spacing w:after="20"/>
              <w:jc w:val="right"/>
            </w:pPr>
            <w:r>
              <w:rPr>
                <w:color w:val="1C3A36"/>
                <w:sz w:val="15"/>
              </w:rPr>
              <w:t>2,073</w:t>
            </w:r>
          </w:p>
        </w:tc>
        <w:tc>
          <w:tcPr>
            <w:tcW w:type="dxa" w:w="907"/>
          </w:tcPr>
          <w:p>
            <w:pPr>
              <w:spacing w:after="20"/>
              <w:jc w:val="right"/>
            </w:pPr>
            <w:r>
              <w:rPr>
                <w:color w:val="1C3A36"/>
                <w:sz w:val="15"/>
              </w:rPr>
              <w:t>2,313</w:t>
            </w:r>
          </w:p>
        </w:tc>
        <w:tc>
          <w:tcPr>
            <w:tcW w:type="dxa" w:w="907"/>
          </w:tcPr>
          <w:p>
            <w:pPr>
              <w:spacing w:after="20"/>
              <w:jc w:val="right"/>
            </w:pPr>
            <w:r>
              <w:rPr>
                <w:color w:val="1C3A36"/>
                <w:sz w:val="15"/>
              </w:rPr>
              <w:t>2,462</w:t>
            </w:r>
          </w:p>
        </w:tc>
        <w:tc>
          <w:tcPr>
            <w:tcW w:type="dxa" w:w="893"/>
          </w:tcPr>
          <w:p>
            <w:pPr>
              <w:spacing w:after="20"/>
              <w:jc w:val="right"/>
            </w:pPr>
            <w:r>
              <w:rPr>
                <w:color w:val="1C3A36"/>
                <w:sz w:val="15"/>
              </w:rPr>
              <w:t>2,752</w:t>
            </w:r>
          </w:p>
        </w:tc>
        <w:tc>
          <w:tcPr>
            <w:tcW w:type="dxa" w:w="893"/>
          </w:tcPr>
          <w:p>
            <w:pPr>
              <w:spacing w:after="20"/>
              <w:jc w:val="right"/>
            </w:pPr>
            <w:r>
              <w:rPr>
                <w:color w:val="1C3A36"/>
                <w:sz w:val="15"/>
              </w:rPr>
              <w:t>3,068</w:t>
            </w:r>
          </w:p>
        </w:tc>
        <w:tc>
          <w:tcPr>
            <w:tcW w:type="dxa" w:w="893"/>
          </w:tcPr>
          <w:p>
            <w:pPr>
              <w:spacing w:after="20"/>
              <w:jc w:val="right"/>
            </w:pPr>
            <w:r>
              <w:rPr>
                <w:color w:val="1C3A36"/>
                <w:sz w:val="15"/>
              </w:rPr>
              <w:t>3,387</w:t>
            </w:r>
          </w:p>
        </w:tc>
        <w:tc>
          <w:tcPr>
            <w:tcW w:type="dxa" w:w="893"/>
          </w:tcPr>
          <w:p>
            <w:pPr>
              <w:spacing w:after="20"/>
              <w:jc w:val="right"/>
            </w:pPr>
            <w:r>
              <w:rPr>
                <w:color w:val="1C3A36"/>
                <w:sz w:val="15"/>
              </w:rPr>
              <w:t>3,702</w:t>
            </w:r>
          </w:p>
        </w:tc>
        <w:tc>
          <w:tcPr>
            <w:tcW w:type="dxa" w:w="893"/>
          </w:tcPr>
          <w:p>
            <w:pPr>
              <w:spacing w:after="20"/>
              <w:jc w:val="right"/>
            </w:pPr>
            <w:r>
              <w:rPr>
                <w:color w:val="1C3A36"/>
                <w:sz w:val="15"/>
              </w:rPr>
              <w:t>4,013</w:t>
            </w:r>
          </w:p>
        </w:tc>
      </w:tr>
      <w:tr>
        <w:tc>
          <w:tcPr>
            <w:tcW w:type="dxa" w:w="2333"/>
          </w:tcPr>
          <w:p>
            <w:pPr>
              <w:spacing w:after="20"/>
            </w:pPr>
            <w:r>
              <w:rPr>
                <w:color w:val="1C3A36"/>
                <w:sz w:val="15"/>
              </w:rPr>
              <w:t>Gross debt</w:t>
            </w:r>
          </w:p>
        </w:tc>
        <w:tc>
          <w:tcPr>
            <w:tcW w:type="dxa" w:w="907"/>
          </w:tcPr>
          <w:p>
            <w:pPr>
              <w:spacing w:after="20"/>
              <w:jc w:val="right"/>
            </w:pPr>
            <w:r>
              <w:rPr>
                <w:color w:val="1C3A36"/>
                <w:sz w:val="15"/>
              </w:rPr>
              <w:t>25.3</w:t>
            </w:r>
          </w:p>
        </w:tc>
        <w:tc>
          <w:tcPr>
            <w:tcW w:type="dxa" w:w="907"/>
          </w:tcPr>
          <w:p>
            <w:pPr>
              <w:spacing w:after="20"/>
              <w:jc w:val="right"/>
            </w:pPr>
            <w:r>
              <w:rPr>
                <w:color w:val="1C3A36"/>
                <w:sz w:val="15"/>
              </w:rPr>
              <w:t>25.3</w:t>
            </w:r>
          </w:p>
        </w:tc>
        <w:tc>
          <w:tcPr>
            <w:tcW w:type="dxa" w:w="907"/>
          </w:tcPr>
          <w:p>
            <w:pPr>
              <w:spacing w:after="20"/>
              <w:jc w:val="right"/>
            </w:pPr>
            <w:r>
              <w:rPr>
                <w:color w:val="1C3A36"/>
                <w:sz w:val="15"/>
              </w:rPr>
              <w:t>25.3</w:t>
            </w:r>
          </w:p>
        </w:tc>
        <w:tc>
          <w:tcPr>
            <w:tcW w:type="dxa" w:w="907"/>
          </w:tcPr>
          <w:p>
            <w:pPr>
              <w:spacing w:after="20"/>
              <w:jc w:val="right"/>
            </w:pPr>
            <w:r>
              <w:rPr>
                <w:color w:val="1C3A36"/>
                <w:sz w:val="15"/>
              </w:rPr>
              <w:t>25.3</w:t>
            </w:r>
          </w:p>
        </w:tc>
        <w:tc>
          <w:tcPr>
            <w:tcW w:type="dxa" w:w="893"/>
          </w:tcPr>
          <w:p>
            <w:pPr>
              <w:spacing w:after="20"/>
              <w:jc w:val="right"/>
            </w:pPr>
            <w:r>
              <w:rPr>
                <w:color w:val="1C3A36"/>
                <w:sz w:val="15"/>
              </w:rPr>
              <w:t>25.3</w:t>
            </w:r>
          </w:p>
        </w:tc>
        <w:tc>
          <w:tcPr>
            <w:tcW w:type="dxa" w:w="893"/>
          </w:tcPr>
          <w:p>
            <w:pPr>
              <w:spacing w:after="20"/>
              <w:jc w:val="right"/>
            </w:pPr>
            <w:r>
              <w:rPr>
                <w:color w:val="1C3A36"/>
                <w:sz w:val="15"/>
              </w:rPr>
              <w:t>25.3</w:t>
            </w:r>
          </w:p>
        </w:tc>
        <w:tc>
          <w:tcPr>
            <w:tcW w:type="dxa" w:w="893"/>
          </w:tcPr>
          <w:p>
            <w:pPr>
              <w:spacing w:after="20"/>
              <w:jc w:val="right"/>
            </w:pPr>
            <w:r>
              <w:rPr>
                <w:color w:val="1C3A36"/>
                <w:sz w:val="15"/>
              </w:rPr>
              <w:t>25.3</w:t>
            </w:r>
          </w:p>
        </w:tc>
        <w:tc>
          <w:tcPr>
            <w:tcW w:type="dxa" w:w="893"/>
          </w:tcPr>
          <w:p>
            <w:pPr>
              <w:spacing w:after="20"/>
              <w:jc w:val="right"/>
            </w:pPr>
            <w:r>
              <w:rPr>
                <w:color w:val="1C3A36"/>
                <w:sz w:val="15"/>
              </w:rPr>
              <w:t>25.3</w:t>
            </w:r>
          </w:p>
        </w:tc>
        <w:tc>
          <w:tcPr>
            <w:tcW w:type="dxa" w:w="893"/>
          </w:tcPr>
          <w:p>
            <w:pPr>
              <w:spacing w:after="20"/>
              <w:jc w:val="right"/>
            </w:pPr>
            <w:r>
              <w:rPr>
                <w:color w:val="1C3A36"/>
                <w:sz w:val="15"/>
              </w:rPr>
              <w:t>25.3</w:t>
            </w:r>
          </w:p>
        </w:tc>
      </w:tr>
      <w:tr>
        <w:tc>
          <w:tcPr>
            <w:tcW w:type="dxa" w:w="2333"/>
          </w:tcPr>
          <w:p>
            <w:pPr>
              <w:spacing w:after="20"/>
            </w:pPr>
            <w:r>
              <w:rPr>
                <w:color w:val="1C3A36"/>
                <w:sz w:val="15"/>
              </w:rPr>
              <w:t>Other liabilities and provisions</w:t>
            </w:r>
          </w:p>
        </w:tc>
        <w:tc>
          <w:tcPr>
            <w:tcW w:type="dxa" w:w="907"/>
          </w:tcPr>
          <w:p>
            <w:pPr>
              <w:spacing w:after="20"/>
              <w:jc w:val="right"/>
            </w:pPr>
            <w:r>
              <w:rPr>
                <w:color w:val="1C3A36"/>
                <w:sz w:val="15"/>
              </w:rPr>
              <w:t>396</w:t>
            </w:r>
          </w:p>
        </w:tc>
        <w:tc>
          <w:tcPr>
            <w:tcW w:type="dxa" w:w="907"/>
          </w:tcPr>
          <w:p>
            <w:pPr>
              <w:spacing w:after="20"/>
              <w:jc w:val="right"/>
            </w:pPr>
            <w:r>
              <w:rPr>
                <w:color w:val="1C3A36"/>
                <w:sz w:val="15"/>
              </w:rPr>
              <w:t>589</w:t>
            </w:r>
          </w:p>
        </w:tc>
        <w:tc>
          <w:tcPr>
            <w:tcW w:type="dxa" w:w="907"/>
          </w:tcPr>
          <w:p>
            <w:pPr>
              <w:spacing w:after="20"/>
              <w:jc w:val="right"/>
            </w:pPr>
            <w:r>
              <w:rPr>
                <w:color w:val="1C3A36"/>
                <w:sz w:val="15"/>
              </w:rPr>
              <w:t>659</w:t>
            </w:r>
          </w:p>
        </w:tc>
        <w:tc>
          <w:tcPr>
            <w:tcW w:type="dxa" w:w="907"/>
          </w:tcPr>
          <w:p>
            <w:pPr>
              <w:spacing w:after="20"/>
              <w:jc w:val="right"/>
            </w:pPr>
            <w:r>
              <w:rPr>
                <w:color w:val="1C3A36"/>
                <w:sz w:val="15"/>
              </w:rPr>
              <w:t>703</w:t>
            </w:r>
          </w:p>
        </w:tc>
        <w:tc>
          <w:tcPr>
            <w:tcW w:type="dxa" w:w="893"/>
          </w:tcPr>
          <w:p>
            <w:pPr>
              <w:spacing w:after="20"/>
              <w:jc w:val="right"/>
            </w:pPr>
            <w:r>
              <w:rPr>
                <w:color w:val="1C3A36"/>
                <w:sz w:val="15"/>
              </w:rPr>
              <w:t>786</w:t>
            </w:r>
          </w:p>
        </w:tc>
        <w:tc>
          <w:tcPr>
            <w:tcW w:type="dxa" w:w="893"/>
          </w:tcPr>
          <w:p>
            <w:pPr>
              <w:spacing w:after="20"/>
              <w:jc w:val="right"/>
            </w:pPr>
            <w:r>
              <w:rPr>
                <w:color w:val="1C3A36"/>
                <w:sz w:val="15"/>
              </w:rPr>
              <w:t>877</w:t>
            </w:r>
          </w:p>
        </w:tc>
        <w:tc>
          <w:tcPr>
            <w:tcW w:type="dxa" w:w="893"/>
          </w:tcPr>
          <w:p>
            <w:pPr>
              <w:spacing w:after="20"/>
              <w:jc w:val="right"/>
            </w:pPr>
            <w:r>
              <w:rPr>
                <w:color w:val="1C3A36"/>
                <w:sz w:val="15"/>
              </w:rPr>
              <w:t>968</w:t>
            </w:r>
          </w:p>
        </w:tc>
        <w:tc>
          <w:tcPr>
            <w:tcW w:type="dxa" w:w="893"/>
          </w:tcPr>
          <w:p>
            <w:pPr>
              <w:spacing w:after="20"/>
              <w:jc w:val="right"/>
            </w:pPr>
            <w:r>
              <w:rPr>
                <w:color w:val="1C3A36"/>
                <w:sz w:val="15"/>
              </w:rPr>
              <w:t>1,059</w:t>
            </w:r>
          </w:p>
        </w:tc>
        <w:tc>
          <w:tcPr>
            <w:tcW w:type="dxa" w:w="893"/>
          </w:tcPr>
          <w:p>
            <w:pPr>
              <w:spacing w:after="20"/>
              <w:jc w:val="right"/>
            </w:pPr>
            <w:r>
              <w:rPr>
                <w:color w:val="1C3A36"/>
                <w:sz w:val="15"/>
              </w:rPr>
              <w:t>1,148</w:t>
            </w:r>
          </w:p>
        </w:tc>
      </w:tr>
      <w:tr>
        <w:tc>
          <w:tcPr>
            <w:tcW w:type="dxa" w:w="2333"/>
          </w:tcPr>
          <w:p>
            <w:pPr>
              <w:spacing w:after="20"/>
            </w:pPr>
            <w:r>
              <w:rPr>
                <w:color w:val="1C3A36"/>
                <w:sz w:val="15"/>
              </w:rPr>
              <w:t>Shareholders equity</w:t>
            </w:r>
          </w:p>
        </w:tc>
        <w:tc>
          <w:tcPr>
            <w:tcW w:type="dxa" w:w="907"/>
          </w:tcPr>
          <w:p>
            <w:pPr>
              <w:spacing w:after="20"/>
              <w:jc w:val="right"/>
            </w:pPr>
            <w:r>
              <w:rPr>
                <w:color w:val="1C3A36"/>
                <w:sz w:val="15"/>
              </w:rPr>
              <w:t>3,709</w:t>
            </w:r>
          </w:p>
        </w:tc>
        <w:tc>
          <w:tcPr>
            <w:tcW w:type="dxa" w:w="907"/>
          </w:tcPr>
          <w:p>
            <w:pPr>
              <w:spacing w:after="20"/>
              <w:jc w:val="right"/>
            </w:pPr>
            <w:r>
              <w:rPr>
                <w:color w:val="1C3A36"/>
                <w:sz w:val="15"/>
              </w:rPr>
              <w:t>4,162</w:t>
            </w:r>
          </w:p>
        </w:tc>
        <w:tc>
          <w:tcPr>
            <w:tcW w:type="dxa" w:w="907"/>
          </w:tcPr>
          <w:p>
            <w:pPr>
              <w:spacing w:after="20"/>
              <w:jc w:val="right"/>
            </w:pPr>
            <w:r>
              <w:rPr>
                <w:color w:val="1C3A36"/>
                <w:sz w:val="15"/>
              </w:rPr>
              <w:t>4,663</w:t>
            </w:r>
          </w:p>
        </w:tc>
        <w:tc>
          <w:tcPr>
            <w:tcW w:type="dxa" w:w="907"/>
          </w:tcPr>
          <w:p>
            <w:pPr>
              <w:spacing w:after="20"/>
              <w:jc w:val="right"/>
            </w:pPr>
            <w:r>
              <w:rPr>
                <w:color w:val="1C3A36"/>
                <w:sz w:val="15"/>
              </w:rPr>
              <w:t>4,798</w:t>
            </w:r>
          </w:p>
        </w:tc>
        <w:tc>
          <w:tcPr>
            <w:tcW w:type="dxa" w:w="893"/>
          </w:tcPr>
          <w:p>
            <w:pPr>
              <w:spacing w:after="20"/>
              <w:jc w:val="right"/>
            </w:pPr>
            <w:r>
              <w:rPr>
                <w:color w:val="1C3A36"/>
                <w:sz w:val="15"/>
              </w:rPr>
              <w:t>5,311</w:t>
            </w:r>
          </w:p>
        </w:tc>
        <w:tc>
          <w:tcPr>
            <w:tcW w:type="dxa" w:w="893"/>
          </w:tcPr>
          <w:p>
            <w:pPr>
              <w:spacing w:after="20"/>
              <w:jc w:val="right"/>
            </w:pPr>
            <w:r>
              <w:rPr>
                <w:color w:val="1C3A36"/>
                <w:sz w:val="15"/>
              </w:rPr>
              <w:t>5,877</w:t>
            </w:r>
          </w:p>
        </w:tc>
        <w:tc>
          <w:tcPr>
            <w:tcW w:type="dxa" w:w="893"/>
          </w:tcPr>
          <w:p>
            <w:pPr>
              <w:spacing w:after="20"/>
              <w:jc w:val="right"/>
            </w:pPr>
            <w:r>
              <w:rPr>
                <w:color w:val="1C3A36"/>
                <w:sz w:val="15"/>
              </w:rPr>
              <w:t>6,497</w:t>
            </w:r>
          </w:p>
        </w:tc>
        <w:tc>
          <w:tcPr>
            <w:tcW w:type="dxa" w:w="893"/>
          </w:tcPr>
          <w:p>
            <w:pPr>
              <w:spacing w:after="20"/>
              <w:jc w:val="right"/>
            </w:pPr>
            <w:r>
              <w:rPr>
                <w:color w:val="1C3A36"/>
                <w:sz w:val="15"/>
              </w:rPr>
              <w:t>7,173</w:t>
            </w:r>
          </w:p>
        </w:tc>
        <w:tc>
          <w:tcPr>
            <w:tcW w:type="dxa" w:w="893"/>
          </w:tcPr>
          <w:p>
            <w:pPr>
              <w:spacing w:after="20"/>
              <w:jc w:val="right"/>
            </w:pPr>
            <w:r>
              <w:rPr>
                <w:color w:val="1C3A36"/>
                <w:sz w:val="15"/>
              </w:rPr>
              <w:t>7,907</w:t>
            </w:r>
          </w:p>
        </w:tc>
      </w:tr>
      <w:tr>
        <w:tc>
          <w:tcPr>
            <w:tcW w:type="dxa" w:w="2333"/>
          </w:tcPr>
          <w:p>
            <w:pPr>
              <w:spacing w:after="20"/>
            </w:pPr>
            <w:r>
              <w:rPr>
                <w:color w:val="1C3A36"/>
                <w:sz w:val="15"/>
              </w:rPr>
              <w:t>Minority interests</w:t>
            </w:r>
          </w:p>
        </w:tc>
        <w:tc>
          <w:tcPr>
            <w:tcW w:type="dxa" w:w="907"/>
          </w:tcPr>
          <w:p>
            <w:pPr>
              <w:spacing w:after="20"/>
              <w:jc w:val="right"/>
            </w:pPr>
            <w:r>
              <w:rPr>
                <w:color w:val="1C3A36"/>
                <w:sz w:val="15"/>
              </w:rPr>
              <w:t>115</w:t>
            </w:r>
          </w:p>
        </w:tc>
        <w:tc>
          <w:tcPr>
            <w:tcW w:type="dxa" w:w="907"/>
          </w:tcPr>
          <w:p>
            <w:pPr>
              <w:spacing w:after="20"/>
              <w:jc w:val="right"/>
            </w:pPr>
            <w:r>
              <w:rPr>
                <w:color w:val="1C3A36"/>
                <w:sz w:val="15"/>
              </w:rPr>
              <w:t>129</w:t>
            </w:r>
          </w:p>
        </w:tc>
        <w:tc>
          <w:tcPr>
            <w:tcW w:type="dxa" w:w="907"/>
          </w:tcPr>
          <w:p>
            <w:pPr>
              <w:spacing w:after="20"/>
              <w:jc w:val="right"/>
            </w:pPr>
            <w:r>
              <w:rPr>
                <w:color w:val="1C3A36"/>
                <w:sz w:val="15"/>
              </w:rPr>
              <w:t>144</w:t>
            </w:r>
          </w:p>
        </w:tc>
        <w:tc>
          <w:tcPr>
            <w:tcW w:type="dxa" w:w="907"/>
          </w:tcPr>
          <w:p>
            <w:pPr>
              <w:spacing w:after="20"/>
              <w:jc w:val="right"/>
            </w:pPr>
            <w:r>
              <w:rPr>
                <w:color w:val="1C3A36"/>
                <w:sz w:val="15"/>
              </w:rPr>
              <w:t>148</w:t>
            </w:r>
          </w:p>
        </w:tc>
        <w:tc>
          <w:tcPr>
            <w:tcW w:type="dxa" w:w="893"/>
          </w:tcPr>
          <w:p>
            <w:pPr>
              <w:spacing w:after="20"/>
              <w:jc w:val="right"/>
            </w:pPr>
            <w:r>
              <w:rPr>
                <w:color w:val="1C3A36"/>
                <w:sz w:val="15"/>
              </w:rPr>
              <w:t>164</w:t>
            </w:r>
          </w:p>
        </w:tc>
        <w:tc>
          <w:tcPr>
            <w:tcW w:type="dxa" w:w="893"/>
          </w:tcPr>
          <w:p>
            <w:pPr>
              <w:spacing w:after="20"/>
              <w:jc w:val="right"/>
            </w:pPr>
            <w:r>
              <w:rPr>
                <w:color w:val="1C3A36"/>
                <w:sz w:val="15"/>
              </w:rPr>
              <w:t>182</w:t>
            </w:r>
          </w:p>
        </w:tc>
        <w:tc>
          <w:tcPr>
            <w:tcW w:type="dxa" w:w="893"/>
          </w:tcPr>
          <w:p>
            <w:pPr>
              <w:spacing w:after="20"/>
              <w:jc w:val="right"/>
            </w:pPr>
            <w:r>
              <w:rPr>
                <w:color w:val="1C3A36"/>
                <w:sz w:val="15"/>
              </w:rPr>
              <w:t>201</w:t>
            </w:r>
          </w:p>
        </w:tc>
        <w:tc>
          <w:tcPr>
            <w:tcW w:type="dxa" w:w="893"/>
          </w:tcPr>
          <w:p>
            <w:pPr>
              <w:spacing w:after="20"/>
              <w:jc w:val="right"/>
            </w:pPr>
            <w:r>
              <w:rPr>
                <w:color w:val="1C3A36"/>
                <w:sz w:val="15"/>
              </w:rPr>
              <w:t>222</w:t>
            </w:r>
          </w:p>
        </w:tc>
        <w:tc>
          <w:tcPr>
            <w:tcW w:type="dxa" w:w="893"/>
          </w:tcPr>
          <w:p>
            <w:pPr>
              <w:spacing w:after="20"/>
              <w:jc w:val="right"/>
            </w:pPr>
            <w:r>
              <w:rPr>
                <w:color w:val="1C3A36"/>
                <w:sz w:val="15"/>
              </w:rPr>
              <w:t>245</w:t>
            </w:r>
          </w:p>
        </w:tc>
      </w:tr>
      <w:tr>
        <w:tc>
          <w:tcPr>
            <w:tcW w:type="dxa" w:w="2333"/>
            <w:shd w:val="clear" w:color="auto" w:fill="F6F1E6"/>
          </w:tcPr>
          <w:p>
            <w:pPr>
              <w:spacing w:after="20"/>
            </w:pPr>
            <w:r>
              <w:rPr>
                <w:b/>
                <w:color w:val="1C3A36"/>
                <w:sz w:val="15"/>
              </w:rPr>
              <w:t>NET WORKING CAPITAL</w:t>
            </w:r>
          </w:p>
        </w:tc>
        <w:tc>
          <w:tcPr>
            <w:tcW w:type="dxa" w:w="907"/>
            <w:shd w:val="clear" w:color="auto" w:fill="F6F1E6"/>
          </w:tcPr>
          <w:p>
            <w:pPr>
              <w:spacing w:after="20"/>
              <w:jc w:val="right"/>
            </w:pPr>
            <w:r>
              <w:rPr>
                <w:b/>
                <w:color w:val="1C3A36"/>
                <w:sz w:val="15"/>
              </w:rPr>
              <w:t>582</w:t>
            </w:r>
          </w:p>
        </w:tc>
        <w:tc>
          <w:tcPr>
            <w:tcW w:type="dxa" w:w="907"/>
            <w:shd w:val="clear" w:color="auto" w:fill="F6F1E6"/>
          </w:tcPr>
          <w:p>
            <w:pPr>
              <w:spacing w:after="20"/>
              <w:jc w:val="right"/>
            </w:pPr>
            <w:r>
              <w:rPr>
                <w:b/>
                <w:color w:val="1C3A36"/>
                <w:sz w:val="15"/>
              </w:rPr>
              <w:t>723</w:t>
            </w:r>
          </w:p>
        </w:tc>
        <w:tc>
          <w:tcPr>
            <w:tcW w:type="dxa" w:w="907"/>
            <w:shd w:val="clear" w:color="auto" w:fill="F6F1E6"/>
          </w:tcPr>
          <w:p>
            <w:pPr>
              <w:spacing w:after="20"/>
              <w:jc w:val="right"/>
            </w:pPr>
            <w:r>
              <w:rPr>
                <w:b/>
                <w:color w:val="1C3A36"/>
                <w:sz w:val="15"/>
              </w:rPr>
              <w:t>775</w:t>
            </w:r>
          </w:p>
        </w:tc>
        <w:tc>
          <w:tcPr>
            <w:tcW w:type="dxa" w:w="907"/>
            <w:shd w:val="clear" w:color="auto" w:fill="F6F1E6"/>
          </w:tcPr>
          <w:p>
            <w:pPr>
              <w:spacing w:after="20"/>
              <w:jc w:val="right"/>
            </w:pPr>
            <w:r>
              <w:rPr>
                <w:b/>
                <w:color w:val="1C3A36"/>
                <w:sz w:val="15"/>
              </w:rPr>
              <w:t>808</w:t>
            </w:r>
          </w:p>
        </w:tc>
        <w:tc>
          <w:tcPr>
            <w:tcW w:type="dxa" w:w="893"/>
            <w:shd w:val="clear" w:color="auto" w:fill="F6F1E6"/>
          </w:tcPr>
          <w:p>
            <w:pPr>
              <w:spacing w:after="20"/>
              <w:jc w:val="right"/>
            </w:pPr>
            <w:r>
              <w:rPr>
                <w:b/>
                <w:color w:val="1C3A36"/>
                <w:sz w:val="15"/>
              </w:rPr>
              <w:t>905</w:t>
            </w:r>
          </w:p>
        </w:tc>
        <w:tc>
          <w:tcPr>
            <w:tcW w:type="dxa" w:w="893"/>
            <w:shd w:val="clear" w:color="auto" w:fill="F6F1E6"/>
          </w:tcPr>
          <w:p>
            <w:pPr>
              <w:spacing w:after="20"/>
              <w:jc w:val="right"/>
            </w:pPr>
            <w:r>
              <w:rPr>
                <w:b/>
                <w:color w:val="1C3A36"/>
                <w:sz w:val="15"/>
              </w:rPr>
              <w:t>1,009</w:t>
            </w:r>
          </w:p>
        </w:tc>
        <w:tc>
          <w:tcPr>
            <w:tcW w:type="dxa" w:w="893"/>
            <w:shd w:val="clear" w:color="auto" w:fill="F6F1E6"/>
          </w:tcPr>
          <w:p>
            <w:pPr>
              <w:spacing w:after="20"/>
              <w:jc w:val="right"/>
            </w:pPr>
            <w:r>
              <w:rPr>
                <w:b/>
                <w:color w:val="1C3A36"/>
                <w:sz w:val="15"/>
              </w:rPr>
              <w:t>1,114</w:t>
            </w:r>
          </w:p>
        </w:tc>
        <w:tc>
          <w:tcPr>
            <w:tcW w:type="dxa" w:w="893"/>
            <w:shd w:val="clear" w:color="auto" w:fill="F6F1E6"/>
          </w:tcPr>
          <w:p>
            <w:pPr>
              <w:spacing w:after="20"/>
              <w:jc w:val="right"/>
            </w:pPr>
            <w:r>
              <w:rPr>
                <w:b/>
                <w:color w:val="1C3A36"/>
                <w:sz w:val="15"/>
              </w:rPr>
              <w:t>1,218</w:t>
            </w:r>
          </w:p>
        </w:tc>
        <w:tc>
          <w:tcPr>
            <w:tcW w:type="dxa" w:w="893"/>
            <w:shd w:val="clear" w:color="auto" w:fill="F6F1E6"/>
          </w:tcPr>
          <w:p>
            <w:pPr>
              <w:spacing w:after="20"/>
              <w:jc w:val="right"/>
            </w:pPr>
            <w:r>
              <w:rPr>
                <w:b/>
                <w:color w:val="1C3A36"/>
                <w:sz w:val="15"/>
              </w:rPr>
              <w:t>1,321</w:t>
            </w:r>
          </w:p>
        </w:tc>
      </w:tr>
      <w:tr>
        <w:tc>
          <w:tcPr>
            <w:tcW w:type="dxa" w:w="2333"/>
            <w:shd w:val="clear" w:color="auto" w:fill="F6F1E6"/>
          </w:tcPr>
          <w:p>
            <w:pPr>
              <w:spacing w:after="20"/>
            </w:pPr>
            <w:r>
              <w:rPr>
                <w:b/>
                <w:color w:val="1C3A36"/>
                <w:sz w:val="15"/>
              </w:rPr>
              <w:t>NET CASH</w:t>
            </w:r>
          </w:p>
        </w:tc>
        <w:tc>
          <w:tcPr>
            <w:tcW w:type="dxa" w:w="907"/>
            <w:shd w:val="clear" w:color="auto" w:fill="F6F1E6"/>
          </w:tcPr>
          <w:p>
            <w:pPr>
              <w:spacing w:after="20"/>
              <w:jc w:val="right"/>
            </w:pPr>
            <w:r>
              <w:rPr>
                <w:b/>
                <w:color w:val="1C3A36"/>
                <w:sz w:val="15"/>
              </w:rPr>
              <w:t>1,834</w:t>
            </w:r>
          </w:p>
        </w:tc>
        <w:tc>
          <w:tcPr>
            <w:tcW w:type="dxa" w:w="907"/>
            <w:shd w:val="clear" w:color="auto" w:fill="F6F1E6"/>
          </w:tcPr>
          <w:p>
            <w:pPr>
              <w:spacing w:after="20"/>
              <w:jc w:val="right"/>
            </w:pPr>
            <w:r>
              <w:rPr>
                <w:b/>
                <w:color w:val="1C3A36"/>
                <w:sz w:val="15"/>
              </w:rPr>
              <w:t>1,957</w:t>
            </w:r>
          </w:p>
        </w:tc>
        <w:tc>
          <w:tcPr>
            <w:tcW w:type="dxa" w:w="907"/>
            <w:shd w:val="clear" w:color="auto" w:fill="F6F1E6"/>
          </w:tcPr>
          <w:p>
            <w:pPr>
              <w:spacing w:after="20"/>
              <w:jc w:val="right"/>
            </w:pPr>
            <w:r>
              <w:rPr>
                <w:b/>
                <w:color w:val="1C3A36"/>
                <w:sz w:val="15"/>
              </w:rPr>
              <w:t>2,364</w:t>
            </w:r>
          </w:p>
        </w:tc>
        <w:tc>
          <w:tcPr>
            <w:tcW w:type="dxa" w:w="907"/>
            <w:shd w:val="clear" w:color="auto" w:fill="F6F1E6"/>
          </w:tcPr>
          <w:p>
            <w:pPr>
              <w:spacing w:after="20"/>
              <w:jc w:val="right"/>
            </w:pPr>
            <w:r>
              <w:rPr>
                <w:b/>
                <w:color w:val="1C3A36"/>
                <w:sz w:val="15"/>
              </w:rPr>
              <w:t>2,438</w:t>
            </w:r>
          </w:p>
        </w:tc>
        <w:tc>
          <w:tcPr>
            <w:tcW w:type="dxa" w:w="893"/>
            <w:shd w:val="clear" w:color="auto" w:fill="F6F1E6"/>
          </w:tcPr>
          <w:p>
            <w:pPr>
              <w:spacing w:after="20"/>
              <w:jc w:val="right"/>
            </w:pPr>
            <w:r>
              <w:rPr>
                <w:b/>
                <w:color w:val="1C3A36"/>
                <w:sz w:val="15"/>
              </w:rPr>
              <w:t>2,750</w:t>
            </w:r>
          </w:p>
        </w:tc>
        <w:tc>
          <w:tcPr>
            <w:tcW w:type="dxa" w:w="893"/>
            <w:shd w:val="clear" w:color="auto" w:fill="F6F1E6"/>
          </w:tcPr>
          <w:p>
            <w:pPr>
              <w:spacing w:after="20"/>
              <w:jc w:val="right"/>
            </w:pPr>
            <w:r>
              <w:rPr>
                <w:b/>
                <w:color w:val="1C3A36"/>
                <w:sz w:val="15"/>
              </w:rPr>
              <w:t>3,119</w:t>
            </w:r>
          </w:p>
        </w:tc>
        <w:tc>
          <w:tcPr>
            <w:tcW w:type="dxa" w:w="893"/>
            <w:shd w:val="clear" w:color="auto" w:fill="F6F1E6"/>
          </w:tcPr>
          <w:p>
            <w:pPr>
              <w:spacing w:after="20"/>
              <w:jc w:val="right"/>
            </w:pPr>
            <w:r>
              <w:rPr>
                <w:b/>
                <w:color w:val="1C3A36"/>
                <w:sz w:val="15"/>
              </w:rPr>
              <w:t>3,559</w:t>
            </w:r>
          </w:p>
        </w:tc>
        <w:tc>
          <w:tcPr>
            <w:tcW w:type="dxa" w:w="893"/>
            <w:shd w:val="clear" w:color="auto" w:fill="F6F1E6"/>
          </w:tcPr>
          <w:p>
            <w:pPr>
              <w:spacing w:after="20"/>
              <w:jc w:val="right"/>
            </w:pPr>
            <w:r>
              <w:rPr>
                <w:b/>
                <w:color w:val="1C3A36"/>
                <w:sz w:val="15"/>
              </w:rPr>
              <w:t>4,078</w:t>
            </w:r>
          </w:p>
        </w:tc>
        <w:tc>
          <w:tcPr>
            <w:tcW w:type="dxa" w:w="893"/>
            <w:shd w:val="clear" w:color="auto" w:fill="F6F1E6"/>
          </w:tcPr>
          <w:p>
            <w:pPr>
              <w:spacing w:after="20"/>
              <w:jc w:val="right"/>
            </w:pPr>
            <w:r>
              <w:rPr>
                <w:b/>
                <w:color w:val="1C3A36"/>
                <w:sz w:val="15"/>
              </w:rPr>
              <w:t>4,686</w:t>
            </w:r>
          </w:p>
        </w:tc>
      </w:tr>
    </w:tbl>
    <w:p>
      <w:pPr>
        <w:spacing w:after="40"/>
      </w:pPr>
    </w:p>
    <w:p>
      <w:pPr>
        <w:spacing w:after="200" w:before="0"/>
      </w:pPr>
      <w:r>
        <w:rPr>
          <w:b w:val="0"/>
          <w:i/>
          <w:color w:val="6E7B77"/>
          <w:sz w:val="17"/>
        </w:rPr>
        <w:t>Total assets, total liabilities, cash and gross debt at the calendar-2025 date are the only disclosed lines. Property, plant and equipment is the residual against disclosed total assets; inventories, receivables and payables are driven off days assumptions; and the three earlier years are rolled backwards through disclosed profit and the declared dividend. Each column foots exactly, and the companion model carries the balance check as a live formula.</w:t>
      </w:r>
    </w:p>
    <w:p>
      <w:pPr>
        <w:spacing w:after="80" w:before="200"/>
      </w:pPr>
      <w:r>
        <w:rPr>
          <w:b/>
          <w:i w:val="0"/>
          <w:color w:val="1C3A36"/>
          <w:sz w:val="24"/>
        </w:rPr>
        <w:t>A.3  Cash flow —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t>EGP mn</w:t>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NOPAT</w:t>
            </w:r>
          </w:p>
        </w:tc>
        <w:tc>
          <w:tcPr>
            <w:tcW w:type="dxa" w:w="1325"/>
          </w:tcPr>
          <w:p>
            <w:pPr>
              <w:spacing w:after="20"/>
              <w:jc w:val="right"/>
            </w:pPr>
            <w:r>
              <w:rPr>
                <w:color w:val="1C3A36"/>
                <w:sz w:val="16"/>
              </w:rPr>
              <w:t>1,412</w:t>
            </w:r>
          </w:p>
        </w:tc>
        <w:tc>
          <w:tcPr>
            <w:tcW w:type="dxa" w:w="1325"/>
          </w:tcPr>
          <w:p>
            <w:pPr>
              <w:spacing w:after="20"/>
              <w:jc w:val="right"/>
            </w:pPr>
            <w:r>
              <w:rPr>
                <w:color w:val="1C3A36"/>
                <w:sz w:val="16"/>
              </w:rPr>
              <w:t>1,592</w:t>
            </w:r>
          </w:p>
        </w:tc>
        <w:tc>
          <w:tcPr>
            <w:tcW w:type="dxa" w:w="1325"/>
          </w:tcPr>
          <w:p>
            <w:pPr>
              <w:spacing w:after="20"/>
              <w:jc w:val="right"/>
            </w:pPr>
            <w:r>
              <w:rPr>
                <w:color w:val="1C3A36"/>
                <w:sz w:val="16"/>
              </w:rPr>
              <w:t>1,766</w:t>
            </w:r>
          </w:p>
        </w:tc>
        <w:tc>
          <w:tcPr>
            <w:tcW w:type="dxa" w:w="1325"/>
          </w:tcPr>
          <w:p>
            <w:pPr>
              <w:spacing w:after="20"/>
              <w:jc w:val="right"/>
            </w:pPr>
            <w:r>
              <w:rPr>
                <w:color w:val="1C3A36"/>
                <w:sz w:val="16"/>
              </w:rPr>
              <w:t>1,937</w:t>
            </w:r>
          </w:p>
        </w:tc>
        <w:tc>
          <w:tcPr>
            <w:tcW w:type="dxa" w:w="1325"/>
          </w:tcPr>
          <w:p>
            <w:pPr>
              <w:spacing w:after="20"/>
              <w:jc w:val="right"/>
            </w:pPr>
            <w:r>
              <w:rPr>
                <w:color w:val="1C3A36"/>
                <w:sz w:val="16"/>
              </w:rPr>
              <w:t>2,106</w:t>
            </w:r>
          </w:p>
        </w:tc>
      </w:tr>
      <w:tr>
        <w:tc>
          <w:tcPr>
            <w:tcW w:type="dxa" w:w="3384"/>
          </w:tcPr>
          <w:p>
            <w:pPr>
              <w:spacing w:after="20"/>
            </w:pPr>
            <w:r>
              <w:rPr>
                <w:color w:val="1C3A36"/>
                <w:sz w:val="16"/>
              </w:rPr>
              <w:t>add back depreciation and amortisation</w:t>
            </w:r>
          </w:p>
        </w:tc>
        <w:tc>
          <w:tcPr>
            <w:tcW w:type="dxa" w:w="1325"/>
          </w:tcPr>
          <w:p>
            <w:pPr>
              <w:spacing w:after="20"/>
              <w:jc w:val="right"/>
            </w:pPr>
            <w:r>
              <w:rPr>
                <w:color w:val="1C3A36"/>
                <w:sz w:val="16"/>
              </w:rPr>
              <w:t>492</w:t>
            </w:r>
          </w:p>
        </w:tc>
        <w:tc>
          <w:tcPr>
            <w:tcW w:type="dxa" w:w="1325"/>
          </w:tcPr>
          <w:p>
            <w:pPr>
              <w:spacing w:after="20"/>
              <w:jc w:val="right"/>
            </w:pPr>
            <w:r>
              <w:rPr>
                <w:color w:val="1C3A36"/>
                <w:sz w:val="16"/>
              </w:rPr>
              <w:t>549</w:t>
            </w:r>
          </w:p>
        </w:tc>
        <w:tc>
          <w:tcPr>
            <w:tcW w:type="dxa" w:w="1325"/>
          </w:tcPr>
          <w:p>
            <w:pPr>
              <w:spacing w:after="20"/>
              <w:jc w:val="right"/>
            </w:pPr>
            <w:r>
              <w:rPr>
                <w:color w:val="1C3A36"/>
                <w:sz w:val="16"/>
              </w:rPr>
              <w:t>606</w:t>
            </w:r>
          </w:p>
        </w:tc>
        <w:tc>
          <w:tcPr>
            <w:tcW w:type="dxa" w:w="1325"/>
          </w:tcPr>
          <w:p>
            <w:pPr>
              <w:spacing w:after="20"/>
              <w:jc w:val="right"/>
            </w:pPr>
            <w:r>
              <w:rPr>
                <w:color w:val="1C3A36"/>
                <w:sz w:val="16"/>
              </w:rPr>
              <w:t>663</w:t>
            </w:r>
          </w:p>
        </w:tc>
        <w:tc>
          <w:tcPr>
            <w:tcW w:type="dxa" w:w="1325"/>
          </w:tcPr>
          <w:p>
            <w:pPr>
              <w:spacing w:after="20"/>
              <w:jc w:val="right"/>
            </w:pPr>
            <w:r>
              <w:rPr>
                <w:color w:val="1C3A36"/>
                <w:sz w:val="16"/>
              </w:rPr>
              <w:t>719</w:t>
            </w:r>
          </w:p>
        </w:tc>
      </w:tr>
      <w:tr>
        <w:tc>
          <w:tcPr>
            <w:tcW w:type="dxa" w:w="3384"/>
          </w:tcPr>
          <w:p>
            <w:pPr>
              <w:spacing w:after="20"/>
            </w:pPr>
            <w:r>
              <w:rPr>
                <w:color w:val="1C3A36"/>
                <w:sz w:val="16"/>
              </w:rPr>
              <w:t>less change in net working capital</w:t>
            </w:r>
          </w:p>
        </w:tc>
        <w:tc>
          <w:tcPr>
            <w:tcW w:type="dxa" w:w="1325"/>
          </w:tcPr>
          <w:p>
            <w:pPr>
              <w:spacing w:after="20"/>
              <w:jc w:val="right"/>
            </w:pPr>
            <w:r>
              <w:rPr>
                <w:color w:val="1C3A36"/>
                <w:sz w:val="16"/>
              </w:rPr>
              <w:t>(96)</w:t>
            </w:r>
          </w:p>
        </w:tc>
        <w:tc>
          <w:tcPr>
            <w:tcW w:type="dxa" w:w="1325"/>
          </w:tcPr>
          <w:p>
            <w:pPr>
              <w:spacing w:after="20"/>
              <w:jc w:val="right"/>
            </w:pPr>
            <w:r>
              <w:rPr>
                <w:color w:val="1C3A36"/>
                <w:sz w:val="16"/>
              </w:rPr>
              <w:t>(104)</w:t>
            </w:r>
          </w:p>
        </w:tc>
        <w:tc>
          <w:tcPr>
            <w:tcW w:type="dxa" w:w="1325"/>
          </w:tcPr>
          <w:p>
            <w:pPr>
              <w:spacing w:after="20"/>
              <w:jc w:val="right"/>
            </w:pPr>
            <w:r>
              <w:rPr>
                <w:color w:val="1C3A36"/>
                <w:sz w:val="16"/>
              </w:rPr>
              <w:t>(105)</w:t>
            </w:r>
          </w:p>
        </w:tc>
        <w:tc>
          <w:tcPr>
            <w:tcW w:type="dxa" w:w="1325"/>
          </w:tcPr>
          <w:p>
            <w:pPr>
              <w:spacing w:after="20"/>
              <w:jc w:val="right"/>
            </w:pPr>
            <w:r>
              <w:rPr>
                <w:color w:val="1C3A36"/>
                <w:sz w:val="16"/>
              </w:rPr>
              <w:t>(104)</w:t>
            </w:r>
          </w:p>
        </w:tc>
        <w:tc>
          <w:tcPr>
            <w:tcW w:type="dxa" w:w="1325"/>
          </w:tcPr>
          <w:p>
            <w:pPr>
              <w:spacing w:after="20"/>
              <w:jc w:val="right"/>
            </w:pPr>
            <w:r>
              <w:rPr>
                <w:color w:val="1C3A36"/>
                <w:sz w:val="16"/>
              </w:rPr>
              <w:t>(103)</w:t>
            </w:r>
          </w:p>
        </w:tc>
      </w:tr>
      <w:tr>
        <w:tc>
          <w:tcPr>
            <w:tcW w:type="dxa" w:w="3384"/>
            <w:shd w:val="clear" w:color="auto" w:fill="F6F1E6"/>
          </w:tcPr>
          <w:p>
            <w:pPr>
              <w:spacing w:after="20"/>
            </w:pPr>
            <w:r>
              <w:rPr>
                <w:b/>
                <w:color w:val="1C3A36"/>
                <w:sz w:val="16"/>
              </w:rPr>
              <w:t>OPERATING CASH FLOW</w:t>
            </w:r>
          </w:p>
        </w:tc>
        <w:tc>
          <w:tcPr>
            <w:tcW w:type="dxa" w:w="1325"/>
            <w:shd w:val="clear" w:color="auto" w:fill="F6F1E6"/>
          </w:tcPr>
          <w:p>
            <w:pPr>
              <w:spacing w:after="20"/>
              <w:jc w:val="right"/>
            </w:pPr>
            <w:r>
              <w:rPr>
                <w:b/>
                <w:color w:val="1C3A36"/>
                <w:sz w:val="16"/>
              </w:rPr>
              <w:t>1,808</w:t>
            </w:r>
          </w:p>
        </w:tc>
        <w:tc>
          <w:tcPr>
            <w:tcW w:type="dxa" w:w="1325"/>
            <w:shd w:val="clear" w:color="auto" w:fill="F6F1E6"/>
          </w:tcPr>
          <w:p>
            <w:pPr>
              <w:spacing w:after="20"/>
              <w:jc w:val="right"/>
            </w:pPr>
            <w:r>
              <w:rPr>
                <w:b/>
                <w:color w:val="1C3A36"/>
                <w:sz w:val="16"/>
              </w:rPr>
              <w:t>2,037</w:t>
            </w:r>
          </w:p>
        </w:tc>
        <w:tc>
          <w:tcPr>
            <w:tcW w:type="dxa" w:w="1325"/>
            <w:shd w:val="clear" w:color="auto" w:fill="F6F1E6"/>
          </w:tcPr>
          <w:p>
            <w:pPr>
              <w:spacing w:after="20"/>
              <w:jc w:val="right"/>
            </w:pPr>
            <w:r>
              <w:rPr>
                <w:b/>
                <w:color w:val="1C3A36"/>
                <w:sz w:val="16"/>
              </w:rPr>
              <w:t>2,268</w:t>
            </w:r>
          </w:p>
        </w:tc>
        <w:tc>
          <w:tcPr>
            <w:tcW w:type="dxa" w:w="1325"/>
            <w:shd w:val="clear" w:color="auto" w:fill="F6F1E6"/>
          </w:tcPr>
          <w:p>
            <w:pPr>
              <w:spacing w:after="20"/>
              <w:jc w:val="right"/>
            </w:pPr>
            <w:r>
              <w:rPr>
                <w:b/>
                <w:color w:val="1C3A36"/>
                <w:sz w:val="16"/>
              </w:rPr>
              <w:t>2,496</w:t>
            </w:r>
          </w:p>
        </w:tc>
        <w:tc>
          <w:tcPr>
            <w:tcW w:type="dxa" w:w="1325"/>
            <w:shd w:val="clear" w:color="auto" w:fill="F6F1E6"/>
          </w:tcPr>
          <w:p>
            <w:pPr>
              <w:spacing w:after="20"/>
              <w:jc w:val="right"/>
            </w:pPr>
            <w:r>
              <w:rPr>
                <w:b/>
                <w:color w:val="1C3A36"/>
                <w:sz w:val="16"/>
              </w:rPr>
              <w:t>2,722</w:t>
            </w:r>
          </w:p>
        </w:tc>
      </w:tr>
      <w:tr>
        <w:tc>
          <w:tcPr>
            <w:tcW w:type="dxa" w:w="3384"/>
          </w:tcPr>
          <w:p>
            <w:pPr>
              <w:spacing w:after="20"/>
            </w:pPr>
            <w:r>
              <w:rPr>
                <w:color w:val="1C3A36"/>
                <w:sz w:val="16"/>
              </w:rPr>
              <w:t>less capital expenditure</w:t>
            </w:r>
          </w:p>
        </w:tc>
        <w:tc>
          <w:tcPr>
            <w:tcW w:type="dxa" w:w="1325"/>
          </w:tcPr>
          <w:p>
            <w:pPr>
              <w:spacing w:after="20"/>
              <w:jc w:val="right"/>
            </w:pPr>
            <w:r>
              <w:rPr>
                <w:color w:val="1C3A36"/>
                <w:sz w:val="16"/>
              </w:rPr>
              <w:t>(649)</w:t>
            </w:r>
          </w:p>
        </w:tc>
        <w:tc>
          <w:tcPr>
            <w:tcW w:type="dxa" w:w="1325"/>
          </w:tcPr>
          <w:p>
            <w:pPr>
              <w:spacing w:after="20"/>
              <w:jc w:val="right"/>
            </w:pPr>
            <w:r>
              <w:rPr>
                <w:color w:val="1C3A36"/>
                <w:sz w:val="16"/>
              </w:rPr>
              <w:t>(699)</w:t>
            </w:r>
          </w:p>
        </w:tc>
        <w:tc>
          <w:tcPr>
            <w:tcW w:type="dxa" w:w="1325"/>
          </w:tcPr>
          <w:p>
            <w:pPr>
              <w:spacing w:after="20"/>
              <w:jc w:val="right"/>
            </w:pPr>
            <w:r>
              <w:rPr>
                <w:color w:val="1C3A36"/>
                <w:sz w:val="16"/>
              </w:rPr>
              <w:t>(744)</w:t>
            </w:r>
          </w:p>
        </w:tc>
        <w:tc>
          <w:tcPr>
            <w:tcW w:type="dxa" w:w="1325"/>
          </w:tcPr>
          <w:p>
            <w:pPr>
              <w:spacing w:after="20"/>
              <w:jc w:val="right"/>
            </w:pPr>
            <w:r>
              <w:rPr>
                <w:color w:val="1C3A36"/>
                <w:sz w:val="16"/>
              </w:rPr>
              <w:t>(783)</w:t>
            </w:r>
          </w:p>
        </w:tc>
        <w:tc>
          <w:tcPr>
            <w:tcW w:type="dxa" w:w="1325"/>
          </w:tcPr>
          <w:p>
            <w:pPr>
              <w:spacing w:after="20"/>
              <w:jc w:val="right"/>
            </w:pPr>
            <w:r>
              <w:rPr>
                <w:color w:val="1C3A36"/>
                <w:sz w:val="16"/>
              </w:rPr>
              <w:t>(817)</w:t>
            </w:r>
          </w:p>
        </w:tc>
      </w:tr>
      <w:tr>
        <w:tc>
          <w:tcPr>
            <w:tcW w:type="dxa" w:w="3384"/>
          </w:tcPr>
          <w:p>
            <w:pPr>
              <w:spacing w:after="20"/>
            </w:pPr>
            <w:r>
              <w:rPr>
                <w:color w:val="1C3A36"/>
                <w:sz w:val="16"/>
              </w:rPr>
              <w:t>FREE CASH FLOW TO THE FIRM</w:t>
            </w:r>
          </w:p>
        </w:tc>
        <w:tc>
          <w:tcPr>
            <w:tcW w:type="dxa" w:w="1325"/>
          </w:tcPr>
          <w:p>
            <w:pPr>
              <w:spacing w:after="20"/>
              <w:jc w:val="right"/>
            </w:pPr>
            <w:r>
              <w:rPr>
                <w:color w:val="1C3A36"/>
                <w:sz w:val="16"/>
              </w:rPr>
              <w:t>1,159</w:t>
            </w:r>
          </w:p>
        </w:tc>
        <w:tc>
          <w:tcPr>
            <w:tcW w:type="dxa" w:w="1325"/>
          </w:tcPr>
          <w:p>
            <w:pPr>
              <w:spacing w:after="20"/>
              <w:jc w:val="right"/>
            </w:pPr>
            <w:r>
              <w:rPr>
                <w:color w:val="1C3A36"/>
                <w:sz w:val="16"/>
              </w:rPr>
              <w:t>1,338</w:t>
            </w:r>
          </w:p>
        </w:tc>
        <w:tc>
          <w:tcPr>
            <w:tcW w:type="dxa" w:w="1325"/>
          </w:tcPr>
          <w:p>
            <w:pPr>
              <w:spacing w:after="20"/>
              <w:jc w:val="right"/>
            </w:pPr>
            <w:r>
              <w:rPr>
                <w:color w:val="1C3A36"/>
                <w:sz w:val="16"/>
              </w:rPr>
              <w:t>1,523</w:t>
            </w:r>
          </w:p>
        </w:tc>
        <w:tc>
          <w:tcPr>
            <w:tcW w:type="dxa" w:w="1325"/>
          </w:tcPr>
          <w:p>
            <w:pPr>
              <w:spacing w:after="20"/>
              <w:jc w:val="right"/>
            </w:pPr>
            <w:r>
              <w:rPr>
                <w:color w:val="1C3A36"/>
                <w:sz w:val="16"/>
              </w:rPr>
              <w:t>1,713</w:t>
            </w:r>
          </w:p>
        </w:tc>
        <w:tc>
          <w:tcPr>
            <w:tcW w:type="dxa" w:w="1325"/>
          </w:tcPr>
          <w:p>
            <w:pPr>
              <w:spacing w:after="20"/>
              <w:jc w:val="right"/>
            </w:pPr>
            <w:r>
              <w:rPr>
                <w:color w:val="1C3A36"/>
                <w:sz w:val="16"/>
              </w:rPr>
              <w:t>1,906</w:t>
            </w:r>
          </w:p>
        </w:tc>
      </w:tr>
      <w:tr>
        <w:tc>
          <w:tcPr>
            <w:tcW w:type="dxa" w:w="3384"/>
          </w:tcPr>
          <w:p>
            <w:pPr>
              <w:spacing w:after="20"/>
            </w:pPr>
            <w:r>
              <w:rPr>
                <w:color w:val="1C3A36"/>
                <w:sz w:val="16"/>
              </w:rPr>
              <w:t>Opening net cash</w:t>
            </w:r>
          </w:p>
        </w:tc>
        <w:tc>
          <w:tcPr>
            <w:tcW w:type="dxa" w:w="1325"/>
          </w:tcPr>
          <w:p>
            <w:pPr>
              <w:spacing w:after="20"/>
              <w:jc w:val="right"/>
            </w:pPr>
            <w:r>
              <w:rPr>
                <w:color w:val="1C3A36"/>
                <w:sz w:val="16"/>
              </w:rPr>
              <w:t>2,438</w:t>
            </w:r>
          </w:p>
        </w:tc>
        <w:tc>
          <w:tcPr>
            <w:tcW w:type="dxa" w:w="1325"/>
          </w:tcPr>
          <w:p>
            <w:pPr>
              <w:spacing w:after="20"/>
              <w:jc w:val="right"/>
            </w:pPr>
            <w:r>
              <w:rPr>
                <w:color w:val="1C3A36"/>
                <w:sz w:val="16"/>
              </w:rPr>
              <w:t>2,750</w:t>
            </w:r>
          </w:p>
        </w:tc>
        <w:tc>
          <w:tcPr>
            <w:tcW w:type="dxa" w:w="1325"/>
          </w:tcPr>
          <w:p>
            <w:pPr>
              <w:spacing w:after="20"/>
              <w:jc w:val="right"/>
            </w:pPr>
            <w:r>
              <w:rPr>
                <w:color w:val="1C3A36"/>
                <w:sz w:val="16"/>
              </w:rPr>
              <w:t>3,119</w:t>
            </w:r>
          </w:p>
        </w:tc>
        <w:tc>
          <w:tcPr>
            <w:tcW w:type="dxa" w:w="1325"/>
          </w:tcPr>
          <w:p>
            <w:pPr>
              <w:spacing w:after="20"/>
              <w:jc w:val="right"/>
            </w:pPr>
            <w:r>
              <w:rPr>
                <w:color w:val="1C3A36"/>
                <w:sz w:val="16"/>
              </w:rPr>
              <w:t>3,559</w:t>
            </w:r>
          </w:p>
        </w:tc>
        <w:tc>
          <w:tcPr>
            <w:tcW w:type="dxa" w:w="1325"/>
          </w:tcPr>
          <w:p>
            <w:pPr>
              <w:spacing w:after="20"/>
              <w:jc w:val="right"/>
            </w:pPr>
            <w:r>
              <w:rPr>
                <w:color w:val="1C3A36"/>
                <w:sz w:val="16"/>
              </w:rPr>
              <w:t>4,078</w:t>
            </w:r>
          </w:p>
        </w:tc>
      </w:tr>
      <w:tr>
        <w:tc>
          <w:tcPr>
            <w:tcW w:type="dxa" w:w="3384"/>
          </w:tcPr>
          <w:p>
            <w:pPr>
              <w:spacing w:after="20"/>
            </w:pPr>
            <w:r>
              <w:rPr>
                <w:color w:val="1C3A36"/>
                <w:sz w:val="16"/>
              </w:rPr>
              <w:t>add net finance income, AFTER tax at 23.5%</w:t>
            </w:r>
          </w:p>
        </w:tc>
        <w:tc>
          <w:tcPr>
            <w:tcW w:type="dxa" w:w="1325"/>
          </w:tcPr>
          <w:p>
            <w:pPr>
              <w:spacing w:after="20"/>
              <w:jc w:val="right"/>
            </w:pPr>
            <w:r>
              <w:rPr>
                <w:color w:val="1C3A36"/>
                <w:sz w:val="16"/>
              </w:rPr>
              <w:t>316</w:t>
            </w:r>
          </w:p>
        </w:tc>
        <w:tc>
          <w:tcPr>
            <w:tcW w:type="dxa" w:w="1325"/>
          </w:tcPr>
          <w:p>
            <w:pPr>
              <w:spacing w:after="20"/>
              <w:jc w:val="right"/>
            </w:pPr>
            <w:r>
              <w:rPr>
                <w:color w:val="1C3A36"/>
                <w:sz w:val="16"/>
              </w:rPr>
              <w:t>315</w:t>
            </w:r>
          </w:p>
        </w:tc>
        <w:tc>
          <w:tcPr>
            <w:tcW w:type="dxa" w:w="1325"/>
          </w:tcPr>
          <w:p>
            <w:pPr>
              <w:spacing w:after="20"/>
              <w:jc w:val="right"/>
            </w:pPr>
            <w:r>
              <w:rPr>
                <w:color w:val="1C3A36"/>
                <w:sz w:val="16"/>
              </w:rPr>
              <w:t>321</w:t>
            </w:r>
          </w:p>
        </w:tc>
        <w:tc>
          <w:tcPr>
            <w:tcW w:type="dxa" w:w="1325"/>
          </w:tcPr>
          <w:p>
            <w:pPr>
              <w:spacing w:after="20"/>
              <w:jc w:val="right"/>
            </w:pPr>
            <w:r>
              <w:rPr>
                <w:color w:val="1C3A36"/>
                <w:sz w:val="16"/>
              </w:rPr>
              <w:t>340</w:t>
            </w:r>
          </w:p>
        </w:tc>
        <w:tc>
          <w:tcPr>
            <w:tcW w:type="dxa" w:w="1325"/>
          </w:tcPr>
          <w:p>
            <w:pPr>
              <w:spacing w:after="20"/>
              <w:jc w:val="right"/>
            </w:pPr>
            <w:r>
              <w:rPr>
                <w:color w:val="1C3A36"/>
                <w:sz w:val="16"/>
              </w:rPr>
              <w:t>368</w:t>
            </w:r>
          </w:p>
        </w:tc>
      </w:tr>
      <w:tr>
        <w:tc>
          <w:tcPr>
            <w:tcW w:type="dxa" w:w="3384"/>
            <w:shd w:val="clear" w:color="auto" w:fill="F6F1E6"/>
          </w:tcPr>
          <w:p>
            <w:pPr>
              <w:spacing w:after="20"/>
            </w:pPr>
            <w:r>
              <w:rPr>
                <w:b/>
                <w:color w:val="1C3A36"/>
                <w:sz w:val="16"/>
              </w:rPr>
              <w:t>less dividends paid</w:t>
            </w:r>
          </w:p>
        </w:tc>
        <w:tc>
          <w:tcPr>
            <w:tcW w:type="dxa" w:w="1325"/>
            <w:shd w:val="clear" w:color="auto" w:fill="F6F1E6"/>
          </w:tcPr>
          <w:p>
            <w:pPr>
              <w:spacing w:after="20"/>
              <w:jc w:val="right"/>
            </w:pPr>
            <w:r>
              <w:rPr>
                <w:b/>
                <w:color w:val="1C3A36"/>
                <w:sz w:val="16"/>
              </w:rPr>
              <w:t>(1,163)</w:t>
            </w:r>
          </w:p>
        </w:tc>
        <w:tc>
          <w:tcPr>
            <w:tcW w:type="dxa" w:w="1325"/>
            <w:shd w:val="clear" w:color="auto" w:fill="F6F1E6"/>
          </w:tcPr>
          <w:p>
            <w:pPr>
              <w:spacing w:after="20"/>
              <w:jc w:val="right"/>
            </w:pPr>
            <w:r>
              <w:rPr>
                <w:b/>
                <w:color w:val="1C3A36"/>
                <w:sz w:val="16"/>
              </w:rPr>
              <w:t>(1,284)</w:t>
            </w:r>
          </w:p>
        </w:tc>
        <w:tc>
          <w:tcPr>
            <w:tcW w:type="dxa" w:w="1325"/>
            <w:shd w:val="clear" w:color="auto" w:fill="F6F1E6"/>
          </w:tcPr>
          <w:p>
            <w:pPr>
              <w:spacing w:after="20"/>
              <w:jc w:val="right"/>
            </w:pPr>
            <w:r>
              <w:rPr>
                <w:b/>
                <w:color w:val="1C3A36"/>
                <w:sz w:val="16"/>
              </w:rPr>
              <w:t>(1,405)</w:t>
            </w:r>
          </w:p>
        </w:tc>
        <w:tc>
          <w:tcPr>
            <w:tcW w:type="dxa" w:w="1325"/>
            <w:shd w:val="clear" w:color="auto" w:fill="F6F1E6"/>
          </w:tcPr>
          <w:p>
            <w:pPr>
              <w:spacing w:after="20"/>
              <w:jc w:val="right"/>
            </w:pPr>
            <w:r>
              <w:rPr>
                <w:b/>
                <w:color w:val="1C3A36"/>
                <w:sz w:val="16"/>
              </w:rPr>
              <w:t>(1,533)</w:t>
            </w:r>
          </w:p>
        </w:tc>
        <w:tc>
          <w:tcPr>
            <w:tcW w:type="dxa" w:w="1325"/>
            <w:shd w:val="clear" w:color="auto" w:fill="F6F1E6"/>
          </w:tcPr>
          <w:p>
            <w:pPr>
              <w:spacing w:after="20"/>
              <w:jc w:val="right"/>
            </w:pPr>
            <w:r>
              <w:rPr>
                <w:b/>
                <w:color w:val="1C3A36"/>
                <w:sz w:val="16"/>
              </w:rPr>
              <w:t>(1,665)</w:t>
            </w:r>
          </w:p>
        </w:tc>
      </w:tr>
      <w:tr>
        <w:tc>
          <w:tcPr>
            <w:tcW w:type="dxa" w:w="3384"/>
          </w:tcPr>
          <w:p>
            <w:pPr>
              <w:spacing w:after="20"/>
            </w:pPr>
            <w:r>
              <w:rPr>
                <w:color w:val="1C3A36"/>
                <w:sz w:val="16"/>
              </w:rPr>
              <w:t>CLOSING NET CASH</w:t>
            </w:r>
          </w:p>
        </w:tc>
        <w:tc>
          <w:tcPr>
            <w:tcW w:type="dxa" w:w="1325"/>
          </w:tcPr>
          <w:p>
            <w:pPr>
              <w:spacing w:after="20"/>
              <w:jc w:val="right"/>
            </w:pPr>
            <w:r>
              <w:rPr>
                <w:color w:val="1C3A36"/>
                <w:sz w:val="16"/>
              </w:rPr>
              <w:t>2,750</w:t>
            </w:r>
          </w:p>
        </w:tc>
        <w:tc>
          <w:tcPr>
            <w:tcW w:type="dxa" w:w="1325"/>
          </w:tcPr>
          <w:p>
            <w:pPr>
              <w:spacing w:after="20"/>
              <w:jc w:val="right"/>
            </w:pPr>
            <w:r>
              <w:rPr>
                <w:color w:val="1C3A36"/>
                <w:sz w:val="16"/>
              </w:rPr>
              <w:t>3,119</w:t>
            </w:r>
          </w:p>
        </w:tc>
        <w:tc>
          <w:tcPr>
            <w:tcW w:type="dxa" w:w="1325"/>
          </w:tcPr>
          <w:p>
            <w:pPr>
              <w:spacing w:after="20"/>
              <w:jc w:val="right"/>
            </w:pPr>
            <w:r>
              <w:rPr>
                <w:color w:val="1C3A36"/>
                <w:sz w:val="16"/>
              </w:rPr>
              <w:t>3,559</w:t>
            </w:r>
          </w:p>
        </w:tc>
        <w:tc>
          <w:tcPr>
            <w:tcW w:type="dxa" w:w="1325"/>
          </w:tcPr>
          <w:p>
            <w:pPr>
              <w:spacing w:after="20"/>
              <w:jc w:val="right"/>
            </w:pPr>
            <w:r>
              <w:rPr>
                <w:color w:val="1C3A36"/>
                <w:sz w:val="16"/>
              </w:rPr>
              <w:t>4,078</w:t>
            </w:r>
          </w:p>
        </w:tc>
        <w:tc>
          <w:tcPr>
            <w:tcW w:type="dxa" w:w="1325"/>
          </w:tcPr>
          <w:p>
            <w:pPr>
              <w:spacing w:after="20"/>
              <w:jc w:val="right"/>
            </w:pPr>
            <w:r>
              <w:rPr>
                <w:color w:val="1C3A36"/>
                <w:sz w:val="16"/>
              </w:rPr>
              <w:t>4,686</w:t>
            </w:r>
          </w:p>
        </w:tc>
      </w:tr>
    </w:tbl>
    <w:p>
      <w:pPr>
        <w:spacing w:after="40"/>
      </w:pPr>
    </w:p>
    <w:p>
      <w:pPr>
        <w:spacing w:after="200" w:before="0"/>
      </w:pPr>
      <w:r>
        <w:rPr>
          <w:b w:val="0"/>
          <w:i/>
          <w:color w:val="6E7B77"/>
          <w:sz w:val="17"/>
        </w:rPr>
        <w:t>The statement foots. Opening net cash plus free cash flow to the firm plus AFTER-TAX finance income less dividends equals closing net cash, to the last EGP mn, in every year. An earlier edition printed the PRE-tax finance income on this line while the model rolled the balance forward on the after-tax figure, so the column did not add up — a gap of about EGP 97mn a year, which is the tax on the deposit income. The model was right and the printed line was wrong; the line has been corrected rather than the tax quietly dropped. Note that free cash flow to the firm is struck AFTER tax on operating profit only, which is why the tax on finance income has to appear separately here.</w:t>
      </w:r>
    </w:p>
    <w:p>
      <w:pPr>
        <w:spacing w:after="120" w:before="280"/>
      </w:pPr>
      <w:r>
        <w:rPr>
          <w:b/>
          <w:i w:val="0"/>
          <w:color w:val="1C3A36"/>
          <w:sz w:val="30"/>
        </w:rPr>
        <w:t>Appendix B  The cost of capital in detail</w:t>
      </w:r>
    </w:p>
    <w:p>
      <w:pPr>
        <w:spacing w:after="80" w:before="200"/>
      </w:pPr>
      <w:r>
        <w:rPr>
          <w:b/>
          <w:i w:val="0"/>
          <w:color w:val="1C3A36"/>
          <w:sz w:val="24"/>
        </w:rPr>
        <w:t>B.1  Beta</w:t>
      </w:r>
    </w:p>
    <w:p>
      <w:pPr>
        <w:spacing w:after="120" w:before="0"/>
      </w:pPr>
      <w:r>
        <w:rPr>
          <w:b w:val="0"/>
          <w:i w:val="0"/>
          <w:color w:val="1C3A36"/>
          <w:sz w:val="21"/>
        </w:rPr>
        <w:t>The beta is a genuine regression on this company's own returns, not a default. AMOC weekly logarithmic returns were regressed against an equal-weight composite of 33 Egyptian Exchange constituents over 5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4752"/>
      </w:tblGrid>
      <w:tr>
        <w:tc>
          <w:tcPr>
            <w:tcW w:type="dxa" w:w="2664"/>
            <w:shd w:val="clear" w:color="auto" w:fill="EAF0EE"/>
          </w:tcPr>
          <w:p>
            <w:pPr>
              <w:spacing w:after="20"/>
            </w:pPr>
            <w:r>
              <w:rPr>
                <w:b/>
                <w:color w:val="1C3A36"/>
                <w:sz w:val="16"/>
              </w:rPr>
              <w:t>Diagnostic</w:t>
            </w:r>
          </w:p>
        </w:tc>
        <w:tc>
          <w:tcPr>
            <w:tcW w:type="dxa" w:w="2232"/>
            <w:shd w:val="clear" w:color="auto" w:fill="EAF0EE"/>
          </w:tcPr>
          <w:p>
            <w:pPr>
              <w:spacing w:after="20"/>
            </w:pPr>
            <w:r>
              <w:rPr>
                <w:b/>
                <w:color w:val="1C3A36"/>
                <w:sz w:val="16"/>
              </w:rPr>
              <w:t>Value</w:t>
            </w:r>
          </w:p>
        </w:tc>
        <w:tc>
          <w:tcPr>
            <w:tcW w:type="dxa" w:w="4752"/>
            <w:shd w:val="clear" w:color="auto" w:fill="EAF0EE"/>
          </w:tcPr>
          <w:p>
            <w:pPr>
              <w:spacing w:after="20"/>
            </w:pPr>
            <w:r>
              <w:rPr>
                <w:b/>
                <w:color w:val="1C3A36"/>
                <w:sz w:val="16"/>
              </w:rPr>
              <w:t>Reading</w:t>
            </w:r>
          </w:p>
        </w:tc>
      </w:tr>
      <w:tr>
        <w:tc>
          <w:tcPr>
            <w:tcW w:type="dxa" w:w="2664"/>
          </w:tcPr>
          <w:p>
            <w:pPr>
              <w:spacing w:after="20"/>
            </w:pPr>
            <w:r>
              <w:rPr>
                <w:color w:val="1C3A36"/>
                <w:sz w:val="16"/>
              </w:rPr>
              <w:t>Beta</w:t>
            </w:r>
          </w:p>
        </w:tc>
        <w:tc>
          <w:tcPr>
            <w:tcW w:type="dxa" w:w="2232"/>
          </w:tcPr>
          <w:p>
            <w:pPr>
              <w:spacing w:after="20"/>
              <w:jc w:val="right"/>
            </w:pPr>
            <w:r>
              <w:rPr>
                <w:color w:val="1C3A36"/>
                <w:sz w:val="16"/>
              </w:rPr>
              <w:t>0.940</w:t>
            </w:r>
          </w:p>
        </w:tc>
        <w:tc>
          <w:tcPr>
            <w:tcW w:type="dxa" w:w="4752"/>
          </w:tcPr>
          <w:p>
            <w:pPr>
              <w:spacing w:after="20"/>
            </w:pPr>
            <w:r>
              <w:rPr>
                <w:color w:val="1C3A36"/>
                <w:sz w:val="16"/>
              </w:rPr>
              <w:t>the point estimate</w:t>
            </w:r>
          </w:p>
        </w:tc>
      </w:tr>
      <w:tr>
        <w:tc>
          <w:tcPr>
            <w:tcW w:type="dxa" w:w="2664"/>
          </w:tcPr>
          <w:p>
            <w:pPr>
              <w:spacing w:after="20"/>
            </w:pPr>
            <w:r>
              <w:rPr>
                <w:color w:val="1C3A36"/>
                <w:sz w:val="16"/>
              </w:rPr>
              <w:t>R-squared</w:t>
            </w:r>
          </w:p>
        </w:tc>
        <w:tc>
          <w:tcPr>
            <w:tcW w:type="dxa" w:w="2232"/>
          </w:tcPr>
          <w:p>
            <w:pPr>
              <w:spacing w:after="20"/>
              <w:jc w:val="right"/>
            </w:pPr>
            <w:r>
              <w:rPr>
                <w:color w:val="1C3A36"/>
                <w:sz w:val="16"/>
              </w:rPr>
              <w:t>31.2%</w:t>
            </w:r>
          </w:p>
        </w:tc>
        <w:tc>
          <w:tcPr>
            <w:tcW w:type="dxa" w:w="4752"/>
          </w:tcPr>
          <w:p>
            <w:pPr>
              <w:spacing w:after="20"/>
            </w:pPr>
            <w:r>
              <w:rPr>
                <w:color w:val="1C3A36"/>
                <w:sz w:val="16"/>
              </w:rPr>
              <w:t>well above the 5% usability floor</w:t>
            </w:r>
          </w:p>
        </w:tc>
      </w:tr>
      <w:tr>
        <w:tc>
          <w:tcPr>
            <w:tcW w:type="dxa" w:w="2664"/>
          </w:tcPr>
          <w:p>
            <w:pPr>
              <w:spacing w:after="20"/>
            </w:pPr>
            <w:r>
              <w:rPr>
                <w:color w:val="1C3A36"/>
                <w:sz w:val="16"/>
              </w:rPr>
              <w:t>Observations</w:t>
            </w:r>
          </w:p>
        </w:tc>
        <w:tc>
          <w:tcPr>
            <w:tcW w:type="dxa" w:w="2232"/>
          </w:tcPr>
          <w:p>
            <w:pPr>
              <w:spacing w:after="20"/>
              <w:jc w:val="right"/>
            </w:pPr>
            <w:r>
              <w:rPr>
                <w:color w:val="1C3A36"/>
                <w:sz w:val="16"/>
              </w:rPr>
              <w:t>257</w:t>
            </w:r>
          </w:p>
        </w:tc>
        <w:tc>
          <w:tcPr>
            <w:tcW w:type="dxa" w:w="4752"/>
          </w:tcPr>
          <w:p>
            <w:pPr>
              <w:spacing w:after="20"/>
            </w:pPr>
            <w:r>
              <w:rPr>
                <w:color w:val="1C3A36"/>
                <w:sz w:val="16"/>
              </w:rPr>
              <w:t>far above the 24-observation minimum</w:t>
            </w:r>
          </w:p>
        </w:tc>
      </w:tr>
      <w:tr>
        <w:tc>
          <w:tcPr>
            <w:tcW w:type="dxa" w:w="2664"/>
          </w:tcPr>
          <w:p>
            <w:pPr>
              <w:spacing w:after="20"/>
            </w:pPr>
            <w:r>
              <w:rPr>
                <w:color w:val="1C3A36"/>
                <w:sz w:val="16"/>
              </w:rPr>
              <w:t>Standard error</w:t>
            </w:r>
          </w:p>
        </w:tc>
        <w:tc>
          <w:tcPr>
            <w:tcW w:type="dxa" w:w="2232"/>
          </w:tcPr>
          <w:p>
            <w:pPr>
              <w:spacing w:after="20"/>
              <w:jc w:val="right"/>
            </w:pPr>
            <w:r>
              <w:rPr>
                <w:color w:val="1C3A36"/>
                <w:sz w:val="16"/>
              </w:rPr>
              <w:t>0.087</w:t>
            </w:r>
          </w:p>
        </w:tc>
        <w:tc>
          <w:tcPr>
            <w:tcW w:type="dxa" w:w="4752"/>
          </w:tcPr>
          <w:p>
            <w:pPr>
              <w:spacing w:after="20"/>
            </w:pPr>
            <w:r>
              <w:rPr>
                <w:color w:val="1C3A36"/>
                <w:sz w:val="16"/>
              </w:rPr>
              <w:t>comfortably below the point estimate</w:t>
            </w:r>
          </w:p>
        </w:tc>
      </w:tr>
      <w:tr>
        <w:tc>
          <w:tcPr>
            <w:tcW w:type="dxa" w:w="2664"/>
          </w:tcPr>
          <w:p>
            <w:pPr>
              <w:spacing w:after="20"/>
            </w:pPr>
            <w:r>
              <w:rPr>
                <w:color w:val="1C3A36"/>
                <w:sz w:val="16"/>
              </w:rPr>
              <w:t>90% confidence interval</w:t>
            </w:r>
          </w:p>
        </w:tc>
        <w:tc>
          <w:tcPr>
            <w:tcW w:type="dxa" w:w="2232"/>
          </w:tcPr>
          <w:p>
            <w:pPr>
              <w:spacing w:after="20"/>
              <w:jc w:val="right"/>
            </w:pPr>
            <w:r>
              <w:rPr>
                <w:color w:val="1C3A36"/>
                <w:sz w:val="16"/>
              </w:rPr>
              <w:t>0.797 – 1.084</w:t>
            </w:r>
          </w:p>
        </w:tc>
        <w:tc>
          <w:tcPr>
            <w:tcW w:type="dxa" w:w="4752"/>
          </w:tcPr>
          <w:p>
            <w:pPr>
              <w:spacing w:after="20"/>
            </w:pPr>
            <w:r>
              <w:rPr>
                <w:color w:val="1C3A36"/>
                <w:sz w:val="16"/>
              </w:rPr>
              <w:t>spans 0.31× the point estimate</w:t>
            </w:r>
          </w:p>
        </w:tc>
      </w:tr>
      <w:tr>
        <w:tc>
          <w:tcPr>
            <w:tcW w:type="dxa" w:w="2664"/>
          </w:tcPr>
          <w:p>
            <w:pPr>
              <w:spacing w:after="20"/>
            </w:pPr>
            <w:r>
              <w:rPr>
                <w:color w:val="1C3A36"/>
                <w:sz w:val="16"/>
              </w:rPr>
              <w:t>Weak-instrument flag</w:t>
            </w:r>
          </w:p>
        </w:tc>
        <w:tc>
          <w:tcPr>
            <w:tcW w:type="dxa" w:w="2232"/>
          </w:tcPr>
          <w:p>
            <w:pPr>
              <w:spacing w:after="20"/>
              <w:jc w:val="right"/>
            </w:pPr>
            <w:r>
              <w:rPr>
                <w:color w:val="1C3A36"/>
                <w:sz w:val="16"/>
              </w:rPr>
              <w:t>NOT flagged</w:t>
            </w:r>
          </w:p>
        </w:tc>
        <w:tc>
          <w:tcPr>
            <w:tcW w:type="dxa" w:w="4752"/>
          </w:tcPr>
          <w:p>
            <w:pPr>
              <w:spacing w:after="20"/>
            </w:pPr>
            <w:r>
              <w:rPr>
                <w:color w:val="1C3A36"/>
                <w:sz w:val="16"/>
              </w:rPr>
              <w:t>R-squared is above 10% and the interval is well inside twice the point estimate</w:t>
            </w:r>
          </w:p>
        </w:tc>
      </w:tr>
    </w:tbl>
    <w:p>
      <w:pPr>
        <w:spacing w:after="40"/>
      </w:pPr>
    </w:p>
    <w:p>
      <w:pPr>
        <w:spacing w:after="120" w:before="0"/>
      </w:pPr>
      <w:r>
        <w:rPr>
          <w:b w:val="0"/>
          <w:i w:val="0"/>
          <w:color w:val="1C3A36"/>
          <w:sz w:val="21"/>
        </w:rPr>
        <w:t>This is an unusually well-identified beta for an Egyptian mid-cap, and it is worth saying so rather than hedging: an R-squared of 31.2% on 257 weekly observations means the market explains close to a third of this share's variance. The point estimate of 0.940 also passes the plausibility check — a single-asset processor with administered input and output prices should sit near the market, neither defensive like a staple nor geared like a developer, and it does.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68"/>
        <w:gridCol w:w="1368"/>
        <w:gridCol w:w="1368"/>
        <w:gridCol w:w="1368"/>
        <w:gridCol w:w="1368"/>
      </w:tblGrid>
      <w:tr>
        <w:tc>
          <w:tcPr>
            <w:tcW w:type="dxa" w:w="2664"/>
            <w:shd w:val="clear" w:color="auto" w:fill="EAF0EE"/>
          </w:tcPr>
          <w:p>
            <w:pPr>
              <w:spacing w:after="20"/>
            </w:pPr>
            <w:r>
              <w:rPr>
                <w:b/>
                <w:color w:val="1C3A36"/>
                <w:sz w:val="17"/>
              </w:rPr>
              <w:t>Beta</w:t>
            </w:r>
          </w:p>
        </w:tc>
        <w:tc>
          <w:tcPr>
            <w:tcW w:type="dxa" w:w="1368"/>
            <w:shd w:val="clear" w:color="auto" w:fill="EAF0EE"/>
          </w:tcPr>
          <w:p>
            <w:pPr>
              <w:spacing w:after="20"/>
            </w:pPr>
            <w:r>
              <w:rPr>
                <w:b/>
                <w:color w:val="1C3A36"/>
                <w:sz w:val="17"/>
              </w:rPr>
              <w:t>0.60</w:t>
            </w:r>
          </w:p>
        </w:tc>
        <w:tc>
          <w:tcPr>
            <w:tcW w:type="dxa" w:w="1368"/>
            <w:shd w:val="clear" w:color="auto" w:fill="EAF0EE"/>
          </w:tcPr>
          <w:p>
            <w:pPr>
              <w:spacing w:after="20"/>
            </w:pPr>
            <w:r>
              <w:rPr>
                <w:b/>
                <w:color w:val="1C3A36"/>
                <w:sz w:val="17"/>
              </w:rPr>
              <w:t>0.80</w:t>
            </w:r>
          </w:p>
        </w:tc>
        <w:tc>
          <w:tcPr>
            <w:tcW w:type="dxa" w:w="1368"/>
            <w:shd w:val="clear" w:color="auto" w:fill="EAF0EE"/>
          </w:tcPr>
          <w:p>
            <w:pPr>
              <w:spacing w:after="20"/>
            </w:pPr>
            <w:r>
              <w:rPr>
                <w:b/>
                <w:color w:val="1C3A36"/>
                <w:sz w:val="17"/>
              </w:rPr>
              <w:t>0.94</w:t>
            </w:r>
          </w:p>
        </w:tc>
        <w:tc>
          <w:tcPr>
            <w:tcW w:type="dxa" w:w="1368"/>
            <w:shd w:val="clear" w:color="auto" w:fill="EAF0EE"/>
          </w:tcPr>
          <w:p>
            <w:pPr>
              <w:spacing w:after="20"/>
            </w:pPr>
            <w:r>
              <w:rPr>
                <w:b/>
                <w:color w:val="1C3A36"/>
                <w:sz w:val="17"/>
              </w:rPr>
              <w:t>1.15</w:t>
            </w:r>
          </w:p>
        </w:tc>
        <w:tc>
          <w:tcPr>
            <w:tcW w:type="dxa" w:w="1368"/>
            <w:shd w:val="clear" w:color="auto" w:fill="EAF0EE"/>
          </w:tcPr>
          <w:p>
            <w:pPr>
              <w:spacing w:after="20"/>
            </w:pPr>
            <w:r>
              <w:rPr>
                <w:b/>
                <w:color w:val="1C3A36"/>
                <w:sz w:val="17"/>
              </w:rPr>
              <w:t>1.30</w:t>
            </w:r>
          </w:p>
        </w:tc>
      </w:tr>
      <w:tr>
        <w:tc>
          <w:tcPr>
            <w:tcW w:type="dxa" w:w="2664"/>
          </w:tcPr>
          <w:p>
            <w:pPr>
              <w:spacing w:after="20"/>
            </w:pPr>
            <w:r>
              <w:rPr>
                <w:color w:val="1C3A36"/>
                <w:sz w:val="17"/>
              </w:rPr>
              <w:t>Fair value (EGP)</w:t>
            </w:r>
          </w:p>
        </w:tc>
        <w:tc>
          <w:tcPr>
            <w:tcW w:type="dxa" w:w="1368"/>
          </w:tcPr>
          <w:p>
            <w:pPr>
              <w:spacing w:after="20"/>
              <w:jc w:val="right"/>
            </w:pPr>
            <w:r>
              <w:rPr>
                <w:color w:val="1C3A36"/>
                <w:sz w:val="17"/>
              </w:rPr>
              <w:t>11.58</w:t>
            </w:r>
          </w:p>
        </w:tc>
        <w:tc>
          <w:tcPr>
            <w:tcW w:type="dxa" w:w="1368"/>
          </w:tcPr>
          <w:p>
            <w:pPr>
              <w:spacing w:after="20"/>
              <w:jc w:val="right"/>
            </w:pPr>
            <w:r>
              <w:rPr>
                <w:color w:val="1C3A36"/>
                <w:sz w:val="17"/>
              </w:rPr>
              <w:t>10.26</w:t>
            </w:r>
          </w:p>
        </w:tc>
        <w:tc>
          <w:tcPr>
            <w:tcW w:type="dxa" w:w="1368"/>
          </w:tcPr>
          <w:p>
            <w:pPr>
              <w:spacing w:after="20"/>
              <w:jc w:val="right"/>
            </w:pPr>
            <w:r>
              <w:rPr>
                <w:color w:val="1C3A36"/>
                <w:sz w:val="17"/>
              </w:rPr>
              <w:t>9.52</w:t>
            </w:r>
          </w:p>
        </w:tc>
        <w:tc>
          <w:tcPr>
            <w:tcW w:type="dxa" w:w="1368"/>
          </w:tcPr>
          <w:p>
            <w:pPr>
              <w:spacing w:after="20"/>
              <w:jc w:val="right"/>
            </w:pPr>
            <w:r>
              <w:rPr>
                <w:color w:val="1C3A36"/>
                <w:sz w:val="17"/>
              </w:rPr>
              <w:t>8.61</w:t>
            </w:r>
          </w:p>
        </w:tc>
        <w:tc>
          <w:tcPr>
            <w:tcW w:type="dxa" w:w="1368"/>
          </w:tcPr>
          <w:p>
            <w:pPr>
              <w:spacing w:after="20"/>
              <w:jc w:val="right"/>
            </w:pPr>
            <w:r>
              <w:rPr>
                <w:color w:val="1C3A36"/>
                <w:sz w:val="17"/>
              </w:rPr>
              <w:t>8.06</w:t>
            </w:r>
          </w:p>
        </w:tc>
      </w:tr>
    </w:tbl>
    <w:p>
      <w:pPr>
        <w:spacing w:after="40"/>
      </w:pPr>
    </w:p>
    <w:p>
      <w:pPr>
        <w:spacing w:after="200" w:before="0"/>
      </w:pPr>
      <w:r>
        <w:rPr>
          <w:b w:val="0"/>
          <w:i/>
          <w:color w:val="6E7B77"/>
          <w:sz w:val="17"/>
        </w:rPr>
        <w:t>Beta sensitivity across the 90% confidence interval plus the standard round anchors, so this study can be compared with others on the same grid.</w:t>
      </w:r>
    </w:p>
    <w:p>
      <w:pPr>
        <w:spacing w:after="80" w:before="200"/>
      </w:pPr>
      <w:r>
        <w:rPr>
          <w:b/>
          <w:i w:val="0"/>
          <w:color w:val="1C3A36"/>
          <w:sz w:val="24"/>
        </w:rPr>
        <w:t>B.2  The cost of debt, and why it does not matter here</w:t>
      </w:r>
    </w:p>
    <w:p>
      <w:pPr>
        <w:spacing w:after="120" w:before="0"/>
      </w:pPr>
      <w:r>
        <w:rPr>
          <w:b w:val="0"/>
          <w:i w:val="0"/>
          <w:color w:val="1C3A36"/>
          <w:sz w:val="21"/>
        </w:rPr>
        <w:t>The standing procedure requires three pieces of evidence for the cost of debt, and all three are produced — but on this name the third is the one that matters, and it cuts in an unusual direction.</w:t>
      </w:r>
    </w:p>
    <w:p>
      <w:pPr>
        <w:pStyle w:val="ListBullet"/>
        <w:spacing w:after="60"/>
      </w:pPr>
      <w:r>
        <w:rPr>
          <w:b/>
          <w:color w:val="1C3A36"/>
          <w:sz w:val="21"/>
        </w:rPr>
        <w:t xml:space="preserve">Currency composition. </w:t>
      </w:r>
      <w:r>
        <w:rPr>
          <w:color w:val="1C3A36"/>
          <w:sz w:val="21"/>
        </w:rPr>
        <w:t>The entire book is EGP 25.3mn of short-dated Egyptian-pound bank facilities. There is no foreign-currency leg, so no currency blend is available and none is claimed. The company's dollar exposure sits in export receivables, not in debt.</w:t>
      </w:r>
    </w:p>
    <w:p>
      <w:pPr>
        <w:pStyle w:val="ListBullet"/>
        <w:spacing w:after="60"/>
      </w:pPr>
      <w:r>
        <w:rPr>
          <w:b/>
          <w:color w:val="1C3A36"/>
          <w:sz w:val="21"/>
        </w:rPr>
        <w:t xml:space="preserve">Independent effective rate. </w:t>
      </w:r>
      <w:r>
        <w:rPr>
          <w:color w:val="1C3A36"/>
          <w:sz w:val="21"/>
        </w:rPr>
        <w:t>An interest-expense-over-average-balance computation on a book this small is not a usable estimator — the denominator is 0.063% of revenue and rounds away in the disclosure. The rate is therefore built from an observable instead: the central bank's overnight lending rate of 20.00% plus a 200-basis-point corporate spread, giving 22.0%. Saying that plainly is the honest alternative to computing a precise-looking number out of a rounding residual.</w:t>
      </w:r>
    </w:p>
    <w:p>
      <w:pPr>
        <w:pStyle w:val="ListBullet"/>
        <w:spacing w:after="60"/>
      </w:pPr>
      <w:r>
        <w:rPr>
          <w:b/>
          <w:color w:val="1C3A36"/>
          <w:sz w:val="21"/>
        </w:rPr>
        <w:t xml:space="preserve">Bounds and materiality. </w:t>
      </w:r>
      <w:r>
        <w:rPr>
          <w:color w:val="1C3A36"/>
          <w:sz w:val="21"/>
        </w:rPr>
        <w:t>Gross debt is 0.214% of the capital structure. A 500-basis-point error in the cost of debt — larger than any plausible mis-estimate — moves the weighted cost of capital by 0.82 basis points. What the gate establishes here is not that the input is right but that it cannot move the answer, and the study says so rather than dressing an immaterial input as a precise one.</w:t>
      </w:r>
    </w:p>
    <w:p>
      <w:pPr>
        <w:spacing w:after="80" w:before="200"/>
      </w:pPr>
      <w:r>
        <w:rPr>
          <w:b/>
          <w:i w:val="0"/>
          <w:color w:val="1C3A36"/>
          <w:sz w:val="24"/>
        </w:rPr>
        <w:t>B.3  Explicit against terminal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1469"/>
        <w:gridCol w:w="1469"/>
      </w:tblGrid>
      <w:tr>
        <w:tc>
          <w:tcPr>
            <w:tcW w:type="dxa" w:w="2232"/>
            <w:shd w:val="clear" w:color="auto" w:fill="EAF0EE"/>
          </w:tcPr>
          <w:p>
            <w:pPr>
              <w:spacing w:after="20"/>
            </w:pPr>
            <w:r>
              <w:rPr>
                <w:b/>
                <w:color w:val="1C3A36"/>
                <w:sz w:val="16"/>
              </w:rPr>
              <w:t>Explicit \ terminal</w:t>
            </w:r>
          </w:p>
        </w:tc>
        <w:tc>
          <w:tcPr>
            <w:tcW w:type="dxa" w:w="1469"/>
            <w:shd w:val="clear" w:color="auto" w:fill="EAF0EE"/>
          </w:tcPr>
          <w:p>
            <w:pPr>
              <w:spacing w:after="20"/>
            </w:pPr>
            <w:r>
              <w:rPr>
                <w:b/>
                <w:color w:val="1C3A36"/>
                <w:sz w:val="16"/>
              </w:rPr>
              <w:t>14.5%</w:t>
            </w:r>
          </w:p>
        </w:tc>
        <w:tc>
          <w:tcPr>
            <w:tcW w:type="dxa" w:w="1469"/>
            <w:shd w:val="clear" w:color="auto" w:fill="EAF0EE"/>
          </w:tcPr>
          <w:p>
            <w:pPr>
              <w:spacing w:after="20"/>
            </w:pPr>
            <w:r>
              <w:rPr>
                <w:b/>
                <w:color w:val="1C3A36"/>
                <w:sz w:val="16"/>
              </w:rPr>
              <w:t>15.5%</w:t>
            </w:r>
          </w:p>
        </w:tc>
        <w:tc>
          <w:tcPr>
            <w:tcW w:type="dxa" w:w="1469"/>
            <w:shd w:val="clear" w:color="auto" w:fill="EAF0EE"/>
          </w:tcPr>
          <w:p>
            <w:pPr>
              <w:spacing w:after="20"/>
            </w:pPr>
            <w:r>
              <w:rPr>
                <w:b/>
                <w:color w:val="1C3A36"/>
                <w:sz w:val="16"/>
              </w:rPr>
              <w:t>16.5%</w:t>
            </w:r>
          </w:p>
        </w:tc>
        <w:tc>
          <w:tcPr>
            <w:tcW w:type="dxa" w:w="1469"/>
            <w:shd w:val="clear" w:color="auto" w:fill="EAF0EE"/>
          </w:tcPr>
          <w:p>
            <w:pPr>
              <w:spacing w:after="20"/>
            </w:pPr>
            <w:r>
              <w:rPr>
                <w:b/>
                <w:color w:val="1C3A36"/>
                <w:sz w:val="16"/>
              </w:rPr>
              <w:t>17.5%</w:t>
            </w:r>
          </w:p>
        </w:tc>
        <w:tc>
          <w:tcPr>
            <w:tcW w:type="dxa" w:w="1469"/>
            <w:shd w:val="clear" w:color="auto" w:fill="EAF0EE"/>
          </w:tcPr>
          <w:p>
            <w:pPr>
              <w:spacing w:after="20"/>
            </w:pPr>
            <w:r>
              <w:rPr>
                <w:b/>
                <w:color w:val="1C3A36"/>
                <w:sz w:val="16"/>
              </w:rPr>
              <w:t>18.5%</w:t>
            </w:r>
          </w:p>
        </w:tc>
      </w:tr>
      <w:tr>
        <w:tc>
          <w:tcPr>
            <w:tcW w:type="dxa" w:w="2232"/>
          </w:tcPr>
          <w:p>
            <w:pPr>
              <w:spacing w:after="20"/>
            </w:pPr>
            <w:r>
              <w:rPr>
                <w:color w:val="1C3A36"/>
                <w:sz w:val="16"/>
              </w:rPr>
              <w:t>28.6%</w:t>
            </w:r>
          </w:p>
        </w:tc>
        <w:tc>
          <w:tcPr>
            <w:tcW w:type="dxa" w:w="1469"/>
          </w:tcPr>
          <w:p>
            <w:pPr>
              <w:spacing w:after="20"/>
              <w:jc w:val="right"/>
            </w:pPr>
            <w:r>
              <w:rPr>
                <w:color w:val="1C3A36"/>
                <w:sz w:val="16"/>
              </w:rPr>
              <w:t>11.14</w:t>
            </w:r>
          </w:p>
        </w:tc>
        <w:tc>
          <w:tcPr>
            <w:tcW w:type="dxa" w:w="1469"/>
          </w:tcPr>
          <w:p>
            <w:pPr>
              <w:spacing w:after="20"/>
              <w:jc w:val="right"/>
            </w:pPr>
            <w:r>
              <w:rPr>
                <w:color w:val="1C3A36"/>
                <w:sz w:val="16"/>
              </w:rPr>
              <w:t>10.39</w:t>
            </w:r>
          </w:p>
        </w:tc>
        <w:tc>
          <w:tcPr>
            <w:tcW w:type="dxa" w:w="1469"/>
          </w:tcPr>
          <w:p>
            <w:pPr>
              <w:spacing w:after="20"/>
              <w:jc w:val="right"/>
            </w:pPr>
            <w:r>
              <w:rPr>
                <w:color w:val="1C3A36"/>
                <w:sz w:val="16"/>
              </w:rPr>
              <w:t>9.76</w:t>
            </w:r>
          </w:p>
        </w:tc>
        <w:tc>
          <w:tcPr>
            <w:tcW w:type="dxa" w:w="1469"/>
          </w:tcPr>
          <w:p>
            <w:pPr>
              <w:spacing w:after="20"/>
              <w:jc w:val="right"/>
            </w:pPr>
            <w:r>
              <w:rPr>
                <w:color w:val="1C3A36"/>
                <w:sz w:val="16"/>
              </w:rPr>
              <w:t>9.24</w:t>
            </w:r>
          </w:p>
        </w:tc>
        <w:tc>
          <w:tcPr>
            <w:tcW w:type="dxa" w:w="1469"/>
          </w:tcPr>
          <w:p>
            <w:pPr>
              <w:spacing w:after="20"/>
              <w:jc w:val="right"/>
            </w:pPr>
            <w:r>
              <w:rPr>
                <w:color w:val="1C3A36"/>
                <w:sz w:val="16"/>
              </w:rPr>
              <w:t>8.79</w:t>
            </w:r>
          </w:p>
        </w:tc>
      </w:tr>
      <w:tr>
        <w:tc>
          <w:tcPr>
            <w:tcW w:type="dxa" w:w="2232"/>
          </w:tcPr>
          <w:p>
            <w:pPr>
              <w:spacing w:after="20"/>
            </w:pPr>
            <w:r>
              <w:rPr>
                <w:color w:val="1C3A36"/>
                <w:sz w:val="16"/>
              </w:rPr>
              <w:t>30.1%</w:t>
            </w:r>
          </w:p>
        </w:tc>
        <w:tc>
          <w:tcPr>
            <w:tcW w:type="dxa" w:w="1469"/>
          </w:tcPr>
          <w:p>
            <w:pPr>
              <w:spacing w:after="20"/>
              <w:jc w:val="right"/>
            </w:pPr>
            <w:r>
              <w:rPr>
                <w:color w:val="1C3A36"/>
                <w:sz w:val="16"/>
              </w:rPr>
              <w:t>10.92</w:t>
            </w:r>
          </w:p>
        </w:tc>
        <w:tc>
          <w:tcPr>
            <w:tcW w:type="dxa" w:w="1469"/>
          </w:tcPr>
          <w:p>
            <w:pPr>
              <w:spacing w:after="20"/>
              <w:jc w:val="right"/>
            </w:pPr>
            <w:r>
              <w:rPr>
                <w:color w:val="1C3A36"/>
                <w:sz w:val="16"/>
              </w:rPr>
              <w:t>10.18</w:t>
            </w:r>
          </w:p>
        </w:tc>
        <w:tc>
          <w:tcPr>
            <w:tcW w:type="dxa" w:w="1469"/>
          </w:tcPr>
          <w:p>
            <w:pPr>
              <w:spacing w:after="20"/>
              <w:jc w:val="right"/>
            </w:pPr>
            <w:r>
              <w:rPr>
                <w:color w:val="1C3A36"/>
                <w:sz w:val="16"/>
              </w:rPr>
              <w:t>9.58</w:t>
            </w:r>
          </w:p>
        </w:tc>
        <w:tc>
          <w:tcPr>
            <w:tcW w:type="dxa" w:w="1469"/>
          </w:tcPr>
          <w:p>
            <w:pPr>
              <w:spacing w:after="20"/>
              <w:jc w:val="right"/>
            </w:pPr>
            <w:r>
              <w:rPr>
                <w:color w:val="1C3A36"/>
                <w:sz w:val="16"/>
              </w:rPr>
              <w:t>9.07</w:t>
            </w:r>
          </w:p>
        </w:tc>
        <w:tc>
          <w:tcPr>
            <w:tcW w:type="dxa" w:w="1469"/>
          </w:tcPr>
          <w:p>
            <w:pPr>
              <w:spacing w:after="20"/>
              <w:jc w:val="right"/>
            </w:pPr>
            <w:r>
              <w:rPr>
                <w:color w:val="1C3A36"/>
                <w:sz w:val="16"/>
              </w:rPr>
              <w:t>8.63</w:t>
            </w:r>
          </w:p>
        </w:tc>
      </w:tr>
      <w:tr>
        <w:tc>
          <w:tcPr>
            <w:tcW w:type="dxa" w:w="2232"/>
          </w:tcPr>
          <w:p>
            <w:pPr>
              <w:spacing w:after="20"/>
            </w:pPr>
            <w:r>
              <w:rPr>
                <w:color w:val="1C3A36"/>
                <w:sz w:val="16"/>
              </w:rPr>
              <w:t>31.6%</w:t>
            </w:r>
          </w:p>
        </w:tc>
        <w:tc>
          <w:tcPr>
            <w:tcW w:type="dxa" w:w="1469"/>
          </w:tcPr>
          <w:p>
            <w:pPr>
              <w:spacing w:after="20"/>
              <w:jc w:val="right"/>
            </w:pPr>
            <w:r>
              <w:rPr>
                <w:color w:val="1C3A36"/>
                <w:sz w:val="16"/>
              </w:rPr>
              <w:t>10.70</w:t>
            </w:r>
          </w:p>
        </w:tc>
        <w:tc>
          <w:tcPr>
            <w:tcW w:type="dxa" w:w="1469"/>
          </w:tcPr>
          <w:p>
            <w:pPr>
              <w:spacing w:after="20"/>
              <w:jc w:val="right"/>
            </w:pPr>
            <w:r>
              <w:rPr>
                <w:color w:val="1C3A36"/>
                <w:sz w:val="16"/>
              </w:rPr>
              <w:t>9.99</w:t>
            </w:r>
          </w:p>
        </w:tc>
        <w:tc>
          <w:tcPr>
            <w:tcW w:type="dxa" w:w="1469"/>
          </w:tcPr>
          <w:p>
            <w:pPr>
              <w:spacing w:after="20"/>
              <w:jc w:val="right"/>
            </w:pPr>
            <w:r>
              <w:rPr>
                <w:color w:val="1C3A36"/>
                <w:sz w:val="16"/>
              </w:rPr>
              <w:t>9.40</w:t>
            </w:r>
          </w:p>
        </w:tc>
        <w:tc>
          <w:tcPr>
            <w:tcW w:type="dxa" w:w="1469"/>
          </w:tcPr>
          <w:p>
            <w:pPr>
              <w:spacing w:after="20"/>
              <w:jc w:val="right"/>
            </w:pPr>
            <w:r>
              <w:rPr>
                <w:color w:val="1C3A36"/>
                <w:sz w:val="16"/>
              </w:rPr>
              <w:t>8.90</w:t>
            </w:r>
          </w:p>
        </w:tc>
        <w:tc>
          <w:tcPr>
            <w:tcW w:type="dxa" w:w="1469"/>
          </w:tcPr>
          <w:p>
            <w:pPr>
              <w:spacing w:after="20"/>
              <w:jc w:val="right"/>
            </w:pPr>
            <w:r>
              <w:rPr>
                <w:color w:val="1C3A36"/>
                <w:sz w:val="16"/>
              </w:rPr>
              <w:t>8.48</w:t>
            </w:r>
          </w:p>
        </w:tc>
      </w:tr>
      <w:tr>
        <w:tc>
          <w:tcPr>
            <w:tcW w:type="dxa" w:w="2232"/>
          </w:tcPr>
          <w:p>
            <w:pPr>
              <w:spacing w:after="20"/>
            </w:pPr>
            <w:r>
              <w:rPr>
                <w:color w:val="1C3A36"/>
                <w:sz w:val="16"/>
              </w:rPr>
              <w:t>33.1%</w:t>
            </w:r>
          </w:p>
        </w:tc>
        <w:tc>
          <w:tcPr>
            <w:tcW w:type="dxa" w:w="1469"/>
          </w:tcPr>
          <w:p>
            <w:pPr>
              <w:spacing w:after="20"/>
              <w:jc w:val="right"/>
            </w:pPr>
            <w:r>
              <w:rPr>
                <w:color w:val="1C3A36"/>
                <w:sz w:val="16"/>
              </w:rPr>
              <w:t>10.50</w:t>
            </w:r>
          </w:p>
        </w:tc>
        <w:tc>
          <w:tcPr>
            <w:tcW w:type="dxa" w:w="1469"/>
          </w:tcPr>
          <w:p>
            <w:pPr>
              <w:spacing w:after="20"/>
              <w:jc w:val="right"/>
            </w:pPr>
            <w:r>
              <w:rPr>
                <w:color w:val="1C3A36"/>
                <w:sz w:val="16"/>
              </w:rPr>
              <w:t>9.80</w:t>
            </w:r>
          </w:p>
        </w:tc>
        <w:tc>
          <w:tcPr>
            <w:tcW w:type="dxa" w:w="1469"/>
          </w:tcPr>
          <w:p>
            <w:pPr>
              <w:spacing w:after="20"/>
              <w:jc w:val="right"/>
            </w:pPr>
            <w:r>
              <w:rPr>
                <w:color w:val="1C3A36"/>
                <w:sz w:val="16"/>
              </w:rPr>
              <w:t>9.23</w:t>
            </w:r>
          </w:p>
        </w:tc>
        <w:tc>
          <w:tcPr>
            <w:tcW w:type="dxa" w:w="1469"/>
          </w:tcPr>
          <w:p>
            <w:pPr>
              <w:spacing w:after="20"/>
              <w:jc w:val="right"/>
            </w:pPr>
            <w:r>
              <w:rPr>
                <w:color w:val="1C3A36"/>
                <w:sz w:val="16"/>
              </w:rPr>
              <w:t>8.74</w:t>
            </w:r>
          </w:p>
        </w:tc>
        <w:tc>
          <w:tcPr>
            <w:tcW w:type="dxa" w:w="1469"/>
          </w:tcPr>
          <w:p>
            <w:pPr>
              <w:spacing w:after="20"/>
              <w:jc w:val="right"/>
            </w:pPr>
            <w:r>
              <w:rPr>
                <w:color w:val="1C3A36"/>
                <w:sz w:val="16"/>
              </w:rPr>
              <w:t>8.33</w:t>
            </w:r>
          </w:p>
        </w:tc>
      </w:tr>
      <w:tr>
        <w:tc>
          <w:tcPr>
            <w:tcW w:type="dxa" w:w="2232"/>
          </w:tcPr>
          <w:p>
            <w:pPr>
              <w:spacing w:after="20"/>
            </w:pPr>
            <w:r>
              <w:rPr>
                <w:color w:val="1C3A36"/>
                <w:sz w:val="16"/>
              </w:rPr>
              <w:t>34.6%</w:t>
            </w:r>
          </w:p>
        </w:tc>
        <w:tc>
          <w:tcPr>
            <w:tcW w:type="dxa" w:w="1469"/>
          </w:tcPr>
          <w:p>
            <w:pPr>
              <w:spacing w:after="20"/>
              <w:jc w:val="right"/>
            </w:pPr>
            <w:r>
              <w:rPr>
                <w:color w:val="1C3A36"/>
                <w:sz w:val="16"/>
              </w:rPr>
              <w:t>10.30</w:t>
            </w:r>
          </w:p>
        </w:tc>
        <w:tc>
          <w:tcPr>
            <w:tcW w:type="dxa" w:w="1469"/>
          </w:tcPr>
          <w:p>
            <w:pPr>
              <w:spacing w:after="20"/>
              <w:jc w:val="right"/>
            </w:pPr>
            <w:r>
              <w:rPr>
                <w:color w:val="1C3A36"/>
                <w:sz w:val="16"/>
              </w:rPr>
              <w:t>9.62</w:t>
            </w:r>
          </w:p>
        </w:tc>
        <w:tc>
          <w:tcPr>
            <w:tcW w:type="dxa" w:w="1469"/>
          </w:tcPr>
          <w:p>
            <w:pPr>
              <w:spacing w:after="20"/>
              <w:jc w:val="right"/>
            </w:pPr>
            <w:r>
              <w:rPr>
                <w:color w:val="1C3A36"/>
                <w:sz w:val="16"/>
              </w:rPr>
              <w:t>9.06</w:t>
            </w:r>
          </w:p>
        </w:tc>
        <w:tc>
          <w:tcPr>
            <w:tcW w:type="dxa" w:w="1469"/>
          </w:tcPr>
          <w:p>
            <w:pPr>
              <w:spacing w:after="20"/>
              <w:jc w:val="right"/>
            </w:pPr>
            <w:r>
              <w:rPr>
                <w:color w:val="1C3A36"/>
                <w:sz w:val="16"/>
              </w:rPr>
              <w:t>8.59</w:t>
            </w:r>
          </w:p>
        </w:tc>
        <w:tc>
          <w:tcPr>
            <w:tcW w:type="dxa" w:w="1469"/>
          </w:tcPr>
          <w:p>
            <w:pPr>
              <w:spacing w:after="20"/>
              <w:jc w:val="right"/>
            </w:pPr>
            <w:r>
              <w:rPr>
                <w:color w:val="1C3A36"/>
                <w:sz w:val="16"/>
              </w:rPr>
              <w:t>8.18</w:t>
            </w:r>
          </w:p>
        </w:tc>
      </w:tr>
    </w:tbl>
    <w:p>
      <w:pPr>
        <w:spacing w:after="40"/>
      </w:pPr>
    </w:p>
    <w:p>
      <w:pPr>
        <w:spacing w:after="200" w:before="0"/>
      </w:pPr>
      <w:r>
        <w:rPr>
          <w:b w:val="0"/>
          <w:i/>
          <w:color w:val="6E7B77"/>
          <w:sz w:val="17"/>
        </w:rPr>
        <w:t>Each anchor varied independently around its own base, so the grid shows what the valuation needs THE ECONOMY to do rather than only what growth rate the model needs.</w:t>
      </w:r>
    </w:p>
    <w:p>
      <w:pPr>
        <w:spacing w:after="120" w:before="280"/>
      </w:pPr>
      <w:r>
        <w:rPr>
          <w:b/>
          <w:i w:val="0"/>
          <w:color w:val="1C3A36"/>
          <w:sz w:val="30"/>
        </w:rPr>
        <w:t>Appendix C  The expert appendix</w:t>
      </w:r>
    </w:p>
    <w:p>
      <w:pPr>
        <w:spacing w:after="120" w:before="0"/>
      </w:pPr>
      <w:r>
        <w:rPr>
          <w:b w:val="0"/>
          <w:i w:val="0"/>
          <w:color w:val="1C3A36"/>
          <w:sz w:val="21"/>
        </w:rPr>
        <w:t>Three reads on the same company, each shown with its workings and each carrying a stated condition that would falsify it. TWO OF THE THREE ARE INDEPENDENT OF THE PRIMARY MODEL AND ONE IS NOT, and it is worth knowing which before reading them. Expert 1 works from earnings power at a justified multiple and Expert 2 from free cash flow to equity with no bridge at all; neither can be derived from the cash-flow lens and they land on opposite sides of it. Expert 3 works from economic profit, which — built off the same profit after tax, the same invested capital and the same discount path — is the discounted cash flow written a different way. It reproduces the primary lens exactly, by identity, and is included as an ARITHMETIC AUDIT of that lens rather than as a third opinion. An earlier edition of this appendix called all three independent and offered their median as a check on the main result. That was wrong twice over and both errors are corrected below.</w:t>
      </w:r>
    </w:p>
    <w:p>
      <w:pPr>
        <w:spacing w:after="40"/>
        <w:jc w:val="center"/>
      </w:pPr>
      <w:r>
        <w:drawing>
          <wp:inline xmlns:a="http://schemas.openxmlformats.org/drawingml/2006/main" xmlns:pic="http://schemas.openxmlformats.org/drawingml/2006/picture">
            <wp:extent cx="6309360" cy="2230582"/>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230582"/>
                    </a:xfrm>
                    <a:prstGeom prst="rect"/>
                  </pic:spPr>
                </pic:pic>
              </a:graphicData>
            </a:graphic>
          </wp:inline>
        </w:drawing>
      </w:r>
    </w:p>
    <w:p>
      <w:pPr>
        <w:spacing w:after="200" w:before="0"/>
      </w:pPr>
      <w:r>
        <w:rPr>
          <w:b w:val="0"/>
          <w:i/>
          <w:color w:val="6E7B77"/>
          <w:sz w:val="17"/>
        </w:rPr>
        <w:t>Figure 9 — the three experts’ ranges. The shaded band is the panel centre, which is NOT an independent check: Expert 3 is the cash-flow lens by identity and here it is also the median, so the band sits exactly where the primary model does.</w:t>
      </w:r>
    </w:p>
    <w:p>
      <w:pPr>
        <w:spacing w:after="80" w:before="200"/>
      </w:pPr>
      <w:r>
        <w:rPr>
          <w:b/>
          <w:i w:val="0"/>
          <w:color w:val="1C3A36"/>
          <w:sz w:val="24"/>
        </w:rPr>
        <w:t>Expert 1 — earnings power at a justified multiple</w:t>
      </w:r>
    </w:p>
    <w:p>
      <w:pPr>
        <w:spacing w:after="120" w:before="0"/>
      </w:pPr>
      <w:r>
        <w:rPr>
          <w:b w:val="0"/>
          <w:i w:val="0"/>
          <w:color w:val="1C3A36"/>
          <w:sz w:val="21"/>
        </w:rPr>
        <w:t>Method. This expert refuses to forecast a terminal state at all. The question is what the business earns in a normal year once the current ramp is complete, and what a buyer should pay for that stream. Mid-cycle is taken as 2028E, the middle of the forecast window.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304"/>
      </w:tblGrid>
      <w:tr>
        <w:tc>
          <w:tcPr>
            <w:tcW w:type="dxa" w:w="6048"/>
            <w:shd w:val="clear" w:color="auto" w:fill="EAF0EE"/>
          </w:tcPr>
          <w:p>
            <w:pPr>
              <w:spacing w:after="20"/>
            </w:pPr>
            <w:r>
              <w:rPr>
                <w:b/>
                <w:color w:val="1C3A36"/>
                <w:sz w:val="17"/>
              </w:rPr>
              <w:t>Step</w:t>
            </w:r>
          </w:p>
        </w:tc>
        <w:tc>
          <w:tcPr>
            <w:tcW w:type="dxa" w:w="2304"/>
            <w:shd w:val="clear" w:color="auto" w:fill="EAF0EE"/>
          </w:tcPr>
          <w:p>
            <w:pPr>
              <w:spacing w:after="20"/>
            </w:pPr>
            <w:r>
              <w:rPr>
                <w:b/>
                <w:color w:val="1C3A36"/>
                <w:sz w:val="17"/>
              </w:rPr>
              <w:t>EGP mn unless stated</w:t>
            </w:r>
          </w:p>
        </w:tc>
      </w:tr>
      <w:tr>
        <w:tc>
          <w:tcPr>
            <w:tcW w:type="dxa" w:w="6048"/>
          </w:tcPr>
          <w:p>
            <w:pPr>
              <w:spacing w:after="20"/>
            </w:pPr>
            <w:r>
              <w:rPr>
                <w:color w:val="1C3A36"/>
                <w:sz w:val="17"/>
              </w:rPr>
              <w:t>2028E EBIT</w:t>
            </w:r>
          </w:p>
        </w:tc>
        <w:tc>
          <w:tcPr>
            <w:tcW w:type="dxa" w:w="2304"/>
          </w:tcPr>
          <w:p>
            <w:pPr>
              <w:spacing w:after="20"/>
              <w:jc w:val="right"/>
            </w:pPr>
            <w:r>
              <w:rPr>
                <w:color w:val="1C3A36"/>
                <w:sz w:val="17"/>
              </w:rPr>
              <w:t>2,309</w:t>
            </w:r>
          </w:p>
        </w:tc>
      </w:tr>
      <w:tr>
        <w:tc>
          <w:tcPr>
            <w:tcW w:type="dxa" w:w="6048"/>
          </w:tcPr>
          <w:p>
            <w:pPr>
              <w:spacing w:after="20"/>
            </w:pPr>
            <w:r>
              <w:rPr>
                <w:color w:val="1C3A36"/>
                <w:sz w:val="17"/>
              </w:rPr>
              <w:t>add net finance income on the cash pile</w:t>
            </w:r>
          </w:p>
        </w:tc>
        <w:tc>
          <w:tcPr>
            <w:tcW w:type="dxa" w:w="2304"/>
          </w:tcPr>
          <w:p>
            <w:pPr>
              <w:spacing w:after="20"/>
              <w:jc w:val="right"/>
            </w:pPr>
            <w:r>
              <w:rPr>
                <w:color w:val="1C3A36"/>
                <w:sz w:val="17"/>
              </w:rPr>
              <w:t>420</w:t>
            </w:r>
          </w:p>
        </w:tc>
      </w:tr>
      <w:tr>
        <w:tc>
          <w:tcPr>
            <w:tcW w:type="dxa" w:w="6048"/>
          </w:tcPr>
          <w:p>
            <w:pPr>
              <w:spacing w:after="20"/>
            </w:pPr>
            <w:r>
              <w:rPr>
                <w:color w:val="1C3A36"/>
                <w:sz w:val="17"/>
              </w:rPr>
              <w:t>less tax at 23.5% and minorities at 3.0%</w:t>
            </w:r>
          </w:p>
        </w:tc>
        <w:tc>
          <w:tcPr>
            <w:tcW w:type="dxa" w:w="2304"/>
          </w:tcPr>
          <w:p>
            <w:pPr>
              <w:spacing w:after="20"/>
              <w:jc w:val="right"/>
            </w:pPr>
            <w:r>
              <w:rPr>
                <w:color w:val="1C3A36"/>
                <w:sz w:val="17"/>
              </w:rPr>
              <w:t>(704)</w:t>
            </w:r>
          </w:p>
        </w:tc>
      </w:tr>
      <w:tr>
        <w:tc>
          <w:tcPr>
            <w:tcW w:type="dxa" w:w="6048"/>
          </w:tcPr>
          <w:p>
            <w:pPr>
              <w:spacing w:after="20"/>
            </w:pPr>
            <w:r>
              <w:rPr>
                <w:color w:val="1C3A36"/>
                <w:sz w:val="17"/>
              </w:rPr>
              <w:t>= attributable earnings</w:t>
            </w:r>
          </w:p>
        </w:tc>
        <w:tc>
          <w:tcPr>
            <w:tcW w:type="dxa" w:w="2304"/>
          </w:tcPr>
          <w:p>
            <w:pPr>
              <w:spacing w:after="20"/>
              <w:jc w:val="right"/>
            </w:pPr>
            <w:r>
              <w:rPr>
                <w:color w:val="1C3A36"/>
                <w:sz w:val="17"/>
              </w:rPr>
              <w:t>2,025</w:t>
            </w:r>
          </w:p>
        </w:tc>
      </w:tr>
      <w:tr>
        <w:tc>
          <w:tcPr>
            <w:tcW w:type="dxa" w:w="6048"/>
          </w:tcPr>
          <w:p>
            <w:pPr>
              <w:spacing w:after="20"/>
            </w:pPr>
            <w:r>
              <w:rPr>
                <w:color w:val="1C3A36"/>
                <w:sz w:val="17"/>
              </w:rPr>
              <w:t>Earnings per share (EGP)</w:t>
            </w:r>
          </w:p>
        </w:tc>
        <w:tc>
          <w:tcPr>
            <w:tcW w:type="dxa" w:w="2304"/>
          </w:tcPr>
          <w:p>
            <w:pPr>
              <w:spacing w:after="20"/>
              <w:jc w:val="right"/>
            </w:pPr>
            <w:r>
              <w:rPr>
                <w:color w:val="1C3A36"/>
                <w:sz w:val="17"/>
              </w:rPr>
              <w:t>1.57</w:t>
            </w:r>
          </w:p>
        </w:tc>
      </w:tr>
      <w:tr>
        <w:tc>
          <w:tcPr>
            <w:tcW w:type="dxa" w:w="6048"/>
          </w:tcPr>
          <w:p>
            <w:pPr>
              <w:spacing w:after="20"/>
            </w:pPr>
            <w:r>
              <w:rPr>
                <w:color w:val="1C3A36"/>
                <w:sz w:val="17"/>
              </w:rPr>
              <w:t>× justified multiple of 7.0×</w:t>
            </w:r>
          </w:p>
        </w:tc>
        <w:tc>
          <w:tcPr>
            <w:tcW w:type="dxa" w:w="2304"/>
          </w:tcPr>
          <w:p>
            <w:pPr>
              <w:spacing w:after="20"/>
              <w:jc w:val="right"/>
            </w:pPr>
            <w:r>
              <w:rPr>
                <w:color w:val="1C3A36"/>
                <w:sz w:val="17"/>
              </w:rPr>
            </w:r>
          </w:p>
        </w:tc>
      </w:tr>
      <w:tr>
        <w:tc>
          <w:tcPr>
            <w:tcW w:type="dxa" w:w="6048"/>
            <w:shd w:val="clear" w:color="auto" w:fill="F6F1E6"/>
          </w:tcPr>
          <w:p>
            <w:pPr>
              <w:spacing w:after="20"/>
            </w:pPr>
            <w:r>
              <w:rPr>
                <w:b/>
                <w:color w:val="1C3A36"/>
                <w:sz w:val="17"/>
              </w:rPr>
              <w:t>FAIR VALUE (EGP per share)</w:t>
            </w:r>
          </w:p>
        </w:tc>
        <w:tc>
          <w:tcPr>
            <w:tcW w:type="dxa" w:w="2304"/>
            <w:shd w:val="clear" w:color="auto" w:fill="F6F1E6"/>
          </w:tcPr>
          <w:p>
            <w:pPr>
              <w:spacing w:after="20"/>
              <w:jc w:val="right"/>
            </w:pPr>
            <w:r>
              <w:rPr>
                <w:b/>
                <w:color w:val="1C3A36"/>
                <w:sz w:val="17"/>
              </w:rPr>
              <w:t>10.98</w:t>
            </w:r>
          </w:p>
        </w:tc>
      </w:tr>
    </w:tbl>
    <w:p>
      <w:pPr>
        <w:spacing w:after="40"/>
      </w:pPr>
    </w:p>
    <w:p>
      <w:pPr>
        <w:spacing w:after="120" w:before="0"/>
      </w:pPr>
      <w:r>
        <w:rPr>
          <w:b w:val="0"/>
          <w:i w:val="0"/>
          <w:color w:val="1C3A36"/>
          <w:sz w:val="21"/>
        </w:rPr>
        <w:t>Range EGP 7.84 to 14.90, struck on multiples of 5.0× and 9.5×. Expert 1's view is that a single-asset processor with administered input and output prices, a 20% state shareholder and an Egyptian cost of equity near 28% does not earn a premium multiple, and that the company's own trailing 7.8× is about where it belongs.</w:t>
      </w:r>
    </w:p>
    <w:p>
      <w:pPr>
        <w:spacing w:after="120" w:before="0"/>
      </w:pPr>
      <w:r>
        <w:rPr>
          <w:b w:val="0"/>
          <w:i w:val="0"/>
          <w:color w:val="1C3A36"/>
          <w:sz w:val="20"/>
        </w:rPr>
        <w:t>Falsification. This expert is wrong if the mid-cycle year is not mid-cycle — specifically, if the margin printed in the six months to June 2026 turns out to be the new normal rather than a spread windfall. Watch two consecutive calendar halves at a gross margin above 8%: that would mean the earnings base used here is too low and the method understates by roughly a third.</w:t>
      </w:r>
    </w:p>
    <w:p>
      <w:pPr>
        <w:spacing w:after="80" w:before="200"/>
      </w:pPr>
      <w:r>
        <w:rPr>
          <w:b/>
          <w:i w:val="0"/>
          <w:color w:val="1C3A36"/>
          <w:sz w:val="24"/>
        </w:rPr>
        <w:t>Expert 2 — free cash flow to equity, discounted</w:t>
      </w:r>
    </w:p>
    <w:p>
      <w:pPr>
        <w:spacing w:after="120" w:before="0"/>
      </w:pPr>
      <w:r>
        <w:rPr>
          <w:b w:val="0"/>
          <w:i w:val="0"/>
          <w:color w:val="1C3A36"/>
          <w:sz w:val="21"/>
        </w:rPr>
        <w:t>Method. This expert distrusts enterprise-value bridges — too many places to add something back twice — and works the equity side directly. Free cash flow to equity is free cash flow to the firm plus the after-tax finance income the cash pile actually earns, discounted on the cost of EQUITY's own glide, with no bridge at all. The cash reaches the shareholder through the income line rather than as a balance-sheet add-back, which is what makes this an independent read rather than a rearrangement of the primary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Free cash flow to equity (EGP mn)</w:t>
            </w:r>
          </w:p>
        </w:tc>
        <w:tc>
          <w:tcPr>
            <w:tcW w:type="dxa" w:w="1325"/>
          </w:tcPr>
          <w:p>
            <w:pPr>
              <w:spacing w:after="20"/>
              <w:jc w:val="right"/>
            </w:pPr>
            <w:r>
              <w:rPr>
                <w:color w:val="1C3A36"/>
                <w:sz w:val="16"/>
              </w:rPr>
              <w:t>1,431</w:t>
            </w:r>
          </w:p>
        </w:tc>
        <w:tc>
          <w:tcPr>
            <w:tcW w:type="dxa" w:w="1325"/>
          </w:tcPr>
          <w:p>
            <w:pPr>
              <w:spacing w:after="20"/>
              <w:jc w:val="right"/>
            </w:pPr>
            <w:r>
              <w:rPr>
                <w:color w:val="1C3A36"/>
                <w:sz w:val="16"/>
              </w:rPr>
              <w:t>1,603</w:t>
            </w:r>
          </w:p>
        </w:tc>
        <w:tc>
          <w:tcPr>
            <w:tcW w:type="dxa" w:w="1325"/>
          </w:tcPr>
          <w:p>
            <w:pPr>
              <w:spacing w:after="20"/>
              <w:jc w:val="right"/>
            </w:pPr>
            <w:r>
              <w:rPr>
                <w:color w:val="1C3A36"/>
                <w:sz w:val="16"/>
              </w:rPr>
              <w:t>1,789</w:t>
            </w:r>
          </w:p>
        </w:tc>
        <w:tc>
          <w:tcPr>
            <w:tcW w:type="dxa" w:w="1325"/>
          </w:tcPr>
          <w:p>
            <w:pPr>
              <w:spacing w:after="20"/>
              <w:jc w:val="right"/>
            </w:pPr>
            <w:r>
              <w:rPr>
                <w:color w:val="1C3A36"/>
                <w:sz w:val="16"/>
              </w:rPr>
              <w:t>1,991</w:t>
            </w:r>
          </w:p>
        </w:tc>
        <w:tc>
          <w:tcPr>
            <w:tcW w:type="dxa" w:w="1325"/>
          </w:tcPr>
          <w:p>
            <w:pPr>
              <w:spacing w:after="20"/>
              <w:jc w:val="right"/>
            </w:pPr>
            <w:r>
              <w:rPr>
                <w:color w:val="1C3A36"/>
                <w:sz w:val="16"/>
              </w:rPr>
              <w:t>2,205</w:t>
            </w:r>
          </w:p>
        </w:tc>
      </w:tr>
      <w:tr>
        <w:tc>
          <w:tcPr>
            <w:tcW w:type="dxa" w:w="3384"/>
          </w:tcPr>
          <w:p>
            <w:pPr>
              <w:spacing w:after="20"/>
            </w:pPr>
            <w:r>
              <w:rPr>
                <w:color w:val="1C3A36"/>
                <w:sz w:val="16"/>
              </w:rPr>
              <w:t>Cost of equity</w:t>
            </w:r>
          </w:p>
        </w:tc>
        <w:tc>
          <w:tcPr>
            <w:tcW w:type="dxa" w:w="1325"/>
          </w:tcPr>
          <w:p>
            <w:pPr>
              <w:spacing w:after="20"/>
              <w:jc w:val="right"/>
            </w:pPr>
            <w:r>
              <w:rPr>
                <w:color w:val="1C3A36"/>
                <w:sz w:val="16"/>
              </w:rPr>
              <w:t>27.8%</w:t>
            </w:r>
          </w:p>
        </w:tc>
        <w:tc>
          <w:tcPr>
            <w:tcW w:type="dxa" w:w="1325"/>
          </w:tcPr>
          <w:p>
            <w:pPr>
              <w:spacing w:after="20"/>
              <w:jc w:val="right"/>
            </w:pPr>
            <w:r>
              <w:rPr>
                <w:color w:val="1C3A36"/>
                <w:sz w:val="16"/>
              </w:rPr>
              <w:t>23.9%</w:t>
            </w:r>
          </w:p>
        </w:tc>
        <w:tc>
          <w:tcPr>
            <w:tcW w:type="dxa" w:w="1325"/>
          </w:tcPr>
          <w:p>
            <w:pPr>
              <w:spacing w:after="20"/>
              <w:jc w:val="right"/>
            </w:pPr>
            <w:r>
              <w:rPr>
                <w:color w:val="1C3A36"/>
                <w:sz w:val="16"/>
              </w:rPr>
              <w:t>20.9%</w:t>
            </w:r>
          </w:p>
        </w:tc>
        <w:tc>
          <w:tcPr>
            <w:tcW w:type="dxa" w:w="1325"/>
          </w:tcPr>
          <w:p>
            <w:pPr>
              <w:spacing w:after="20"/>
              <w:jc w:val="right"/>
            </w:pPr>
            <w:r>
              <w:rPr>
                <w:color w:val="1C3A36"/>
                <w:sz w:val="16"/>
              </w:rPr>
              <w:t>18.6%</w:t>
            </w:r>
          </w:p>
        </w:tc>
        <w:tc>
          <w:tcPr>
            <w:tcW w:type="dxa" w:w="1325"/>
          </w:tcPr>
          <w:p>
            <w:pPr>
              <w:spacing w:after="20"/>
              <w:jc w:val="right"/>
            </w:pPr>
            <w:r>
              <w:rPr>
                <w:color w:val="1C3A36"/>
                <w:sz w:val="16"/>
              </w:rPr>
              <w:t>17.1%</w:t>
            </w:r>
          </w:p>
        </w:tc>
      </w:tr>
      <w:tr>
        <w:tc>
          <w:tcPr>
            <w:tcW w:type="dxa" w:w="3384"/>
          </w:tcPr>
          <w:p>
            <w:pPr>
              <w:spacing w:after="20"/>
            </w:pPr>
            <w:r>
              <w:rPr>
                <w:color w:val="1C3A36"/>
                <w:sz w:val="16"/>
              </w:rPr>
              <w:t>Discount factor</w:t>
            </w:r>
          </w:p>
        </w:tc>
        <w:tc>
          <w:tcPr>
            <w:tcW w:type="dxa" w:w="1325"/>
          </w:tcPr>
          <w:p>
            <w:pPr>
              <w:spacing w:after="20"/>
              <w:jc w:val="right"/>
            </w:pPr>
            <w:r>
              <w:rPr>
                <w:color w:val="1C3A36"/>
                <w:sz w:val="16"/>
              </w:rPr>
              <w:t>0.7827</w:t>
            </w:r>
          </w:p>
        </w:tc>
        <w:tc>
          <w:tcPr>
            <w:tcW w:type="dxa" w:w="1325"/>
          </w:tcPr>
          <w:p>
            <w:pPr>
              <w:spacing w:after="20"/>
              <w:jc w:val="right"/>
            </w:pPr>
            <w:r>
              <w:rPr>
                <w:color w:val="1C3A36"/>
                <w:sz w:val="16"/>
              </w:rPr>
              <w:t>0.6315</w:t>
            </w:r>
          </w:p>
        </w:tc>
        <w:tc>
          <w:tcPr>
            <w:tcW w:type="dxa" w:w="1325"/>
          </w:tcPr>
          <w:p>
            <w:pPr>
              <w:spacing w:after="20"/>
              <w:jc w:val="right"/>
            </w:pPr>
            <w:r>
              <w:rPr>
                <w:color w:val="1C3A36"/>
                <w:sz w:val="16"/>
              </w:rPr>
              <w:t>0.5223</w:t>
            </w:r>
          </w:p>
        </w:tc>
        <w:tc>
          <w:tcPr>
            <w:tcW w:type="dxa" w:w="1325"/>
          </w:tcPr>
          <w:p>
            <w:pPr>
              <w:spacing w:after="20"/>
              <w:jc w:val="right"/>
            </w:pPr>
            <w:r>
              <w:rPr>
                <w:color w:val="1C3A36"/>
                <w:sz w:val="16"/>
              </w:rPr>
              <w:t>0.4404</w:t>
            </w:r>
          </w:p>
        </w:tc>
        <w:tc>
          <w:tcPr>
            <w:tcW w:type="dxa" w:w="1325"/>
          </w:tcPr>
          <w:p>
            <w:pPr>
              <w:spacing w:after="20"/>
              <w:jc w:val="right"/>
            </w:pPr>
            <w:r>
              <w:rPr>
                <w:color w:val="1C3A36"/>
                <w:sz w:val="16"/>
              </w:rPr>
              <w:t>0.3761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304"/>
      </w:tblGrid>
      <w:tr>
        <w:tc>
          <w:tcPr>
            <w:tcW w:type="dxa" w:w="6048"/>
            <w:shd w:val="clear" w:color="auto" w:fill="EAF0EE"/>
          </w:tcPr>
          <w:p>
            <w:pPr>
              <w:spacing w:after="20"/>
            </w:pPr>
            <w:r>
              <w:rPr>
                <w:b/>
                <w:color w:val="1C3A36"/>
                <w:sz w:val="17"/>
              </w:rPr>
              <w:t>Step</w:t>
            </w:r>
          </w:p>
        </w:tc>
        <w:tc>
          <w:tcPr>
            <w:tcW w:type="dxa" w:w="2304"/>
            <w:shd w:val="clear" w:color="auto" w:fill="EAF0EE"/>
          </w:tcPr>
          <w:p>
            <w:pPr>
              <w:spacing w:after="20"/>
            </w:pPr>
            <w:r>
              <w:rPr>
                <w:b/>
                <w:color w:val="1C3A36"/>
                <w:sz w:val="17"/>
              </w:rPr>
              <w:t>EGP mn</w:t>
            </w:r>
          </w:p>
        </w:tc>
      </w:tr>
      <w:tr>
        <w:tc>
          <w:tcPr>
            <w:tcW w:type="dxa" w:w="6048"/>
          </w:tcPr>
          <w:p>
            <w:pPr>
              <w:spacing w:after="20"/>
            </w:pPr>
            <w:r>
              <w:rPr>
                <w:color w:val="1C3A36"/>
                <w:sz w:val="17"/>
              </w:rPr>
              <w:t>Present value of the explicit five years</w:t>
            </w:r>
          </w:p>
        </w:tc>
        <w:tc>
          <w:tcPr>
            <w:tcW w:type="dxa" w:w="2304"/>
          </w:tcPr>
          <w:p>
            <w:pPr>
              <w:spacing w:after="20"/>
              <w:jc w:val="right"/>
            </w:pPr>
            <w:r>
              <w:rPr>
                <w:color w:val="1C3A36"/>
                <w:sz w:val="17"/>
              </w:rPr>
              <w:t>4,773</w:t>
            </w:r>
          </w:p>
        </w:tc>
      </w:tr>
      <w:tr>
        <w:tc>
          <w:tcPr>
            <w:tcW w:type="dxa" w:w="6048"/>
          </w:tcPr>
          <w:p>
            <w:pPr>
              <w:spacing w:after="20"/>
            </w:pPr>
            <w:r>
              <w:rPr>
                <w:color w:val="1C3A36"/>
                <w:sz w:val="17"/>
              </w:rPr>
              <w:t>Present value of the terminal block</w:t>
            </w:r>
          </w:p>
        </w:tc>
        <w:tc>
          <w:tcPr>
            <w:tcW w:type="dxa" w:w="2304"/>
          </w:tcPr>
          <w:p>
            <w:pPr>
              <w:spacing w:after="20"/>
              <w:jc w:val="right"/>
            </w:pPr>
            <w:r>
              <w:rPr>
                <w:color w:val="1C3A36"/>
                <w:sz w:val="17"/>
              </w:rPr>
              <w:t>6,492</w:t>
            </w:r>
          </w:p>
        </w:tc>
      </w:tr>
      <w:tr>
        <w:tc>
          <w:tcPr>
            <w:tcW w:type="dxa" w:w="6048"/>
          </w:tcPr>
          <w:p>
            <w:pPr>
              <w:spacing w:after="20"/>
            </w:pPr>
            <w:r>
              <w:rPr>
                <w:color w:val="1C3A36"/>
                <w:sz w:val="17"/>
              </w:rPr>
              <w:t>Total equity value, over 1,291.6mn shares</w:t>
            </w:r>
          </w:p>
        </w:tc>
        <w:tc>
          <w:tcPr>
            <w:tcW w:type="dxa" w:w="2304"/>
          </w:tcPr>
          <w:p>
            <w:pPr>
              <w:spacing w:after="20"/>
              <w:jc w:val="right"/>
            </w:pPr>
            <w:r>
              <w:rPr>
                <w:color w:val="1C3A36"/>
                <w:sz w:val="17"/>
              </w:rPr>
              <w:t>11,265</w:t>
            </w:r>
          </w:p>
        </w:tc>
      </w:tr>
      <w:tr>
        <w:tc>
          <w:tcPr>
            <w:tcW w:type="dxa" w:w="6048"/>
            <w:shd w:val="clear" w:color="auto" w:fill="F6F1E6"/>
          </w:tcPr>
          <w:p>
            <w:pPr>
              <w:spacing w:after="20"/>
            </w:pPr>
            <w:r>
              <w:rPr>
                <w:b/>
                <w:color w:val="1C3A36"/>
                <w:sz w:val="17"/>
              </w:rPr>
              <w:t>FAIR VALUE (EGP per share)</w:t>
            </w:r>
          </w:p>
        </w:tc>
        <w:tc>
          <w:tcPr>
            <w:tcW w:type="dxa" w:w="2304"/>
            <w:shd w:val="clear" w:color="auto" w:fill="F6F1E6"/>
          </w:tcPr>
          <w:p>
            <w:pPr>
              <w:spacing w:after="20"/>
              <w:jc w:val="right"/>
            </w:pPr>
            <w:r>
              <w:rPr>
                <w:b/>
                <w:color w:val="1C3A36"/>
                <w:sz w:val="17"/>
              </w:rPr>
              <w:t>8.72</w:t>
            </w:r>
          </w:p>
        </w:tc>
      </w:tr>
    </w:tbl>
    <w:p>
      <w:pPr>
        <w:spacing w:after="40"/>
      </w:pPr>
    </w:p>
    <w:p>
      <w:pPr>
        <w:spacing w:after="120" w:before="0"/>
      </w:pPr>
      <w:r>
        <w:rPr>
          <w:b w:val="0"/>
          <w:i w:val="0"/>
          <w:color w:val="1C3A36"/>
          <w:sz w:val="21"/>
        </w:rPr>
        <w:t>Range EGP 7.18 to 9.23, taken on the discount rate and the growth rate rather than by re-using the same rate twice. An earlier draft of this panel capitalised a mid-forecast cash flow straight at the TERMINAL cost of equity and produced EGP 14.73 — a number that prices one date twice, taking a cash flow five years out and bringing it home at a rate that only applies once the economy has normalised. The glide is applied here for exactly the reason it is applied in the primary model, and the correction is disclosed rather than quietly made.</w:t>
      </w:r>
    </w:p>
    <w:p>
      <w:pPr>
        <w:spacing w:after="120" w:before="0"/>
      </w:pPr>
      <w:r>
        <w:rPr>
          <w:b w:val="0"/>
          <w:i w:val="0"/>
          <w:color w:val="1C3A36"/>
          <w:sz w:val="20"/>
        </w:rPr>
        <w:t>Falsification. Expert 2 is wrong if the cash does not belong to the shareholder. The whole method rests on finance income being a durable, distributable stream. If the cash pile is committed — to a replacement capital programme, to a related-party receivable, or to working capital the counterparty stops funding — then the finance income leg disappears and this expert's answer falls by roughly a fifth. Watch payable days: a move from 24 toward the receivable cycle would be the first sign.</w:t>
      </w:r>
    </w:p>
    <w:p>
      <w:pPr>
        <w:spacing w:after="80" w:before="200"/>
      </w:pPr>
      <w:r>
        <w:rPr>
          <w:b/>
          <w:i w:val="0"/>
          <w:color w:val="1C3A36"/>
          <w:sz w:val="24"/>
        </w:rPr>
        <w:t>Expert 3 — cash returns against the cost of capital</w:t>
      </w:r>
    </w:p>
    <w:p>
      <w:pPr>
        <w:spacing w:after="120" w:before="0"/>
      </w:pPr>
      <w:r>
        <w:rPr>
          <w:b w:val="0"/>
          <w:i w:val="0"/>
          <w:color w:val="1C3A36"/>
          <w:sz w:val="21"/>
        </w:rPr>
        <w:t>Method. This expert asks one question: does the company earn more on its capital than the capital costs, and for how long? Value is the capital already invested plus the present value of every future year's economic profit — profit after tax less a charge for the capital employed to make it. Nothing about growth enters except through the capital it consumes.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r>
          </w:p>
        </w:tc>
        <w:tc>
          <w:tcPr>
            <w:tcW w:type="dxa" w:w="1325"/>
            <w:shd w:val="clear" w:color="auto" w:fill="EAF0EE"/>
          </w:tcPr>
          <w:p>
            <w:pPr>
              <w:spacing w:after="20"/>
            </w:pPr>
            <w:r>
              <w:rPr>
                <w:b/>
                <w:color w:val="1C3A36"/>
                <w:sz w:val="16"/>
              </w:rPr>
              <w:t>2026E</w:t>
            </w:r>
          </w:p>
        </w:tc>
        <w:tc>
          <w:tcPr>
            <w:tcW w:type="dxa" w:w="1325"/>
            <w:shd w:val="clear" w:color="auto" w:fill="EAF0EE"/>
          </w:tcPr>
          <w:p>
            <w:pPr>
              <w:spacing w:after="20"/>
            </w:pPr>
            <w:r>
              <w:rPr>
                <w:b/>
                <w:color w:val="1C3A36"/>
                <w:sz w:val="16"/>
              </w:rPr>
              <w:t>2027E</w:t>
            </w:r>
          </w:p>
        </w:tc>
        <w:tc>
          <w:tcPr>
            <w:tcW w:type="dxa" w:w="1325"/>
            <w:shd w:val="clear" w:color="auto" w:fill="EAF0EE"/>
          </w:tcPr>
          <w:p>
            <w:pPr>
              <w:spacing w:after="20"/>
            </w:pPr>
            <w:r>
              <w:rPr>
                <w:b/>
                <w:color w:val="1C3A36"/>
                <w:sz w:val="16"/>
              </w:rPr>
              <w:t>2028E</w:t>
            </w:r>
          </w:p>
        </w:tc>
        <w:tc>
          <w:tcPr>
            <w:tcW w:type="dxa" w:w="1325"/>
            <w:shd w:val="clear" w:color="auto" w:fill="EAF0EE"/>
          </w:tcPr>
          <w:p>
            <w:pPr>
              <w:spacing w:after="20"/>
            </w:pPr>
            <w:r>
              <w:rPr>
                <w:b/>
                <w:color w:val="1C3A36"/>
                <w:sz w:val="16"/>
              </w:rPr>
              <w:t>2029E</w:t>
            </w:r>
          </w:p>
        </w:tc>
        <w:tc>
          <w:tcPr>
            <w:tcW w:type="dxa" w:w="1325"/>
            <w:shd w:val="clear" w:color="auto" w:fill="EAF0EE"/>
          </w:tcPr>
          <w:p>
            <w:pPr>
              <w:spacing w:after="20"/>
            </w:pPr>
            <w:r>
              <w:rPr>
                <w:b/>
                <w:color w:val="1C3A36"/>
                <w:sz w:val="16"/>
              </w:rPr>
              <w:t>2030E</w:t>
            </w:r>
          </w:p>
        </w:tc>
      </w:tr>
      <w:tr>
        <w:tc>
          <w:tcPr>
            <w:tcW w:type="dxa" w:w="3384"/>
          </w:tcPr>
          <w:p>
            <w:pPr>
              <w:spacing w:after="20"/>
            </w:pPr>
            <w:r>
              <w:rPr>
                <w:color w:val="1C3A36"/>
                <w:sz w:val="16"/>
              </w:rPr>
              <w:t>Return on invested capital</w:t>
            </w:r>
          </w:p>
        </w:tc>
        <w:tc>
          <w:tcPr>
            <w:tcW w:type="dxa" w:w="1325"/>
          </w:tcPr>
          <w:p>
            <w:pPr>
              <w:spacing w:after="20"/>
              <w:jc w:val="right"/>
            </w:pPr>
            <w:r>
              <w:rPr>
                <w:color w:val="1C3A36"/>
                <w:sz w:val="16"/>
              </w:rPr>
              <w:t>40.7%</w:t>
            </w:r>
          </w:p>
        </w:tc>
        <w:tc>
          <w:tcPr>
            <w:tcW w:type="dxa" w:w="1325"/>
          </w:tcPr>
          <w:p>
            <w:pPr>
              <w:spacing w:after="20"/>
              <w:jc w:val="right"/>
            </w:pPr>
            <w:r>
              <w:rPr>
                <w:color w:val="1C3A36"/>
                <w:sz w:val="16"/>
              </w:rPr>
              <w:t>42.8%</w:t>
            </w:r>
          </w:p>
        </w:tc>
        <w:tc>
          <w:tcPr>
            <w:tcW w:type="dxa" w:w="1325"/>
          </w:tcPr>
          <w:p>
            <w:pPr>
              <w:spacing w:after="20"/>
              <w:jc w:val="right"/>
            </w:pPr>
            <w:r>
              <w:rPr>
                <w:color w:val="1C3A36"/>
                <w:sz w:val="16"/>
              </w:rPr>
              <w:t>44.6%</w:t>
            </w:r>
          </w:p>
        </w:tc>
        <w:tc>
          <w:tcPr>
            <w:tcW w:type="dxa" w:w="1325"/>
          </w:tcPr>
          <w:p>
            <w:pPr>
              <w:spacing w:after="20"/>
              <w:jc w:val="right"/>
            </w:pPr>
            <w:r>
              <w:rPr>
                <w:color w:val="1C3A36"/>
                <w:sz w:val="16"/>
              </w:rPr>
              <w:t>46.3%</w:t>
            </w:r>
          </w:p>
        </w:tc>
        <w:tc>
          <w:tcPr>
            <w:tcW w:type="dxa" w:w="1325"/>
          </w:tcPr>
          <w:p>
            <w:pPr>
              <w:spacing w:after="20"/>
              <w:jc w:val="right"/>
            </w:pPr>
            <w:r>
              <w:rPr>
                <w:color w:val="1C3A36"/>
                <w:sz w:val="16"/>
              </w:rPr>
              <w:t>48.0%</w:t>
            </w:r>
          </w:p>
        </w:tc>
      </w:tr>
      <w:tr>
        <w:tc>
          <w:tcPr>
            <w:tcW w:type="dxa" w:w="3384"/>
          </w:tcPr>
          <w:p>
            <w:pPr>
              <w:spacing w:after="20"/>
            </w:pPr>
            <w:r>
              <w:rPr>
                <w:color w:val="1C3A36"/>
                <w:sz w:val="16"/>
              </w:rPr>
              <w:t>Cost of capital that year</w:t>
            </w:r>
          </w:p>
        </w:tc>
        <w:tc>
          <w:tcPr>
            <w:tcW w:type="dxa" w:w="1325"/>
          </w:tcPr>
          <w:p>
            <w:pPr>
              <w:spacing w:after="20"/>
              <w:jc w:val="right"/>
            </w:pPr>
            <w:r>
              <w:rPr>
                <w:color w:val="1C3A36"/>
                <w:sz w:val="16"/>
              </w:rPr>
              <w:t>31.6%</w:t>
            </w:r>
          </w:p>
        </w:tc>
        <w:tc>
          <w:tcPr>
            <w:tcW w:type="dxa" w:w="1325"/>
          </w:tcPr>
          <w:p>
            <w:pPr>
              <w:spacing w:after="20"/>
              <w:jc w:val="right"/>
            </w:pPr>
            <w:r>
              <w:rPr>
                <w:color w:val="1C3A36"/>
                <w:sz w:val="16"/>
              </w:rPr>
              <w:t>26.2%</w:t>
            </w:r>
          </w:p>
        </w:tc>
        <w:tc>
          <w:tcPr>
            <w:tcW w:type="dxa" w:w="1325"/>
          </w:tcPr>
          <w:p>
            <w:pPr>
              <w:spacing w:after="20"/>
              <w:jc w:val="right"/>
            </w:pPr>
            <w:r>
              <w:rPr>
                <w:color w:val="1C3A36"/>
                <w:sz w:val="16"/>
              </w:rPr>
              <w:t>21.9%</w:t>
            </w:r>
          </w:p>
        </w:tc>
        <w:tc>
          <w:tcPr>
            <w:tcW w:type="dxa" w:w="1325"/>
          </w:tcPr>
          <w:p>
            <w:pPr>
              <w:spacing w:after="20"/>
              <w:jc w:val="right"/>
            </w:pPr>
            <w:r>
              <w:rPr>
                <w:color w:val="1C3A36"/>
                <w:sz w:val="16"/>
              </w:rPr>
              <w:t>18.7%</w:t>
            </w:r>
          </w:p>
        </w:tc>
        <w:tc>
          <w:tcPr>
            <w:tcW w:type="dxa" w:w="1325"/>
          </w:tcPr>
          <w:p>
            <w:pPr>
              <w:spacing w:after="20"/>
              <w:jc w:val="right"/>
            </w:pPr>
            <w:r>
              <w:rPr>
                <w:color w:val="1C3A36"/>
                <w:sz w:val="16"/>
              </w:rPr>
              <w:t>16.5%</w:t>
            </w:r>
          </w:p>
        </w:tc>
      </w:tr>
      <w:tr>
        <w:tc>
          <w:tcPr>
            <w:tcW w:type="dxa" w:w="3384"/>
          </w:tcPr>
          <w:p>
            <w:pPr>
              <w:spacing w:after="20"/>
            </w:pPr>
            <w:r>
              <w:rPr>
                <w:color w:val="1C3A36"/>
                <w:sz w:val="16"/>
              </w:rPr>
              <w:t>Spread</w:t>
            </w:r>
          </w:p>
        </w:tc>
        <w:tc>
          <w:tcPr>
            <w:tcW w:type="dxa" w:w="1325"/>
          </w:tcPr>
          <w:p>
            <w:pPr>
              <w:spacing w:after="20"/>
              <w:jc w:val="right"/>
            </w:pPr>
            <w:r>
              <w:rPr>
                <w:color w:val="1C3A36"/>
                <w:sz w:val="16"/>
              </w:rPr>
              <w:t>+9.1%</w:t>
            </w:r>
          </w:p>
        </w:tc>
        <w:tc>
          <w:tcPr>
            <w:tcW w:type="dxa" w:w="1325"/>
          </w:tcPr>
          <w:p>
            <w:pPr>
              <w:spacing w:after="20"/>
              <w:jc w:val="right"/>
            </w:pPr>
            <w:r>
              <w:rPr>
                <w:color w:val="1C3A36"/>
                <w:sz w:val="16"/>
              </w:rPr>
              <w:t>+16.6%</w:t>
            </w:r>
          </w:p>
        </w:tc>
        <w:tc>
          <w:tcPr>
            <w:tcW w:type="dxa" w:w="1325"/>
          </w:tcPr>
          <w:p>
            <w:pPr>
              <w:spacing w:after="20"/>
              <w:jc w:val="right"/>
            </w:pPr>
            <w:r>
              <w:rPr>
                <w:color w:val="1C3A36"/>
                <w:sz w:val="16"/>
              </w:rPr>
              <w:t>+22.7%</w:t>
            </w:r>
          </w:p>
        </w:tc>
        <w:tc>
          <w:tcPr>
            <w:tcW w:type="dxa" w:w="1325"/>
          </w:tcPr>
          <w:p>
            <w:pPr>
              <w:spacing w:after="20"/>
              <w:jc w:val="right"/>
            </w:pPr>
            <w:r>
              <w:rPr>
                <w:color w:val="1C3A36"/>
                <w:sz w:val="16"/>
              </w:rPr>
              <w:t>+27.6%</w:t>
            </w:r>
          </w:p>
        </w:tc>
        <w:tc>
          <w:tcPr>
            <w:tcW w:type="dxa" w:w="1325"/>
          </w:tcPr>
          <w:p>
            <w:pPr>
              <w:spacing w:after="20"/>
              <w:jc w:val="right"/>
            </w:pPr>
            <w:r>
              <w:rPr>
                <w:color w:val="1C3A36"/>
                <w:sz w:val="16"/>
              </w:rPr>
              <w:t>+31.5%</w:t>
            </w:r>
          </w:p>
        </w:tc>
      </w:tr>
      <w:tr>
        <w:tc>
          <w:tcPr>
            <w:tcW w:type="dxa" w:w="3384"/>
          </w:tcPr>
          <w:p>
            <w:pPr>
              <w:spacing w:after="20"/>
            </w:pPr>
            <w:r>
              <w:rPr>
                <w:color w:val="1C3A36"/>
                <w:sz w:val="16"/>
              </w:rPr>
              <w:t>Economic profit (EGP mn)</w:t>
            </w:r>
          </w:p>
        </w:tc>
        <w:tc>
          <w:tcPr>
            <w:tcW w:type="dxa" w:w="1325"/>
          </w:tcPr>
          <w:p>
            <w:pPr>
              <w:spacing w:after="20"/>
              <w:jc w:val="right"/>
            </w:pPr>
            <w:r>
              <w:rPr>
                <w:color w:val="1C3A36"/>
                <w:sz w:val="16"/>
              </w:rPr>
              <w:t>396</w:t>
            </w:r>
          </w:p>
        </w:tc>
        <w:tc>
          <w:tcPr>
            <w:tcW w:type="dxa" w:w="1325"/>
          </w:tcPr>
          <w:p>
            <w:pPr>
              <w:spacing w:after="20"/>
              <w:jc w:val="right"/>
            </w:pPr>
            <w:r>
              <w:rPr>
                <w:color w:val="1C3A36"/>
                <w:sz w:val="16"/>
              </w:rPr>
              <w:t>683</w:t>
            </w:r>
          </w:p>
        </w:tc>
        <w:tc>
          <w:tcPr>
            <w:tcW w:type="dxa" w:w="1325"/>
          </w:tcPr>
          <w:p>
            <w:pPr>
              <w:spacing w:after="20"/>
              <w:jc w:val="right"/>
            </w:pPr>
            <w:r>
              <w:rPr>
                <w:color w:val="1C3A36"/>
                <w:sz w:val="16"/>
              </w:rPr>
              <w:t>951</w:t>
            </w:r>
          </w:p>
        </w:tc>
        <w:tc>
          <w:tcPr>
            <w:tcW w:type="dxa" w:w="1325"/>
          </w:tcPr>
          <w:p>
            <w:pPr>
              <w:spacing w:after="20"/>
              <w:jc w:val="right"/>
            </w:pPr>
            <w:r>
              <w:rPr>
                <w:color w:val="1C3A36"/>
                <w:sz w:val="16"/>
              </w:rPr>
              <w:t>1,197</w:t>
            </w:r>
          </w:p>
        </w:tc>
        <w:tc>
          <w:tcPr>
            <w:tcW w:type="dxa" w:w="1325"/>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304"/>
      </w:tblGrid>
      <w:tr>
        <w:tc>
          <w:tcPr>
            <w:tcW w:type="dxa" w:w="6048"/>
            <w:shd w:val="clear" w:color="auto" w:fill="EAF0EE"/>
          </w:tcPr>
          <w:p>
            <w:pPr>
              <w:spacing w:after="20"/>
            </w:pPr>
            <w:r>
              <w:rPr>
                <w:b/>
                <w:color w:val="1C3A36"/>
                <w:sz w:val="17"/>
              </w:rPr>
              <w:t>Step</w:t>
            </w:r>
          </w:p>
        </w:tc>
        <w:tc>
          <w:tcPr>
            <w:tcW w:type="dxa" w:w="2304"/>
            <w:shd w:val="clear" w:color="auto" w:fill="EAF0EE"/>
          </w:tcPr>
          <w:p>
            <w:pPr>
              <w:spacing w:after="20"/>
            </w:pPr>
            <w:r>
              <w:rPr>
                <w:b/>
                <w:color w:val="1C3A36"/>
                <w:sz w:val="17"/>
              </w:rPr>
              <w:t>EGP mn</w:t>
            </w:r>
          </w:p>
        </w:tc>
      </w:tr>
      <w:tr>
        <w:tc>
          <w:tcPr>
            <w:tcW w:type="dxa" w:w="6048"/>
          </w:tcPr>
          <w:p>
            <w:pPr>
              <w:spacing w:after="20"/>
            </w:pPr>
            <w:r>
              <w:rPr>
                <w:color w:val="1C3A36"/>
                <w:sz w:val="17"/>
              </w:rPr>
              <w:t>Invested capital at the start</w:t>
            </w:r>
          </w:p>
        </w:tc>
        <w:tc>
          <w:tcPr>
            <w:tcW w:type="dxa" w:w="2304"/>
          </w:tcPr>
          <w:p>
            <w:pPr>
              <w:spacing w:after="20"/>
              <w:jc w:val="right"/>
            </w:pPr>
            <w:r>
              <w:rPr>
                <w:color w:val="1C3A36"/>
                <w:sz w:val="17"/>
              </w:rPr>
              <w:t>3,211</w:t>
            </w:r>
          </w:p>
        </w:tc>
      </w:tr>
      <w:tr>
        <w:tc>
          <w:tcPr>
            <w:tcW w:type="dxa" w:w="6048"/>
          </w:tcPr>
          <w:p>
            <w:pPr>
              <w:spacing w:after="20"/>
            </w:pPr>
            <w:r>
              <w:rPr>
                <w:color w:val="1C3A36"/>
                <w:sz w:val="17"/>
              </w:rPr>
              <w:t>Present value of explicit economic profit</w:t>
            </w:r>
          </w:p>
        </w:tc>
        <w:tc>
          <w:tcPr>
            <w:tcW w:type="dxa" w:w="2304"/>
          </w:tcPr>
          <w:p>
            <w:pPr>
              <w:spacing w:after="20"/>
              <w:jc w:val="right"/>
            </w:pPr>
            <w:r>
              <w:rPr>
                <w:color w:val="1C3A36"/>
                <w:sz w:val="17"/>
              </w:rPr>
              <w:t>2,184</w:t>
            </w:r>
          </w:p>
        </w:tc>
      </w:tr>
      <w:tr>
        <w:tc>
          <w:tcPr>
            <w:tcW w:type="dxa" w:w="6048"/>
          </w:tcPr>
          <w:p>
            <w:pPr>
              <w:spacing w:after="20"/>
            </w:pPr>
            <w:r>
              <w:rPr>
                <w:color w:val="1C3A36"/>
                <w:sz w:val="17"/>
              </w:rPr>
              <w:t>Present value of terminal economic profit</w:t>
            </w:r>
          </w:p>
        </w:tc>
        <w:tc>
          <w:tcPr>
            <w:tcW w:type="dxa" w:w="2304"/>
          </w:tcPr>
          <w:p>
            <w:pPr>
              <w:spacing w:after="20"/>
              <w:jc w:val="right"/>
            </w:pPr>
            <w:r>
              <w:rPr>
                <w:color w:val="1C3A36"/>
                <w:sz w:val="17"/>
              </w:rPr>
              <w:t>4,606</w:t>
            </w:r>
          </w:p>
        </w:tc>
      </w:tr>
      <w:tr>
        <w:tc>
          <w:tcPr>
            <w:tcW w:type="dxa" w:w="6048"/>
          </w:tcPr>
          <w:p>
            <w:pPr>
              <w:spacing w:after="20"/>
            </w:pPr>
            <w:r>
              <w:rPr>
                <w:color w:val="1C3A36"/>
                <w:sz w:val="17"/>
              </w:rPr>
              <w:t>= enterprise value</w:t>
            </w:r>
          </w:p>
        </w:tc>
        <w:tc>
          <w:tcPr>
            <w:tcW w:type="dxa" w:w="2304"/>
          </w:tcPr>
          <w:p>
            <w:pPr>
              <w:spacing w:after="20"/>
              <w:jc w:val="right"/>
            </w:pPr>
            <w:r>
              <w:rPr>
                <w:color w:val="1C3A36"/>
                <w:sz w:val="17"/>
              </w:rPr>
              <w:t>10,002</w:t>
            </w:r>
          </w:p>
        </w:tc>
      </w:tr>
      <w:tr>
        <w:tc>
          <w:tcPr>
            <w:tcW w:type="dxa" w:w="6048"/>
            <w:shd w:val="clear" w:color="auto" w:fill="F6F1E6"/>
          </w:tcPr>
          <w:p>
            <w:pPr>
              <w:spacing w:after="20"/>
            </w:pPr>
            <w:r>
              <w:rPr>
                <w:b/>
                <w:color w:val="1C3A36"/>
                <w:sz w:val="17"/>
              </w:rPr>
              <w:t>FAIR VALUE after the bridge (EGP per share)</w:t>
            </w:r>
          </w:p>
        </w:tc>
        <w:tc>
          <w:tcPr>
            <w:tcW w:type="dxa" w:w="2304"/>
            <w:shd w:val="clear" w:color="auto" w:fill="F6F1E6"/>
          </w:tcPr>
          <w:p>
            <w:pPr>
              <w:spacing w:after="20"/>
              <w:jc w:val="right"/>
            </w:pPr>
            <w:r>
              <w:rPr>
                <w:b/>
                <w:color w:val="1C3A36"/>
                <w:sz w:val="17"/>
              </w:rPr>
              <w:t>9.40</w:t>
            </w:r>
          </w:p>
        </w:tc>
      </w:tr>
    </w:tbl>
    <w:p>
      <w:pPr>
        <w:spacing w:after="40"/>
      </w:pPr>
    </w:p>
    <w:p>
      <w:pPr>
        <w:spacing w:after="120" w:before="0"/>
      </w:pPr>
      <w:r>
        <w:rPr>
          <w:b w:val="0"/>
          <w:i w:val="0"/>
          <w:color w:val="1C3A36"/>
          <w:sz w:val="20"/>
        </w:rPr>
        <w:t>Read the base number before reading anything else into it. Expert 3 returns EGP 9.40 and the primary cash-flow lens returns EGP 9.40 — the same number, and not by coincidence. An economic-profit valuation and a discounted-cash-flow valuation built off the same profit after tax, the same invested capital and the same discount path are ALGEBRAICALLY THE SAME VALUATION; the capital charge that economic profit subtracts each year is exactly the capital that the cash-flow waterfall subtracts as investment, discounted differently and then added back as the opening capital base. An earlier draft of this study presented the agreement as corroboration. It is not corroboration — it is an identity, and a study that offers an identity as evidence is marking its own homework. What the agreement DOES establish is that the primary model has no arithmetic leak: had the two differed by a piastre, one of them would contain a mistake. Expert 3 is therefore an audit of the primary model, and only Experts 1 and 2 are independent opinions about the company.</w:t>
      </w:r>
    </w:p>
    <w:p>
      <w:pPr>
        <w:spacing w:after="120" w:before="0"/>
      </w:pPr>
      <w:r>
        <w:rPr>
          <w:b w:val="0"/>
          <w:i w:val="0"/>
          <w:color w:val="1C3A36"/>
          <w:sz w:val="21"/>
        </w:rPr>
        <w:t>The capital charge is taken on BEGINNING-of-year invested capital, not ending. Charging ending capital is the commoner convention and it is wrong: it charges the company for capital it had not yet deployed, understating economic profit and pushing the year in which the return spread turns positive one year later than it should.</w:t>
      </w:r>
    </w:p>
    <w:p>
      <w:pPr>
        <w:spacing w:after="120" w:before="0"/>
      </w:pPr>
      <w:r>
        <w:rPr>
          <w:b w:val="0"/>
          <w:i w:val="0"/>
          <w:color w:val="1C3A36"/>
          <w:sz w:val="21"/>
        </w:rPr>
        <w:t>Range EGP 7.19 to 9.99. The low end haircuts both economic-profit legs sharply, on the view that a return spread of +9.1% in the first year against a cost of capital of 31.6% is a fact about depreciation as much as about the business. The high end is the currency-of-discounting alternative.</w:t>
      </w:r>
    </w:p>
    <w:p>
      <w:pPr>
        <w:spacing w:after="120" w:before="0"/>
      </w:pPr>
      <w:r>
        <w:rPr>
          <w:b w:val="0"/>
          <w:i w:val="0"/>
          <w:color w:val="1C3A36"/>
          <w:sz w:val="20"/>
        </w:rPr>
        <w:t>Falsification. Expert 3 is wrong if the invested-capital base is understated — which it is, if the plant would cost materially more than 2,403 to replace. Re-run the same method on a replacement-cost capital base and both the return and the spread fall sharply. This is the same criticism section 7 makes of the primary model, and Expert 3 is the most exposed of the three to it.</w:t>
      </w:r>
    </w:p>
    <w:p>
      <w:pPr>
        <w:spacing w:after="80" w:before="200"/>
      </w:pPr>
      <w:r>
        <w:rPr>
          <w:b/>
          <w:i w:val="0"/>
          <w:color w:val="1C3A36"/>
          <w:sz w:val="24"/>
        </w:rPr>
        <w:t>The panel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672"/>
        <w:gridCol w:w="1800"/>
        <w:gridCol w:w="1224"/>
        <w:gridCol w:w="1080"/>
      </w:tblGrid>
      <w:tr>
        <w:tc>
          <w:tcPr>
            <w:tcW w:type="dxa" w:w="1224"/>
            <w:shd w:val="clear" w:color="auto" w:fill="EAF0EE"/>
          </w:tcPr>
          <w:p>
            <w:pPr>
              <w:spacing w:after="20"/>
            </w:pPr>
            <w:r>
              <w:rPr>
                <w:b/>
                <w:color w:val="1C3A36"/>
                <w:sz w:val="16"/>
              </w:rPr>
            </w:r>
          </w:p>
        </w:tc>
        <w:tc>
          <w:tcPr>
            <w:tcW w:type="dxa" w:w="3672"/>
            <w:shd w:val="clear" w:color="auto" w:fill="EAF0EE"/>
          </w:tcPr>
          <w:p>
            <w:pPr>
              <w:spacing w:after="20"/>
            </w:pPr>
            <w:r>
              <w:rPr>
                <w:b/>
                <w:color w:val="1C3A36"/>
                <w:sz w:val="16"/>
              </w:rPr>
              <w:t>Method</w:t>
            </w:r>
          </w:p>
        </w:tc>
        <w:tc>
          <w:tcPr>
            <w:tcW w:type="dxa" w:w="1800"/>
            <w:shd w:val="clear" w:color="auto" w:fill="EAF0EE"/>
          </w:tcPr>
          <w:p>
            <w:pPr>
              <w:spacing w:after="20"/>
            </w:pPr>
            <w:r>
              <w:rPr>
                <w:b/>
                <w:color w:val="1C3A36"/>
                <w:sz w:val="16"/>
              </w:rPr>
              <w:t>Range (EGP)</w:t>
            </w:r>
          </w:p>
        </w:tc>
        <w:tc>
          <w:tcPr>
            <w:tcW w:type="dxa" w:w="1224"/>
            <w:shd w:val="clear" w:color="auto" w:fill="EAF0EE"/>
          </w:tcPr>
          <w:p>
            <w:pPr>
              <w:spacing w:after="20"/>
            </w:pPr>
            <w:r>
              <w:rPr>
                <w:b/>
                <w:color w:val="1C3A36"/>
                <w:sz w:val="16"/>
              </w:rPr>
              <w:t>Base (EGP)</w:t>
            </w:r>
          </w:p>
        </w:tc>
        <w:tc>
          <w:tcPr>
            <w:tcW w:type="dxa" w:w="1080"/>
            <w:shd w:val="clear" w:color="auto" w:fill="EAF0EE"/>
          </w:tcPr>
          <w:p>
            <w:pPr>
              <w:spacing w:after="20"/>
            </w:pPr>
            <w:r>
              <w:rPr>
                <w:b/>
                <w:color w:val="1C3A36"/>
                <w:sz w:val="16"/>
              </w:rPr>
              <w:t>vs spot</w:t>
            </w:r>
          </w:p>
        </w:tc>
      </w:tr>
      <w:tr>
        <w:tc>
          <w:tcPr>
            <w:tcW w:type="dxa" w:w="1224"/>
          </w:tcPr>
          <w:p>
            <w:pPr>
              <w:spacing w:after="20"/>
            </w:pPr>
            <w:r>
              <w:rPr>
                <w:color w:val="1C3A36"/>
                <w:sz w:val="16"/>
              </w:rPr>
              <w:t>Expert 1</w:t>
            </w:r>
          </w:p>
        </w:tc>
        <w:tc>
          <w:tcPr>
            <w:tcW w:type="dxa" w:w="3672"/>
          </w:tcPr>
          <w:p>
            <w:pPr>
              <w:spacing w:after="20"/>
            </w:pPr>
            <w:r>
              <w:rPr>
                <w:color w:val="1C3A36"/>
                <w:sz w:val="16"/>
              </w:rPr>
              <w:t>earnings power at a justified multiple</w:t>
            </w:r>
          </w:p>
        </w:tc>
        <w:tc>
          <w:tcPr>
            <w:tcW w:type="dxa" w:w="1800"/>
          </w:tcPr>
          <w:p>
            <w:pPr>
              <w:spacing w:after="20"/>
              <w:jc w:val="right"/>
            </w:pPr>
            <w:r>
              <w:rPr>
                <w:color w:val="1C3A36"/>
                <w:sz w:val="16"/>
              </w:rPr>
              <w:t>7.84 – 14.90</w:t>
            </w:r>
          </w:p>
        </w:tc>
        <w:tc>
          <w:tcPr>
            <w:tcW w:type="dxa" w:w="1224"/>
          </w:tcPr>
          <w:p>
            <w:pPr>
              <w:spacing w:after="20"/>
              <w:jc w:val="right"/>
            </w:pPr>
            <w:r>
              <w:rPr>
                <w:color w:val="1C3A36"/>
                <w:sz w:val="16"/>
              </w:rPr>
              <w:t>10.98</w:t>
            </w:r>
          </w:p>
        </w:tc>
        <w:tc>
          <w:tcPr>
            <w:tcW w:type="dxa" w:w="1080"/>
          </w:tcPr>
          <w:p>
            <w:pPr>
              <w:spacing w:after="20"/>
              <w:jc w:val="right"/>
            </w:pPr>
            <w:r>
              <w:rPr>
                <w:color w:val="1C3A36"/>
                <w:sz w:val="16"/>
              </w:rPr>
              <w:t>+21%</w:t>
            </w:r>
          </w:p>
        </w:tc>
      </w:tr>
      <w:tr>
        <w:tc>
          <w:tcPr>
            <w:tcW w:type="dxa" w:w="1224"/>
          </w:tcPr>
          <w:p>
            <w:pPr>
              <w:spacing w:after="20"/>
            </w:pPr>
            <w:r>
              <w:rPr>
                <w:color w:val="1C3A36"/>
                <w:sz w:val="16"/>
              </w:rPr>
              <w:t>Expert 2</w:t>
            </w:r>
          </w:p>
        </w:tc>
        <w:tc>
          <w:tcPr>
            <w:tcW w:type="dxa" w:w="3672"/>
          </w:tcPr>
          <w:p>
            <w:pPr>
              <w:spacing w:after="20"/>
            </w:pPr>
            <w:r>
              <w:rPr>
                <w:color w:val="1C3A36"/>
                <w:sz w:val="16"/>
              </w:rPr>
              <w:t>free cash flow to equity, discounted</w:t>
            </w:r>
          </w:p>
        </w:tc>
        <w:tc>
          <w:tcPr>
            <w:tcW w:type="dxa" w:w="1800"/>
          </w:tcPr>
          <w:p>
            <w:pPr>
              <w:spacing w:after="20"/>
              <w:jc w:val="right"/>
            </w:pPr>
            <w:r>
              <w:rPr>
                <w:color w:val="1C3A36"/>
                <w:sz w:val="16"/>
              </w:rPr>
              <w:t>7.18 – 9.23</w:t>
            </w:r>
          </w:p>
        </w:tc>
        <w:tc>
          <w:tcPr>
            <w:tcW w:type="dxa" w:w="1224"/>
          </w:tcPr>
          <w:p>
            <w:pPr>
              <w:spacing w:after="20"/>
              <w:jc w:val="right"/>
            </w:pPr>
            <w:r>
              <w:rPr>
                <w:color w:val="1C3A36"/>
                <w:sz w:val="16"/>
              </w:rPr>
              <w:t>8.72</w:t>
            </w:r>
          </w:p>
        </w:tc>
        <w:tc>
          <w:tcPr>
            <w:tcW w:type="dxa" w:w="1080"/>
          </w:tcPr>
          <w:p>
            <w:pPr>
              <w:spacing w:after="20"/>
              <w:jc w:val="right"/>
            </w:pPr>
            <w:r>
              <w:rPr>
                <w:color w:val="1C3A36"/>
                <w:sz w:val="16"/>
              </w:rPr>
              <w:t>-4%</w:t>
            </w:r>
          </w:p>
        </w:tc>
      </w:tr>
      <w:tr>
        <w:tc>
          <w:tcPr>
            <w:tcW w:type="dxa" w:w="1224"/>
          </w:tcPr>
          <w:p>
            <w:pPr>
              <w:spacing w:after="20"/>
            </w:pPr>
            <w:r>
              <w:rPr>
                <w:color w:val="1C3A36"/>
                <w:sz w:val="16"/>
              </w:rPr>
              <w:t>Expert 3</w:t>
            </w:r>
          </w:p>
        </w:tc>
        <w:tc>
          <w:tcPr>
            <w:tcW w:type="dxa" w:w="3672"/>
          </w:tcPr>
          <w:p>
            <w:pPr>
              <w:spacing w:after="20"/>
            </w:pPr>
            <w:r>
              <w:rPr>
                <w:color w:val="1C3A36"/>
                <w:sz w:val="16"/>
              </w:rPr>
              <w:t>cash returns against the cost of capital</w:t>
            </w:r>
          </w:p>
        </w:tc>
        <w:tc>
          <w:tcPr>
            <w:tcW w:type="dxa" w:w="1800"/>
          </w:tcPr>
          <w:p>
            <w:pPr>
              <w:spacing w:after="20"/>
              <w:jc w:val="right"/>
            </w:pPr>
            <w:r>
              <w:rPr>
                <w:color w:val="1C3A36"/>
                <w:sz w:val="16"/>
              </w:rPr>
              <w:t>7.19 – 9.99</w:t>
            </w:r>
          </w:p>
        </w:tc>
        <w:tc>
          <w:tcPr>
            <w:tcW w:type="dxa" w:w="1224"/>
          </w:tcPr>
          <w:p>
            <w:pPr>
              <w:spacing w:after="20"/>
              <w:jc w:val="right"/>
            </w:pPr>
            <w:r>
              <w:rPr>
                <w:color w:val="1C3A36"/>
                <w:sz w:val="16"/>
              </w:rPr>
              <w:t>9.40</w:t>
            </w:r>
          </w:p>
        </w:tc>
        <w:tc>
          <w:tcPr>
            <w:tcW w:type="dxa" w:w="1080"/>
          </w:tcPr>
          <w:p>
            <w:pPr>
              <w:spacing w:after="20"/>
              <w:jc w:val="right"/>
            </w:pPr>
            <w:r>
              <w:rPr>
                <w:color w:val="1C3A36"/>
                <w:sz w:val="16"/>
              </w:rPr>
              <w:t>+3%</w:t>
            </w:r>
          </w:p>
        </w:tc>
      </w:tr>
      <w:tr>
        <w:tc>
          <w:tcPr>
            <w:tcW w:type="dxa" w:w="1224"/>
            <w:shd w:val="clear" w:color="auto" w:fill="F6F1E6"/>
          </w:tcPr>
          <w:p>
            <w:pPr>
              <w:spacing w:after="20"/>
            </w:pPr>
            <w:r>
              <w:rPr>
                <w:b/>
                <w:color w:val="1C3A36"/>
                <w:sz w:val="16"/>
              </w:rPr>
              <w:t>PANEL MEDIAN</w:t>
            </w:r>
          </w:p>
        </w:tc>
        <w:tc>
          <w:tcPr>
            <w:tcW w:type="dxa" w:w="3672"/>
            <w:shd w:val="clear" w:color="auto" w:fill="F6F1E6"/>
          </w:tcPr>
          <w:p>
            <w:pPr>
              <w:spacing w:after="20"/>
            </w:pPr>
            <w:r>
              <w:rPr>
                <w:b/>
                <w:color w:val="1C3A36"/>
                <w:sz w:val="16"/>
              </w:rPr>
              <w:t>the middle of the three</w:t>
            </w:r>
          </w:p>
        </w:tc>
        <w:tc>
          <w:tcPr>
            <w:tcW w:type="dxa" w:w="1800"/>
            <w:shd w:val="clear" w:color="auto" w:fill="F6F1E6"/>
          </w:tcPr>
          <w:p>
            <w:pPr>
              <w:spacing w:after="20"/>
              <w:jc w:val="right"/>
            </w:pPr>
            <w:r>
              <w:rPr>
                <w:b/>
                <w:color w:val="1C3A36"/>
                <w:sz w:val="16"/>
              </w:rPr>
            </w:r>
          </w:p>
        </w:tc>
        <w:tc>
          <w:tcPr>
            <w:tcW w:type="dxa" w:w="1224"/>
            <w:shd w:val="clear" w:color="auto" w:fill="F6F1E6"/>
          </w:tcPr>
          <w:p>
            <w:pPr>
              <w:spacing w:after="20"/>
              <w:jc w:val="right"/>
            </w:pPr>
            <w:r>
              <w:rPr>
                <w:b/>
                <w:color w:val="1C3A36"/>
                <w:sz w:val="16"/>
              </w:rPr>
              <w:t>9.40</w:t>
            </w:r>
          </w:p>
        </w:tc>
        <w:tc>
          <w:tcPr>
            <w:tcW w:type="dxa" w:w="1080"/>
            <w:shd w:val="clear" w:color="auto" w:fill="F6F1E6"/>
          </w:tcPr>
          <w:p>
            <w:pPr>
              <w:spacing w:after="20"/>
              <w:jc w:val="right"/>
            </w:pPr>
            <w:r>
              <w:rPr>
                <w:b/>
                <w:color w:val="1C3A36"/>
                <w:sz w:val="16"/>
              </w:rPr>
              <w:t>+3%</w:t>
            </w:r>
          </w:p>
        </w:tc>
      </w:tr>
    </w:tbl>
    <w:p>
      <w:pPr>
        <w:spacing w:after="40"/>
      </w:pPr>
    </w:p>
    <w:p>
      <w:pPr>
        <w:spacing w:after="120" w:before="0"/>
      </w:pPr>
      <w:r>
        <w:rPr>
          <w:b w:val="0"/>
          <w:i w:val="0"/>
          <w:color w:val="1C3A36"/>
          <w:sz w:val="21"/>
        </w:rPr>
        <w:t>The panel median of EGP 9.40 must NOT be read as an independent check on the weighted central. Expert 3 reproduces the primary cash-flow lens exactly, as an identity, so the median of the three is the middle value of a set containing the answer it is supposedly checking — and here the median IS Expert 3, which is to say it is the discounted cash flow with a different label on it. An earlier draft of this study described the panel median as 'a useful check that the main result is not an artefact of the lens weights'. That sentence was wrong and it has been removed rather than softened.</w:t>
      </w:r>
    </w:p>
    <w:p>
      <w:pPr>
        <w:spacing w:after="120" w:before="0"/>
      </w:pPr>
      <w:r>
        <w:rPr>
          <w:b w:val="0"/>
          <w:i w:val="0"/>
          <w:color w:val="1C3A36"/>
          <w:sz w:val="21"/>
        </w:rPr>
        <w:t>What the panel does say is this. The two genuinely independent reads bracket the primary model: Expert 1's earnings-power method comes out ABOVE at EGP 10.98 and Expert 2's equity-side method comes out BELOW at EGP 8.72, a spread of EGP 2.25 — 24% of the weighted central. The cash-flow lens sits between them. Two methods that share no bridge, no terminal formula and no multiple disagreeing by a quarter of the answer is the honest measure of how much precision this company admits, and it is considerably less than any single lens implies on its own.</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produced by Testahil. It carries no rating, no recommendation and no price target.</w:t>
            </w:r>
          </w:p>
          <w:p>
            <w:pPr>
              <w:spacing w:after="100"/>
            </w:pPr>
            <w:r>
              <w:rPr>
                <w:b/>
                <w:color w:val="1C3A36"/>
                <w:sz w:val="19"/>
              </w:rPr>
              <w:t xml:space="preserve">What it is not. </w:t>
            </w:r>
            <w:r>
              <w:rPr>
                <w:color w:val="1C3A36"/>
                <w:sz w:val="19"/>
              </w:rPr>
              <w:t>It is not investment advice, not a solicitation, and not a forecast of the share price. The fair-value range is a statement about the business under the assumptions listed; the probability map is a separate statement about price, and the two are never blended.</w:t>
            </w:r>
          </w:p>
          <w:p>
            <w:pPr>
              <w:spacing w:after="100"/>
            </w:pPr>
            <w:r>
              <w:rPr>
                <w:b/>
                <w:color w:val="1C3A36"/>
                <w:sz w:val="19"/>
              </w:rPr>
              <w:t xml:space="preserve">Sources. </w:t>
            </w:r>
            <w:r>
              <w:rPr>
                <w:color w:val="1C3A36"/>
                <w:sz w:val="19"/>
              </w:rPr>
              <w:t>Every input carries a value, a source and a date, recorded in the accompanying source register issued as a separate document alongside this study.</w:t>
            </w:r>
          </w:p>
          <w:p>
            <w:pPr>
              <w:spacing w:after="100"/>
            </w:pPr>
            <w:r>
              <w:rPr>
                <w:b/>
                <w:color w:val="1C3A36"/>
                <w:sz w:val="19"/>
              </w:rPr>
              <w:t xml:space="preserve">Method. </w:t>
            </w:r>
            <w:r>
              <w:rPr>
                <w:color w:val="1C3A36"/>
                <w:sz w:val="19"/>
              </w:rPr>
              <w:t>All financial arithmetic in this study originates in an executed, asserting compute script; no figure is calculated in the narrative. The companion workbook is formula-driven — 1,114 live formulas against 224 entered numbers, of which the great majority are the input register itself and the two whole-model re-run grids.</w:t>
            </w:r>
          </w:p>
          <w:p>
            <w:pPr>
              <w:spacing w:after="100"/>
            </w:pPr>
            <w:r>
              <w:rPr>
                <w:b/>
                <w:color w:val="1C3A36"/>
                <w:sz w:val="19"/>
              </w:rPr>
              <w:t xml:space="preserve">Verification. </w:t>
            </w:r>
            <w:r>
              <w:rPr>
                <w:color w:val="1C3A36"/>
                <w:sz w:val="19"/>
              </w:rPr>
              <w:t>Both verification gates were run on the delivered workbook rather than on the script that wrote it: 1,114 of 1,114 formula cells reproduce the model's own value, with none unresolvable and none unchecked; and every input was perturbed in place with the whole workbook re-evaluated, confirming each moves the headline in the asserted direction with no dead inputs.</w:t>
            </w:r>
          </w:p>
          <w:p>
            <w:pPr>
              <w:spacing w:after="100"/>
            </w:pPr>
            <w:r>
              <w:rPr>
                <w:b/>
                <w:color w:val="1C3A36"/>
                <w:sz w:val="19"/>
              </w:rPr>
              <w:t xml:space="preserve">Limitations of this edition. </w:t>
            </w:r>
            <w:r>
              <w:rPr>
                <w:color w:val="1C3A36"/>
                <w:sz w:val="19"/>
              </w:rPr>
              <w:t>The company changed its financial year end mid-period, primary filings were not reachable from the build environment, and the historical balance sheets are therefore a reconstruction from four disclosed lines. Section 7 sets out each limitation at the level of detail a reader would need to disagree with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