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09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260</w:t>
            </w:r>
          </w:p>
        </w:tc>
      </w:tr>
      <w:tr>
        <w:tc>
          <w:tcPr>
            <w:tcW w:type="dxa" w:w="6236"/>
          </w:tcPr>
          <w:p>
            <w:r/>
            <w:r>
              <w:rPr>
                <w:color w:val="1A1D21"/>
                <w:sz w:val="18"/>
              </w:rPr>
              <w:t>Bind on a class of company (CLASS)</w:t>
            </w:r>
          </w:p>
        </w:tc>
        <w:tc>
          <w:tcPr>
            <w:tcW w:type="dxa" w:w="2721"/>
          </w:tcPr>
          <w:p>
            <w:r/>
            <w:r>
              <w:rPr>
                <w:color w:val="1A1D21"/>
                <w:sz w:val="18"/>
              </w:rPr>
              <w:t>31</w:t>
            </w:r>
          </w:p>
        </w:tc>
      </w:tr>
      <w:tr>
        <w:tc>
          <w:tcPr>
            <w:tcW w:type="dxa" w:w="6236"/>
          </w:tcPr>
          <w:p>
            <w:r/>
            <w:r>
              <w:rPr>
                <w:color w:val="1A1D21"/>
                <w:sz w:val="18"/>
              </w:rPr>
              <w:t>Bind on a single company (STOCK)</w:t>
            </w:r>
          </w:p>
        </w:tc>
        <w:tc>
          <w:tcPr>
            <w:tcW w:type="dxa" w:w="2721"/>
          </w:tcPr>
          <w:p>
            <w:r/>
            <w:r>
              <w:rPr>
                <w:color w:val="1A1D21"/>
                <w:sz w:val="18"/>
              </w:rPr>
              <w:t>10</w:t>
            </w:r>
          </w:p>
        </w:tc>
      </w:tr>
      <w:tr>
        <w:tc>
          <w:tcPr>
            <w:tcW w:type="dxa" w:w="6236"/>
          </w:tcPr>
          <w:p>
            <w:r/>
            <w:r>
              <w:rPr>
                <w:color w:val="1A1D21"/>
                <w:sz w:val="18"/>
              </w:rPr>
              <w:t>Total</w:t>
            </w:r>
          </w:p>
        </w:tc>
        <w:tc>
          <w:tcPr>
            <w:tcW w:type="dxa" w:w="2721"/>
          </w:tcPr>
          <w:p>
            <w:r/>
            <w:r>
              <w:rPr>
                <w:color w:val="1A1D21"/>
                <w:sz w:val="18"/>
              </w:rPr>
              <w:t>301</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65</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194</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11 (ABUK, AMOC, ARCC, EGCH, ELEC, GBCO, PHAR, PHDC, SCEM, SWDY,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414</w:t>
            </w:r>
          </w:p>
        </w:tc>
      </w:tr>
    </w:tbl>
    <w:p/>
    <w:p>
      <w:pPr>
        <w:spacing w:after="120"/>
      </w:pPr>
      <w:r>
        <w:rPr>
          <w:b/>
          <w:i w:val="0"/>
          <w:color w:val="1A1D21"/>
          <w:sz w:val="21"/>
        </w:rPr>
        <w:t>The price engine is well tested; the fundamental method is not. 20 names carry price-engine evidence, DU (18 forecasts) and GBCO (56) among them. The fundamental method has been through a full training run on ABUK and AMOC and ARCC and EGCH and ELEC and GBCO and PHAR and PHDC and SCEM and SWDY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414 forecasts across 20 names.</w:t>
      </w:r>
    </w:p>
    <w:p>
      <w:pPr>
        <w:spacing w:after="120"/>
      </w:pPr>
      <w:r>
        <w:rPr>
          <w:b w:val="0"/>
          <w:i w:val="0"/>
          <w:color w:val="1A1D21"/>
          <w:sz w:val="21"/>
        </w:rPr>
        <w:t>Not yet acted on (67):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L-356 — The forecasting method could not be tested on ELEC at all; L-357 — An index of filings is not an archive of filings; L-358 — A study's historicals can be unverifiable and still pass every gate; L-359 — Check that a "filed record" was filed before reasoning from it; L-360 — The accounting-policies note usually gives a range, not a life; L-361 — A borrowing rate below the sovereign is the arithmetic failing, not the company borrowing cheaply; L-362 — Operating profit forecasts run about 46% too low for GBCO; L-363 — The finance cost forecast loses to assuming no change; L-364 — The revenue bias changes direction between regimes; L-365 — Dna forecasts run about 1.6 times too high for PHAR; L-366 — Price per pack forecasts run about 42% too low for PHAR; L-367 — Cogs wages forecasts run about 27% too low for SCEM; L-368 — Revenue forecasts run about 1.8 times too low for SCEM; L-369 — The finance expense error is the company, not the currency; L-370 — D11 depreciation forecasts run about 2.5 times too low for SWDY; L-371 — D15 finance costs forecasts run about 2.4 times too low for SWDY; L-372 — D1 cable volume t forecasts run about 28% too high for SWDY; L-373 — D5 contracting revenue forecasts run about 39% too low for SWDY; L-374 — The A gross profit error is the company, not the currency; L-375 — The A cost of revenue bias changes direction between regimes; L-379 — The method under-forecasts nominal revenue wherever a currency steps; L-381 — Test whether the macro path explains an error before assuming it does; L-382 — A driver defined as another driver's denominator is not independent evidence about either.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pPr>
        <w:keepNext/>
        <w:spacing w:before="240" w:after="60"/>
      </w:pPr>
      <w:r>
        <w:rPr>
          <w:b/>
          <w:color w:val="1A1D21"/>
          <w:sz w:val="22"/>
        </w:rPr>
        <w:t>L-355  A probe that guesses what something is called returns a number, not an error — which is why the guess survives.</w:t>
      </w:r>
    </w:p>
    <w:p>
      <w:pPr>
        <w:keepNext/>
        <w:spacing w:after="100"/>
      </w:pPr>
      <w:r>
        <w:rPr>
          <w:b/>
          <w:color w:val="1D6FA3"/>
          <w:sz w:val="16"/>
        </w:rPr>
        <w:t>EVERY STUDY</w:t>
      </w:r>
      <w:r>
        <w:rPr>
          <w:color w:val="5B6570"/>
          <w:sz w:val="16"/>
        </w:rPr>
        <w:t xml:space="preserve">   applies to every study   ·   learned from a found while building, ten first-attempt measurements across one working session, 07-09-2026, every one wrong the same way</w:t>
      </w:r>
    </w:p>
    <w:p>
      <w:pPr>
        <w:spacing w:after="100"/>
      </w:pPr>
      <w:r>
        <w:rPr>
          <w:b w:val="0"/>
          <w:i w:val="0"/>
          <w:color w:val="1A1D21"/>
          <w:sz w:val="21"/>
        </w:rPr>
        <w:t>Reading a record means agreeing with it about names: the key a field is under, the spelling of a label, the way a file is dated, which direction a ratio runs. Where a reader assumes one of those and the record uses another, nothing raises. The reader finds less than is there and prints the smaller figure, and that figure is indistinguishable from a measurement. Read what the record DECLARES about itself before inferring anything from its shape, and where a reader finds nothing, treat that as evidence about the reader first.</w:t>
      </w:r>
    </w:p>
    <w:p>
      <w:pPr>
        <w:spacing w:after="60"/>
        <w:ind w:left="283"/>
      </w:pPr>
      <w:r>
        <w:rPr>
          <w:b w:val="0"/>
          <w:i w:val="0"/>
          <w:color w:val="5B6570"/>
          <w:sz w:val="19"/>
        </w:rPr>
        <w:t>How we know.  Measured on the session's own working: a directory excluded by substring swallowed .github and condemned two files that were on disk; a provenance field read under one of its two spellings reported 58% of 3,862 inputs missing something none of them lacked; an artefact grepped under one of its three names reported two breaches where there is one; a ratchet walked without distinguishing debt from its opposite inflated the programme's headline count 49 against 45; a band read for its key names rather than its own declared basis field reported an acceptance criterion MET that is NOT MET; and a document picker sorting DD-MM-YYYY strings lexicographically read superseded editions. NONE raised. Every one produced a plausible figure, and three of them were reported before being corrected.</w:t>
      </w:r>
    </w:p>
    <w:p>
      <w:pPr>
        <w:spacing w:after="160"/>
        <w:ind w:left="283"/>
      </w:pPr>
      <w:r>
        <w:rPr>
          <w:b w:val="0"/>
          <w:i w:val="0"/>
          <w:color w:val="5B6570"/>
          <w:sz w:val="19"/>
        </w:rPr>
        <w:t>What would overturn it.  A session in which a first-attempt measurement is wrong for some OTHER reason — an arithmetic slip, a wrong population, a bad assumption about the world rather than about a name. The claim is about naming specifically; a different failure mode would say this one is not the dominant hazard it appeared to be.</w:t>
      </w:r>
    </w:p>
    <w:p>
      <w:pPr>
        <w:keepNext/>
        <w:spacing w:before="240" w:after="60"/>
      </w:pPr>
      <w:r>
        <w:rPr>
          <w:b/>
          <w:color w:val="1A1D21"/>
          <w:sz w:val="22"/>
        </w:rPr>
        <w:t>L-357  An index of filings is not an archive of filings.</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company can list its statements on its own website and serve none of them. The list looks like evidence the documents exist and are obtainable; only fetching each one tells you which. Record the outcome per file, not per page.</w:t>
      </w:r>
    </w:p>
    <w:p>
      <w:pPr>
        <w:spacing w:after="60"/>
        <w:ind w:left="283"/>
      </w:pPr>
      <w:r>
        <w:rPr>
          <w:b w:val="0"/>
          <w:i w:val="0"/>
          <w:color w:val="5B6570"/>
          <w:sz w:val="19"/>
        </w:rPr>
        <w:t>How we know.  61 statement files listed; 19 on the live host and 0 of those fetchable; 42 on a host whose DNS does not resolve; the index's last period is 2025-09-30 while the last statement on the basis the study models is FY2020.</w:t>
      </w:r>
    </w:p>
    <w:p>
      <w:pPr>
        <w:spacing w:after="160"/>
        <w:ind w:left="283"/>
      </w:pPr>
      <w:r>
        <w:rPr>
          <w:b w:val="0"/>
          <w:i w:val="0"/>
          <w:color w:val="5B6570"/>
          <w:sz w:val="19"/>
        </w:rPr>
        <w:t>What would overturn it.  An index whose listings are shown to be reliably fetchable, making the per-file probe redundant.</w:t>
      </w:r>
    </w:p>
    <w:p>
      <w:pPr>
        <w:keepNext/>
        <w:spacing w:before="240" w:after="60"/>
      </w:pPr>
      <w:r>
        <w:rPr>
          <w:b/>
          <w:color w:val="1A1D21"/>
          <w:sz w:val="22"/>
        </w:rPr>
        <w:t>L-358  A study's historicals can be unverifiable and still pass every gate.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Where a company stops publishing on the basis a study models, the study's history quietly becomes a vendor's account of it. Every arithmetic check still passes, because the numbers are internally consistent — they are simply nobody's filed numbers. The test is to measure the study's panel against the filings that DO exist and against the wedge between the two bases, rather than to assume the difference is the consolidation.</w:t>
      </w:r>
    </w:p>
    <w:p>
      <w:pPr>
        <w:spacing w:after="60"/>
        <w:ind w:left="283"/>
      </w:pPr>
      <w:r>
        <w:rPr>
          <w:b w:val="0"/>
          <w:i w:val="0"/>
          <w:color w:val="5B6570"/>
          <w:sz w:val="19"/>
        </w:rPr>
        <w:t>How we know.  At the one year existing on both bases the group is 1.73x the parent on revenue and 2.04x on net profit. The study's FY2023 revenue is 1.79x the parent — consistent with a consolidated figure — while its net profit is 3.09x, 1.51 times beyond what the measured wedge delivers.</w:t>
      </w:r>
    </w:p>
    <w:p>
      <w:pPr>
        <w:spacing w:after="160"/>
        <w:ind w:left="283"/>
      </w:pPr>
      <w:r>
        <w:rPr>
          <w:b w:val="0"/>
          <w:i w:val="0"/>
          <w:color w:val="5B6570"/>
          <w:sz w:val="19"/>
        </w:rPr>
        <w:t>What would overturn it.  A study whose vendor panel is later reconciled line by line to filings on the same basis, showing the check adds nothing.</w:t>
      </w:r>
    </w:p>
    <w:p>
      <w:pPr>
        <w:keepNext/>
        <w:spacing w:before="240" w:after="60"/>
      </w:pPr>
      <w:r>
        <w:rPr>
          <w:b/>
          <w:color w:val="1A1D21"/>
          <w:sz w:val="22"/>
        </w:rPr>
        <w:t>L-359  Check that a "filed record" was filed before reasoning from it.</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A review can reach the right conclusion about a study and still take its benchmark from the study's own inputs. Calling a number the company's own record makes it read as external evidence when it is the thing under test, and the argument then runs in a circle nobody can see.</w:t>
      </w:r>
    </w:p>
    <w:p>
      <w:pPr>
        <w:spacing w:after="60"/>
        <w:ind w:left="283"/>
      </w:pPr>
      <w:r>
        <w:rPr>
          <w:b w:val="0"/>
          <w:i w:val="0"/>
          <w:color w:val="5B6570"/>
          <w:sz w:val="19"/>
        </w:rPr>
        <w:t>How we know.  A review described a terminal-margin range of 25.33%-30.68% as the company's own filed record; it is the study's committed hist_is, and two of its three years have no filing at all. The filed range on the basis that can be checked is 1.43%-17.49%, which puts the forecast of 12.30% INSIDE it rather than at half the lowest filed year, and puts the price's reverse read at 1.6 times the highest filed margin.</w:t>
      </w:r>
    </w:p>
    <w:p>
      <w:pPr>
        <w:spacing w:after="160"/>
        <w:ind w:left="283"/>
      </w:pPr>
      <w:r>
        <w:rPr>
          <w:b w:val="0"/>
          <w:i w:val="0"/>
          <w:color w:val="5B6570"/>
          <w:sz w:val="19"/>
        </w:rPr>
        <w:t>What would overturn it.  A house convention that tags every committed historical with whether it came from a filing, making the confusion impossible to make.</w:t>
      </w:r>
    </w:p>
    <w:p>
      <w:pPr>
        <w:keepNext/>
        <w:spacing w:before="240" w:after="60"/>
      </w:pPr>
      <w:r>
        <w:rPr>
          <w:b/>
          <w:color w:val="1A1D21"/>
          <w:sz w:val="22"/>
        </w:rPr>
        <w:t>L-360  The accounting-policies note usually gives a range, not a life.</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[R-TERM-01] needs one disclosed useful life and the policy note rarely supplies one. Reading a span and picking a point inside it is the choice the rule exists to forbid, so the honest output is the derived identity and a band.</w:t>
      </w:r>
    </w:p>
    <w:p>
      <w:pPr>
        <w:spacing w:after="60"/>
        <w:ind w:left="283"/>
      </w:pPr>
      <w:r>
        <w:rPr>
          <w:b w:val="0"/>
          <w:i w:val="0"/>
          <w:color w:val="5B6570"/>
          <w:sz w:val="19"/>
        </w:rPr>
        <w:t>How we know.  Route (1) gave spans only (10-50, 4-25, 5-20, 5-20, 5, 5-10); no dominant class, no weighting. Route (2) — depreciable gross cost over the annual charge — gives 24.13 years on the full base and 17.54 excluding the 27.3% of that base the note itself discloses as fully depreciated and still in use, with a prior-year control at 24.99.</w:t>
      </w:r>
    </w:p>
    <w:p>
      <w:pPr>
        <w:spacing w:after="160"/>
        <w:ind w:left="283"/>
      </w:pPr>
      <w:r>
        <w:rPr>
          <w:b w:val="0"/>
          <w:i w:val="0"/>
          <w:color w:val="5B6570"/>
          <w:sz w:val="19"/>
        </w:rPr>
        <w:t>What would overturn it.  A run of filings that do disclose a scalar or a dominant class, making route (1) the normal case rather than the exception.</w:t>
      </w:r>
    </w:p>
    <w:p>
      <w:pPr>
        <w:keepNext/>
        <w:spacing w:before="240" w:after="60"/>
      </w:pPr>
      <w:r>
        <w:rPr>
          <w:b/>
          <w:color w:val="1A1D21"/>
          <w:sz w:val="22"/>
        </w:rPr>
        <w:t>L-361  A borrowing rate below the sovereign is the arithmetic failing, not the company borrowing cheaply.</w:t>
      </w:r>
    </w:p>
    <w:p>
      <w:pPr>
        <w:keepNext/>
        <w:spacing w:after="100"/>
      </w:pPr>
      <w:r>
        <w:rPr>
          <w:b/>
          <w:color w:val="1D6FA3"/>
          <w:sz w:val="16"/>
        </w:rPr>
        <w:t>EVERY STUDY</w:t>
      </w:r>
      <w:r>
        <w:rPr>
          <w:color w:val="5B6570"/>
          <w:sz w:val="16"/>
        </w:rPr>
        <w:t xml:space="preserve">   applies to every study   ·   learned from a fundamental walk-forward test, ELEC walk-forward, date not recorded</w:t>
      </w:r>
      <w:r>
        <w:rPr>
          <w:b/>
          <w:color w:val="B03A2E"/>
          <w:sz w:val="16"/>
        </w:rPr>
        <w:t xml:space="preserve">   ·   STATUS: PROVISIONAL</w:t>
      </w:r>
    </w:p>
    <w:p>
      <w:pPr>
        <w:spacing w:after="100"/>
      </w:pPr>
      <w:r>
        <w:rPr>
          <w:b w:val="0"/>
          <w:i w:val="0"/>
          <w:color w:val="1A1D21"/>
          <w:sz w:val="21"/>
        </w:rPr>
        <w:t>Dividing the finance charge by a liabilities total that includes trade payables, related-party balances, tax and provisions understates the rate. The useful part is that the error announces itself: a corporate cannot fund below its own government, so a rate under the sovereign is a denominator problem and can be caught without knowing the right answer.</w:t>
      </w:r>
    </w:p>
    <w:p>
      <w:pPr>
        <w:spacing w:after="60"/>
        <w:ind w:left="283"/>
      </w:pPr>
      <w:r>
        <w:rPr>
          <w:b w:val="0"/>
          <w:i w:val="0"/>
          <w:color w:val="5B6570"/>
          <w:sz w:val="19"/>
        </w:rPr>
        <w:t>How we know.  On the borrowings that actually bear interest the rate runs 8.49%, 8.98%, 18.25%; on total liabilities 4.48%, 5.88%, 14.10% — understated by 3.09 to 4.15 points, and below the Egyptian sovereign in 2 of 3 years.</w:t>
      </w:r>
    </w:p>
    <w:p>
      <w:pPr>
        <w:spacing w:after="160"/>
        <w:ind w:left="283"/>
      </w:pPr>
      <w:r>
        <w:rPr>
          <w:b w:val="0"/>
          <w:i w:val="0"/>
          <w:color w:val="5B6570"/>
          <w:sz w:val="19"/>
        </w:rPr>
        <w:t>What would overturn it.  A jurisdiction where a corporate genuinely funds below its sovereign, which would make the check fire on work that is right.</w:t>
      </w:r>
    </w:p>
    <w:p>
      <w:pPr>
        <w:keepNext/>
        <w:spacing w:before="240" w:after="60"/>
      </w:pPr>
      <w:r>
        <w:rPr>
          <w:b/>
          <w:color w:val="1A1D21"/>
          <w:sz w:val="22"/>
        </w:rPr>
        <w:t>L-362  Operating profit forecasts run about 46% too low for GBCO.</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-0.379 log (about 46% too low), average miss 0.436, wrong in the same direction in 89% of cases, and the sign holds across every bootstrap block tested (n=35).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L-364  The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GBCO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post-float 2017-2021 +0.093; devaluation cycle 2022-2025 -0.078.</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L-365  Dna forecasts run about 1.6 times too high for PHAR.</w:t>
      </w:r>
    </w:p>
    <w:p>
      <w:pPr>
        <w:keepNext/>
        <w:spacing w:after="100"/>
      </w:pPr>
      <w:r>
        <w:rPr>
          <w:b/>
          <w:color w:val="1D6FA3"/>
          <w:sz w:val="16"/>
        </w:rPr>
        <w:t>EVERY STUDY</w:t>
      </w:r>
      <w:r>
        <w:rPr>
          <w:color w:val="5B6570"/>
          <w:sz w:val="16"/>
        </w:rPr>
        <w:t xml:space="preserve">   applies to every study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+0.499 log (about 1.6 times too high), average miss 0.499,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L-369  The finance expense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SCEM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0.794 as known, 0.794 with perfect foresight of inflation — the macro share is only 0.0%.</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L-370  D11 depreciation forecasts run about 2.5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-0.931 log (about 2.5 times too low), average miss 0.931, wrong in the same direction in 100% of cases, and the sign holds across every bootstrap block tested (n=30).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L-371  D15 finance costs forecasts run about 2.4 times too low for SWDY.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-0.880 log (about 2.4 times too low), average miss 0.919, wrong in the same direction in 91%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L-374  The A gross profit error is the company, not the currency.</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Re-running every forecast with perfect foresight of inflation barely improves it. So devaluation is not the explanation, and looking for a macro fix would waste the effort.</w:t>
      </w:r>
    </w:p>
    <w:p>
      <w:pPr>
        <w:spacing w:after="60"/>
        <w:ind w:left="283"/>
      </w:pPr>
      <w:r>
        <w:rPr>
          <w:b w:val="0"/>
          <w:i w:val="0"/>
          <w:color w:val="5B6570"/>
          <w:sz w:val="19"/>
        </w:rPr>
        <w:t>How we know.  Average miss 0.556 as known, 0.497 with perfect foresight of inflation — an 11% improvement — while the BIAS moves the other way, macro share -61.7%. CORRECTED 08-09-2026: this clause read '0.563 as known, 0.563 with perfect foresight' beside that same -61.7%, which is self-contradictory on its face and was one number printed twice — that run's harvest view filled both fields from the as-known error, so every draft it produced asserted the strongest possible form of this claim by a copy rather than by a measurement. The finding survives the correction and the evidence for it is weaker than it looked.</w:t>
      </w:r>
    </w:p>
    <w:p>
      <w:pPr>
        <w:spacing w:after="160"/>
        <w:ind w:left="283"/>
      </w:pPr>
      <w:r>
        <w:rPr>
          <w:b w:val="0"/>
          <w:i w:val="0"/>
          <w:color w:val="5B6570"/>
          <w:sz w:val="19"/>
        </w:rPr>
        <w:t>What would overturn it.  A market or period where the same decomposition puts most of the error on the macro path.</w:t>
      </w:r>
    </w:p>
    <w:p>
      <w:pPr>
        <w:keepNext/>
        <w:spacing w:before="240" w:after="60"/>
      </w:pPr>
      <w:r>
        <w:rPr>
          <w:b/>
          <w:color w:val="1A1D21"/>
          <w:sz w:val="22"/>
        </w:rPr>
        <w:t>L-375  The A cost of revenue bias changes direction between regimes.</w:t>
      </w:r>
    </w:p>
    <w:p>
      <w:pPr>
        <w:keepNext/>
        <w:spacing w:after="100"/>
      </w:pPr>
      <w:r>
        <w:rPr>
          <w:b/>
          <w:color w:val="1D6FA3"/>
          <w:sz w:val="16"/>
        </w:rPr>
        <w:t>EVERY STUDY</w:t>
      </w:r>
      <w:r>
        <w:rPr>
          <w:color w:val="5B6570"/>
          <w:sz w:val="16"/>
        </w:rPr>
        <w:t xml:space="preserve">   applies to every study   ·   learned from a fundamental walk-forward test, SWDY walk-forward, date not recorded</w:t>
      </w:r>
      <w:r>
        <w:rPr>
          <w:b/>
          <w:color w:val="B03A2E"/>
          <w:sz w:val="16"/>
        </w:rPr>
        <w:t xml:space="preserve">   ·   STATUS: PROVISIONAL</w:t>
      </w:r>
    </w:p>
    <w:p>
      <w:pPr>
        <w:spacing w:after="100"/>
      </w:pPr>
      <w:r>
        <w:rPr>
          <w:b w:val="0"/>
          <w:i w:val="0"/>
          <w:color w:val="1A1D21"/>
          <w:sz w:val="21"/>
        </w:rPr>
        <w:t>It runs one way in one period and the other way in the next. Averaging them produces a correction that is wrong in both. Record it, do not correct for it.</w:t>
      </w:r>
    </w:p>
    <w:p>
      <w:pPr>
        <w:spacing w:after="60"/>
        <w:ind w:left="283"/>
      </w:pPr>
      <w:r>
        <w:rPr>
          <w:b w:val="0"/>
          <w:i w:val="0"/>
          <w:color w:val="5B6570"/>
          <w:sz w:val="19"/>
        </w:rPr>
        <w:t>How we know.  By era: pre-float +0.026; first float -0.024; second float -0.460.</w:t>
      </w:r>
    </w:p>
    <w:p>
      <w:pPr>
        <w:spacing w:after="160"/>
        <w:ind w:left="283"/>
      </w:pPr>
      <w:r>
        <w:rPr>
          <w:b w:val="0"/>
          <w:i w:val="0"/>
          <w:color w:val="5B6570"/>
          <w:sz w:val="19"/>
        </w:rPr>
        <w:t>What would overturn it.  A longer record in which one sign dominates across all regimes.</w:t>
      </w:r>
    </w:p>
    <w:p>
      <w:pPr>
        <w:keepNext/>
        <w:spacing w:before="240" w:after="60"/>
      </w:pPr>
      <w:r>
        <w:rPr>
          <w:b/>
          <w:color w:val="1A1D21"/>
          <w:sz w:val="22"/>
        </w:rPr>
        <w:t>L-379  The method under-forecasts nominal revenue wherever a currency steps.</w:t>
      </w:r>
    </w:p>
    <w:p>
      <w:pPr>
        <w:keepNext/>
        <w:spacing w:after="100"/>
      </w:pPr>
      <w:r>
        <w:rPr>
          <w:b/>
          <w:color w:val="1D6FA3"/>
          <w:sz w:val="16"/>
        </w:rPr>
        <w:t>EVERY STUDY</w:t>
      </w:r>
      <w:r>
        <w:rPr>
          <w:color w:val="5B6570"/>
          <w:sz w:val="16"/>
        </w:rPr>
        <w:t xml:space="preserve">   applies to every study   ·   learned from a fundamental walk-forward test, ABUK walk-forward, date not recorded</w:t>
      </w:r>
      <w:r>
        <w:rPr>
          <w:b/>
          <w:color w:val="B03A2E"/>
          <w:sz w:val="16"/>
        </w:rPr>
        <w:t xml:space="preserve">   ·   STATUS: PROVISIONAL</w:t>
      </w:r>
    </w:p>
    <w:p>
      <w:pPr>
        <w:spacing w:after="100"/>
      </w:pPr>
      <w:r>
        <w:rPr>
          <w:b w:val="0"/>
          <w:i w:val="0"/>
          <w:color w:val="1A1D21"/>
          <w:sz w:val="21"/>
        </w:rPr>
        <w:t>Every origin holds the exchange rate flat because that is all that is knowable then. In a stepping currency that is a systematic downward lean on every nominal line, and it compounds with the horizon. Read any nominal forecast in such a market as a floor rather than a central until the currency leg is carried explicitly.</w:t>
      </w:r>
    </w:p>
    <w:p>
      <w:pPr>
        <w:spacing w:after="60"/>
        <w:ind w:left="283"/>
      </w:pPr>
      <w:r>
        <w:rPr>
          <w:b w:val="0"/>
          <w:i w:val="0"/>
          <w:color w:val="5B6570"/>
          <w:sz w:val="19"/>
        </w:rPr>
        <w:t>How we know.  Bias -0.469 log (about 60% too low), average miss 0.497, wrong in the same direction in 85% of cases, and the sign holds across every bootstrap block tested (n=20).</w:t>
      </w:r>
    </w:p>
    <w:p>
      <w:pPr>
        <w:spacing w:after="160"/>
        <w:ind w:left="283"/>
      </w:pPr>
      <w:r>
        <w:rPr>
          <w:b w:val="0"/>
          <w:i w:val="0"/>
          <w:color w:val="5B6570"/>
          <w:sz w:val="19"/>
        </w:rPr>
        <w:t>What would overturn it.  A market whose currency did not step showing the same lean — the UAE leg is the test, and the mechanism predicts a macro share near zero there. A peg that shows -0.30 log of revenue bias refutes this.</w:t>
      </w:r>
    </w:p>
    <w:p>
      <w:pPr>
        <w:keepNext/>
        <w:spacing w:before="240" w:after="60"/>
      </w:pPr>
      <w:r>
        <w:rPr>
          <w:b/>
          <w:color w:val="1A1D21"/>
          <w:sz w:val="22"/>
        </w:rPr>
        <w:t>L-381  Test whether the macro path explains an error before assuming it does.</w:t>
      </w:r>
    </w:p>
    <w:p>
      <w:pPr>
        <w:keepNext/>
        <w:spacing w:after="100"/>
      </w:pPr>
      <w:r>
        <w:rPr>
          <w:b/>
          <w:color w:val="1D6FA3"/>
          <w:sz w:val="16"/>
        </w:rPr>
        <w:t>EVERY STUDY</w:t>
      </w:r>
      <w:r>
        <w:rPr>
          <w:color w:val="5B6570"/>
          <w:sz w:val="16"/>
        </w:rPr>
        <w:t xml:space="preserve">   applies to every study   ·   learned from a fundamental walk-forward test, ABUK walk-forward, date not recorded</w:t>
      </w:r>
      <w:r>
        <w:rPr>
          <w:b/>
          <w:color w:val="B03A2E"/>
          <w:sz w:val="16"/>
        </w:rPr>
        <w:t xml:space="preserve">   ·   STATUS: PROVISIONAL</w:t>
      </w:r>
    </w:p>
    <w:p>
      <w:pPr>
        <w:spacing w:after="100"/>
      </w:pPr>
      <w:r>
        <w:rPr>
          <w:b w:val="0"/>
          <w:i w:val="0"/>
          <w:color w:val="1A1D21"/>
          <w:sz w:val="21"/>
        </w:rPr>
        <w:t>Substitute the actual macro path and re-measure. If the error falls, it is macro; if it does not move, it is the company; if it RISES, the macro path is wired into that line the wrong way round and no correction factor will fix it.</w:t>
      </w:r>
    </w:p>
    <w:p>
      <w:pPr>
        <w:spacing w:after="60"/>
        <w:ind w:left="283"/>
      </w:pPr>
      <w:r>
        <w:rPr>
          <w:b w:val="0"/>
          <w:i w:val="0"/>
          <w:color w:val="5B6570"/>
          <w:sz w:val="19"/>
        </w:rPr>
        <w:t>How we know.  Average miss 0.646 as known, 0.585 with perfect foresight of inflation — the macro share is only 9.4%.</w:t>
      </w:r>
    </w:p>
    <w:p>
      <w:pPr>
        <w:spacing w:after="160"/>
        <w:ind w:left="283"/>
      </w:pPr>
      <w:r>
        <w:rPr>
          <w:b w:val="0"/>
          <w:i w:val="0"/>
          <w:color w:val="5B6570"/>
          <w:sz w:val="19"/>
        </w:rPr>
        <w:t>What would overturn it.  A line where substituting the actual macro path never changes the error in either direction, making the test uninformative rather than diagnostic.</w:t>
      </w:r>
    </w:p>
    <w:p>
      <w:pPr>
        <w:keepNext/>
        <w:spacing w:before="240" w:after="60"/>
      </w:pPr>
      <w:r>
        <w:rPr>
          <w:b/>
          <w:color w:val="1A1D21"/>
          <w:sz w:val="22"/>
        </w:rPr>
        <w:t>L-382  A driver defined as another driver's denominator is not independent evidence about either.</w:t>
      </w:r>
    </w:p>
    <w:p>
      <w:pPr>
        <w:keepNext/>
        <w:spacing w:after="100"/>
      </w:pPr>
      <w:r>
        <w:rPr>
          <w:b/>
          <w:color w:val="1D6FA3"/>
          <w:sz w:val="16"/>
        </w:rPr>
        <w:t>EVERY STUDY</w:t>
      </w:r>
      <w:r>
        <w:rPr>
          <w:color w:val="5B6570"/>
          <w:sz w:val="16"/>
        </w:rPr>
        <w:t xml:space="preserve">   applies to every study   ·   learned from a fundamental walk-forward test, ABUK walk-forward, date not recorded</w:t>
      </w:r>
      <w:r>
        <w:rPr>
          <w:b/>
          <w:color w:val="B03A2E"/>
          <w:sz w:val="16"/>
        </w:rPr>
        <w:t xml:space="preserve">   ·   STATUS: PROVISIONAL</w:t>
      </w:r>
    </w:p>
    <w:p>
      <w:pPr>
        <w:spacing w:after="100"/>
      </w:pPr>
      <w:r>
        <w:rPr>
          <w:b w:val="0"/>
          <w:i w:val="0"/>
          <w:color w:val="1A1D21"/>
          <w:sz w:val="21"/>
        </w:rPr>
        <w:t>Check the definitions before scoring two drivers as two findings. If one is computed from the other, their errors will mirror and cancel, and a correction factor applied to either hides the wiring instead of fixing it.</w:t>
      </w:r>
    </w:p>
    <w:p>
      <w:pPr>
        <w:spacing w:after="60"/>
        <w:ind w:left="283"/>
      </w:pPr>
      <w:r>
        <w:rPr>
          <w:b w:val="0"/>
          <w:i w:val="0"/>
          <w:color w:val="5B6570"/>
          <w:sz w:val="19"/>
        </w:rPr>
        <w:t>How we know.  ABUK's volume proxy is defined as revenue divided by the urea price and the exchange rate. Across 20 cells the volume leg and the commodity-price leg correlate at -0.578 with a slope of -1.28 against an exact-cancellation -1.00, and the two legs SUM to -0.0013 log — they cancel to within a tenth of a percent. Two of this run's drafts were two readings of that one defect.</w:t>
      </w:r>
    </w:p>
    <w:p>
      <w:pPr>
        <w:spacing w:after="160"/>
        <w:ind w:left="283"/>
      </w:pPr>
      <w:r>
        <w:rPr>
          <w:b w:val="0"/>
          <w:i w:val="0"/>
          <w:color w:val="5B6570"/>
          <w:sz w:val="19"/>
        </w:rPr>
        <w:t>What would overturn it.  A run where two drivers are definitionally linked and their error legs do NOT cancel — which would mean the linkage is not load-bearing and the two can be scored apart after all.</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keepNext/>
        <w:spacing w:before="240" w:after="60"/>
      </w:pPr>
      <w:r>
        <w:rPr>
          <w:b/>
          <w:color w:val="1A1D21"/>
          <w:sz w:val="22"/>
        </w:rPr>
        <w:t>L-368  Revenue forecasts run about 1.8 times too low for SCEM.</w:t>
      </w:r>
    </w:p>
    <w:p>
      <w:pPr>
        <w:keepNext/>
        <w:spacing w:after="100"/>
      </w:pPr>
      <w:r>
        <w:rPr>
          <w:b/>
          <w:color w:val="7E4A94"/>
          <w:sz w:val="16"/>
        </w:rPr>
        <w:t>A CLASS OF COMPANY</w:t>
      </w:r>
      <w:r>
        <w:rPr>
          <w:color w:val="5B6570"/>
          <w:sz w:val="16"/>
        </w:rPr>
        <w:t xml:space="preserve">   applies to every cement and heavy industrial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-0.561 log (about 1.8 times too low), average miss 0.561,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keepNext/>
        <w:spacing w:before="240" w:after="60"/>
      </w:pPr>
      <w:r>
        <w:rPr>
          <w:b/>
          <w:color w:val="1A1D21"/>
          <w:sz w:val="22"/>
        </w:rPr>
        <w:t>L-366  Price per pack forecasts run about 42% too low for PHAR.</w:t>
      </w:r>
    </w:p>
    <w:p>
      <w:pPr>
        <w:keepNext/>
        <w:spacing w:after="100"/>
      </w:pPr>
      <w:r>
        <w:rPr>
          <w:b/>
          <w:color w:val="7E4A94"/>
          <w:sz w:val="16"/>
        </w:rPr>
        <w:t>A CLASS OF COMPANY</w:t>
      </w:r>
      <w:r>
        <w:rPr>
          <w:color w:val="5B6570"/>
          <w:sz w:val="16"/>
        </w:rPr>
        <w:t xml:space="preserve">   applies to every pharmaceutical manufacturer, generic and branded   ·   learned from a fundamental walk-forward test, PHAR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-0.352 log (about 42% too low), average miss 0.375, wrong in the same direction in 89%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pPr>
        <w:keepNext/>
        <w:spacing w:before="240" w:after="60"/>
      </w:pPr>
      <w:r>
        <w:rPr>
          <w:b/>
          <w:color w:val="1A1D21"/>
          <w:sz w:val="22"/>
        </w:rPr>
        <w:t>L-372  D1 cable volume t forecasts run about 28% too high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+0.250 log (about 28% too high), average miss 0.256, wrong in the same direction in 95% of cases, and the sign holds across every bootstrap block tested (n=20).</w:t>
      </w:r>
    </w:p>
    <w:p>
      <w:pPr>
        <w:spacing w:after="160"/>
        <w:ind w:left="283"/>
      </w:pPr>
      <w:r>
        <w:rPr>
          <w:b w:val="0"/>
          <w:i w:val="0"/>
          <w:color w:val="5B6570"/>
          <w:sz w:val="19"/>
        </w:rPr>
        <w:t>What would overturn it.  A later run of the same name where the sign no longer holds across bootstrap blocks.</w:t>
      </w:r>
    </w:p>
    <w:p>
      <w:pPr>
        <w:keepNext/>
        <w:spacing w:before="240" w:after="60"/>
      </w:pPr>
      <w:r>
        <w:rPr>
          <w:b/>
          <w:color w:val="1A1D21"/>
          <w:sz w:val="22"/>
        </w:rPr>
        <w:t>L-373  D5 contracting revenue forecasts run about 39% too low for SWDY.</w:t>
      </w:r>
    </w:p>
    <w:p>
      <w:pPr>
        <w:keepNext/>
        <w:spacing w:after="100"/>
      </w:pPr>
      <w:r>
        <w:rPr>
          <w:b/>
          <w:color w:val="7E4A94"/>
          <w:sz w:val="16"/>
        </w:rPr>
        <w:t>A CLASS OF COMPANY</w:t>
      </w:r>
      <w:r>
        <w:rPr>
          <w:color w:val="5B6570"/>
          <w:sz w:val="16"/>
        </w:rPr>
        <w:t xml:space="preserve">   applies to every diversified industrial with a contracting arm   ·   learned from a fundamental walk-forward test, SWDY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-0.326 log (about 39% too low), average miss 0.390, wrong in the same direction in 76% of cases, and the sign holds across every bootstrap block tested (n=45).</w:t>
      </w:r>
    </w:p>
    <w:p>
      <w:pPr>
        <w:spacing w:after="160"/>
        <w:ind w:left="283"/>
      </w:pPr>
      <w:r>
        <w:rPr>
          <w:b w:val="0"/>
          <w:i w:val="0"/>
          <w:color w:val="5B6570"/>
          <w:sz w:val="19"/>
        </w:rPr>
        <w:t>What would overturn it.  A later run of the same name where the sign no longer holds across bootstrap blocks.</w:t>
      </w:r>
    </w:p>
    <w:p>
      <w:pPr>
        <w:pStyle w:val="Heading2"/>
      </w:pPr>
      <w:r>
        <w:t>Automotive assembler and distributor with a captive lender</w:t>
      </w:r>
    </w:p>
    <w:p>
      <w:pPr>
        <w:keepNext/>
        <w:spacing w:before="240" w:after="60"/>
      </w:pPr>
      <w:r>
        <w:rPr>
          <w:b/>
          <w:color w:val="1A1D21"/>
          <w:sz w:val="22"/>
        </w:rPr>
        <w:t>L-376  A captive lender's own equity is not a valuation base until what that equity holds has been taken out of it.</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financing arm inside an operating group usually holds the group's investments as well as its loan book, so its reported equity funds two different things. Value the leg on that whole figure and you have paid for the investments twice — once inside the lender and once when the sum of the parts adds them back at their own mark. Take the investments out of the equity first, and take their income out of the return you measure on it.</w:t>
      </w:r>
    </w:p>
    <w:p>
      <w:pPr>
        <w:spacing w:after="60"/>
        <w:ind w:left="283"/>
      </w:pPr>
      <w:r>
        <w:rPr>
          <w:b w:val="0"/>
          <w:i w:val="0"/>
          <w:color w:val="5B6570"/>
          <w:sz w:val="19"/>
        </w:rPr>
        <w:t>How we know.  GB Capital's segment shareholders' equity before non- controlling interests was EGP 22,497.8mn at 30 June 2026 and the associates carried inside it were EGP 16,230.5mn, so the equity actually funding the lending business was 6,267.3mn — 28% of the reported figure. The company's own adjusted return on average equity implies a base near 9,046mn whose NUMERATOR carries EGP 986.4mn of associate income, and the delivered study used a typed 9,500 taken from that basis.</w:t>
      </w:r>
    </w:p>
    <w:p>
      <w:pPr>
        <w:spacing w:after="160"/>
        <w:ind w:left="283"/>
      </w:pPr>
      <w:r>
        <w:rPr>
          <w:b w:val="0"/>
          <w:i w:val="0"/>
          <w:color w:val="5B6570"/>
          <w:sz w:val="19"/>
        </w:rPr>
        <w:t>What would overturn it.  A group of this class whose financing segment carries no investments inside its own equity, so the identity returns the same base the company's own return measure implies and there is nothing to remove.</w:t>
      </w:r>
    </w:p>
    <w:p>
      <w:pPr>
        <w:keepNext/>
        <w:spacing w:before="240" w:after="60"/>
      </w:pPr>
      <w:r>
        <w:rPr>
          <w:b/>
          <w:color w:val="1A1D21"/>
          <w:sz w:val="22"/>
        </w:rPr>
        <w:t>L-377  Group earnings in this class cannot be normalised, because the associate marks move them more than the operating business does.</w:t>
      </w:r>
    </w:p>
    <w:p>
      <w:pPr>
        <w:keepNext/>
        <w:spacing w:after="100"/>
      </w:pPr>
      <w:r>
        <w:rPr>
          <w:b/>
          <w:color w:val="7E4A94"/>
          <w:sz w:val="16"/>
        </w:rPr>
        <w:t>A CLASS OF COMPANY</w:t>
      </w:r>
      <w:r>
        <w:rPr>
          <w:color w:val="5B6570"/>
          <w:sz w:val="16"/>
        </w:rPr>
        <w:t xml:space="preserve">   applies to every automotive assembler and distributor with a captive lender   ·   learned from a found while building, GBCO walk-forward, date not recorded</w:t>
      </w:r>
    </w:p>
    <w:p>
      <w:pPr>
        <w:spacing w:after="100"/>
      </w:pPr>
      <w:r>
        <w:rPr>
          <w:b w:val="0"/>
          <w:i w:val="0"/>
          <w:color w:val="1A1D21"/>
          <w:sz w:val="21"/>
        </w:rPr>
        <w:t>A normalised-earnings lens asks what the company earns in an ordinary year. Where a large minority holding is equity- accounted, the reported line swings on that holding's results and on revaluations, so an average of it is an average of something the operating business does not control. Publish the operating legs and the holding separately instead.</w:t>
      </w:r>
    </w:p>
    <w:p>
      <w:pPr>
        <w:spacing w:after="60"/>
        <w:ind w:left="283"/>
      </w:pPr>
      <w:r>
        <w:rPr>
          <w:b w:val="0"/>
          <w:i w:val="0"/>
          <w:color w:val="5B6570"/>
          <w:sz w:val="19"/>
        </w:rPr>
        <w:t>How we know.  Investment gains from associates ran EGP 451.6mn, 294.6mn and 131.6mn across three consecutive quarters to 2Q26 while GB Capital's own operating profit over the same quarters ran 156.5mn, 187.0mn and 387.4mn — the associate line was larger than the operating line in two of the three and moved in the opposite direction. The delivered study gave a normalised lens a quarter of its weight on six typed figures.</w:t>
      </w:r>
    </w:p>
    <w:p>
      <w:pPr>
        <w:spacing w:after="160"/>
        <w:ind w:left="283"/>
      </w:pPr>
      <w:r>
        <w:rPr>
          <w:b w:val="0"/>
          <w:i w:val="0"/>
          <w:color w:val="5B6570"/>
          <w:sz w:val="19"/>
        </w:rPr>
        <w:t>What would overturn it.  A company of this class whose equity-accounted holdings are small enough that the reported earnings track the operating legs, which would make a normalised read of the group meaningful again.</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ELEC</w:t>
      </w:r>
    </w:p>
    <w:p>
      <w:pPr>
        <w:keepNext/>
        <w:spacing w:before="240" w:after="60"/>
      </w:pPr>
      <w:r>
        <w:rPr>
          <w:b/>
          <w:color w:val="1A1D21"/>
          <w:sz w:val="22"/>
        </w:rPr>
        <w:t>L-356  The forecasting method could not be tested on ELEC at all.</w:t>
      </w:r>
    </w:p>
    <w:p>
      <w:pPr>
        <w:keepNext/>
        <w:spacing w:after="100"/>
      </w:pPr>
      <w:r>
        <w:rPr>
          <w:b/>
          <w:color w:val="B03A2E"/>
          <w:sz w:val="16"/>
        </w:rPr>
        <w:t>ONE COMPANY ONLY</w:t>
      </w:r>
      <w:r>
        <w:rPr>
          <w:color w:val="5B6570"/>
          <w:sz w:val="16"/>
        </w:rPr>
        <w:t xml:space="preserve">   applies to ELEC only   ·   learned from a fundamental walk-forward test, ELEC walk-forward, date not recorded</w:t>
      </w:r>
      <w:r>
        <w:rPr>
          <w:b/>
          <w:color w:val="B03A2E"/>
          <w:sz w:val="16"/>
        </w:rPr>
        <w:t xml:space="preserve">   ·   STATUS: PROVISIONAL</w:t>
      </w:r>
    </w:p>
    <w:p>
      <w:pPr>
        <w:spacing w:after="100"/>
      </w:pPr>
      <w:r>
        <w:rPr>
          <w:b w:val="0"/>
          <w:i w:val="0"/>
          <w:color w:val="1A1D21"/>
          <w:sz w:val="21"/>
        </w:rPr>
        <w:t>A walk-forward needs an origin to project from and a later actual to score against. Where the archive is too short there is no test to run, and saying so is the result — not a gap to be filled by stretching the window.</w:t>
      </w:r>
    </w:p>
    <w:p>
      <w:pPr>
        <w:spacing w:after="60"/>
        <w:ind w:left="283"/>
      </w:pPr>
      <w:r>
        <w:rPr>
          <w:b w:val="0"/>
          <w:i w:val="0"/>
          <w:color w:val="5B6570"/>
          <w:sz w:val="19"/>
        </w:rPr>
        <w:t>How we know.  4 sourceable fiscal years on the best available basis against a bar of 5, and 0 scoreable origins: the last sourceable actual is FY2023, so the last possible origin is FY2022 at h=1, and FY2022 needs five years of history to it (FY2018-FY2022) which do not exist on any basis in hand.</w:t>
      </w:r>
    </w:p>
    <w:p>
      <w:pPr>
        <w:spacing w:after="160"/>
        <w:ind w:left="283"/>
      </w:pPr>
      <w:r>
        <w:rPr>
          <w:b w:val="0"/>
          <w:i w:val="0"/>
          <w:color w:val="5B6570"/>
          <w:sz w:val="19"/>
        </w:rPr>
        <w:t>What would overturn it.  A filing archive that becomes reachable, or filings supplied directly, taking the sourceable span to five years or more on one basis.</w:t>
      </w:r>
    </w:p>
    <w:p>
      <w:pPr>
        <w:pStyle w:val="Heading2"/>
      </w:pPr>
      <w:r>
        <w:t>GBCO</w:t>
      </w:r>
    </w:p>
    <w:p>
      <w:pPr>
        <w:keepNext/>
        <w:spacing w:before="240" w:after="60"/>
      </w:pPr>
      <w:r>
        <w:rPr>
          <w:b/>
          <w:color w:val="1A1D21"/>
          <w:sz w:val="22"/>
        </w:rPr>
        <w:t>L-363  The finance cost forecast loses to assuming no change.</w:t>
      </w:r>
    </w:p>
    <w:p>
      <w:pPr>
        <w:keepNext/>
        <w:spacing w:after="100"/>
      </w:pPr>
      <w:r>
        <w:rPr>
          <w:b/>
          <w:color w:val="B03A2E"/>
          <w:sz w:val="16"/>
        </w:rPr>
        <w:t>ONE COMPANY ONLY</w:t>
      </w:r>
      <w:r>
        <w:rPr>
          <w:color w:val="5B6570"/>
          <w:sz w:val="16"/>
        </w:rPr>
        <w:t xml:space="preserve">   applies to GBCO only   ·   learned from a fundamental walk-forward test, GBCO walk-forward, date not recorded</w:t>
      </w:r>
      <w:r>
        <w:rPr>
          <w:b/>
          <w:color w:val="B03A2E"/>
          <w:sz w:val="16"/>
        </w:rPr>
        <w:t xml:space="preserve">   ·   STATUS: PROVISIONAL</w:t>
      </w:r>
    </w:p>
    <w:p>
      <w:pPr>
        <w:spacing w:after="100"/>
      </w:pPr>
      <w:r>
        <w:rPr>
          <w:b w:val="0"/>
          <w:i w:val="0"/>
          <w:color w:val="1A1D21"/>
          <w:sz w:val="21"/>
        </w:rPr>
        <w:t>At 5 of 5 horizons, simply carrying last year's number forward beat the model. A method that cannot beat 'no change' has not earned the precision it displays, and should be published as a range or not at all.</w:t>
      </w:r>
    </w:p>
    <w:p>
      <w:pPr>
        <w:spacing w:after="60"/>
        <w:ind w:left="283"/>
      </w:pPr>
      <w:r>
        <w:rPr>
          <w:b w:val="0"/>
          <w:i w:val="0"/>
          <w:color w:val="5B6570"/>
          <w:sz w:val="19"/>
        </w:rPr>
        <w:t>How we know.  Negative skill against the freeze benchmark at horizons h1, h2, h3, h4, h5, worst -0.485.</w:t>
      </w:r>
    </w:p>
    <w:p>
      <w:pPr>
        <w:spacing w:after="160"/>
        <w:ind w:left="283"/>
      </w:pPr>
      <w:r>
        <w:rPr>
          <w:b w:val="0"/>
          <w:i w:val="0"/>
          <w:color w:val="5B6570"/>
          <w:sz w:val="19"/>
        </w:rPr>
        <w:t>What would overturn it.  A later run where the model beats the freeze benchmark at a majority of horizons.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pPr>
        <w:pStyle w:val="Heading2"/>
      </w:pPr>
      <w:r>
        <w:t>SCEM</w:t>
      </w:r>
    </w:p>
    <w:p>
      <w:pPr>
        <w:keepNext/>
        <w:spacing w:before="240" w:after="60"/>
      </w:pPr>
      <w:r>
        <w:rPr>
          <w:b/>
          <w:color w:val="1A1D21"/>
          <w:sz w:val="22"/>
        </w:rPr>
        <w:t>L-367  Cogs wages forecasts run about 27% too low for SCEM.</w:t>
      </w:r>
    </w:p>
    <w:p>
      <w:pPr>
        <w:keepNext/>
        <w:spacing w:after="100"/>
      </w:pPr>
      <w:r>
        <w:rPr>
          <w:b/>
          <w:color w:val="B03A2E"/>
          <w:sz w:val="16"/>
        </w:rPr>
        <w:t>ONE COMPANY ONLY</w:t>
      </w:r>
      <w:r>
        <w:rPr>
          <w:color w:val="5B6570"/>
          <w:sz w:val="16"/>
        </w:rPr>
        <w:t xml:space="preserve">   applies to SCEM only   ·   learned from a fundamental walk-forward test, SCEM walk-forward, date not recorded</w:t>
      </w:r>
      <w:r>
        <w:rPr>
          <w:b/>
          <w:color w:val="B03A2E"/>
          <w:sz w:val="16"/>
        </w:rPr>
        <w:t xml:space="preserve">   ·   STATUS: PROVISIONAL</w:t>
      </w:r>
    </w:p>
    <w:p>
      <w:pPr>
        <w:spacing w:after="100"/>
      </w:pPr>
      <w:r>
        <w:rPr>
          <w:b w:val="0"/>
          <w:i w:val="0"/>
          <w:color w:val="1A1D21"/>
          <w:sz w:val="21"/>
        </w:rPr>
        <w:t>The method misses this driver in the same direction almost every time, not at random. That is a fixable defect rather than noise — find what is wired wrong before adding any correction factor.</w:t>
      </w:r>
    </w:p>
    <w:p>
      <w:pPr>
        <w:spacing w:after="60"/>
        <w:ind w:left="283"/>
      </w:pPr>
      <w:r>
        <w:rPr>
          <w:b w:val="0"/>
          <w:i w:val="0"/>
          <w:color w:val="5B6570"/>
          <w:sz w:val="19"/>
        </w:rPr>
        <w:t>How we know.  Bias -0.241 log (about 27% too low), average miss 0.241, wrong in the same direction in 100% of cases, and the sign holds across every bootstrap block tested (n=9).</w:t>
      </w:r>
    </w:p>
    <w:p>
      <w:pPr>
        <w:spacing w:after="160"/>
        <w:ind w:left="283"/>
      </w:pPr>
      <w:r>
        <w:rPr>
          <w:b w:val="0"/>
          <w:i w:val="0"/>
          <w:color w:val="5B6570"/>
          <w:sz w:val="19"/>
        </w:rPr>
        <w:t>What would overturn it.  A later run of the same name where the sign no longer holds across bootstrap blocks.</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