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5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Supplied price series</w:t>
            </w:r>
          </w:p>
        </w:tc>
        <w:tc>
          <w:tcPr>
            <w:tcW w:type="dxa" w:w="1368"/>
          </w:tcPr>
          <w:p>
            <w:pPr>
              <w:spacing w:after="20"/>
            </w:pPr>
            <w:r>
              <w:rPr>
                <w:color w:val="1C3A36"/>
                <w:sz w:val="16"/>
              </w:rPr>
              <w:t>to 5 August 2026</w:t>
            </w:r>
          </w:p>
        </w:tc>
        <w:tc>
          <w:tcPr>
            <w:tcW w:type="dxa" w:w="4680"/>
          </w:tcPr>
          <w:p>
            <w:pPr>
              <w:spacing w:after="20"/>
            </w:pPr>
            <w:r>
              <w:rPr>
                <w:color w:val="1C3A36"/>
                <w:sz w:val="16"/>
              </w:rPr>
              <w:t>The anchor price, the volatility estimate, the moving-average structure, the beta regression and the price distributions</w:t>
            </w:r>
          </w:p>
        </w:tc>
      </w:tr>
      <w:tr>
        <w:tc>
          <w:tcPr>
            <w:tcW w:type="dxa" w:w="2232"/>
          </w:tcPr>
          <w:p>
            <w:pPr>
              <w:spacing w:after="20"/>
            </w:pPr>
            <w:r>
              <w:rPr>
                <w:color w:val="1C3A36"/>
                <w:sz w:val="16"/>
              </w:rPr>
              <w:t>Daily price history for the covered Egyptian equity library</w:t>
            </w:r>
          </w:p>
        </w:tc>
        <w:tc>
          <w:tcPr>
            <w:tcW w:type="dxa" w:w="1800"/>
          </w:tcPr>
          <w:p>
            <w:pPr>
              <w:spacing w:after="20"/>
            </w:pPr>
            <w:r>
              <w:rPr>
                <w:color w:val="1C3A36"/>
                <w:sz w:val="16"/>
              </w:rPr>
              <w:t>House data library</w:t>
            </w:r>
          </w:p>
        </w:tc>
        <w:tc>
          <w:tcPr>
            <w:tcW w:type="dxa" w:w="1368"/>
          </w:tcPr>
          <w:p>
            <w:pPr>
              <w:spacing w:after="20"/>
            </w:pPr>
            <w:r>
              <w:rPr>
                <w:color w:val="1C3A36"/>
                <w:sz w:val="16"/>
              </w:rPr>
              <w:t>to August 2026</w:t>
            </w:r>
          </w:p>
        </w:tc>
        <w:tc>
          <w:tcPr>
            <w:tcW w:type="dxa" w:w="4680"/>
          </w:tcPr>
          <w:p>
            <w:pPr>
              <w:spacing w:after="20"/>
            </w:pPr>
            <w:r>
              <w:rPr>
                <w:color w:val="1C3A36"/>
                <w:sz w:val="16"/>
              </w:rPr>
              <w:t>The 31-name equal-weight composite used as the market proxy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130.0</w:t>
            </w:r>
          </w:p>
        </w:tc>
        <w:tc>
          <w:tcPr>
            <w:tcW w:type="dxa" w:w="1037"/>
          </w:tcPr>
          <w:p>
            <w:pPr>
              <w:spacing w:after="20"/>
            </w:pPr>
            <w:r>
              <w:rPr>
                <w:color w:val="1C3A36"/>
                <w:sz w:val="15"/>
              </w:rPr>
              <w:t>2026-09-03</w:t>
            </w:r>
          </w:p>
        </w:tc>
        <w:tc>
          <w:tcPr>
            <w:tcW w:type="dxa" w:w="6019"/>
          </w:tcPr>
          <w:p>
            <w:pPr>
              <w:spacing w:after="20"/>
            </w:pPr>
            <w:r>
              <w:rPr>
                <w:color w:val="1C3A36"/>
                <w:sz w:val="15"/>
              </w:rPr>
              <w:t>Closing price supplied by the principal for 3 September 2026. RE-STRUCK: the study was struck at EGP 105.20 of 5 August 2026 and a fair value delivered against a month-old quote is a comparison a reader cannot use. The supplied file records that the figure first arrived as 90.50 and was CORRECTED to 130.00 on 6 September 2026 after it disagreed with this name's own price library on all 35 overlapping sessions after 14 June 2026, including the 5 August close of 105.20 this study was originally struck at. A fair value delivered against a month-old quote is a comparison a reader cannot use</w:t>
            </w:r>
          </w:p>
        </w:tc>
      </w:tr>
    </w:tbl>
    <w:p>
      <w:pPr>
        <w:spacing w:after="40"/>
      </w:pPr>
    </w:p>
    <w:p>
      <w:pPr>
        <w:spacing w:after="60" w:before="160"/>
      </w:pPr>
      <w:r>
        <w:rPr>
          <w:b/>
          <w:i w:val="0"/>
          <w:color w:val="1C3A36"/>
          <w:sz w:val="22"/>
        </w:rPr>
        <w:t>Company layer — 143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037"/>
          </w:tcPr>
          <w:p>
            <w:pPr>
              <w:spacing w:after="20"/>
            </w:pPr>
            <w:r>
              <w:rPr>
                <w:color w:val="1C3A36"/>
                <w:sz w:val="15"/>
              </w:rPr>
              <w:t>2026-05-13</w:t>
            </w:r>
          </w:p>
        </w:tc>
        <w:tc>
          <w:tcPr>
            <w:tcW w:type="dxa" w:w="6019"/>
          </w:tcPr>
          <w:p>
            <w:pPr>
              <w:spacing w:after="20"/>
            </w:pPr>
            <w:r>
              <w:rPr>
                <w:color w:val="1C3A36"/>
                <w:sz w:val="15"/>
              </w:rPr>
              <w:t>Issued and paid-up capital note (29), audited FY2025 consolidated financial statements and the Q1-2026 condensed interim statements: 2,140,777,876 shares of EGP 1 par value, unchanged across both filings</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037"/>
          </w:tcPr>
          <w:p>
            <w:pPr>
              <w:spacing w:after="20"/>
            </w:pPr>
            <w:r>
              <w:rPr>
                <w:color w:val="1C3A36"/>
                <w:sz w:val="15"/>
              </w:rPr>
              <w:t>2024-03-13</w:t>
            </w:r>
          </w:p>
        </w:tc>
        <w:tc>
          <w:tcPr>
            <w:tcW w:type="dxa" w:w="6019"/>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037"/>
          </w:tcPr>
          <w:p>
            <w:pPr>
              <w:spacing w:after="20"/>
            </w:pPr>
            <w:r>
              <w:rPr>
                <w:color w:val="1C3A36"/>
                <w:sz w:val="15"/>
              </w:rPr>
              <w:t>2025-03-13</w:t>
            </w:r>
          </w:p>
        </w:tc>
        <w:tc>
          <w:tcPr>
            <w:tcW w:type="dxa" w:w="6019"/>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037"/>
          </w:tcPr>
          <w:p>
            <w:pPr>
              <w:spacing w:after="20"/>
            </w:pPr>
            <w:r>
              <w:rPr>
                <w:color w:val="1C3A36"/>
                <w:sz w:val="15"/>
              </w:rPr>
              <w:t>2026-03-15</w:t>
            </w:r>
          </w:p>
        </w:tc>
        <w:tc>
          <w:tcPr>
            <w:tcW w:type="dxa" w:w="6019"/>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037"/>
          </w:tcPr>
          <w:p>
            <w:pPr>
              <w:spacing w:after="20"/>
            </w:pPr>
            <w:r>
              <w:rPr>
                <w:color w:val="1C3A36"/>
                <w:sz w:val="15"/>
              </w:rPr>
              <w:t>2024-03-13</w:t>
            </w:r>
          </w:p>
        </w:tc>
        <w:tc>
          <w:tcPr>
            <w:tcW w:type="dxa" w:w="6019"/>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037"/>
          </w:tcPr>
          <w:p>
            <w:pPr>
              <w:spacing w:after="20"/>
            </w:pPr>
            <w:r>
              <w:rPr>
                <w:color w:val="1C3A36"/>
                <w:sz w:val="15"/>
              </w:rPr>
              <w:t>2025-03-13</w:t>
            </w:r>
          </w:p>
        </w:tc>
        <w:tc>
          <w:tcPr>
            <w:tcW w:type="dxa" w:w="6019"/>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037"/>
          </w:tcPr>
          <w:p>
            <w:pPr>
              <w:spacing w:after="20"/>
            </w:pPr>
            <w:r>
              <w:rPr>
                <w:color w:val="1C3A36"/>
                <w:sz w:val="15"/>
              </w:rPr>
              <w:t>2026-03-15</w:t>
            </w:r>
          </w:p>
        </w:tc>
        <w:tc>
          <w:tcPr>
            <w:tcW w:type="dxa" w:w="6019"/>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037"/>
          </w:tcPr>
          <w:p>
            <w:pPr>
              <w:spacing w:after="20"/>
            </w:pPr>
            <w:r>
              <w:rPr>
                <w:color w:val="1C3A36"/>
                <w:sz w:val="15"/>
              </w:rPr>
              <w:t>2024-03-13</w:t>
            </w:r>
          </w:p>
        </w:tc>
        <w:tc>
          <w:tcPr>
            <w:tcW w:type="dxa" w:w="6019"/>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037"/>
          </w:tcPr>
          <w:p>
            <w:pPr>
              <w:spacing w:after="20"/>
            </w:pPr>
            <w:r>
              <w:rPr>
                <w:color w:val="1C3A36"/>
                <w:sz w:val="15"/>
              </w:rPr>
              <w:t>2025-03-13</w:t>
            </w:r>
          </w:p>
        </w:tc>
        <w:tc>
          <w:tcPr>
            <w:tcW w:type="dxa" w:w="6019"/>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037"/>
          </w:tcPr>
          <w:p>
            <w:pPr>
              <w:spacing w:after="20"/>
            </w:pPr>
            <w:r>
              <w:rPr>
                <w:color w:val="1C3A36"/>
                <w:sz w:val="15"/>
              </w:rPr>
              <w:t>2026-03-15</w:t>
            </w:r>
          </w:p>
        </w:tc>
        <w:tc>
          <w:tcPr>
            <w:tcW w:type="dxa" w:w="6019"/>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037"/>
          </w:tcPr>
          <w:p>
            <w:pPr>
              <w:spacing w:after="20"/>
            </w:pPr>
            <w:r>
              <w:rPr>
                <w:color w:val="1C3A36"/>
                <w:sz w:val="15"/>
              </w:rPr>
              <w:t>2024-03-13</w:t>
            </w:r>
          </w:p>
        </w:tc>
        <w:tc>
          <w:tcPr>
            <w:tcW w:type="dxa" w:w="6019"/>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037"/>
          </w:tcPr>
          <w:p>
            <w:pPr>
              <w:spacing w:after="20"/>
            </w:pPr>
            <w:r>
              <w:rPr>
                <w:color w:val="1C3A36"/>
                <w:sz w:val="15"/>
              </w:rPr>
              <w:t>2025-03-13</w:t>
            </w:r>
          </w:p>
        </w:tc>
        <w:tc>
          <w:tcPr>
            <w:tcW w:type="dxa" w:w="6019"/>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037"/>
          </w:tcPr>
          <w:p>
            <w:pPr>
              <w:spacing w:after="20"/>
            </w:pPr>
            <w:r>
              <w:rPr>
                <w:color w:val="1C3A36"/>
                <w:sz w:val="15"/>
              </w:rPr>
              <w:t>2026-03-15</w:t>
            </w:r>
          </w:p>
        </w:tc>
        <w:tc>
          <w:tcPr>
            <w:tcW w:type="dxa" w:w="6019"/>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037"/>
          </w:tcPr>
          <w:p>
            <w:pPr>
              <w:spacing w:after="20"/>
            </w:pPr>
            <w:r>
              <w:rPr>
                <w:color w:val="1C3A36"/>
                <w:sz w:val="15"/>
              </w:rPr>
              <w:t>2024-03-13</w:t>
            </w:r>
          </w:p>
        </w:tc>
        <w:tc>
          <w:tcPr>
            <w:tcW w:type="dxa" w:w="6019"/>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037"/>
          </w:tcPr>
          <w:p>
            <w:pPr>
              <w:spacing w:after="20"/>
            </w:pPr>
            <w:r>
              <w:rPr>
                <w:color w:val="1C3A36"/>
                <w:sz w:val="15"/>
              </w:rPr>
              <w:t>2025-03-13</w:t>
            </w:r>
          </w:p>
        </w:tc>
        <w:tc>
          <w:tcPr>
            <w:tcW w:type="dxa" w:w="6019"/>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037"/>
          </w:tcPr>
          <w:p>
            <w:pPr>
              <w:spacing w:after="20"/>
            </w:pPr>
            <w:r>
              <w:rPr>
                <w:color w:val="1C3A36"/>
                <w:sz w:val="15"/>
              </w:rPr>
              <w:t>2026-03-15</w:t>
            </w:r>
          </w:p>
        </w:tc>
        <w:tc>
          <w:tcPr>
            <w:tcW w:type="dxa" w:w="6019"/>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037"/>
          </w:tcPr>
          <w:p>
            <w:pPr>
              <w:spacing w:after="20"/>
            </w:pPr>
            <w:r>
              <w:rPr>
                <w:color w:val="1C3A36"/>
                <w:sz w:val="15"/>
              </w:rPr>
              <w:t>2024-03-13</w:t>
            </w:r>
          </w:p>
        </w:tc>
        <w:tc>
          <w:tcPr>
            <w:tcW w:type="dxa" w:w="6019"/>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037"/>
          </w:tcPr>
          <w:p>
            <w:pPr>
              <w:spacing w:after="20"/>
            </w:pPr>
            <w:r>
              <w:rPr>
                <w:color w:val="1C3A36"/>
                <w:sz w:val="15"/>
              </w:rPr>
              <w:t>2025-03-13</w:t>
            </w:r>
          </w:p>
        </w:tc>
        <w:tc>
          <w:tcPr>
            <w:tcW w:type="dxa" w:w="6019"/>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037"/>
          </w:tcPr>
          <w:p>
            <w:pPr>
              <w:spacing w:after="20"/>
            </w:pPr>
            <w:r>
              <w:rPr>
                <w:color w:val="1C3A36"/>
                <w:sz w:val="15"/>
              </w:rPr>
              <w:t>2026-03-15</w:t>
            </w:r>
          </w:p>
        </w:tc>
        <w:tc>
          <w:tcPr>
            <w:tcW w:type="dxa" w:w="6019"/>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037"/>
          </w:tcPr>
          <w:p>
            <w:pPr>
              <w:spacing w:after="20"/>
            </w:pPr>
            <w:r>
              <w:rPr>
                <w:color w:val="1C3A36"/>
                <w:sz w:val="15"/>
              </w:rPr>
              <w:t>2024-03-13</w:t>
            </w:r>
          </w:p>
        </w:tc>
        <w:tc>
          <w:tcPr>
            <w:tcW w:type="dxa" w:w="6019"/>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037"/>
          </w:tcPr>
          <w:p>
            <w:pPr>
              <w:spacing w:after="20"/>
            </w:pPr>
            <w:r>
              <w:rPr>
                <w:color w:val="1C3A36"/>
                <w:sz w:val="15"/>
              </w:rPr>
              <w:t>2025-03-13</w:t>
            </w:r>
          </w:p>
        </w:tc>
        <w:tc>
          <w:tcPr>
            <w:tcW w:type="dxa" w:w="6019"/>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037"/>
          </w:tcPr>
          <w:p>
            <w:pPr>
              <w:spacing w:after="20"/>
            </w:pPr>
            <w:r>
              <w:rPr>
                <w:color w:val="1C3A36"/>
                <w:sz w:val="15"/>
              </w:rPr>
              <w:t>2026-03-15</w:t>
            </w:r>
          </w:p>
        </w:tc>
        <w:tc>
          <w:tcPr>
            <w:tcW w:type="dxa" w:w="6019"/>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of 25.9%</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037"/>
          </w:tcPr>
          <w:p>
            <w:pPr>
              <w:spacing w:after="20"/>
            </w:pPr>
            <w:r>
              <w:rPr>
                <w:color w:val="1C3A36"/>
                <w:sz w:val="15"/>
              </w:rPr>
              <w:t>2024-03-13</w:t>
            </w:r>
          </w:p>
        </w:tc>
        <w:tc>
          <w:tcPr>
            <w:tcW w:type="dxa" w:w="6019"/>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037"/>
          </w:tcPr>
          <w:p>
            <w:pPr>
              <w:spacing w:after="20"/>
            </w:pPr>
            <w:r>
              <w:rPr>
                <w:color w:val="1C3A36"/>
                <w:sz w:val="15"/>
              </w:rPr>
              <w:t>2025-03-13</w:t>
            </w:r>
          </w:p>
        </w:tc>
        <w:tc>
          <w:tcPr>
            <w:tcW w:type="dxa" w:w="6019"/>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037"/>
          </w:tcPr>
          <w:p>
            <w:pPr>
              <w:spacing w:after="20"/>
            </w:pPr>
            <w:r>
              <w:rPr>
                <w:color w:val="1C3A36"/>
                <w:sz w:val="15"/>
              </w:rPr>
              <w:t>2026-03-15</w:t>
            </w:r>
          </w:p>
        </w:tc>
        <w:tc>
          <w:tcPr>
            <w:tcW w:type="dxa" w:w="6019"/>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037"/>
          </w:tcPr>
          <w:p>
            <w:pPr>
              <w:spacing w:after="20"/>
            </w:pPr>
            <w:r>
              <w:rPr>
                <w:color w:val="1C3A36"/>
                <w:sz w:val="15"/>
              </w:rPr>
              <w:t>2024-03-13</w:t>
            </w:r>
          </w:p>
        </w:tc>
        <w:tc>
          <w:tcPr>
            <w:tcW w:type="dxa" w:w="6019"/>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037"/>
          </w:tcPr>
          <w:p>
            <w:pPr>
              <w:spacing w:after="20"/>
            </w:pPr>
            <w:r>
              <w:rPr>
                <w:color w:val="1C3A36"/>
                <w:sz w:val="15"/>
              </w:rPr>
              <w:t>2025-03-13</w:t>
            </w:r>
          </w:p>
        </w:tc>
        <w:tc>
          <w:tcPr>
            <w:tcW w:type="dxa" w:w="6019"/>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037"/>
          </w:tcPr>
          <w:p>
            <w:pPr>
              <w:spacing w:after="20"/>
            </w:pPr>
            <w:r>
              <w:rPr>
                <w:color w:val="1C3A36"/>
                <w:sz w:val="15"/>
              </w:rPr>
              <w:t>2026-03-15</w:t>
            </w:r>
          </w:p>
        </w:tc>
        <w:tc>
          <w:tcPr>
            <w:tcW w:type="dxa" w:w="6019"/>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037"/>
          </w:tcPr>
          <w:p>
            <w:pPr>
              <w:spacing w:after="20"/>
            </w:pPr>
            <w:r>
              <w:rPr>
                <w:color w:val="1C3A36"/>
                <w:sz w:val="15"/>
              </w:rPr>
              <w:t>2024-03-13</w:t>
            </w:r>
          </w:p>
        </w:tc>
        <w:tc>
          <w:tcPr>
            <w:tcW w:type="dxa" w:w="6019"/>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037"/>
          </w:tcPr>
          <w:p>
            <w:pPr>
              <w:spacing w:after="20"/>
            </w:pPr>
            <w:r>
              <w:rPr>
                <w:color w:val="1C3A36"/>
                <w:sz w:val="15"/>
              </w:rPr>
              <w:t>2025-03-13</w:t>
            </w:r>
          </w:p>
        </w:tc>
        <w:tc>
          <w:tcPr>
            <w:tcW w:type="dxa" w:w="6019"/>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037"/>
          </w:tcPr>
          <w:p>
            <w:pPr>
              <w:spacing w:after="20"/>
            </w:pPr>
            <w:r>
              <w:rPr>
                <w:color w:val="1C3A36"/>
                <w:sz w:val="15"/>
              </w:rPr>
              <w:t>2026-03-15</w:t>
            </w:r>
          </w:p>
        </w:tc>
        <w:tc>
          <w:tcPr>
            <w:tcW w:type="dxa" w:w="6019"/>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037"/>
          </w:tcPr>
          <w:p>
            <w:pPr>
              <w:spacing w:after="20"/>
            </w:pPr>
            <w:r>
              <w:rPr>
                <w:color w:val="1C3A36"/>
                <w:sz w:val="15"/>
              </w:rPr>
              <w:t>2024-03-13</w:t>
            </w:r>
          </w:p>
        </w:tc>
        <w:tc>
          <w:tcPr>
            <w:tcW w:type="dxa" w:w="6019"/>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037"/>
          </w:tcPr>
          <w:p>
            <w:pPr>
              <w:spacing w:after="20"/>
            </w:pPr>
            <w:r>
              <w:rPr>
                <w:color w:val="1C3A36"/>
                <w:sz w:val="15"/>
              </w:rPr>
              <w:t>2025-03-13</w:t>
            </w:r>
          </w:p>
        </w:tc>
        <w:tc>
          <w:tcPr>
            <w:tcW w:type="dxa" w:w="6019"/>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037"/>
          </w:tcPr>
          <w:p>
            <w:pPr>
              <w:spacing w:after="20"/>
            </w:pPr>
            <w:r>
              <w:rPr>
                <w:color w:val="1C3A36"/>
                <w:sz w:val="15"/>
              </w:rPr>
              <w:t>2026-03-15</w:t>
            </w:r>
          </w:p>
        </w:tc>
        <w:tc>
          <w:tcPr>
            <w:tcW w:type="dxa" w:w="6019"/>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037"/>
          </w:tcPr>
          <w:p>
            <w:pPr>
              <w:spacing w:after="20"/>
            </w:pPr>
            <w:r>
              <w:rPr>
                <w:color w:val="1C3A36"/>
                <w:sz w:val="15"/>
              </w:rPr>
              <w:t>2024-03-13</w:t>
            </w:r>
          </w:p>
        </w:tc>
        <w:tc>
          <w:tcPr>
            <w:tcW w:type="dxa" w:w="6019"/>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037"/>
          </w:tcPr>
          <w:p>
            <w:pPr>
              <w:spacing w:after="20"/>
            </w:pPr>
            <w:r>
              <w:rPr>
                <w:color w:val="1C3A36"/>
                <w:sz w:val="15"/>
              </w:rPr>
              <w:t>2025-03-13</w:t>
            </w:r>
          </w:p>
        </w:tc>
        <w:tc>
          <w:tcPr>
            <w:tcW w:type="dxa" w:w="6019"/>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037"/>
          </w:tcPr>
          <w:p>
            <w:pPr>
              <w:spacing w:after="20"/>
            </w:pPr>
            <w:r>
              <w:rPr>
                <w:color w:val="1C3A36"/>
                <w:sz w:val="15"/>
              </w:rPr>
              <w:t>2026-03-15</w:t>
            </w:r>
          </w:p>
        </w:tc>
        <w:tc>
          <w:tcPr>
            <w:tcW w:type="dxa" w:w="6019"/>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037"/>
          </w:tcPr>
          <w:p>
            <w:pPr>
              <w:spacing w:after="20"/>
            </w:pPr>
            <w:r>
              <w:rPr>
                <w:color w:val="1C3A36"/>
                <w:sz w:val="15"/>
              </w:rPr>
              <w:t>2024-03-13</w:t>
            </w:r>
          </w:p>
        </w:tc>
        <w:tc>
          <w:tcPr>
            <w:tcW w:type="dxa" w:w="6019"/>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037"/>
          </w:tcPr>
          <w:p>
            <w:pPr>
              <w:spacing w:after="20"/>
            </w:pPr>
            <w:r>
              <w:rPr>
                <w:color w:val="1C3A36"/>
                <w:sz w:val="15"/>
              </w:rPr>
              <w:t>2025-03-13</w:t>
            </w:r>
          </w:p>
        </w:tc>
        <w:tc>
          <w:tcPr>
            <w:tcW w:type="dxa" w:w="6019"/>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037"/>
          </w:tcPr>
          <w:p>
            <w:pPr>
              <w:spacing w:after="20"/>
            </w:pPr>
            <w:r>
              <w:rPr>
                <w:color w:val="1C3A36"/>
                <w:sz w:val="15"/>
              </w:rPr>
              <w:t>2026-03-15</w:t>
            </w:r>
          </w:p>
        </w:tc>
        <w:tc>
          <w:tcPr>
            <w:tcW w:type="dxa" w:w="6019"/>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037"/>
          </w:tcPr>
          <w:p>
            <w:pPr>
              <w:spacing w:after="20"/>
            </w:pPr>
            <w:r>
              <w:rPr>
                <w:color w:val="1C3A36"/>
                <w:sz w:val="15"/>
              </w:rPr>
              <w:t>2024-03-13</w:t>
            </w:r>
          </w:p>
        </w:tc>
        <w:tc>
          <w:tcPr>
            <w:tcW w:type="dxa" w:w="6019"/>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037"/>
          </w:tcPr>
          <w:p>
            <w:pPr>
              <w:spacing w:after="20"/>
            </w:pPr>
            <w:r>
              <w:rPr>
                <w:color w:val="1C3A36"/>
                <w:sz w:val="15"/>
              </w:rPr>
              <w:t>2025-03-13</w:t>
            </w:r>
          </w:p>
        </w:tc>
        <w:tc>
          <w:tcPr>
            <w:tcW w:type="dxa" w:w="6019"/>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037"/>
          </w:tcPr>
          <w:p>
            <w:pPr>
              <w:spacing w:after="20"/>
            </w:pPr>
            <w:r>
              <w:rPr>
                <w:color w:val="1C3A36"/>
                <w:sz w:val="15"/>
              </w:rPr>
              <w:t>2026-03-15</w:t>
            </w:r>
          </w:p>
        </w:tc>
        <w:tc>
          <w:tcPr>
            <w:tcW w:type="dxa" w:w="6019"/>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037"/>
          </w:tcPr>
          <w:p>
            <w:pPr>
              <w:spacing w:after="20"/>
            </w:pPr>
            <w:r>
              <w:rPr>
                <w:color w:val="1C3A36"/>
                <w:sz w:val="15"/>
              </w:rPr>
              <w:t>2024-03-13</w:t>
            </w:r>
          </w:p>
        </w:tc>
        <w:tc>
          <w:tcPr>
            <w:tcW w:type="dxa" w:w="6019"/>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037"/>
          </w:tcPr>
          <w:p>
            <w:pPr>
              <w:spacing w:after="20"/>
            </w:pPr>
            <w:r>
              <w:rPr>
                <w:color w:val="1C3A36"/>
                <w:sz w:val="15"/>
              </w:rPr>
              <w:t>2025-03-13</w:t>
            </w:r>
          </w:p>
        </w:tc>
        <w:tc>
          <w:tcPr>
            <w:tcW w:type="dxa" w:w="6019"/>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037"/>
          </w:tcPr>
          <w:p>
            <w:pPr>
              <w:spacing w:after="20"/>
            </w:pPr>
            <w:r>
              <w:rPr>
                <w:color w:val="1C3A36"/>
                <w:sz w:val="15"/>
              </w:rPr>
              <w:t>2026-03-15</w:t>
            </w:r>
          </w:p>
        </w:tc>
        <w:tc>
          <w:tcPr>
            <w:tcW w:type="dxa" w:w="6019"/>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037"/>
          </w:tcPr>
          <w:p>
            <w:pPr>
              <w:spacing w:after="20"/>
            </w:pPr>
            <w:r>
              <w:rPr>
                <w:color w:val="1C3A36"/>
                <w:sz w:val="15"/>
              </w:rPr>
              <w:t>2024-03-13</w:t>
            </w:r>
          </w:p>
        </w:tc>
        <w:tc>
          <w:tcPr>
            <w:tcW w:type="dxa" w:w="6019"/>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037"/>
          </w:tcPr>
          <w:p>
            <w:pPr>
              <w:spacing w:after="20"/>
            </w:pPr>
            <w:r>
              <w:rPr>
                <w:color w:val="1C3A36"/>
                <w:sz w:val="15"/>
              </w:rPr>
              <w:t>2025-03-13</w:t>
            </w:r>
          </w:p>
        </w:tc>
        <w:tc>
          <w:tcPr>
            <w:tcW w:type="dxa" w:w="6019"/>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037"/>
          </w:tcPr>
          <w:p>
            <w:pPr>
              <w:spacing w:after="20"/>
            </w:pPr>
            <w:r>
              <w:rPr>
                <w:color w:val="1C3A36"/>
                <w:sz w:val="15"/>
              </w:rPr>
              <w:t>2026-03-15</w:t>
            </w:r>
          </w:p>
        </w:tc>
        <w:tc>
          <w:tcPr>
            <w:tcW w:type="dxa" w:w="6019"/>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037"/>
          </w:tcPr>
          <w:p>
            <w:pPr>
              <w:spacing w:after="20"/>
            </w:pPr>
            <w:r>
              <w:rPr>
                <w:color w:val="1C3A36"/>
                <w:sz w:val="15"/>
              </w:rPr>
              <w:t>2024-03-13</w:t>
            </w:r>
          </w:p>
        </w:tc>
        <w:tc>
          <w:tcPr>
            <w:tcW w:type="dxa" w:w="6019"/>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037"/>
          </w:tcPr>
          <w:p>
            <w:pPr>
              <w:spacing w:after="20"/>
            </w:pPr>
            <w:r>
              <w:rPr>
                <w:color w:val="1C3A36"/>
                <w:sz w:val="15"/>
              </w:rPr>
              <w:t>2025-03-13</w:t>
            </w:r>
          </w:p>
        </w:tc>
        <w:tc>
          <w:tcPr>
            <w:tcW w:type="dxa" w:w="6019"/>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037"/>
          </w:tcPr>
          <w:p>
            <w:pPr>
              <w:spacing w:after="20"/>
            </w:pPr>
            <w:r>
              <w:rPr>
                <w:color w:val="1C3A36"/>
                <w:sz w:val="15"/>
              </w:rPr>
              <w:t>2026-03-15</w:t>
            </w:r>
          </w:p>
        </w:tc>
        <w:tc>
          <w:tcPr>
            <w:tcW w:type="dxa" w:w="6019"/>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037"/>
          </w:tcPr>
          <w:p>
            <w:pPr>
              <w:spacing w:after="20"/>
            </w:pPr>
            <w:r>
              <w:rPr>
                <w:color w:val="1C3A36"/>
                <w:sz w:val="15"/>
              </w:rPr>
              <w:t>2024-03-13</w:t>
            </w:r>
          </w:p>
        </w:tc>
        <w:tc>
          <w:tcPr>
            <w:tcW w:type="dxa" w:w="6019"/>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037"/>
          </w:tcPr>
          <w:p>
            <w:pPr>
              <w:spacing w:after="20"/>
            </w:pPr>
            <w:r>
              <w:rPr>
                <w:color w:val="1C3A36"/>
                <w:sz w:val="15"/>
              </w:rPr>
              <w:t>2025-03-13</w:t>
            </w:r>
          </w:p>
        </w:tc>
        <w:tc>
          <w:tcPr>
            <w:tcW w:type="dxa" w:w="6019"/>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037"/>
          </w:tcPr>
          <w:p>
            <w:pPr>
              <w:spacing w:after="20"/>
            </w:pPr>
            <w:r>
              <w:rPr>
                <w:color w:val="1C3A36"/>
                <w:sz w:val="15"/>
              </w:rPr>
              <w:t>2026-03-15</w:t>
            </w:r>
          </w:p>
        </w:tc>
        <w:tc>
          <w:tcPr>
            <w:tcW w:type="dxa" w:w="6019"/>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037"/>
          </w:tcPr>
          <w:p>
            <w:pPr>
              <w:spacing w:after="20"/>
            </w:pPr>
            <w:r>
              <w:rPr>
                <w:color w:val="1C3A36"/>
                <w:sz w:val="15"/>
              </w:rPr>
              <w:t>2024-03-13</w:t>
            </w:r>
          </w:p>
        </w:tc>
        <w:tc>
          <w:tcPr>
            <w:tcW w:type="dxa" w:w="6019"/>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037"/>
          </w:tcPr>
          <w:p>
            <w:pPr>
              <w:spacing w:after="20"/>
            </w:pPr>
            <w:r>
              <w:rPr>
                <w:color w:val="1C3A36"/>
                <w:sz w:val="15"/>
              </w:rPr>
              <w:t>2025-03-13</w:t>
            </w:r>
          </w:p>
        </w:tc>
        <w:tc>
          <w:tcPr>
            <w:tcW w:type="dxa" w:w="6019"/>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037"/>
          </w:tcPr>
          <w:p>
            <w:pPr>
              <w:spacing w:after="20"/>
            </w:pPr>
            <w:r>
              <w:rPr>
                <w:color w:val="1C3A36"/>
                <w:sz w:val="15"/>
              </w:rPr>
              <w:t>2026-03-15</w:t>
            </w:r>
          </w:p>
        </w:tc>
        <w:tc>
          <w:tcPr>
            <w:tcW w:type="dxa" w:w="6019"/>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037"/>
          </w:tcPr>
          <w:p>
            <w:pPr>
              <w:spacing w:after="20"/>
            </w:pPr>
            <w:r>
              <w:rPr>
                <w:color w:val="1C3A36"/>
                <w:sz w:val="15"/>
              </w:rPr>
              <w:t>2024-03-13</w:t>
            </w:r>
          </w:p>
        </w:tc>
        <w:tc>
          <w:tcPr>
            <w:tcW w:type="dxa" w:w="6019"/>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037"/>
          </w:tcPr>
          <w:p>
            <w:pPr>
              <w:spacing w:after="20"/>
            </w:pPr>
            <w:r>
              <w:rPr>
                <w:color w:val="1C3A36"/>
                <w:sz w:val="15"/>
              </w:rPr>
              <w:t>2025-03-13</w:t>
            </w:r>
          </w:p>
        </w:tc>
        <w:tc>
          <w:tcPr>
            <w:tcW w:type="dxa" w:w="6019"/>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037"/>
          </w:tcPr>
          <w:p>
            <w:pPr>
              <w:spacing w:after="20"/>
            </w:pPr>
            <w:r>
              <w:rPr>
                <w:color w:val="1C3A36"/>
                <w:sz w:val="15"/>
              </w:rPr>
              <w:t>2026-03-15</w:t>
            </w:r>
          </w:p>
        </w:tc>
        <w:tc>
          <w:tcPr>
            <w:tcW w:type="dxa" w:w="6019"/>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037"/>
          </w:tcPr>
          <w:p>
            <w:pPr>
              <w:spacing w:after="20"/>
            </w:pPr>
            <w:r>
              <w:rPr>
                <w:color w:val="1C3A36"/>
                <w:sz w:val="15"/>
              </w:rPr>
              <w:t>2024-03-13</w:t>
            </w:r>
          </w:p>
        </w:tc>
        <w:tc>
          <w:tcPr>
            <w:tcW w:type="dxa" w:w="6019"/>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037"/>
          </w:tcPr>
          <w:p>
            <w:pPr>
              <w:spacing w:after="20"/>
            </w:pPr>
            <w:r>
              <w:rPr>
                <w:color w:val="1C3A36"/>
                <w:sz w:val="15"/>
              </w:rPr>
              <w:t>2025-03-13</w:t>
            </w:r>
          </w:p>
        </w:tc>
        <w:tc>
          <w:tcPr>
            <w:tcW w:type="dxa" w:w="6019"/>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037"/>
          </w:tcPr>
          <w:p>
            <w:pPr>
              <w:spacing w:after="20"/>
            </w:pPr>
            <w:r>
              <w:rPr>
                <w:color w:val="1C3A36"/>
                <w:sz w:val="15"/>
              </w:rPr>
              <w:t>2026-03-15</w:t>
            </w:r>
          </w:p>
        </w:tc>
        <w:tc>
          <w:tcPr>
            <w:tcW w:type="dxa" w:w="6019"/>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037"/>
          </w:tcPr>
          <w:p>
            <w:pPr>
              <w:spacing w:after="20"/>
            </w:pPr>
            <w:r>
              <w:rPr>
                <w:color w:val="1C3A36"/>
                <w:sz w:val="15"/>
              </w:rPr>
              <w:t>2025-03-13</w:t>
            </w:r>
          </w:p>
        </w:tc>
        <w:tc>
          <w:tcPr>
            <w:tcW w:type="dxa" w:w="6019"/>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037"/>
          </w:tcPr>
          <w:p>
            <w:pPr>
              <w:spacing w:after="20"/>
            </w:pPr>
            <w:r>
              <w:rPr>
                <w:color w:val="1C3A36"/>
                <w:sz w:val="15"/>
              </w:rPr>
              <w:t>2026-03-15</w:t>
            </w:r>
          </w:p>
        </w:tc>
        <w:tc>
          <w:tcPr>
            <w:tcW w:type="dxa" w:w="6019"/>
          </w:tcPr>
          <w:p>
            <w:pPr>
              <w:spacing w:after="20"/>
            </w:pPr>
            <w:r>
              <w:rPr>
                <w:color w:val="1C3A36"/>
                <w:sz w:val="15"/>
              </w:rPr>
              <w:t>Equity-accounted investees, carrying value, 31 Dec 2025 — the closing balance used in the valuation bridge (the anchor date is Aug-2026, so the FY2025 close is the most recent audited figure, not FY2024's)</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037"/>
          </w:tcPr>
          <w:p>
            <w:pPr>
              <w:spacing w:after="20"/>
            </w:pPr>
            <w:r>
              <w:rPr>
                <w:color w:val="1C3A36"/>
                <w:sz w:val="15"/>
              </w:rPr>
              <w:t>2025-03-13</w:t>
            </w:r>
          </w:p>
        </w:tc>
        <w:tc>
          <w:tcPr>
            <w:tcW w:type="dxa" w:w="6019"/>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037"/>
          </w:tcPr>
          <w:p>
            <w:pPr>
              <w:spacing w:after="20"/>
            </w:pPr>
            <w:r>
              <w:rPr>
                <w:color w:val="1C3A36"/>
                <w:sz w:val="15"/>
              </w:rPr>
              <w:t>2026-03-15</w:t>
            </w:r>
          </w:p>
        </w:tc>
        <w:tc>
          <w:tcPr>
            <w:tcW w:type="dxa" w:w="6019"/>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037"/>
          </w:tcPr>
          <w:p>
            <w:pPr>
              <w:spacing w:after="20"/>
            </w:pPr>
            <w:r>
              <w:rPr>
                <w:color w:val="1C3A36"/>
                <w:sz w:val="15"/>
              </w:rPr>
              <w:t>2026-03-15</w:t>
            </w:r>
          </w:p>
        </w:tc>
        <w:tc>
          <w:tcPr>
            <w:tcW w:type="dxa" w:w="6019"/>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037"/>
          </w:tcPr>
          <w:p>
            <w:pPr>
              <w:spacing w:after="20"/>
            </w:pPr>
            <w:r>
              <w:rPr>
                <w:color w:val="1C3A36"/>
                <w:sz w:val="15"/>
              </w:rPr>
              <w:t>2026-05-06</w:t>
            </w:r>
          </w:p>
        </w:tc>
        <w:tc>
          <w:tcPr>
            <w:tcW w:type="dxa" w:w="6019"/>
          </w:tcPr>
          <w:p>
            <w:pPr>
              <w:spacing w:after="20"/>
            </w:pPr>
            <w:r>
              <w:rPr>
                <w:color w:val="1C3A36"/>
                <w:sz w:val="15"/>
              </w:rPr>
              <w:t>FY2025 cash dividend of EGP 1.85/share: recommended with the FY2025 results, ratified by the ordinary general assembly on 6 May 2026, rights with the share through 1 June, paid from 4 June 2026 (EGX disclosure, corroborated by Arab Finance coverage and the quoted ~2.0% trailing yield). RESTORED after external critique: an earlier revision removed this figure because neither the FY2025 annual filing (board-approved 12 Mar 2026) nor the Q1-2026 interim disclosed it — an absence-of-evidence error, since the interim covers a period ending 31 March and carries no subsequent-events note, so its silence was never evidence. Payout = 1.85 / 8.10 attributable EPS = 22.8%</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037"/>
          </w:tcPr>
          <w:p>
            <w:pPr>
              <w:spacing w:after="20"/>
            </w:pPr>
            <w:r>
              <w:rPr>
                <w:color w:val="1C3A36"/>
                <w:sz w:val="15"/>
              </w:rPr>
              <w:t>2024-03-13</w:t>
            </w:r>
          </w:p>
        </w:tc>
        <w:tc>
          <w:tcPr>
            <w:tcW w:type="dxa" w:w="6019"/>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037"/>
          </w:tcPr>
          <w:p>
            <w:pPr>
              <w:spacing w:after="20"/>
            </w:pPr>
            <w:r>
              <w:rPr>
                <w:color w:val="1C3A36"/>
                <w:sz w:val="15"/>
              </w:rPr>
              <w:t>2025-03-13</w:t>
            </w:r>
          </w:p>
        </w:tc>
        <w:tc>
          <w:tcPr>
            <w:tcW w:type="dxa" w:w="6019"/>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037"/>
          </w:tcPr>
          <w:p>
            <w:pPr>
              <w:spacing w:after="20"/>
            </w:pPr>
            <w:r>
              <w:rPr>
                <w:color w:val="1C3A36"/>
                <w:sz w:val="15"/>
              </w:rPr>
              <w:t>2026-03-15</w:t>
            </w:r>
          </w:p>
        </w:tc>
        <w:tc>
          <w:tcPr>
            <w:tcW w:type="dxa" w:w="6019"/>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037"/>
          </w:tcPr>
          <w:p>
            <w:pPr>
              <w:spacing w:after="20"/>
            </w:pPr>
            <w:r>
              <w:rPr>
                <w:color w:val="1C3A36"/>
                <w:sz w:val="15"/>
              </w:rPr>
              <w:t>2026-03-15</w:t>
            </w:r>
          </w:p>
        </w:tc>
        <w:tc>
          <w:tcPr>
            <w:tcW w:type="dxa" w:w="6019"/>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037"/>
          </w:tcPr>
          <w:p>
            <w:pPr>
              <w:spacing w:after="20"/>
            </w:pPr>
            <w:r>
              <w:rPr>
                <w:color w:val="1C3A36"/>
                <w:sz w:val="15"/>
              </w:rPr>
              <w:t>2026-03-15</w:t>
            </w:r>
          </w:p>
        </w:tc>
        <w:tc>
          <w:tcPr>
            <w:tcW w:type="dxa" w:w="6019"/>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037"/>
          </w:tcPr>
          <w:p>
            <w:pPr>
              <w:spacing w:after="20"/>
            </w:pPr>
            <w:r>
              <w:rPr>
                <w:color w:val="1C3A36"/>
                <w:sz w:val="15"/>
              </w:rPr>
              <w:t>2026-03-15</w:t>
            </w:r>
          </w:p>
        </w:tc>
        <w:tc>
          <w:tcPr>
            <w:tcW w:type="dxa" w:w="6019"/>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037"/>
          </w:tcPr>
          <w:p>
            <w:pPr>
              <w:spacing w:after="20"/>
            </w:pPr>
            <w:r>
              <w:rPr>
                <w:color w:val="1C3A36"/>
                <w:sz w:val="15"/>
              </w:rPr>
              <w:t>2026-05-13</w:t>
            </w:r>
          </w:p>
        </w:tc>
        <w:tc>
          <w:tcPr>
            <w:tcW w:type="dxa" w:w="6019"/>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037"/>
          </w:tcPr>
          <w:p>
            <w:pPr>
              <w:spacing w:after="20"/>
            </w:pPr>
            <w:r>
              <w:rPr>
                <w:color w:val="1C3A36"/>
                <w:sz w:val="15"/>
              </w:rPr>
              <w:t>2026-05-13</w:t>
            </w:r>
          </w:p>
        </w:tc>
        <w:tc>
          <w:tcPr>
            <w:tcW w:type="dxa" w:w="6019"/>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037"/>
          </w:tcPr>
          <w:p>
            <w:pPr>
              <w:spacing w:after="20"/>
            </w:pPr>
            <w:r>
              <w:rPr>
                <w:color w:val="1C3A36"/>
                <w:sz w:val="15"/>
              </w:rPr>
              <w:t>2026-05-13</w:t>
            </w:r>
          </w:p>
        </w:tc>
        <w:tc>
          <w:tcPr>
            <w:tcW w:type="dxa" w:w="6019"/>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037"/>
          </w:tcPr>
          <w:p>
            <w:pPr>
              <w:spacing w:after="20"/>
            </w:pPr>
            <w:r>
              <w:rPr>
                <w:color w:val="1C3A36"/>
                <w:sz w:val="15"/>
              </w:rPr>
              <w:t>2026-05-13</w:t>
            </w:r>
          </w:p>
        </w:tc>
        <w:tc>
          <w:tcPr>
            <w:tcW w:type="dxa" w:w="6019"/>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037"/>
          </w:tcPr>
          <w:p>
            <w:pPr>
              <w:spacing w:after="20"/>
            </w:pPr>
            <w:r>
              <w:rPr>
                <w:color w:val="1C3A36"/>
                <w:sz w:val="15"/>
              </w:rPr>
              <w:t>2026-05-13</w:t>
            </w:r>
          </w:p>
        </w:tc>
        <w:tc>
          <w:tcPr>
            <w:tcW w:type="dxa" w:w="6019"/>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037"/>
          </w:tcPr>
          <w:p>
            <w:pPr>
              <w:spacing w:after="20"/>
            </w:pPr>
            <w:r>
              <w:rPr>
                <w:color w:val="1C3A36"/>
                <w:sz w:val="15"/>
              </w:rPr>
              <w:t>2026-05-13</w:t>
            </w:r>
          </w:p>
        </w:tc>
        <w:tc>
          <w:tcPr>
            <w:tcW w:type="dxa" w:w="6019"/>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037"/>
          </w:tcPr>
          <w:p>
            <w:pPr>
              <w:spacing w:after="20"/>
            </w:pPr>
            <w:r>
              <w:rPr>
                <w:color w:val="1C3A36"/>
                <w:sz w:val="15"/>
              </w:rPr>
              <w:t>2026-05-13</w:t>
            </w:r>
          </w:p>
        </w:tc>
        <w:tc>
          <w:tcPr>
            <w:tcW w:type="dxa" w:w="6019"/>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037"/>
          </w:tcPr>
          <w:p>
            <w:pPr>
              <w:spacing w:after="20"/>
            </w:pPr>
            <w:r>
              <w:rPr>
                <w:color w:val="1C3A36"/>
                <w:sz w:val="15"/>
              </w:rPr>
              <w:t>2026-05-13</w:t>
            </w:r>
          </w:p>
        </w:tc>
        <w:tc>
          <w:tcPr>
            <w:tcW w:type="dxa" w:w="6019"/>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037"/>
          </w:tcPr>
          <w:p>
            <w:pPr>
              <w:spacing w:after="20"/>
            </w:pPr>
            <w:r>
              <w:rPr>
                <w:color w:val="1C3A36"/>
                <w:sz w:val="15"/>
              </w:rPr>
              <w:t>2026-05-13</w:t>
            </w:r>
          </w:p>
        </w:tc>
        <w:tc>
          <w:tcPr>
            <w:tcW w:type="dxa" w:w="6019"/>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037"/>
          </w:tcPr>
          <w:p>
            <w:pPr>
              <w:spacing w:after="20"/>
            </w:pPr>
            <w:r>
              <w:rPr>
                <w:color w:val="1C3A36"/>
                <w:sz w:val="15"/>
              </w:rPr>
              <w:t>2026-05-13</w:t>
            </w:r>
          </w:p>
        </w:tc>
        <w:tc>
          <w:tcPr>
            <w:tcW w:type="dxa" w:w="6019"/>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h1 26 rev</w:t>
            </w:r>
          </w:p>
        </w:tc>
        <w:tc>
          <w:tcPr>
            <w:tcW w:type="dxa" w:w="1368"/>
          </w:tcPr>
          <w:p>
            <w:pPr>
              <w:spacing w:after="20"/>
            </w:pPr>
            <w:r>
              <w:rPr>
                <w:color w:val="1C3A36"/>
                <w:sz w:val="15"/>
              </w:rPr>
              <w:t>163,315.7</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profit or loss, six months to 30-Jun-2026 (H1-2025 comparative 123,800.551073, +31.9%)</w:t>
            </w:r>
          </w:p>
        </w:tc>
      </w:tr>
      <w:tr>
        <w:tc>
          <w:tcPr>
            <w:tcW w:type="dxa" w:w="1656"/>
          </w:tcPr>
          <w:p>
            <w:pPr>
              <w:spacing w:after="20"/>
            </w:pPr>
            <w:r>
              <w:rPr>
                <w:color w:val="1C3A36"/>
                <w:sz w:val="15"/>
              </w:rPr>
              <w:t>h1 26 gp</w:t>
            </w:r>
          </w:p>
        </w:tc>
        <w:tc>
          <w:tcPr>
            <w:tcW w:type="dxa" w:w="1368"/>
          </w:tcPr>
          <w:p>
            <w:pPr>
              <w:spacing w:after="20"/>
            </w:pPr>
            <w:r>
              <w:rPr>
                <w:color w:val="1C3A36"/>
                <w:sz w:val="15"/>
              </w:rPr>
              <w:t>26,333.3</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gross profit on the face (H1-2025 20,245.400138)</w:t>
            </w:r>
          </w:p>
        </w:tc>
      </w:tr>
      <w:tr>
        <w:tc>
          <w:tcPr>
            <w:tcW w:type="dxa" w:w="1656"/>
          </w:tcPr>
          <w:p>
            <w:pPr>
              <w:spacing w:after="20"/>
            </w:pPr>
            <w:r>
              <w:rPr>
                <w:color w:val="1C3A36"/>
                <w:sz w:val="15"/>
              </w:rPr>
              <w:t>h1 26 op</w:t>
            </w:r>
          </w:p>
        </w:tc>
        <w:tc>
          <w:tcPr>
            <w:tcW w:type="dxa" w:w="1368"/>
          </w:tcPr>
          <w:p>
            <w:pPr>
              <w:spacing w:after="20"/>
            </w:pPr>
            <w:r>
              <w:rPr>
                <w:color w:val="1C3A36"/>
                <w:sz w:val="15"/>
              </w:rPr>
              <w:t>16,421.2</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operating profit on the face (H1-2025 12,605.157783)</w:t>
            </w:r>
          </w:p>
        </w:tc>
      </w:tr>
      <w:tr>
        <w:tc>
          <w:tcPr>
            <w:tcW w:type="dxa" w:w="1656"/>
          </w:tcPr>
          <w:p>
            <w:pPr>
              <w:spacing w:after="20"/>
            </w:pPr>
            <w:r>
              <w:rPr>
                <w:color w:val="1C3A36"/>
                <w:sz w:val="15"/>
              </w:rPr>
              <w:t>h1 26 netfin</w:t>
            </w:r>
          </w:p>
        </w:tc>
        <w:tc>
          <w:tcPr>
            <w:tcW w:type="dxa" w:w="1368"/>
          </w:tcPr>
          <w:p>
            <w:pPr>
              <w:spacing w:after="20"/>
            </w:pPr>
            <w:r>
              <w:rPr>
                <w:color w:val="1C3A36"/>
                <w:sz w:val="15"/>
              </w:rPr>
              <w:t>-2,141.5</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net finance costs: finance income 1,579.219385 less finance costs 3,720.742200</w:t>
            </w:r>
          </w:p>
        </w:tc>
      </w:tr>
      <w:tr>
        <w:tc>
          <w:tcPr>
            <w:tcW w:type="dxa" w:w="1656"/>
          </w:tcPr>
          <w:p>
            <w:pPr>
              <w:spacing w:after="20"/>
            </w:pPr>
            <w:r>
              <w:rPr>
                <w:color w:val="1C3A36"/>
                <w:sz w:val="15"/>
              </w:rPr>
              <w:t>h1 26 assoc</w:t>
            </w:r>
          </w:p>
        </w:tc>
        <w:tc>
          <w:tcPr>
            <w:tcW w:type="dxa" w:w="1368"/>
          </w:tcPr>
          <w:p>
            <w:pPr>
              <w:spacing w:after="20"/>
            </w:pPr>
            <w:r>
              <w:rPr>
                <w:color w:val="1C3A36"/>
                <w:sz w:val="15"/>
              </w:rPr>
              <w:t>572.6</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group share of profit of equity-accounted investees net of tax. A further 542.976117 of gains on sale and revaluation of investments in equity-accounted investees is disclosed SEPARATELY (note 20-3) and is treated as a one-off, not as recurring associate income</w:t>
            </w:r>
          </w:p>
        </w:tc>
      </w:tr>
      <w:tr>
        <w:tc>
          <w:tcPr>
            <w:tcW w:type="dxa" w:w="1656"/>
          </w:tcPr>
          <w:p>
            <w:pPr>
              <w:spacing w:after="20"/>
            </w:pPr>
            <w:r>
              <w:rPr>
                <w:color w:val="1C3A36"/>
                <w:sz w:val="15"/>
              </w:rPr>
              <w:t>h1 26 assoc oneoff</w:t>
            </w:r>
          </w:p>
        </w:tc>
        <w:tc>
          <w:tcPr>
            <w:tcW w:type="dxa" w:w="1368"/>
          </w:tcPr>
          <w:p>
            <w:pPr>
              <w:spacing w:after="20"/>
            </w:pPr>
            <w:r>
              <w:rPr>
                <w:color w:val="1C3A36"/>
                <w:sz w:val="15"/>
              </w:rPr>
              <w:t>543.0</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20-3: gains on sale and revaluation of investments in equity-accounted investees. Disclosed on its own line with no comparative, i.e. nothing in H1-2025 — a one-off</w:t>
            </w:r>
          </w:p>
        </w:tc>
      </w:tr>
      <w:tr>
        <w:tc>
          <w:tcPr>
            <w:tcW w:type="dxa" w:w="1656"/>
          </w:tcPr>
          <w:p>
            <w:pPr>
              <w:spacing w:after="20"/>
            </w:pPr>
            <w:r>
              <w:rPr>
                <w:color w:val="1C3A36"/>
                <w:sz w:val="15"/>
              </w:rPr>
              <w:t>h1 26 tax</w:t>
            </w:r>
          </w:p>
        </w:tc>
        <w:tc>
          <w:tcPr>
            <w:tcW w:type="dxa" w:w="1368"/>
          </w:tcPr>
          <w:p>
            <w:pPr>
              <w:spacing w:after="20"/>
            </w:pPr>
            <w:r>
              <w:rPr>
                <w:color w:val="1C3A36"/>
                <w:sz w:val="15"/>
              </w:rPr>
              <w:t>-4,748.6</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income tax expense. Effective rate 30.85% on pre-tax profit of 15,395.270255, against 19.39% in H1-2025 and the 24.5% the forecast carries — a material step this re-issue must price rather than average away</w:t>
            </w:r>
          </w:p>
        </w:tc>
      </w:tr>
      <w:tr>
        <w:tc>
          <w:tcPr>
            <w:tcW w:type="dxa" w:w="1656"/>
          </w:tcPr>
          <w:p>
            <w:pPr>
              <w:spacing w:after="20"/>
            </w:pPr>
            <w:r>
              <w:rPr>
                <w:color w:val="1C3A36"/>
                <w:sz w:val="15"/>
              </w:rPr>
              <w:t>h1 26 npa</w:t>
            </w:r>
          </w:p>
        </w:tc>
        <w:tc>
          <w:tcPr>
            <w:tcW w:type="dxa" w:w="1368"/>
          </w:tcPr>
          <w:p>
            <w:pPr>
              <w:spacing w:after="20"/>
            </w:pPr>
            <w:r>
              <w:rPr>
                <w:color w:val="1C3A36"/>
                <w:sz w:val="15"/>
              </w:rPr>
              <w:t>9,921.7</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owners of the parent company (H1-2025 8,694.611825, +14.1%)</w:t>
            </w:r>
          </w:p>
        </w:tc>
      </w:tr>
      <w:tr>
        <w:tc>
          <w:tcPr>
            <w:tcW w:type="dxa" w:w="1656"/>
          </w:tcPr>
          <w:p>
            <w:pPr>
              <w:spacing w:after="20"/>
            </w:pPr>
            <w:r>
              <w:rPr>
                <w:color w:val="1C3A36"/>
                <w:sz w:val="15"/>
              </w:rPr>
              <w:t>h1 26 nci</w:t>
            </w:r>
          </w:p>
        </w:tc>
        <w:tc>
          <w:tcPr>
            <w:tcW w:type="dxa" w:w="1368"/>
          </w:tcPr>
          <w:p>
            <w:pPr>
              <w:spacing w:after="20"/>
            </w:pPr>
            <w:r>
              <w:rPr>
                <w:color w:val="1C3A36"/>
                <w:sz w:val="15"/>
              </w:rPr>
              <w:t>725.0</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 6.81% of the period's total profit after tax of 10,646.715151</w:t>
            </w:r>
          </w:p>
        </w:tc>
      </w:tr>
      <w:tr>
        <w:tc>
          <w:tcPr>
            <w:tcW w:type="dxa" w:w="1656"/>
          </w:tcPr>
          <w:p>
            <w:pPr>
              <w:spacing w:after="20"/>
            </w:pPr>
            <w:r>
              <w:rPr>
                <w:color w:val="1C3A36"/>
                <w:sz w:val="15"/>
              </w:rPr>
              <w:t>h1 26 eps</w:t>
            </w:r>
          </w:p>
        </w:tc>
        <w:tc>
          <w:tcPr>
            <w:tcW w:type="dxa" w:w="1368"/>
          </w:tcPr>
          <w:p>
            <w:pPr>
              <w:spacing w:after="20"/>
            </w:pPr>
            <w:r>
              <w:rPr>
                <w:color w:val="1C3A36"/>
                <w:sz w:val="15"/>
              </w:rPr>
              <w:t>4.03</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basic and diluted earnings per share (H1-2025 3.55)</w:t>
            </w:r>
          </w:p>
        </w:tc>
      </w:tr>
      <w:tr>
        <w:tc>
          <w:tcPr>
            <w:tcW w:type="dxa" w:w="1656"/>
          </w:tcPr>
          <w:p>
            <w:pPr>
              <w:spacing w:after="20"/>
            </w:pPr>
            <w:r>
              <w:rPr>
                <w:color w:val="1C3A36"/>
                <w:sz w:val="15"/>
              </w:rPr>
              <w:t>emp share fy24</w:t>
            </w:r>
          </w:p>
        </w:tc>
        <w:tc>
          <w:tcPr>
            <w:tcW w:type="dxa" w:w="1368"/>
          </w:tcPr>
          <w:p>
            <w:pPr>
              <w:spacing w:after="20"/>
            </w:pPr>
            <w:r>
              <w:rPr>
                <w:color w:val="1C3A36"/>
                <w:sz w:val="15"/>
              </w:rPr>
              <w:t>2,025.8</w:t>
            </w:r>
          </w:p>
        </w:tc>
        <w:tc>
          <w:tcPr>
            <w:tcW w:type="dxa" w:w="1037"/>
          </w:tcPr>
          <w:p>
            <w:pPr>
              <w:spacing w:after="20"/>
            </w:pPr>
            <w:r>
              <w:rPr>
                <w:color w:val="1C3A36"/>
                <w:sz w:val="15"/>
              </w:rPr>
              <w:t>2026-03-01</w:t>
            </w:r>
          </w:p>
        </w:tc>
        <w:tc>
          <w:tcPr>
            <w:tcW w:type="dxa" w:w="6019"/>
          </w:tcPr>
          <w:p>
            <w:pPr>
              <w:spacing w:after="20"/>
            </w:pPr>
            <w:r>
              <w:rPr>
                <w:color w:val="1C3A36"/>
                <w:sz w:val="15"/>
              </w:rPr>
              <w:t>Audited FY2025 consolidated financial statements, note 39 (FY2024 comparative): employees' share in profit (estimated), deducted from profit attributable to owners to reach profit attributable to ordinary shareholders — 11.60% of the 17,461.358714 attributable</w:t>
            </w:r>
          </w:p>
        </w:tc>
      </w:tr>
      <w:tr>
        <w:tc>
          <w:tcPr>
            <w:tcW w:type="dxa" w:w="1656"/>
          </w:tcPr>
          <w:p>
            <w:pPr>
              <w:spacing w:after="20"/>
            </w:pPr>
            <w:r>
              <w:rPr>
                <w:color w:val="1C3A36"/>
                <w:sz w:val="15"/>
              </w:rPr>
              <w:t>emp share fy25</w:t>
            </w:r>
          </w:p>
        </w:tc>
        <w:tc>
          <w:tcPr>
            <w:tcW w:type="dxa" w:w="1368"/>
          </w:tcPr>
          <w:p>
            <w:pPr>
              <w:spacing w:after="20"/>
            </w:pPr>
            <w:r>
              <w:rPr>
                <w:color w:val="1C3A36"/>
                <w:sz w:val="15"/>
              </w:rPr>
              <w:t>2,073.1</w:t>
            </w:r>
          </w:p>
        </w:tc>
        <w:tc>
          <w:tcPr>
            <w:tcW w:type="dxa" w:w="1037"/>
          </w:tcPr>
          <w:p>
            <w:pPr>
              <w:spacing w:after="20"/>
            </w:pPr>
            <w:r>
              <w:rPr>
                <w:color w:val="1C3A36"/>
                <w:sz w:val="15"/>
              </w:rPr>
              <w:t>2026-03-01</w:t>
            </w:r>
          </w:p>
        </w:tc>
        <w:tc>
          <w:tcPr>
            <w:tcW w:type="dxa" w:w="6019"/>
          </w:tcPr>
          <w:p>
            <w:pPr>
              <w:spacing w:after="20"/>
            </w:pPr>
            <w:r>
              <w:rPr>
                <w:color w:val="1C3A36"/>
                <w:sz w:val="15"/>
              </w:rPr>
              <w:t>Audited FY2025 consolidated financial statements, note 39: employees' share in profit (estimated) — 11.96% of the 17,330.244990 attributable to owners. The reported EPS of 7.13 is struck on the 15,257.140146 that remains, over a weighted-average 2,139,355,716 shares (issued 2,140,777,876 less 1,422,160 ESOP shares issued not granted)</w:t>
            </w:r>
          </w:p>
        </w:tc>
      </w:tr>
      <w:tr>
        <w:tc>
          <w:tcPr>
            <w:tcW w:type="dxa" w:w="1656"/>
          </w:tcPr>
          <w:p>
            <w:pPr>
              <w:spacing w:after="20"/>
            </w:pPr>
            <w:r>
              <w:rPr>
                <w:color w:val="1C3A36"/>
                <w:sz w:val="15"/>
              </w:rPr>
              <w:t>emp share h1 26</w:t>
            </w:r>
          </w:p>
        </w:tc>
        <w:tc>
          <w:tcPr>
            <w:tcW w:type="dxa" w:w="1368"/>
          </w:tcPr>
          <w:p>
            <w:pPr>
              <w:spacing w:after="20"/>
            </w:pPr>
            <w:r>
              <w:rPr>
                <w:color w:val="1C3A36"/>
                <w:sz w:val="15"/>
              </w:rPr>
              <w:t>1,291.2</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employees' share in profit (expected) — 13.01% of the 9,921.669274 attributable to owners (H1-2025 1,104.834367 on 8,694.611825, 12.71%)</w:t>
            </w:r>
          </w:p>
        </w:tc>
      </w:tr>
      <w:tr>
        <w:tc>
          <w:tcPr>
            <w:tcW w:type="dxa" w:w="1656"/>
          </w:tcPr>
          <w:p>
            <w:pPr>
              <w:spacing w:after="20"/>
            </w:pPr>
            <w:r>
              <w:rPr>
                <w:color w:val="1C3A36"/>
                <w:sz w:val="15"/>
              </w:rPr>
              <w:t>eps fy25</w:t>
            </w:r>
          </w:p>
        </w:tc>
        <w:tc>
          <w:tcPr>
            <w:tcW w:type="dxa" w:w="1368"/>
          </w:tcPr>
          <w:p>
            <w:pPr>
              <w:spacing w:after="20"/>
            </w:pPr>
            <w:r>
              <w:rPr>
                <w:color w:val="1C3A36"/>
                <w:sz w:val="15"/>
              </w:rPr>
              <w:t>7.13</w:t>
            </w:r>
          </w:p>
        </w:tc>
        <w:tc>
          <w:tcPr>
            <w:tcW w:type="dxa" w:w="1037"/>
          </w:tcPr>
          <w:p>
            <w:pPr>
              <w:spacing w:after="20"/>
            </w:pPr>
            <w:r>
              <w:rPr>
                <w:color w:val="1C3A36"/>
                <w:sz w:val="15"/>
              </w:rPr>
              <w:t>2026-03-01</w:t>
            </w:r>
          </w:p>
        </w:tc>
        <w:tc>
          <w:tcPr>
            <w:tcW w:type="dxa" w:w="6019"/>
          </w:tcPr>
          <w:p>
            <w:pPr>
              <w:spacing w:after="20"/>
            </w:pPr>
            <w:r>
              <w:rPr>
                <w:color w:val="1C3A36"/>
                <w:sz w:val="15"/>
              </w:rPr>
              <w:t>Audited FY2025 consolidated financial statements, note 39: basic and diluted earnings per share. REGISTERED SO THAT IT CAN BE RECONCILED — 17,330.244990 attributable over 2,140.777876 shares gives 8.095, and the difference from 7.13 is the employees' share above plus the ESOP adjustment to the weighted-average count. Neither figure was wrong in the first edition; nothing compared them</w:t>
            </w:r>
          </w:p>
        </w:tc>
      </w:tr>
      <w:tr>
        <w:tc>
          <w:tcPr>
            <w:tcW w:type="dxa" w:w="1656"/>
          </w:tcPr>
          <w:p>
            <w:pPr>
              <w:spacing w:after="20"/>
            </w:pPr>
            <w:r>
              <w:rPr>
                <w:color w:val="1C3A36"/>
                <w:sz w:val="15"/>
              </w:rPr>
              <w:t>seg rev h1 26</w:t>
            </w:r>
          </w:p>
        </w:tc>
        <w:tc>
          <w:tcPr>
            <w:tcW w:type="dxa" w:w="1368"/>
          </w:tcPr>
          <w:p>
            <w:pPr>
              <w:spacing w:after="20"/>
            </w:pPr>
            <w:r>
              <w:rPr>
                <w:color w:val="1C3A36"/>
                <w:sz w:val="15"/>
              </w:rPr>
              <w:t>cables: 96,495.2; construct: 43,831.3; elecprod: 22,989.3</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revenue without inter-segment sales, aggregating the inside-Egypt and outside-Egypt columns for each segment. Sums EXACTLY to the consolidated 163,315.717414</w:t>
            </w:r>
          </w:p>
        </w:tc>
      </w:tr>
      <w:tr>
        <w:tc>
          <w:tcPr>
            <w:tcW w:type="dxa" w:w="1656"/>
          </w:tcPr>
          <w:p>
            <w:pPr>
              <w:spacing w:after="20"/>
            </w:pPr>
            <w:r>
              <w:rPr>
                <w:color w:val="1C3A36"/>
                <w:sz w:val="15"/>
              </w:rPr>
              <w:t>seg profit h1 26</w:t>
            </w:r>
          </w:p>
        </w:tc>
        <w:tc>
          <w:tcPr>
            <w:tcW w:type="dxa" w:w="1368"/>
          </w:tcPr>
          <w:p>
            <w:pPr>
              <w:spacing w:after="20"/>
            </w:pPr>
            <w:r>
              <w:rPr>
                <w:color w:val="1C3A36"/>
                <w:sz w:val="15"/>
              </w:rPr>
              <w:t>cables: 12,051.3; construct: 5,081.5; elecprod: 5,725.9</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SEGMENT PROFIT (gross profit less selling and distribution expenses), aggregating both geography columns per segment</w:t>
            </w:r>
          </w:p>
        </w:tc>
      </w:tr>
      <w:tr>
        <w:tc>
          <w:tcPr>
            <w:tcW w:type="dxa" w:w="1656"/>
          </w:tcPr>
          <w:p>
            <w:pPr>
              <w:spacing w:after="20"/>
            </w:pPr>
            <w:r>
              <w:rPr>
                <w:color w:val="1C3A36"/>
                <w:sz w:val="15"/>
              </w:rPr>
              <w:t>seg unalloc h1 26</w:t>
            </w:r>
          </w:p>
        </w:tc>
        <w:tc>
          <w:tcPr>
            <w:tcW w:type="dxa" w:w="1368"/>
          </w:tcPr>
          <w:p>
            <w:pPr>
              <w:spacing w:after="20"/>
            </w:pPr>
            <w:r>
              <w:rPr>
                <w:color w:val="1C3A36"/>
                <w:sz w:val="15"/>
              </w:rPr>
              <w:t>-121.8</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the unallocated segment-profit columns</w:t>
            </w:r>
          </w:p>
        </w:tc>
      </w:tr>
      <w:tr>
        <w:tc>
          <w:tcPr>
            <w:tcW w:type="dxa" w:w="1656"/>
          </w:tcPr>
          <w:p>
            <w:pPr>
              <w:spacing w:after="20"/>
            </w:pPr>
            <w:r>
              <w:rPr>
                <w:color w:val="1C3A36"/>
                <w:sz w:val="15"/>
              </w:rPr>
              <w:t>seg rev h1 25</w:t>
            </w:r>
          </w:p>
        </w:tc>
        <w:tc>
          <w:tcPr>
            <w:tcW w:type="dxa" w:w="1368"/>
          </w:tcPr>
          <w:p>
            <w:pPr>
              <w:spacing w:after="20"/>
            </w:pPr>
            <w:r>
              <w:rPr>
                <w:color w:val="1C3A36"/>
                <w:sz w:val="15"/>
              </w:rPr>
              <w:t>cables: 73,904.0; construct: 34,392.8; elecprod: 15,503.8</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Sums EXACTLY to 123,800.551073</w:t>
            </w:r>
          </w:p>
        </w:tc>
      </w:tr>
      <w:tr>
        <w:tc>
          <w:tcPr>
            <w:tcW w:type="dxa" w:w="1656"/>
          </w:tcPr>
          <w:p>
            <w:pPr>
              <w:spacing w:after="20"/>
            </w:pPr>
            <w:r>
              <w:rPr>
                <w:color w:val="1C3A36"/>
                <w:sz w:val="15"/>
              </w:rPr>
              <w:t>seg profit h1 25</w:t>
            </w:r>
          </w:p>
        </w:tc>
        <w:tc>
          <w:tcPr>
            <w:tcW w:type="dxa" w:w="1368"/>
          </w:tcPr>
          <w:p>
            <w:pPr>
              <w:spacing w:after="20"/>
            </w:pPr>
            <w:r>
              <w:rPr>
                <w:color w:val="1C3A36"/>
                <w:sz w:val="15"/>
              </w:rPr>
              <w:t>cables: 10,749.2; construct: 3,115.5; elecprod: 3,636.8</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segment profit — THE HALF THIS STUDY MUST COMPARE AGAINST, because FY2025's group margin of 12.18% sits well below H1-2025's 14.06%: this company's halves are not alike and a half-against-full-year comparison is a basis error</w:t>
            </w:r>
          </w:p>
        </w:tc>
      </w:tr>
      <w:tr>
        <w:tc>
          <w:tcPr>
            <w:tcW w:type="dxa" w:w="1656"/>
          </w:tcPr>
          <w:p>
            <w:pPr>
              <w:spacing w:after="20"/>
            </w:pPr>
            <w:r>
              <w:rPr>
                <w:color w:val="1C3A36"/>
                <w:sz w:val="15"/>
              </w:rPr>
              <w:t>h1 26 debt</w:t>
            </w:r>
          </w:p>
        </w:tc>
        <w:tc>
          <w:tcPr>
            <w:tcW w:type="dxa" w:w="1368"/>
          </w:tcPr>
          <w:p>
            <w:pPr>
              <w:spacing w:after="20"/>
            </w:pPr>
            <w:r>
              <w:rPr>
                <w:color w:val="1C3A36"/>
                <w:sz w:val="15"/>
              </w:rPr>
              <w:t>84,005.2</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statement of financial position, note 31: loans and borrowings, non-current 8,072.452169 plus current 75,932.760330</w:t>
            </w:r>
          </w:p>
        </w:tc>
      </w:tr>
      <w:tr>
        <w:tc>
          <w:tcPr>
            <w:tcW w:type="dxa" w:w="1656"/>
          </w:tcPr>
          <w:p>
            <w:pPr>
              <w:spacing w:after="20"/>
            </w:pPr>
            <w:r>
              <w:rPr>
                <w:color w:val="1C3A36"/>
                <w:sz w:val="15"/>
              </w:rPr>
              <w:t>h1 26 cash</w:t>
            </w:r>
          </w:p>
        </w:tc>
        <w:tc>
          <w:tcPr>
            <w:tcW w:type="dxa" w:w="1368"/>
          </w:tcPr>
          <w:p>
            <w:pPr>
              <w:spacing w:after="20"/>
            </w:pPr>
            <w:r>
              <w:rPr>
                <w:color w:val="1C3A36"/>
                <w:sz w:val="15"/>
              </w:rPr>
              <w:t>55,376.2</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28 cash and cash equivalents 52,775.664158 plus note 27 investments in debt securities at amortised cost 2,600.578354</w:t>
            </w:r>
          </w:p>
        </w:tc>
      </w:tr>
      <w:tr>
        <w:tc>
          <w:tcPr>
            <w:tcW w:type="dxa" w:w="1656"/>
          </w:tcPr>
          <w:p>
            <w:pPr>
              <w:spacing w:after="20"/>
            </w:pPr>
            <w:r>
              <w:rPr>
                <w:color w:val="1C3A36"/>
                <w:sz w:val="15"/>
              </w:rPr>
              <w:t>h1 26 investees</w:t>
            </w:r>
          </w:p>
        </w:tc>
        <w:tc>
          <w:tcPr>
            <w:tcW w:type="dxa" w:w="1368"/>
          </w:tcPr>
          <w:p>
            <w:pPr>
              <w:spacing w:after="20"/>
            </w:pPr>
            <w:r>
              <w:rPr>
                <w:color w:val="1C3A36"/>
                <w:sz w:val="15"/>
              </w:rPr>
              <w:t>7,119.6</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 equity-accounted investees at carrying value (31-Dec-2025: 6,757.650507)</w:t>
            </w:r>
          </w:p>
        </w:tc>
      </w:tr>
      <w:tr>
        <w:tc>
          <w:tcPr>
            <w:tcW w:type="dxa" w:w="1656"/>
          </w:tcPr>
          <w:p>
            <w:pPr>
              <w:spacing w:after="20"/>
            </w:pPr>
            <w:r>
              <w:rPr>
                <w:color w:val="1C3A36"/>
                <w:sz w:val="15"/>
              </w:rPr>
              <w:t>h1 26 eq parent</w:t>
            </w:r>
          </w:p>
        </w:tc>
        <w:tc>
          <w:tcPr>
            <w:tcW w:type="dxa" w:w="1368"/>
          </w:tcPr>
          <w:p>
            <w:pPr>
              <w:spacing w:after="20"/>
            </w:pPr>
            <w:r>
              <w:rPr>
                <w:color w:val="1C3A36"/>
                <w:sz w:val="15"/>
              </w:rPr>
              <w:t>70,347.3</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equity attributable to owners of the parent company (31-Dec-2025: 66,870.866550)</w:t>
            </w:r>
          </w:p>
        </w:tc>
      </w:tr>
      <w:tr>
        <w:tc>
          <w:tcPr>
            <w:tcW w:type="dxa" w:w="1656"/>
          </w:tcPr>
          <w:p>
            <w:pPr>
              <w:spacing w:after="20"/>
            </w:pPr>
            <w:r>
              <w:rPr>
                <w:color w:val="1C3A36"/>
                <w:sz w:val="15"/>
              </w:rPr>
              <w:t>h1 26 nci eq</w:t>
            </w:r>
          </w:p>
        </w:tc>
        <w:tc>
          <w:tcPr>
            <w:tcW w:type="dxa" w:w="1368"/>
          </w:tcPr>
          <w:p>
            <w:pPr>
              <w:spacing w:after="20"/>
            </w:pPr>
            <w:r>
              <w:rPr>
                <w:color w:val="1C3A36"/>
                <w:sz w:val="15"/>
              </w:rPr>
              <w:t>5,677.3</w:t>
            </w:r>
          </w:p>
        </w:tc>
        <w:tc>
          <w:tcPr>
            <w:tcW w:type="dxa" w:w="1037"/>
          </w:tcPr>
          <w:p>
            <w:pPr>
              <w:spacing w:after="20"/>
            </w:pPr>
            <w:r>
              <w:rPr>
                <w:color w:val="1C3A36"/>
                <w:sz w:val="15"/>
              </w:rPr>
              <w:t>2026-08-11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 7.47% of total equity of 76,024.598402, against the 9.7% value share this study's bridge deducts and 6.81% of the half's profit. The study's figure is conservative on all three readings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037"/>
          </w:tcPr>
          <w:p>
            <w:pPr>
              <w:spacing w:after="20"/>
            </w:pPr>
            <w:r>
              <w:rPr>
                <w:color w:val="1C3A36"/>
                <w:sz w:val="15"/>
              </w:rPr>
              <w:t>2026-03-15</w:t>
            </w:r>
          </w:p>
        </w:tc>
        <w:tc>
          <w:tcPr>
            <w:tcW w:type="dxa" w:w="6019"/>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037"/>
          </w:tcPr>
          <w:p>
            <w:pPr>
              <w:spacing w:after="20"/>
            </w:pPr>
            <w:r>
              <w:rPr>
                <w:color w:val="1C3A36"/>
                <w:sz w:val="15"/>
              </w:rPr>
              <w:t>2026-03-15</w:t>
            </w:r>
          </w:p>
        </w:tc>
        <w:tc>
          <w:tcPr>
            <w:tcW w:type="dxa" w:w="6019"/>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037"/>
          </w:tcPr>
          <w:p>
            <w:pPr>
              <w:spacing w:after="20"/>
            </w:pPr>
            <w:r>
              <w:rPr>
                <w:color w:val="1C3A36"/>
                <w:sz w:val="15"/>
              </w:rPr>
              <w:t>2026-03-15</w:t>
            </w:r>
          </w:p>
        </w:tc>
        <w:tc>
          <w:tcPr>
            <w:tcW w:type="dxa" w:w="6019"/>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037"/>
          </w:tcPr>
          <w:p>
            <w:pPr>
              <w:spacing w:after="20"/>
            </w:pPr>
            <w:r>
              <w:rPr>
                <w:color w:val="1C3A36"/>
                <w:sz w:val="15"/>
              </w:rPr>
              <w:t>2026-03-15</w:t>
            </w:r>
          </w:p>
        </w:tc>
        <w:tc>
          <w:tcPr>
            <w:tcW w:type="dxa" w:w="6019"/>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037"/>
          </w:tcPr>
          <w:p>
            <w:pPr>
              <w:spacing w:after="20"/>
            </w:pPr>
            <w:r>
              <w:rPr>
                <w:color w:val="1C3A36"/>
                <w:sz w:val="15"/>
              </w:rPr>
              <w:t>2026-03-15</w:t>
            </w:r>
          </w:p>
        </w:tc>
        <w:tc>
          <w:tcPr>
            <w:tcW w:type="dxa" w:w="6019"/>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037"/>
          </w:tcPr>
          <w:p>
            <w:pPr>
              <w:spacing w:after="20"/>
            </w:pPr>
            <w:r>
              <w:rPr>
                <w:color w:val="1C3A36"/>
                <w:sz w:val="15"/>
              </w:rPr>
              <w:t>2026-03-15</w:t>
            </w:r>
          </w:p>
        </w:tc>
        <w:tc>
          <w:tcPr>
            <w:tcW w:type="dxa" w:w="6019"/>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037"/>
          </w:tcPr>
          <w:p>
            <w:pPr>
              <w:spacing w:after="20"/>
            </w:pPr>
            <w:r>
              <w:rPr>
                <w:color w:val="1C3A36"/>
                <w:sz w:val="15"/>
              </w:rPr>
              <w:t>2026-03-15</w:t>
            </w:r>
          </w:p>
        </w:tc>
        <w:tc>
          <w:tcPr>
            <w:tcW w:type="dxa" w:w="6019"/>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037"/>
          </w:tcPr>
          <w:p>
            <w:pPr>
              <w:spacing w:after="20"/>
            </w:pPr>
            <w:r>
              <w:rPr>
                <w:color w:val="1C3A36"/>
                <w:sz w:val="15"/>
              </w:rPr>
              <w:t>2026-03-15</w:t>
            </w:r>
          </w:p>
        </w:tc>
        <w:tc>
          <w:tcPr>
            <w:tcW w:type="dxa" w:w="6019"/>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037"/>
          </w:tcPr>
          <w:p>
            <w:pPr>
              <w:spacing w:after="20"/>
            </w:pPr>
            <w:r>
              <w:rPr>
                <w:color w:val="1C3A36"/>
                <w:sz w:val="15"/>
              </w:rPr>
              <w:t>2026-03-15</w:t>
            </w:r>
          </w:p>
        </w:tc>
        <w:tc>
          <w:tcPr>
            <w:tcW w:type="dxa" w:w="6019"/>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037"/>
          </w:tcPr>
          <w:p>
            <w:pPr>
              <w:spacing w:after="20"/>
            </w:pPr>
            <w:r>
              <w:rPr>
                <w:color w:val="1C3A36"/>
                <w:sz w:val="15"/>
              </w:rPr>
              <w:t>2026-03-15</w:t>
            </w:r>
          </w:p>
        </w:tc>
        <w:tc>
          <w:tcPr>
            <w:tcW w:type="dxa" w:w="6019"/>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037"/>
          </w:tcPr>
          <w:p>
            <w:pPr>
              <w:spacing w:after="20"/>
            </w:pPr>
            <w:r>
              <w:rPr>
                <w:color w:val="1C3A36"/>
                <w:sz w:val="15"/>
              </w:rPr>
              <w:t>2026-03-15</w:t>
            </w:r>
          </w:p>
        </w:tc>
        <w:tc>
          <w:tcPr>
            <w:tcW w:type="dxa" w:w="6019"/>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037"/>
          </w:tcPr>
          <w:p>
            <w:pPr>
              <w:spacing w:after="20"/>
            </w:pPr>
            <w:r>
              <w:rPr>
                <w:color w:val="1C3A36"/>
                <w:sz w:val="15"/>
              </w:rPr>
              <w:t>2026-03-15</w:t>
            </w:r>
          </w:p>
        </w:tc>
        <w:tc>
          <w:tcPr>
            <w:tcW w:type="dxa" w:w="6019"/>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037"/>
          </w:tcPr>
          <w:p>
            <w:pPr>
              <w:spacing w:after="20"/>
            </w:pPr>
            <w:r>
              <w:rPr>
                <w:color w:val="1C3A36"/>
                <w:sz w:val="15"/>
              </w:rPr>
              <w:t>2026-03-15</w:t>
            </w:r>
          </w:p>
        </w:tc>
        <w:tc>
          <w:tcPr>
            <w:tcW w:type="dxa" w:w="6019"/>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037"/>
          </w:tcPr>
          <w:p>
            <w:pPr>
              <w:spacing w:after="20"/>
            </w:pPr>
            <w:r>
              <w:rPr>
                <w:color w:val="1C3A36"/>
                <w:sz w:val="15"/>
              </w:rPr>
              <w:t>2026-03-15</w:t>
            </w:r>
          </w:p>
        </w:tc>
        <w:tc>
          <w:tcPr>
            <w:tcW w:type="dxa" w:w="6019"/>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037"/>
          </w:tcPr>
          <w:p>
            <w:pPr>
              <w:spacing w:after="20"/>
            </w:pPr>
            <w:r>
              <w:rPr>
                <w:color w:val="1C3A36"/>
                <w:sz w:val="15"/>
              </w:rPr>
              <w:t>2026-05-13</w:t>
            </w:r>
          </w:p>
        </w:tc>
        <w:tc>
          <w:tcPr>
            <w:tcW w:type="dxa" w:w="6019"/>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ppe gross depreciable fy25</w:t>
            </w:r>
          </w:p>
        </w:tc>
        <w:tc>
          <w:tcPr>
            <w:tcW w:type="dxa" w:w="1368"/>
          </w:tcPr>
          <w:p>
            <w:pPr>
              <w:spacing w:after="20"/>
            </w:pPr>
            <w:r>
              <w:rPr>
                <w:color w:val="1C3A36"/>
                <w:sz w:val="15"/>
              </w:rPr>
              <w:t>50,776.0</w:t>
            </w:r>
          </w:p>
        </w:tc>
        <w:tc>
          <w:tcPr>
            <w:tcW w:type="dxa" w:w="1037"/>
          </w:tcPr>
          <w:p>
            <w:pPr>
              <w:spacing w:after="20"/>
            </w:pPr>
            <w:r>
              <w:rPr>
                <w:color w:val="1C3A36"/>
                <w:sz w:val="15"/>
              </w:rPr>
              <w:t>2026-03-01</w:t>
            </w:r>
          </w:p>
        </w:tc>
        <w:tc>
          <w:tcPr>
            <w:tcW w:type="dxa" w:w="6019"/>
          </w:tcPr>
          <w:p>
            <w:pPr>
              <w:spacing w:after="20"/>
            </w:pPr>
            <w:r>
              <w:rPr>
                <w:color w:val="1C3A36"/>
                <w:sz w:val="15"/>
              </w:rPr>
              <w:t>Audited FY2025 consolidated financial statements, note 17: gross cost at 31-Dec-2025 of the DEPRECIABLE property, plant and equipment — buildings and constructions 13,357.135195 + machinery and equipment 32,960.824267 + furniture and fixtures 2,464.375061 + vehicles 1,630.540975 + leasehold improvements 363.075076. EXCLUDES land (2,312.648624), which the note states is not depreciated, and projects under construction (8,915.910071), which are not yet in use. The note foots three ways: components to the 53,088.599198 subtotal, subtotal plus projects to the 62,004.509269 total, and the component charges to the 2,733.671862 total charge</w:t>
            </w:r>
          </w:p>
        </w:tc>
      </w:tr>
      <w:tr>
        <w:tc>
          <w:tcPr>
            <w:tcW w:type="dxa" w:w="1656"/>
          </w:tcPr>
          <w:p>
            <w:pPr>
              <w:spacing w:after="20"/>
            </w:pPr>
            <w:r>
              <w:rPr>
                <w:color w:val="1C3A36"/>
                <w:sz w:val="15"/>
              </w:rPr>
              <w:t>asset life source</w:t>
            </w:r>
          </w:p>
        </w:tc>
        <w:tc>
          <w:tcPr>
            <w:tcW w:type="dxa" w:w="1368"/>
          </w:tcPr>
          <w:p>
            <w:pPr>
              <w:spacing w:after="20"/>
            </w:pPr>
            <w:r>
              <w:rPr>
                <w:color w:val="1C3A36"/>
                <w:sz w:val="15"/>
              </w:rPr>
              <w:t>Audited FY2025 consolidated financial statements of El Sewedy Electric Company, note 17 (property, plant and equipment) read with the accounting-policies note on depreciation: average depreciable gross cost over the year's own charge, excluding land, which the policy note states is not depreciated, and projects under construction, which are not in use.</w:t>
            </w:r>
          </w:p>
        </w:tc>
        <w:tc>
          <w:tcPr>
            <w:tcW w:type="dxa" w:w="1037"/>
          </w:tcPr>
          <w:p>
            <w:pPr>
              <w:spacing w:after="20"/>
            </w:pPr>
            <w:r>
              <w:rPr>
                <w:color w:val="1C3A36"/>
                <w:sz w:val="15"/>
              </w:rPr>
              <w:t>2026-03-01</w:t>
            </w:r>
          </w:p>
        </w:tc>
        <w:tc>
          <w:tcPr>
            <w:tcW w:type="dxa" w:w="6019"/>
          </w:tcPr>
          <w:p>
            <w:pPr>
              <w:spacing w:after="20"/>
            </w:pPr>
            <w:r>
              <w:rPr>
                <w:color w:val="1C3A36"/>
                <w:sz w:val="15"/>
              </w:rPr>
              <w:t>The source string the terminal module requires. It refuses a life with no disclosure behind it</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037"/>
          </w:tcPr>
          <w:p>
            <w:pPr>
              <w:spacing w:after="20"/>
            </w:pPr>
            <w:r>
              <w:rPr>
                <w:color w:val="1C3A36"/>
                <w:sz w:val="15"/>
              </w:rPr>
              <w:t>2026-03-15</w:t>
            </w:r>
          </w:p>
        </w:tc>
        <w:tc>
          <w:tcPr>
            <w:tcW w:type="dxa" w:w="6019"/>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r>
        <w:tc>
          <w:tcPr>
            <w:tcW w:type="dxa" w:w="1656"/>
          </w:tcPr>
          <w:p>
            <w:pPr>
              <w:spacing w:after="20"/>
            </w:pPr>
            <w:r>
              <w:rPr>
                <w:color w:val="1C3A36"/>
                <w:sz w:val="15"/>
              </w:rPr>
              <w:t>sh sadek</w:t>
            </w:r>
          </w:p>
        </w:tc>
        <w:tc>
          <w:tcPr>
            <w:tcW w:type="dxa" w:w="1368"/>
          </w:tcPr>
          <w:p>
            <w:pPr>
              <w:spacing w:after="20"/>
            </w:pPr>
            <w:r>
              <w:rPr>
                <w:color w:val="1C3A36"/>
                <w:sz w:val="15"/>
              </w:rPr>
              <w:t>0.2499</w:t>
            </w:r>
          </w:p>
        </w:tc>
        <w:tc>
          <w:tcPr>
            <w:tcW w:type="dxa" w:w="1037"/>
          </w:tcPr>
          <w:p>
            <w:pPr>
              <w:spacing w:after="20"/>
            </w:pPr>
            <w:r>
              <w:rPr>
                <w:color w:val="1C3A36"/>
                <w:sz w:val="15"/>
              </w:rPr>
              <w:t>2026-03-01</w:t>
            </w:r>
          </w:p>
        </w:tc>
        <w:tc>
          <w:tcPr>
            <w:tcW w:type="dxa" w:w="6019"/>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(shareholders' structure) as at 31 December 2025: Sadek Ahmed Sadek Elsewedy, 534,980,391 shares</w:t>
            </w:r>
          </w:p>
        </w:tc>
      </w:tr>
      <w:tr>
        <w:tc>
          <w:tcPr>
            <w:tcW w:type="dxa" w:w="1656"/>
          </w:tcPr>
          <w:p>
            <w:pPr>
              <w:spacing w:after="20"/>
            </w:pPr>
            <w:r>
              <w:rPr>
                <w:color w:val="1C3A36"/>
                <w:sz w:val="15"/>
              </w:rPr>
              <w:t>sh ahmed</w:t>
            </w:r>
          </w:p>
        </w:tc>
        <w:tc>
          <w:tcPr>
            <w:tcW w:type="dxa" w:w="1368"/>
          </w:tcPr>
          <w:p>
            <w:pPr>
              <w:spacing w:after="20"/>
            </w:pPr>
            <w:r>
              <w:rPr>
                <w:color w:val="1C3A36"/>
                <w:sz w:val="15"/>
              </w:rPr>
              <w:t>0.2499</w:t>
            </w:r>
          </w:p>
        </w:tc>
        <w:tc>
          <w:tcPr>
            <w:tcW w:type="dxa" w:w="1037"/>
          </w:tcPr>
          <w:p>
            <w:pPr>
              <w:spacing w:after="20"/>
            </w:pPr>
            <w:r>
              <w:rPr>
                <w:color w:val="1C3A36"/>
                <w:sz w:val="15"/>
              </w:rPr>
              <w:t>2026-03-01</w:t>
            </w:r>
          </w:p>
        </w:tc>
        <w:tc>
          <w:tcPr>
            <w:tcW w:type="dxa" w:w="6019"/>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Ahmed Ahmed Sadek Elsewedy, 534,980,391 shares</w:t>
            </w:r>
          </w:p>
        </w:tc>
      </w:tr>
      <w:tr>
        <w:tc>
          <w:tcPr>
            <w:tcW w:type="dxa" w:w="1656"/>
          </w:tcPr>
          <w:p>
            <w:pPr>
              <w:spacing w:after="20"/>
            </w:pPr>
            <w:r>
              <w:rPr>
                <w:color w:val="1C3A36"/>
                <w:sz w:val="15"/>
              </w:rPr>
              <w:t>sh mohamed</w:t>
            </w:r>
          </w:p>
        </w:tc>
        <w:tc>
          <w:tcPr>
            <w:tcW w:type="dxa" w:w="1368"/>
          </w:tcPr>
          <w:p>
            <w:pPr>
              <w:spacing w:after="20"/>
            </w:pPr>
            <w:r>
              <w:rPr>
                <w:color w:val="1C3A36"/>
                <w:sz w:val="15"/>
              </w:rPr>
              <w:t>0.1801</w:t>
            </w:r>
          </w:p>
        </w:tc>
        <w:tc>
          <w:tcPr>
            <w:tcW w:type="dxa" w:w="1037"/>
          </w:tcPr>
          <w:p>
            <w:pPr>
              <w:spacing w:after="20"/>
            </w:pPr>
            <w:r>
              <w:rPr>
                <w:color w:val="1C3A36"/>
                <w:sz w:val="15"/>
              </w:rPr>
              <w:t>2026-03-01</w:t>
            </w:r>
          </w:p>
        </w:tc>
        <w:tc>
          <w:tcPr>
            <w:tcW w:type="dxa" w:w="6019"/>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Mohamed Ahmed Sadek Elsewedy, 385,602,690 shares</w:t>
            </w:r>
          </w:p>
        </w:tc>
      </w:tr>
      <w:tr>
        <w:tc>
          <w:tcPr>
            <w:tcW w:type="dxa" w:w="1656"/>
          </w:tcPr>
          <w:p>
            <w:pPr>
              <w:spacing w:after="20"/>
            </w:pPr>
            <w:r>
              <w:rPr>
                <w:color w:val="1C3A36"/>
                <w:sz w:val="15"/>
              </w:rPr>
              <w:t>sh electra fy24</w:t>
            </w:r>
          </w:p>
        </w:tc>
        <w:tc>
          <w:tcPr>
            <w:tcW w:type="dxa" w:w="1368"/>
          </w:tcPr>
          <w:p>
            <w:pPr>
              <w:spacing w:after="20"/>
            </w:pPr>
            <w:r>
              <w:rPr>
                <w:color w:val="1C3A36"/>
                <w:sz w:val="15"/>
              </w:rPr>
              <w:t>0.2037</w:t>
            </w:r>
          </w:p>
        </w:tc>
        <w:tc>
          <w:tcPr>
            <w:tcW w:type="dxa" w:w="1037"/>
          </w:tcPr>
          <w:p>
            <w:pPr>
              <w:spacing w:after="20"/>
            </w:pPr>
            <w:r>
              <w:rPr>
                <w:color w:val="1C3A36"/>
                <w:sz w:val="15"/>
              </w:rPr>
              <w:t>2025-03-01</w:t>
            </w:r>
          </w:p>
        </w:tc>
        <w:tc>
          <w:tcPr>
            <w:tcW w:type="dxa" w:w="6019"/>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Electra Investment Holding, 436,109,503 shares at 31 December 2024</w:t>
            </w:r>
          </w:p>
        </w:tc>
      </w:tr>
      <w:tr>
        <w:tc>
          <w:tcPr>
            <w:tcW w:type="dxa" w:w="1656"/>
          </w:tcPr>
          <w:p>
            <w:pPr>
              <w:spacing w:after="20"/>
            </w:pPr>
            <w:r>
              <w:rPr>
                <w:color w:val="1C3A36"/>
                <w:sz w:val="15"/>
              </w:rPr>
              <w:t>sh other fy24</w:t>
            </w:r>
          </w:p>
        </w:tc>
        <w:tc>
          <w:tcPr>
            <w:tcW w:type="dxa" w:w="1368"/>
          </w:tcPr>
          <w:p>
            <w:pPr>
              <w:spacing w:after="20"/>
            </w:pPr>
            <w:r>
              <w:rPr>
                <w:color w:val="1C3A36"/>
                <w:sz w:val="15"/>
              </w:rPr>
              <w:t>0.1157</w:t>
            </w:r>
          </w:p>
        </w:tc>
        <w:tc>
          <w:tcPr>
            <w:tcW w:type="dxa" w:w="1037"/>
          </w:tcPr>
          <w:p>
            <w:pPr>
              <w:spacing w:after="20"/>
            </w:pPr>
            <w:r>
              <w:rPr>
                <w:color w:val="1C3A36"/>
                <w:sz w:val="15"/>
              </w:rPr>
              <w:t>2025-03-01</w:t>
            </w:r>
          </w:p>
        </w:tc>
        <w:tc>
          <w:tcPr>
            <w:tcW w:type="dxa" w:w="6019"/>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other shareholders, 247,682,741 shares at 31 December 2024</w:t>
            </w:r>
          </w:p>
        </w:tc>
      </w:tr>
      <w:tr>
        <w:tc>
          <w:tcPr>
            <w:tcW w:type="dxa" w:w="1656"/>
          </w:tcPr>
          <w:p>
            <w:pPr>
              <w:spacing w:after="20"/>
            </w:pPr>
            <w:r>
              <w:rPr>
                <w:color w:val="1C3A36"/>
                <w:sz w:val="15"/>
              </w:rPr>
              <w:t>stake insulators</w:t>
            </w:r>
          </w:p>
        </w:tc>
        <w:tc>
          <w:tcPr>
            <w:tcW w:type="dxa" w:w="1368"/>
          </w:tcPr>
          <w:p>
            <w:pPr>
              <w:spacing w:after="20"/>
            </w:pPr>
            <w:r>
              <w:rPr>
                <w:color w:val="1C3A36"/>
                <w:sz w:val="15"/>
              </w:rPr>
              <w:t>0.2517</w:t>
            </w:r>
          </w:p>
        </w:tc>
        <w:tc>
          <w:tcPr>
            <w:tcW w:type="dxa" w:w="1037"/>
          </w:tcPr>
          <w:p>
            <w:pPr>
              <w:spacing w:after="20"/>
            </w:pPr>
            <w:r>
              <w:rPr>
                <w:color w:val="1C3A36"/>
                <w:sz w:val="15"/>
              </w:rPr>
              <w:t>2026-03-01</w:t>
            </w:r>
          </w:p>
        </w:tc>
        <w:tc>
          <w:tcPr>
            <w:tcW w:type="dxa" w:w="6019"/>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20 (equity-accounted investees): Egyptian Company for Electrical Insulators, carrying value EGP 76.1mn</w:t>
            </w:r>
          </w:p>
        </w:tc>
      </w:tr>
      <w:tr>
        <w:tc>
          <w:tcPr>
            <w:tcW w:type="dxa" w:w="1656"/>
          </w:tcPr>
          <w:p>
            <w:pPr>
              <w:spacing w:after="20"/>
            </w:pPr>
            <w:r>
              <w:rPr>
                <w:color w:val="1C3A36"/>
                <w:sz w:val="15"/>
              </w:rPr>
              <w:t>etr q1 26</w:t>
            </w:r>
          </w:p>
        </w:tc>
        <w:tc>
          <w:tcPr>
            <w:tcW w:type="dxa" w:w="1368"/>
          </w:tcPr>
          <w:p>
            <w:pPr>
              <w:spacing w:after="20"/>
            </w:pPr>
            <w:r>
              <w:rPr>
                <w:color w:val="1C3A36"/>
                <w:sz w:val="15"/>
              </w:rPr>
              <w:t>0.2575</w:t>
            </w:r>
          </w:p>
        </w:tc>
        <w:tc>
          <w:tcPr>
            <w:tcW w:type="dxa" w:w="1037"/>
          </w:tcPr>
          <w:p>
            <w:pPr>
              <w:spacing w:after="20"/>
            </w:pPr>
            <w:r>
              <w:rPr>
                <w:color w:val="1C3A36"/>
                <w:sz w:val="15"/>
              </w:rPr>
              <w:t>2026-05-01</w:t>
            </w:r>
          </w:p>
        </w:tc>
        <w:tc>
          <w:tcPr>
            <w:tcW w:type="dxa" w:w="6019"/>
          </w:tcPr>
          <w:p>
            <w:pPr>
              <w:spacing w:after="20"/>
            </w:pPr>
            <w:r>
              <w:rPr>
                <w:color w:val="1C3A36"/>
                <w:sz w:val="15"/>
              </w:rPr>
              <w:t>Q1-2026 reviewed interim consolidated statements at ir.elsewedyelectric.com, income tax expense over profit before tax of 7,041.966803</w:t>
            </w:r>
          </w:p>
        </w:tc>
      </w:tr>
      <w:tr>
        <w:tc>
          <w:tcPr>
            <w:tcW w:type="dxa" w:w="1656"/>
          </w:tcPr>
          <w:p>
            <w:pPr>
              <w:spacing w:after="20"/>
            </w:pPr>
            <w:r>
              <w:rPr>
                <w:color w:val="1C3A36"/>
                <w:sz w:val="15"/>
              </w:rPr>
              <w:t>etr q1 25</w:t>
            </w:r>
          </w:p>
        </w:tc>
        <w:tc>
          <w:tcPr>
            <w:tcW w:type="dxa" w:w="1368"/>
          </w:tcPr>
          <w:p>
            <w:pPr>
              <w:spacing w:after="20"/>
            </w:pPr>
            <w:r>
              <w:rPr>
                <w:color w:val="1C3A36"/>
                <w:sz w:val="15"/>
              </w:rPr>
              <w:t>0.2196</w:t>
            </w:r>
          </w:p>
        </w:tc>
        <w:tc>
          <w:tcPr>
            <w:tcW w:type="dxa" w:w="1037"/>
          </w:tcPr>
          <w:p>
            <w:pPr>
              <w:spacing w:after="20"/>
            </w:pPr>
            <w:r>
              <w:rPr>
                <w:color w:val="1C3A36"/>
                <w:sz w:val="15"/>
              </w:rPr>
              <w:t>2026-05-01</w:t>
            </w:r>
          </w:p>
        </w:tc>
        <w:tc>
          <w:tcPr>
            <w:tcW w:type="dxa" w:w="6019"/>
          </w:tcPr>
          <w:p>
            <w:pPr>
              <w:spacing w:after="20"/>
            </w:pPr>
            <w:r>
              <w:rPr>
                <w:color w:val="1C3A36"/>
                <w:sz w:val="15"/>
              </w:rPr>
              <w:t>Q1-2025 reviewed interim consolidated statements, the comparative column of the Q1-2026 filing: income tax expense over profit before tax</w:t>
            </w:r>
          </w:p>
        </w:tc>
      </w:tr>
      <w:tr>
        <w:tc>
          <w:tcPr>
            <w:tcW w:type="dxa" w:w="1656"/>
          </w:tcPr>
          <w:p>
            <w:pPr>
              <w:spacing w:after="20"/>
            </w:pPr>
            <w:r>
              <w:rPr>
                <w:color w:val="1C3A36"/>
                <w:sz w:val="15"/>
              </w:rPr>
              <w:t>etr h1 25</w:t>
            </w:r>
          </w:p>
        </w:tc>
        <w:tc>
          <w:tcPr>
            <w:tcW w:type="dxa" w:w="1368"/>
          </w:tcPr>
          <w:p>
            <w:pPr>
              <w:spacing w:after="20"/>
            </w:pPr>
            <w:r>
              <w:rPr>
                <w:color w:val="1C3A36"/>
                <w:sz w:val="15"/>
              </w:rPr>
              <w:t>0.3085</w:t>
            </w:r>
          </w:p>
        </w:tc>
        <w:tc>
          <w:tcPr>
            <w:tcW w:type="dxa" w:w="1037"/>
          </w:tcPr>
          <w:p>
            <w:pPr>
              <w:spacing w:after="20"/>
            </w:pPr>
            <w:r>
              <w:rPr>
                <w:color w:val="1C3A36"/>
                <w:sz w:val="15"/>
              </w:rPr>
              <w:t>2026-08-01</w:t>
            </w:r>
          </w:p>
        </w:tc>
        <w:tc>
          <w:tcPr>
            <w:tcW w:type="dxa" w:w="6019"/>
          </w:tcPr>
          <w:p>
            <w:pPr>
              <w:spacing w:after="20"/>
            </w:pPr>
            <w:r>
              <w:rPr>
                <w:color w:val="1C3A36"/>
                <w:sz w:val="15"/>
              </w:rPr>
              <w:t>H1-2025 reviewed interim consolidated statements, the comparative column of the H1-2026 filing: income tax expense over profit before tax of 15,395.270255</w:t>
            </w:r>
          </w:p>
        </w:tc>
      </w:tr>
      <w:tr>
        <w:tc>
          <w:tcPr>
            <w:tcW w:type="dxa" w:w="1656"/>
          </w:tcPr>
          <w:p>
            <w:pPr>
              <w:spacing w:after="20"/>
            </w:pPr>
            <w:r>
              <w:rPr>
                <w:color w:val="1C3A36"/>
                <w:sz w:val="15"/>
              </w:rPr>
              <w:t>nci share h1 26 profit</w:t>
            </w:r>
          </w:p>
        </w:tc>
        <w:tc>
          <w:tcPr>
            <w:tcW w:type="dxa" w:w="1368"/>
          </w:tcPr>
          <w:p>
            <w:pPr>
              <w:spacing w:after="20"/>
            </w:pPr>
            <w:r>
              <w:rPr>
                <w:color w:val="1C3A36"/>
                <w:sz w:val="15"/>
              </w:rPr>
              <w:t>0.0681</w:t>
            </w:r>
          </w:p>
        </w:tc>
        <w:tc>
          <w:tcPr>
            <w:tcW w:type="dxa" w:w="1037"/>
          </w:tcPr>
          <w:p>
            <w:pPr>
              <w:spacing w:after="20"/>
            </w:pPr>
            <w:r>
              <w:rPr>
                <w:color w:val="1C3A36"/>
                <w:sz w:val="15"/>
              </w:rPr>
              <w:t>2026-08-01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over total profit after tax for the half</w:t>
            </w:r>
          </w:p>
        </w:tc>
      </w:tr>
      <w:tr>
        <w:tc>
          <w:tcPr>
            <w:tcW w:type="dxa" w:w="1656"/>
          </w:tcPr>
          <w:p>
            <w:pPr>
              <w:spacing w:after="20"/>
            </w:pPr>
            <w:r>
              <w:rPr>
                <w:color w:val="1C3A36"/>
                <w:sz w:val="15"/>
              </w:rPr>
              <w:t>nci share h1 26 equity</w:t>
            </w:r>
          </w:p>
        </w:tc>
        <w:tc>
          <w:tcPr>
            <w:tcW w:type="dxa" w:w="1368"/>
          </w:tcPr>
          <w:p>
            <w:pPr>
              <w:spacing w:after="20"/>
            </w:pPr>
            <w:r>
              <w:rPr>
                <w:color w:val="1C3A36"/>
                <w:sz w:val="15"/>
              </w:rPr>
              <w:t>0.0747</w:t>
            </w:r>
          </w:p>
        </w:tc>
        <w:tc>
          <w:tcPr>
            <w:tcW w:type="dxa" w:w="1037"/>
          </w:tcPr>
          <w:p>
            <w:pPr>
              <w:spacing w:after="20"/>
            </w:pPr>
            <w:r>
              <w:rPr>
                <w:color w:val="1C3A36"/>
                <w:sz w:val="15"/>
              </w:rPr>
              <w:t>2026-08-01</w:t>
            </w:r>
          </w:p>
        </w:tc>
        <w:tc>
          <w:tcPr>
            <w:tcW w:type="dxa" w:w="6019"/>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over total equity of 76,024.598402</w:t>
            </w:r>
          </w:p>
        </w:tc>
      </w:tr>
      <w:tr>
        <w:tc>
          <w:tcPr>
            <w:tcW w:type="dxa" w:w="1656"/>
          </w:tcPr>
          <w:p>
            <w:pPr>
              <w:spacing w:after="20"/>
            </w:pPr>
            <w:r>
              <w:rPr>
                <w:color w:val="1C3A36"/>
                <w:sz w:val="15"/>
              </w:rPr>
              <w:t>emp share h1 25</w:t>
            </w:r>
          </w:p>
        </w:tc>
        <w:tc>
          <w:tcPr>
            <w:tcW w:type="dxa" w:w="1368"/>
          </w:tcPr>
          <w:p>
            <w:pPr>
              <w:spacing w:after="20"/>
            </w:pPr>
            <w:r>
              <w:rPr>
                <w:color w:val="1C3A36"/>
                <w:sz w:val="15"/>
              </w:rPr>
              <w:t>0.1271</w:t>
            </w:r>
          </w:p>
        </w:tc>
        <w:tc>
          <w:tcPr>
            <w:tcW w:type="dxa" w:w="1037"/>
          </w:tcPr>
          <w:p>
            <w:pPr>
              <w:spacing w:after="20"/>
            </w:pPr>
            <w:r>
              <w:rPr>
                <w:color w:val="1C3A36"/>
                <w:sz w:val="15"/>
              </w:rPr>
              <w:t>2026-08-01</w:t>
            </w:r>
          </w:p>
        </w:tc>
        <w:tc>
          <w:tcPr>
            <w:tcW w:type="dxa" w:w="6019"/>
          </w:tcPr>
          <w:p>
            <w:pPr>
              <w:spacing w:after="20"/>
            </w:pPr>
            <w:r>
              <w:rPr>
                <w:color w:val="1C3A36"/>
                <w:sz w:val="15"/>
              </w:rPr>
              <w:t>H1-2025 comparative column of the H1-2026 reviewed statements, note 38: employees' share in profit 1,104.834367 over profit attributable to owners of 8,694.611825</w:t>
            </w:r>
          </w:p>
        </w:tc>
      </w:tr>
      <w:tr>
        <w:tc>
          <w:tcPr>
            <w:tcW w:type="dxa" w:w="1656"/>
          </w:tcPr>
          <w:p>
            <w:pPr>
              <w:spacing w:after="20"/>
            </w:pPr>
            <w:r>
              <w:rPr>
                <w:color w:val="1C3A36"/>
                <w:sz w:val="15"/>
              </w:rPr>
              <w:t>export share fy25</w:t>
            </w:r>
          </w:p>
        </w:tc>
        <w:tc>
          <w:tcPr>
            <w:tcW w:type="dxa" w:w="1368"/>
          </w:tcPr>
          <w:p>
            <w:pPr>
              <w:spacing w:after="20"/>
            </w:pPr>
            <w:r>
              <w:rPr>
                <w:color w:val="1C3A36"/>
                <w:sz w:val="15"/>
              </w:rPr>
              <w:t>0.4072</w:t>
            </w:r>
          </w:p>
        </w:tc>
        <w:tc>
          <w:tcPr>
            <w:tcW w:type="dxa" w:w="1037"/>
          </w:tcPr>
          <w:p>
            <w:pPr>
              <w:spacing w:after="20"/>
            </w:pPr>
            <w:r>
              <w:rPr>
                <w:color w:val="1C3A36"/>
                <w:sz w:val="15"/>
              </w:rPr>
              <w:t>2026-03-01</w:t>
            </w:r>
          </w:p>
        </w:tc>
        <w:tc>
          <w:tcPr>
            <w:tcW w:type="dxa" w:w="6019"/>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5 (geographic disaggregation): revenue outside Egypt 114,461.030219 over total revenue 281,049.081719</w:t>
            </w:r>
          </w:p>
        </w:tc>
      </w:tr>
      <w:tr>
        <w:tc>
          <w:tcPr>
            <w:tcW w:type="dxa" w:w="1656"/>
          </w:tcPr>
          <w:p>
            <w:pPr>
              <w:spacing w:after="20"/>
            </w:pPr>
            <w:r>
              <w:rPr>
                <w:color w:val="1C3A36"/>
                <w:sz w:val="15"/>
              </w:rPr>
              <w:t>kd egp fy24</w:t>
            </w:r>
          </w:p>
        </w:tc>
        <w:tc>
          <w:tcPr>
            <w:tcW w:type="dxa" w:w="1368"/>
          </w:tcPr>
          <w:p>
            <w:pPr>
              <w:spacing w:after="20"/>
            </w:pPr>
            <w:r>
              <w:rPr>
                <w:color w:val="1C3A36"/>
                <w:sz w:val="15"/>
              </w:rPr>
              <w:t>0.2868</w:t>
            </w:r>
          </w:p>
        </w:tc>
        <w:tc>
          <w:tcPr>
            <w:tcW w:type="dxa" w:w="1037"/>
          </w:tcPr>
          <w:p>
            <w:pPr>
              <w:spacing w:after="20"/>
            </w:pPr>
            <w:r>
              <w:rPr>
                <w:color w:val="1C3A36"/>
                <w:sz w:val="15"/>
              </w:rPr>
              <w:t>2025-03-01</w:t>
            </w:r>
          </w:p>
        </w:tc>
        <w:tc>
          <w:tcPr>
            <w:tcW w:type="dxa" w:w="6019"/>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32 read with note 44-2: the disclosed weighted average interest rate on Egyptian-pound borrowings at 31 December 2024</w:t>
            </w:r>
          </w:p>
        </w:tc>
      </w:tr>
      <w:tr>
        <w:tc>
          <w:tcPr>
            <w:tcW w:type="dxa" w:w="1656"/>
          </w:tcPr>
          <w:p>
            <w:pPr>
              <w:spacing w:after="20"/>
            </w:pPr>
            <w:r>
              <w:rPr>
                <w:color w:val="1C3A36"/>
                <w:sz w:val="15"/>
              </w:rPr>
              <w:t>kd egp q1 26</w:t>
            </w:r>
          </w:p>
        </w:tc>
        <w:tc>
          <w:tcPr>
            <w:tcW w:type="dxa" w:w="1368"/>
          </w:tcPr>
          <w:p>
            <w:pPr>
              <w:spacing w:after="20"/>
            </w:pPr>
            <w:r>
              <w:rPr>
                <w:color w:val="1C3A36"/>
                <w:sz w:val="15"/>
              </w:rPr>
              <w:t>0.2032</w:t>
            </w:r>
          </w:p>
        </w:tc>
        <w:tc>
          <w:tcPr>
            <w:tcW w:type="dxa" w:w="1037"/>
          </w:tcPr>
          <w:p>
            <w:pPr>
              <w:spacing w:after="20"/>
            </w:pPr>
            <w:r>
              <w:rPr>
                <w:color w:val="1C3A36"/>
                <w:sz w:val="15"/>
              </w:rPr>
              <w:t>2026-05-01</w:t>
            </w:r>
          </w:p>
        </w:tc>
        <w:tc>
          <w:tcPr>
            <w:tcW w:type="dxa" w:w="6019"/>
          </w:tcPr>
          <w:p>
            <w:pPr>
              <w:spacing w:after="20"/>
            </w:pPr>
            <w:r>
              <w:rPr>
                <w:color w:val="1C3A36"/>
                <w:sz w:val="15"/>
              </w:rPr>
              <w:t>Q1-2026 reviewed interim consolidated statements: the disclosed weighted average interest rate on Egyptian-pound borrowings</w:t>
            </w:r>
          </w:p>
        </w:tc>
      </w:tr>
    </w:tbl>
    <w:p>
      <w:pPr>
        <w:spacing w:after="40"/>
      </w:pPr>
    </w:p>
    <w:p>
      <w:pPr>
        <w:spacing w:after="60" w:before="160"/>
      </w:pPr>
      <w:r>
        <w:rPr>
          <w:b/>
          <w:i w:val="0"/>
          <w:color w:val="1C3A36"/>
          <w:sz w:val="22"/>
        </w:rPr>
        <w:t>Country layer — 9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037"/>
          </w:tcPr>
          <w:p>
            <w:pPr>
              <w:spacing w:after="20"/>
            </w:pPr>
            <w:r>
              <w:rPr>
                <w:color w:val="1C3A36"/>
                <w:sz w:val="15"/>
              </w:rPr>
              <w:t>2026</w:t>
            </w:r>
          </w:p>
        </w:tc>
        <w:tc>
          <w:tcPr>
            <w:tcW w:type="dxa" w:w="6019"/>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037"/>
          </w:tcPr>
          <w:p>
            <w:pPr>
              <w:spacing w:after="20"/>
            </w:pPr>
            <w:r>
              <w:rPr>
                <w:color w:val="1C3A36"/>
                <w:sz w:val="15"/>
              </w:rPr>
              <w:t>2026-08-05</w:t>
            </w:r>
          </w:p>
        </w:tc>
        <w:tc>
          <w:tcPr>
            <w:tcW w:type="dxa" w:w="6019"/>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037"/>
          </w:tcPr>
          <w:p>
            <w:pPr>
              <w:spacing w:after="20"/>
            </w:pPr>
            <w:r>
              <w:rPr>
                <w:color w:val="1C3A36"/>
                <w:sz w:val="15"/>
              </w:rPr>
              <w:t>2026-07-21</w:t>
            </w:r>
          </w:p>
        </w:tc>
        <w:tc>
          <w:tcPr>
            <w:tcW w:type="dxa" w:w="6019"/>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037"/>
          </w:tcPr>
          <w:p>
            <w:pPr>
              <w:spacing w:after="20"/>
            </w:pPr>
            <w:r>
              <w:rPr>
                <w:color w:val="1C3A36"/>
                <w:sz w:val="15"/>
              </w:rPr>
              <w:t>2026-01-05</w:t>
            </w:r>
          </w:p>
        </w:tc>
        <w:tc>
          <w:tcPr>
            <w:tcW w:type="dxa" w:w="6019"/>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037"/>
          </w:tcPr>
          <w:p>
            <w:pPr>
              <w:spacing w:after="20"/>
            </w:pPr>
            <w:r>
              <w:rPr>
                <w:color w:val="1C3A36"/>
                <w:sz w:val="15"/>
              </w:rPr>
              <w:t>2026-01-05</w:t>
            </w:r>
          </w:p>
        </w:tc>
        <w:tc>
          <w:tcPr>
            <w:tcW w:type="dxa" w:w="6019"/>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037"/>
          </w:tcPr>
          <w:p>
            <w:pPr>
              <w:spacing w:after="20"/>
            </w:pPr>
            <w:r>
              <w:rPr>
                <w:color w:val="1C3A36"/>
                <w:sz w:val="15"/>
              </w:rPr>
              <w:t>2026-01-05</w:t>
            </w:r>
          </w:p>
        </w:tc>
        <w:tc>
          <w:tcPr>
            <w:tcW w:type="dxa" w:w="6019"/>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037"/>
          </w:tcPr>
          <w:p>
            <w:pPr>
              <w:spacing w:after="20"/>
            </w:pPr>
            <w:r>
              <w:rPr>
                <w:color w:val="1C3A36"/>
                <w:sz w:val="15"/>
              </w:rPr>
              <w:t>2026-01-05</w:t>
            </w:r>
          </w:p>
        </w:tc>
        <w:tc>
          <w:tcPr>
            <w:tcW w:type="dxa" w:w="6019"/>
          </w:tcPr>
          <w:p>
            <w:pPr>
              <w:spacing w:after="20"/>
            </w:pPr>
            <w:r>
              <w:rPr>
                <w:color w:val="1C3A36"/>
                <w:sz w:val="15"/>
              </w:rPr>
              <w:t>Damodaran original country-premium file, Egypt row, rating basis, January-2026 — the alternative</w:t>
            </w:r>
          </w:p>
        </w:tc>
      </w:tr>
      <w:tr>
        <w:tc>
          <w:tcPr>
            <w:tcW w:type="dxa" w:w="1656"/>
          </w:tcPr>
          <w:p>
            <w:pPr>
              <w:spacing w:after="20"/>
            </w:pPr>
            <w:r>
              <w:rPr>
                <w:color w:val="1C3A36"/>
                <w:sz w:val="15"/>
              </w:rPr>
              <w:t>pi term</w:t>
            </w:r>
          </w:p>
        </w:tc>
        <w:tc>
          <w:tcPr>
            <w:tcW w:type="dxa" w:w="1368"/>
          </w:tcPr>
          <w:p>
            <w:pPr>
              <w:spacing w:after="20"/>
            </w:pPr>
            <w:r>
              <w:rPr>
                <w:color w:val="1C3A36"/>
                <w:sz w:val="15"/>
              </w:rPr>
              <w:t>0.07</w:t>
            </w:r>
          </w:p>
        </w:tc>
        <w:tc>
          <w:tcPr>
            <w:tcW w:type="dxa" w:w="1037"/>
          </w:tcPr>
          <w:p>
            <w:pPr>
              <w:spacing w:after="20"/>
            </w:pPr>
            <w:r>
              <w:rPr>
                <w:color w:val="1C3A36"/>
                <w:sz w:val="15"/>
              </w:rPr>
              <w:t>2026-09-04</w:t>
            </w:r>
          </w:p>
        </w:tc>
        <w:tc>
          <w:tcPr>
            <w:tcW w:type="dxa" w:w="6019"/>
          </w:tcPr>
          <w:p>
            <w:pPr>
              <w:spacing w:after="20"/>
            </w:pPr>
            <w:r>
              <w:rPr>
                <w:color w:val="1C3A36"/>
                <w:sz w:val="15"/>
              </w:rPr>
              <w:t>Long-run Egyptian inflation, taken from this house's single dated macroeconomic path for Egypt rather than set inside this study — one path is used by every Egyptian company we cover, so two studies cannot value companies in economies that disagree with each other. It is registered here so that the terminal growth rate below is DERIVED from it rather than typed beside it</w:t>
            </w:r>
          </w:p>
        </w:tc>
      </w:tr>
      <w:tr>
        <w:tc>
          <w:tcPr>
            <w:tcW w:type="dxa" w:w="1656"/>
          </w:tcPr>
          <w:p>
            <w:pPr>
              <w:spacing w:after="20"/>
            </w:pPr>
            <w:r>
              <w:rPr>
                <w:color w:val="1C3A36"/>
                <w:sz w:val="15"/>
              </w:rPr>
              <w:t>usd rf</w:t>
            </w:r>
          </w:p>
        </w:tc>
        <w:tc>
          <w:tcPr>
            <w:tcW w:type="dxa" w:w="1368"/>
          </w:tcPr>
          <w:p>
            <w:pPr>
              <w:spacing w:after="20"/>
            </w:pPr>
            <w:r>
              <w:rPr>
                <w:color w:val="1C3A36"/>
                <w:sz w:val="15"/>
              </w:rPr>
              <w:t>0.043</w:t>
            </w:r>
          </w:p>
        </w:tc>
        <w:tc>
          <w:tcPr>
            <w:tcW w:type="dxa" w:w="1037"/>
          </w:tcPr>
          <w:p>
            <w:pPr>
              <w:spacing w:after="20"/>
            </w:pPr>
            <w:r>
              <w:rPr>
                <w:color w:val="1C3A36"/>
                <w:sz w:val="15"/>
              </w:rPr>
              <w:t>2026-08-05</w:t>
            </w:r>
          </w:p>
        </w:tc>
        <w:tc>
          <w:tcPr>
            <w:tcW w:type="dxa" w:w="6019"/>
          </w:tcPr>
          <w:p>
            <w:pPr>
              <w:spacing w:after="20"/>
            </w:pPr>
            <w:r>
              <w:rPr>
                <w:color w:val="1C3A36"/>
                <w:sz w:val="15"/>
              </w:rPr>
              <w:t>US dollar risk-free rate for the currency-of-discounting alternative, 10-year US Treasury area (house macro reference)</w:t>
            </w:r>
          </w:p>
        </w:tc>
      </w:tr>
    </w:tbl>
    <w:p>
      <w:pPr>
        <w:spacing w:after="40"/>
      </w:pPr>
    </w:p>
    <w:p>
      <w:pPr>
        <w:spacing w:after="60" w:before="160"/>
      </w:pPr>
      <w:r>
        <w:rPr>
          <w:b/>
          <w:i w:val="0"/>
          <w:color w:val="1C3A36"/>
          <w:sz w:val="22"/>
        </w:rPr>
        <w:t>House layer — 28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037"/>
          </w:tcPr>
          <w:p>
            <w:pPr>
              <w:spacing w:after="20"/>
            </w:pPr>
            <w:r>
              <w:rPr>
                <w:color w:val="1C3A36"/>
                <w:sz w:val="15"/>
              </w:rPr>
              <w:t>2026-05-13</w:t>
            </w:r>
          </w:p>
        </w:tc>
        <w:tc>
          <w:tcPr>
            <w:tcW w:type="dxa" w:w="6019"/>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path</w:t>
            </w:r>
          </w:p>
        </w:tc>
        <w:tc>
          <w:tcPr>
            <w:tcW w:type="dxa" w:w="1368"/>
          </w:tcPr>
          <w:p>
            <w:pPr>
              <w:spacing w:after="20"/>
            </w:pPr>
            <w:r>
              <w:rPr>
                <w:color w:val="1C3A36"/>
                <w:sz w:val="15"/>
              </w:rPr>
              <w:t>51, 54, 57.5, 61, 64.5</w:t>
            </w:r>
          </w:p>
        </w:tc>
        <w:tc>
          <w:tcPr>
            <w:tcW w:type="dxa" w:w="1037"/>
          </w:tcPr>
          <w:p>
            <w:pPr>
              <w:spacing w:after="20"/>
            </w:pPr>
            <w:r>
              <w:rPr>
                <w:color w:val="1C3A36"/>
                <w:sz w:val="15"/>
              </w:rPr>
              <w:t>2026-08-05</w:t>
            </w:r>
          </w:p>
        </w:tc>
        <w:tc>
          <w:tcPr>
            <w:tcW w:type="dxa" w:w="6019"/>
          </w:tcPr>
          <w:p>
            <w:pPr>
              <w:spacing w:after="20"/>
            </w:pPr>
            <w:r>
              <w:rPr>
                <w:color w:val="1C3A36"/>
                <w:sz w:val="15"/>
              </w:rPr>
              <w:t>USD/EGP average-rate path, about 6%/yr of depreciation from the FY2025 average of 49.5. Used as a genuine driver of the Cables segment's copper-linked growth and of the currency-of-discounting alternative — not a translation convenience. DELIBERATELY BELOW covered-interest parity, which on the roughly 22% pound rate against a ~4-5% dollar rate implies materially faster depreciation; the base case assumes disinflation closes most of that gap. The parity case is carried as an explicit sensitivity</w:t>
            </w:r>
          </w:p>
        </w:tc>
      </w:tr>
      <w:tr>
        <w:tc>
          <w:tcPr>
            <w:tcW w:type="dxa" w:w="1656"/>
          </w:tcPr>
          <w:p>
            <w:pPr>
              <w:spacing w:after="20"/>
            </w:pPr>
            <w:r>
              <w:rPr>
                <w:color w:val="1C3A36"/>
                <w:sz w:val="15"/>
              </w:rPr>
              <w:t>cables real growth</w:t>
            </w:r>
          </w:p>
        </w:tc>
        <w:tc>
          <w:tcPr>
            <w:tcW w:type="dxa" w:w="1368"/>
          </w:tcPr>
          <w:p>
            <w:pPr>
              <w:spacing w:after="20"/>
            </w:pPr>
            <w:r>
              <w:rPr>
                <w:color w:val="1C3A36"/>
                <w:sz w:val="15"/>
              </w:rPr>
              <w:t>0.03, 0.03, 0.03, 0.03, 0.03</w:t>
            </w:r>
          </w:p>
        </w:tc>
        <w:tc>
          <w:tcPr>
            <w:tcW w:type="dxa" w:w="1037"/>
          </w:tcPr>
          <w:p>
            <w:pPr>
              <w:spacing w:after="20"/>
            </w:pPr>
            <w:r>
              <w:rPr>
                <w:color w:val="1C3A36"/>
                <w:sz w:val="15"/>
              </w:rPr>
              <w:t>2026-08-05</w:t>
            </w:r>
          </w:p>
        </w:tc>
        <w:tc>
          <w:tcPr>
            <w:tcW w:type="dxa" w:w="6019"/>
          </w:tcPr>
          <w:p>
            <w:pPr>
              <w:spacing w:after="20"/>
            </w:pPr>
            <w:r>
              <w:rPr>
                <w:color w:val="1C3A36"/>
                <w:sz w:val="15"/>
              </w:rPr>
              <w:t>Real (ex-copper, ex-FX) volume/market-share growth for the Cables segment — modest and flat, since the company does not disclose tonnage and the model should not manufacture a volume story it cannot evidence. Cables segment revenue growth = (1+copper growth)(1+FX growth)(1+this) - 1</w:t>
            </w:r>
          </w:p>
        </w:tc>
      </w:tr>
      <w:tr>
        <w:tc>
          <w:tcPr>
            <w:tcW w:type="dxa" w:w="1656"/>
          </w:tcPr>
          <w:p>
            <w:pPr>
              <w:spacing w:after="20"/>
            </w:pPr>
            <w:r>
              <w:rPr>
                <w:color w:val="1C3A36"/>
                <w:sz w:val="15"/>
              </w:rPr>
              <w:t>construct growth</w:t>
            </w:r>
          </w:p>
        </w:tc>
        <w:tc>
          <w:tcPr>
            <w:tcW w:type="dxa" w:w="1368"/>
          </w:tcPr>
          <w:p>
            <w:pPr>
              <w:spacing w:after="20"/>
            </w:pPr>
            <w:r>
              <w:rPr>
                <w:color w:val="1C3A36"/>
                <w:sz w:val="15"/>
              </w:rPr>
              <w:t>0.18, 0.14, 0.11, 0.09, 0.08</w:t>
            </w:r>
          </w:p>
        </w:tc>
        <w:tc>
          <w:tcPr>
            <w:tcW w:type="dxa" w:w="1037"/>
          </w:tcPr>
          <w:p>
            <w:pPr>
              <w:spacing w:after="20"/>
            </w:pPr>
            <w:r>
              <w:rPr>
                <w:color w:val="1C3A36"/>
                <w:sz w:val="15"/>
              </w:rPr>
              <w:t>2026-08-05</w:t>
            </w:r>
          </w:p>
        </w:tc>
        <w:tc>
          <w:tcPr>
            <w:tcW w:type="dxa" w:w="6019"/>
          </w:tcPr>
          <w:p>
            <w:pPr>
              <w:spacing w:after="20"/>
            </w:pPr>
            <w:r>
              <w:rPr>
                <w:color w:val="1C3A36"/>
                <w:sz w:val="15"/>
              </w:rPr>
              <w:t>Constructions segment revenue growth, tapering from the FY2025 disclosed rate of +28.3% (FY2024: +32.6%) toward a more sustainable long-run pace. No order book or backlog figure is disclosed in any of the audited filings or the Q1-2026 interim, so — unlike the previous build — this is NOT a burn-rate-on-a-backlog construction; it is a direct taper on the segment's own revenue history</w:t>
            </w:r>
          </w:p>
        </w:tc>
      </w:tr>
      <w:tr>
        <w:tc>
          <w:tcPr>
            <w:tcW w:type="dxa" w:w="1656"/>
          </w:tcPr>
          <w:p>
            <w:pPr>
              <w:spacing w:after="20"/>
            </w:pPr>
            <w:r>
              <w:rPr>
                <w:color w:val="1C3A36"/>
                <w:sz w:val="15"/>
              </w:rPr>
              <w:t>elecprod growth</w:t>
            </w:r>
          </w:p>
        </w:tc>
        <w:tc>
          <w:tcPr>
            <w:tcW w:type="dxa" w:w="1368"/>
          </w:tcPr>
          <w:p>
            <w:pPr>
              <w:spacing w:after="20"/>
            </w:pPr>
            <w:r>
              <w:rPr>
                <w:color w:val="1C3A36"/>
                <w:sz w:val="15"/>
              </w:rPr>
              <w:t>0.2, 0.16, 0.13, 0.11, 0.1</w:t>
            </w:r>
          </w:p>
        </w:tc>
        <w:tc>
          <w:tcPr>
            <w:tcW w:type="dxa" w:w="1037"/>
          </w:tcPr>
          <w:p>
            <w:pPr>
              <w:spacing w:after="20"/>
            </w:pPr>
            <w:r>
              <w:rPr>
                <w:color w:val="1C3A36"/>
                <w:sz w:val="15"/>
              </w:rPr>
              <w:t>2026-08-05</w:t>
            </w:r>
          </w:p>
        </w:tc>
        <w:tc>
          <w:tcPr>
            <w:tcW w:type="dxa" w:w="6019"/>
          </w:tcPr>
          <w:p>
            <w:pPr>
              <w:spacing w:after="20"/>
            </w:pPr>
            <w:r>
              <w:rPr>
                <w:color w:val="1C3A36"/>
                <w:sz w:val="15"/>
              </w:rPr>
              <w:t>Electrical products and digital solutions segment revenue growth, tapering from the FY2025 disclosed rate of +43.7% (FY2024: +46.6%) off a smaller revenue base</w:t>
            </w:r>
          </w:p>
        </w:tc>
      </w:tr>
      <w:tr>
        <w:tc>
          <w:tcPr>
            <w:tcW w:type="dxa" w:w="1656"/>
          </w:tcPr>
          <w:p>
            <w:pPr>
              <w:spacing w:after="20"/>
            </w:pPr>
            <w:r>
              <w:rPr>
                <w:color w:val="1C3A36"/>
                <w:sz w:val="15"/>
              </w:rPr>
              <w:t>corp load reversion</w:t>
            </w:r>
          </w:p>
        </w:tc>
        <w:tc>
          <w:tcPr>
            <w:tcW w:type="dxa" w:w="1368"/>
          </w:tcPr>
          <w:p>
            <w:pPr>
              <w:spacing w:after="20"/>
            </w:pPr>
            <w:r>
              <w:rPr>
                <w:color w:val="1C3A36"/>
                <w:sz w:val="15"/>
              </w:rPr>
              <w:t>0.0455, 0.0465, 0.0475, 0.0475, 0.0485</w:t>
            </w:r>
          </w:p>
        </w:tc>
        <w:tc>
          <w:tcPr>
            <w:tcW w:type="dxa" w:w="1037"/>
          </w:tcPr>
          <w:p>
            <w:pPr>
              <w:spacing w:after="20"/>
            </w:pPr>
            <w:r>
              <w:rPr>
                <w:color w:val="1C3A36"/>
                <w:sz w:val="15"/>
              </w:rPr>
              <w:t>2026-08-07</w:t>
            </w:r>
          </w:p>
        </w:tc>
        <w:tc>
          <w:tcPr>
            <w:tcW w:type="dxa" w:w="6019"/>
          </w:tcPr>
          <w:p>
            <w:pPr>
              <w:spacing w:after="20"/>
            </w:pPr>
            <w:r>
              <w:rPr>
                <w:color w:val="1C3A36"/>
                <w:sz w:val="15"/>
              </w:rPr>
              <w:t>THE RETIRED PATH, kept because it is this study's most consequential contested judgement and the depth bar requires such a judgement to be computed BOTH WAYS and published side by side rather than averaged. It glides the load from FY2025's level toward the FY2023-24 average of about 5.0%</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037"/>
          </w:tcPr>
          <w:p>
            <w:pPr>
              <w:spacing w:after="20"/>
            </w:pPr>
            <w:r>
              <w:rPr>
                <w:color w:val="1C3A36"/>
                <w:sz w:val="15"/>
              </w:rPr>
              <w:t>2026-08-05</w:t>
            </w:r>
          </w:p>
        </w:tc>
        <w:tc>
          <w:tcPr>
            <w:tcW w:type="dxa" w:w="6019"/>
          </w:tcPr>
          <w:p>
            <w:pPr>
              <w:spacing w:after="20"/>
            </w:pPr>
            <w:r>
              <w:rPr>
                <w:color w:val="1C3A36"/>
                <w:sz w:val="15"/>
              </w:rPr>
              <w:t>Retained input, no longer consumed by the segment build (kept for downstream compatibility)</w:t>
            </w:r>
          </w:p>
        </w:tc>
      </w:tr>
      <w:tr>
        <w:tc>
          <w:tcPr>
            <w:tcW w:type="dxa" w:w="1656"/>
          </w:tcPr>
          <w:p>
            <w:pPr>
              <w:spacing w:after="20"/>
            </w:pPr>
            <w:r>
              <w:rPr>
                <w:color w:val="1C3A36"/>
                <w:sz w:val="15"/>
              </w:rPr>
              <w:t>nwc pct</w:t>
            </w:r>
          </w:p>
        </w:tc>
        <w:tc>
          <w:tcPr>
            <w:tcW w:type="dxa" w:w="1368"/>
          </w:tcPr>
          <w:p>
            <w:pPr>
              <w:spacing w:after="20"/>
            </w:pPr>
            <w:r>
              <w:rPr>
                <w:color w:val="1C3A36"/>
                <w:sz w:val="15"/>
              </w:rPr>
              <w:t>0.199</w:t>
            </w:r>
          </w:p>
        </w:tc>
        <w:tc>
          <w:tcPr>
            <w:tcW w:type="dxa" w:w="1037"/>
          </w:tcPr>
          <w:p>
            <w:pPr>
              <w:spacing w:after="20"/>
            </w:pPr>
            <w:r>
              <w:rPr>
                <w:color w:val="1C3A36"/>
                <w:sz w:val="15"/>
              </w:rPr>
              <w:t>2026-08-05</w:t>
            </w:r>
          </w:p>
        </w:tc>
        <w:tc>
          <w:tcPr>
            <w:tcW w:type="dxa" w:w="6019"/>
          </w:tcPr>
          <w:p>
            <w:pPr>
              <w:spacing w:after="20"/>
            </w:pPr>
            <w:r>
              <w:rPr>
                <w:color w:val="1C3A36"/>
                <w:sz w:val="15"/>
              </w:rPr>
              <w:t>Net working capital as a share of revenue, held at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037"/>
          </w:tcPr>
          <w:p>
            <w:pPr>
              <w:spacing w:after="20"/>
            </w:pPr>
            <w:r>
              <w:rPr>
                <w:color w:val="1C3A36"/>
                <w:sz w:val="15"/>
              </w:rPr>
              <w:t>2026-08-05</w:t>
            </w:r>
          </w:p>
        </w:tc>
        <w:tc>
          <w:tcPr>
            <w:tcW w:type="dxa" w:w="6019"/>
          </w:tcPr>
          <w:p>
            <w:pPr>
              <w:spacing w:after="20"/>
            </w:pPr>
            <w:r>
              <w:rPr>
                <w:color w:val="1C3A36"/>
                <w:sz w:val="15"/>
              </w:rPr>
              <w:t>Capex as a share of revenue, tapering from the FY2025 disclosed level of 4.7% (up from 3.1% FY2023 and 3.7% FY2024) toward a lower maintenance-plus-modest-capacity level as the current expansion cycle completes</w:t>
            </w:r>
          </w:p>
        </w:tc>
      </w:tr>
      <w:tr>
        <w:tc>
          <w:tcPr>
            <w:tcW w:type="dxa" w:w="1656"/>
          </w:tcPr>
          <w:p>
            <w:pPr>
              <w:spacing w:after="20"/>
            </w:pPr>
            <w:r>
              <w:rPr>
                <w:color w:val="1C3A36"/>
                <w:sz w:val="15"/>
              </w:rPr>
              <w:t>dna pct</w:t>
            </w:r>
          </w:p>
        </w:tc>
        <w:tc>
          <w:tcPr>
            <w:tcW w:type="dxa" w:w="1368"/>
          </w:tcPr>
          <w:p>
            <w:pPr>
              <w:spacing w:after="20"/>
            </w:pPr>
            <w:r>
              <w:rPr>
                <w:color w:val="1C3A36"/>
                <w:sz w:val="15"/>
              </w:rPr>
              <w:t>0.0125</w:t>
            </w:r>
          </w:p>
        </w:tc>
        <w:tc>
          <w:tcPr>
            <w:tcW w:type="dxa" w:w="1037"/>
          </w:tcPr>
          <w:p>
            <w:pPr>
              <w:spacing w:after="20"/>
            </w:pPr>
            <w:r>
              <w:rPr>
                <w:color w:val="1C3A36"/>
                <w:sz w:val="15"/>
              </w:rPr>
              <w:t>2026-08-05</w:t>
            </w:r>
          </w:p>
        </w:tc>
        <w:tc>
          <w:tcPr>
            <w:tcW w:type="dxa" w:w="6019"/>
          </w:tcPr>
          <w:p>
            <w:pPr>
              <w:spacing w:after="20"/>
            </w:pPr>
            <w:r>
              <w:rPr>
                <w:color w:val="1C3A36"/>
                <w:sz w:val="15"/>
              </w:rPr>
              <w:t>Depreciation and amortisation as a share of revenue,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037"/>
          </w:tcPr>
          <w:p>
            <w:pPr>
              <w:spacing w:after="20"/>
            </w:pPr>
            <w:r>
              <w:rPr>
                <w:color w:val="1C3A36"/>
                <w:sz w:val="15"/>
              </w:rPr>
              <w:t>2026-08-05</w:t>
            </w:r>
          </w:p>
        </w:tc>
        <w:tc>
          <w:tcPr>
            <w:tcW w:type="dxa" w:w="6019"/>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1.2249</w:t>
            </w:r>
          </w:p>
        </w:tc>
        <w:tc>
          <w:tcPr>
            <w:tcW w:type="dxa" w:w="1037"/>
          </w:tcPr>
          <w:p>
            <w:pPr>
              <w:spacing w:after="20"/>
            </w:pPr>
            <w:r>
              <w:rPr>
                <w:color w:val="1C3A36"/>
                <w:sz w:val="15"/>
              </w:rPr>
              <w:t>2026-09-08</w:t>
            </w:r>
          </w:p>
        </w:tc>
        <w:tc>
          <w:tcPr>
            <w:tcW w:type="dxa" w:w="6019"/>
          </w:tcPr>
          <w:p>
            <w:pPr>
              <w:spacing w:after="20"/>
            </w:pPr>
            <w:r>
              <w:rPr>
                <w:color w:val="1C3A36"/>
                <w:sz w:val="15"/>
              </w:rPr>
              <w:t>Own-stock tier-1 weekly regression against raw_indices/EG/EGX30.csv as at 2026-09-08 — THE PUBLISHED INDEX OF THE EXCHANGE THIS STOCK IS LISTED ON, resolved by beta_regression.own_stock_beta() rather than hand-rolled. R-squared 0.368, n = 256, standard error 0.1699, 90% confidence interval [0.945, 1.504]; Dimson-corrected for thin trading, matched to the exchange's own trading week (W-THU). Clears the usability gate and is not weak-instrument flagged. WITHDRAWN AND KEPT FOR COMPARISON: the previous edition regressed against a 31-name equal-weight composite of the covered library and got 1.0087 at an R-squared of 0.291 — +21.4% against the conforming figure, explaining less of the stock. A constituent composite is a coverage artefact rather than a market and SIGCM calls it a hard fail, not a tier.</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037"/>
          </w:tcPr>
          <w:p>
            <w:pPr>
              <w:spacing w:after="20"/>
            </w:pPr>
            <w:r>
              <w:rPr>
                <w:color w:val="1C3A36"/>
                <w:sz w:val="15"/>
              </w:rPr>
              <w:t>2026-08-05</w:t>
            </w:r>
          </w:p>
        </w:tc>
        <w:tc>
          <w:tcPr>
            <w:tcW w:type="dxa" w:w="6019"/>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037"/>
          </w:tcPr>
          <w:p>
            <w:pPr>
              <w:spacing w:after="20"/>
            </w:pPr>
            <w:r>
              <w:rPr>
                <w:color w:val="1C3A36"/>
                <w:sz w:val="15"/>
              </w:rPr>
              <w:t>2026-08-05</w:t>
            </w:r>
          </w:p>
        </w:tc>
        <w:tc>
          <w:tcPr>
            <w:tcW w:type="dxa" w:w="6019"/>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rf term</w:t>
            </w:r>
          </w:p>
        </w:tc>
        <w:tc>
          <w:tcPr>
            <w:tcW w:type="dxa" w:w="1368"/>
          </w:tcPr>
          <w:p>
            <w:pPr>
              <w:spacing w:after="20"/>
            </w:pPr>
            <w:r>
              <w:rPr>
                <w:color w:val="1C3A36"/>
                <w:sz w:val="15"/>
              </w:rPr>
              <w:t>0.105</w:t>
            </w:r>
          </w:p>
        </w:tc>
        <w:tc>
          <w:tcPr>
            <w:tcW w:type="dxa" w:w="1037"/>
          </w:tcPr>
          <w:p>
            <w:pPr>
              <w:spacing w:after="20"/>
            </w:pPr>
            <w:r>
              <w:rPr>
                <w:color w:val="1C3A36"/>
                <w:sz w:val="15"/>
              </w:rPr>
              <w:t>2026-08-05</w:t>
            </w:r>
          </w:p>
        </w:tc>
        <w:tc>
          <w:tcPr>
            <w:tcW w:type="dxa" w:w="6019"/>
          </w:tcPr>
          <w:p>
            <w:pPr>
              <w:spacing w:after="20"/>
            </w:pPr>
            <w:r>
              <w:rPr>
                <w:color w:val="1C3A36"/>
                <w:sz w:val="15"/>
              </w:rPr>
              <w:t>Terminal risk-free rate, norm-built: the CBE's own stated medium-term inflation target of 5% plus the standard ~5.5pp emerging-market real-rate convention.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037"/>
          </w:tcPr>
          <w:p>
            <w:pPr>
              <w:spacing w:after="20"/>
            </w:pPr>
            <w:r>
              <w:rPr>
                <w:color w:val="1C3A36"/>
                <w:sz w:val="15"/>
              </w:rPr>
              <w:t>2026-08-05</w:t>
            </w:r>
          </w:p>
        </w:tc>
        <w:tc>
          <w:tcPr>
            <w:tcW w:type="dxa" w:w="6019"/>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0.15</w:t>
            </w:r>
          </w:p>
        </w:tc>
        <w:tc>
          <w:tcPr>
            <w:tcW w:type="dxa" w:w="1037"/>
          </w:tcPr>
          <w:p>
            <w:pPr>
              <w:spacing w:after="20"/>
            </w:pPr>
            <w:r>
              <w:rPr>
                <w:color w:val="1C3A36"/>
                <w:sz w:val="15"/>
              </w:rPr>
              <w:t>2026-08-07</w:t>
            </w:r>
          </w:p>
        </w:tc>
        <w:tc>
          <w:tcPr>
            <w:tcW w:type="dxa" w:w="6019"/>
          </w:tcPr>
          <w:p>
            <w:pPr>
              <w:spacing w:after="20"/>
            </w:pPr>
            <w:r>
              <w:rPr>
                <w:color w:val="1C3A36"/>
                <w:sz w:val="15"/>
              </w:rPr>
              <w:t>Terminal debt weight D/(D+E) on a net basis, NORMALISED — but reconciled to the model's OWN forecast balance sheet rather than asserted. REVISED from 25% after external critique (and the same finding in this study's own re-audit): at a 25% payout the forecast still deleverages toward a mid-single-digit net-debt weight by FY2030E, so a 25% terminal weight contradicted the model's own trajectory in the direction that flattered the valuation. 15% sits between today's 8.4% net weight and the old 25%, acknowledging that a working-capital-heavy industrial retains structural gross leverage. Worth about -5.3/share on the DCF lens versus the old 25%</w:t>
            </w:r>
          </w:p>
        </w:tc>
      </w:tr>
      <w:tr>
        <w:tc>
          <w:tcPr>
            <w:tcW w:type="dxa" w:w="1656"/>
          </w:tcPr>
          <w:p>
            <w:pPr>
              <w:spacing w:after="20"/>
            </w:pPr>
            <w:r>
              <w:rPr>
                <w:color w:val="1C3A36"/>
                <w:sz w:val="15"/>
              </w:rPr>
              <w:t>g term real</w:t>
            </w:r>
          </w:p>
        </w:tc>
        <w:tc>
          <w:tcPr>
            <w:tcW w:type="dxa" w:w="1368"/>
          </w:tcPr>
          <w:p>
            <w:pPr>
              <w:spacing w:after="20"/>
            </w:pPr>
            <w:r>
              <w:rPr>
                <w:color w:val="1C3A36"/>
                <w:sz w:val="15"/>
              </w:rPr>
              <w:t>0</w:t>
            </w:r>
          </w:p>
        </w:tc>
        <w:tc>
          <w:tcPr>
            <w:tcW w:type="dxa" w:w="1037"/>
          </w:tcPr>
          <w:p>
            <w:pPr>
              <w:spacing w:after="20"/>
            </w:pPr>
            <w:r>
              <w:rPr>
                <w:color w:val="1C3A36"/>
                <w:sz w:val="15"/>
              </w:rPr>
              <w:t>2026-09-04</w:t>
            </w:r>
          </w:p>
        </w:tc>
        <w:tc>
          <w:tcPr>
            <w:tcW w:type="dxa" w:w="6019"/>
          </w:tcPr>
          <w:p>
            <w:pPr>
              <w:spacing w:after="20"/>
            </w:pPr>
            <w:r>
              <w:rPr>
                <w:color w:val="1C3A36"/>
                <w:sz w:val="15"/>
              </w:rPr>
              <w:t>STATED real terminal growth: zero. A mature diversified industrial holding its real scale in perpetuity; real growth costs incremental capital and none is assumed. The nominal rate is DERIVED from this and the house path's terminal inflation, never quoted beside it</w:t>
            </w:r>
          </w:p>
        </w:tc>
      </w:tr>
      <w:tr>
        <w:tc>
          <w:tcPr>
            <w:tcW w:type="dxa" w:w="1656"/>
          </w:tcPr>
          <w:p>
            <w:pPr>
              <w:spacing w:after="20"/>
            </w:pPr>
            <w:r>
              <w:rPr>
                <w:color w:val="1C3A36"/>
                <w:sz w:val="15"/>
              </w:rPr>
              <w:t>g term</w:t>
            </w:r>
          </w:p>
        </w:tc>
        <w:tc>
          <w:tcPr>
            <w:tcW w:type="dxa" w:w="1368"/>
          </w:tcPr>
          <w:p>
            <w:pPr>
              <w:spacing w:after="20"/>
            </w:pPr>
            <w:r>
              <w:rPr>
                <w:color w:val="1C3A36"/>
                <w:sz w:val="15"/>
              </w:rPr>
              <w:t>0.07</w:t>
            </w:r>
          </w:p>
        </w:tc>
        <w:tc>
          <w:tcPr>
            <w:tcW w:type="dxa" w:w="1037"/>
          </w:tcPr>
          <w:p>
            <w:pPr>
              <w:spacing w:after="20"/>
            </w:pPr>
            <w:r>
              <w:rPr>
                <w:color w:val="1C3A36"/>
                <w:sz w:val="15"/>
              </w:rPr>
              <w:t>2026-09-04</w:t>
            </w:r>
          </w:p>
        </w:tc>
        <w:tc>
          <w:tcPr>
            <w:tcW w:type="dxa" w:w="6019"/>
          </w:tcPr>
          <w:p>
            <w:pPr>
              <w:spacing w:after="20"/>
            </w:pPr>
            <w:r>
              <w:rPr>
                <w:color w:val="1C3A36"/>
                <w:sz w:val="15"/>
              </w:rPr>
              <w:t>Terminal NOMINAL growth, DERIVED rather than chosen: (1 + 0.0 real growth) x (1 + 7.0% long-run Egyptian inflation) - 1 = 7.0%. The house macroeconomic path is the only source of an inflation rate in this study. The first edition's 5.0% was struck against an assumed 5% inflation and was therefore a real decline of 1.87% a year in perpetuity</w:t>
            </w:r>
          </w:p>
        </w:tc>
      </w:tr>
      <w:tr>
        <w:tc>
          <w:tcPr>
            <w:tcW w:type="dxa" w:w="1656"/>
          </w:tcPr>
          <w:p>
            <w:pPr>
              <w:spacing w:after="20"/>
            </w:pPr>
            <w:r>
              <w:rPr>
                <w:color w:val="1C3A36"/>
                <w:sz w:val="15"/>
              </w:rPr>
              <w:t>usd erp</w:t>
            </w:r>
          </w:p>
        </w:tc>
        <w:tc>
          <w:tcPr>
            <w:tcW w:type="dxa" w:w="1368"/>
          </w:tcPr>
          <w:p>
            <w:pPr>
              <w:spacing w:after="20"/>
            </w:pPr>
            <w:r>
              <w:rPr>
                <w:color w:val="1C3A36"/>
                <w:sz w:val="15"/>
              </w:rPr>
              <w:t>0.075</w:t>
            </w:r>
          </w:p>
        </w:tc>
        <w:tc>
          <w:tcPr>
            <w:tcW w:type="dxa" w:w="1037"/>
          </w:tcPr>
          <w:p>
            <w:pPr>
              <w:spacing w:after="20"/>
            </w:pPr>
            <w:r>
              <w:rPr>
                <w:color w:val="1C3A36"/>
                <w:sz w:val="15"/>
              </w:rPr>
              <w:t>2026-08-05</w:t>
            </w:r>
          </w:p>
        </w:tc>
        <w:tc>
          <w:tcPr>
            <w:tcW w:type="dxa" w:w="6019"/>
          </w:tcPr>
          <w:p>
            <w:pPr>
              <w:spacing w:after="20"/>
            </w:pPr>
            <w:r>
              <w:rPr>
                <w:color w:val="1C3A36"/>
                <w:sz w:val="15"/>
              </w:rPr>
              <w:t>Equity risk premium for the hard-currency leg: mature-market premium plus a reduced operating-exposure country premium — deliberately NOT the full Egypt premium, since this alternative's whole point is to price the hard-currency cash flows as hard-currency cash flows</w:t>
            </w:r>
          </w:p>
        </w:tc>
      </w:tr>
      <w:tr>
        <w:tc>
          <w:tcPr>
            <w:tcW w:type="dxa" w:w="1656"/>
          </w:tcPr>
          <w:p>
            <w:pPr>
              <w:spacing w:after="20"/>
            </w:pPr>
            <w:r>
              <w:rPr>
                <w:color w:val="1C3A36"/>
                <w:sz w:val="15"/>
              </w:rPr>
              <w:t>usd kd</w:t>
            </w:r>
          </w:p>
        </w:tc>
        <w:tc>
          <w:tcPr>
            <w:tcW w:type="dxa" w:w="1368"/>
          </w:tcPr>
          <w:p>
            <w:pPr>
              <w:spacing w:after="20"/>
            </w:pPr>
            <w:r>
              <w:rPr>
                <w:color w:val="1C3A36"/>
                <w:sz w:val="15"/>
              </w:rPr>
              <w:t>0.065</w:t>
            </w:r>
          </w:p>
        </w:tc>
        <w:tc>
          <w:tcPr>
            <w:tcW w:type="dxa" w:w="1037"/>
          </w:tcPr>
          <w:p>
            <w:pPr>
              <w:spacing w:after="20"/>
            </w:pPr>
            <w:r>
              <w:rPr>
                <w:color w:val="1C3A36"/>
                <w:sz w:val="15"/>
              </w:rPr>
              <w:t>2026-08-05</w:t>
            </w:r>
          </w:p>
        </w:tc>
        <w:tc>
          <w:tcPr>
            <w:tcW w:type="dxa" w:w="6019"/>
          </w:tcPr>
          <w:p>
            <w:pPr>
              <w:spacing w:after="20"/>
            </w:pPr>
            <w:r>
              <w:rPr>
                <w:color w:val="1C3A36"/>
                <w:sz w:val="15"/>
              </w:rPr>
              <w:t>US dollar cost of debt for the alternative: the disclosed 5.3% hard-currency book rate plus a term/credit allowance</w:t>
            </w:r>
          </w:p>
        </w:tc>
      </w:tr>
      <w:tr>
        <w:tc>
          <w:tcPr>
            <w:tcW w:type="dxa" w:w="1656"/>
          </w:tcPr>
          <w:p>
            <w:pPr>
              <w:spacing w:after="20"/>
            </w:pPr>
            <w:r>
              <w:rPr>
                <w:color w:val="1C3A36"/>
                <w:sz w:val="15"/>
              </w:rPr>
              <w:t>usd wd</w:t>
            </w:r>
          </w:p>
        </w:tc>
        <w:tc>
          <w:tcPr>
            <w:tcW w:type="dxa" w:w="1368"/>
          </w:tcPr>
          <w:p>
            <w:pPr>
              <w:spacing w:after="20"/>
            </w:pPr>
            <w:r>
              <w:rPr>
                <w:color w:val="1C3A36"/>
                <w:sz w:val="15"/>
              </w:rPr>
              <w:t>0.25</w:t>
            </w:r>
          </w:p>
        </w:tc>
        <w:tc>
          <w:tcPr>
            <w:tcW w:type="dxa" w:w="1037"/>
          </w:tcPr>
          <w:p>
            <w:pPr>
              <w:spacing w:after="20"/>
            </w:pPr>
            <w:r>
              <w:rPr>
                <w:color w:val="1C3A36"/>
                <w:sz w:val="15"/>
              </w:rPr>
              <w:t>2026-08-05</w:t>
            </w:r>
          </w:p>
        </w:tc>
        <w:tc>
          <w:tcPr>
            <w:tcW w:type="dxa" w:w="6019"/>
          </w:tcPr>
          <w:p>
            <w:pPr>
              <w:spacing w:after="20"/>
            </w:pPr>
            <w:r>
              <w:rPr>
                <w:color w:val="1C3A36"/>
                <w:sz w:val="15"/>
              </w:rPr>
              <w:t>Debt weight for the USD-leg cost of capital</w:t>
            </w:r>
          </w:p>
        </w:tc>
      </w:tr>
      <w:tr>
        <w:tc>
          <w:tcPr>
            <w:tcW w:type="dxa" w:w="1656"/>
          </w:tcPr>
          <w:p>
            <w:pPr>
              <w:spacing w:after="20"/>
            </w:pPr>
            <w:r>
              <w:rPr>
                <w:color w:val="1C3A36"/>
                <w:sz w:val="15"/>
              </w:rPr>
              <w:t>usd g term</w:t>
            </w:r>
          </w:p>
        </w:tc>
        <w:tc>
          <w:tcPr>
            <w:tcW w:type="dxa" w:w="1368"/>
          </w:tcPr>
          <w:p>
            <w:pPr>
              <w:spacing w:after="20"/>
            </w:pPr>
            <w:r>
              <w:rPr>
                <w:color w:val="1C3A36"/>
                <w:sz w:val="15"/>
              </w:rPr>
              <w:t>0.035</w:t>
            </w:r>
          </w:p>
        </w:tc>
        <w:tc>
          <w:tcPr>
            <w:tcW w:type="dxa" w:w="1037"/>
          </w:tcPr>
          <w:p>
            <w:pPr>
              <w:spacing w:after="20"/>
            </w:pPr>
            <w:r>
              <w:rPr>
                <w:color w:val="1C3A36"/>
                <w:sz w:val="15"/>
              </w:rPr>
              <w:t>2026-08-05</w:t>
            </w:r>
          </w:p>
        </w:tc>
        <w:tc>
          <w:tcPr>
            <w:tcW w:type="dxa" w:w="6019"/>
          </w:tcPr>
          <w:p>
            <w:pPr>
              <w:spacing w:after="20"/>
            </w:pPr>
            <w:r>
              <w:rPr>
                <w:color w:val="1C3A36"/>
                <w:sz w:val="15"/>
              </w:rPr>
              <w:t>Terminal growth of the USD-denominated leg — real growth plus dollar inflation, below the EGP terminal growth by the inflation differential</w:t>
            </w:r>
          </w:p>
        </w:tc>
      </w:tr>
      <w:tr>
        <w:tc>
          <w:tcPr>
            <w:tcW w:type="dxa" w:w="1656"/>
          </w:tcPr>
          <w:p>
            <w:pPr>
              <w:spacing w:after="20"/>
            </w:pPr>
            <w:r>
              <w:rPr>
                <w:color w:val="1C3A36"/>
                <w:sz w:val="15"/>
              </w:rPr>
              <w:t>anchor days</w:t>
            </w:r>
          </w:p>
        </w:tc>
        <w:tc>
          <w:tcPr>
            <w:tcW w:type="dxa" w:w="1368"/>
          </w:tcPr>
          <w:p>
            <w:pPr>
              <w:spacing w:after="20"/>
            </w:pPr>
            <w:r>
              <w:rPr>
                <w:color w:val="1C3A36"/>
                <w:sz w:val="15"/>
              </w:rPr>
              <w:t>246</w:t>
            </w:r>
          </w:p>
        </w:tc>
        <w:tc>
          <w:tcPr>
            <w:tcW w:type="dxa" w:w="1037"/>
          </w:tcPr>
          <w:p>
            <w:pPr>
              <w:spacing w:after="20"/>
            </w:pPr>
            <w:r>
              <w:rPr>
                <w:color w:val="1C3A36"/>
                <w:sz w:val="15"/>
              </w:rPr>
              <w:t>2026-08-07</w:t>
            </w:r>
          </w:p>
        </w:tc>
        <w:tc>
          <w:tcPr>
            <w:tcW w:type="dxa" w:w="6019"/>
          </w:tcPr>
          <w:p>
            <w:pPr>
              <w:spacing w:after="20"/>
            </w:pPr>
            <w:r>
              <w:rPr>
                <w:color w:val="1C3A36"/>
                <w:sz w:val="15"/>
              </w:rPr>
              <w:t>Days from the DCF's construction date (31 Dec 2025, the audited balance-sheet date the bridge is built on) to the anchor date 5 Aug 2026. All lens values are rolled to the anchor at the cost of equity, net of the EGP 1.85 FY2025 dividend paid inside the window — added after external critique correctly noted the model was dated 31-Dec-2025 while the comparison price was dated 5-Aug-2026, breaching the study's own one-date rule by ~7 months of accretion</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037"/>
          </w:tcPr>
          <w:p>
            <w:pPr>
              <w:spacing w:after="20"/>
            </w:pPr>
            <w:r>
              <w:rPr>
                <w:color w:val="1C3A36"/>
                <w:sz w:val="15"/>
              </w:rPr>
              <w:t>2026-08-05</w:t>
            </w:r>
          </w:p>
        </w:tc>
        <w:tc>
          <w:tcPr>
            <w:tcW w:type="dxa" w:w="6019"/>
          </w:tcPr>
          <w:p>
            <w:pPr>
              <w:spacing w:after="20"/>
            </w:pPr>
            <w:r>
              <w:rPr>
                <w:color w:val="1C3A36"/>
                <w:sz w:val="15"/>
              </w:rPr>
              <w:t>Justified EV/EBITDA on mid-cycle FY27E EBITDA. The company's own trailing multiple is elevated;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037"/>
          </w:tcPr>
          <w:p>
            <w:pPr>
              <w:spacing w:after="20"/>
            </w:pPr>
            <w:r>
              <w:rPr>
                <w:color w:val="1C3A36"/>
                <w:sz w:val="15"/>
              </w:rPr>
              <w:t>2026-08-05</w:t>
            </w:r>
          </w:p>
        </w:tc>
        <w:tc>
          <w:tcPr>
            <w:tcW w:type="dxa" w:w="6019"/>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037"/>
          </w:tcPr>
          <w:p>
            <w:pPr>
              <w:spacing w:after="20"/>
            </w:pPr>
            <w:r>
              <w:rPr>
                <w:color w:val="1C3A36"/>
                <w:sz w:val="15"/>
              </w:rPr>
              <w:t>2026-08-05</w:t>
            </w:r>
          </w:p>
        </w:tc>
        <w:tc>
          <w:tcPr>
            <w:tcW w:type="dxa" w:w="6019"/>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037"/>
          </w:tcPr>
          <w:p>
            <w:pPr>
              <w:spacing w:after="20"/>
            </w:pPr>
            <w:r>
              <w:rPr>
                <w:color w:val="1C3A36"/>
                <w:sz w:val="15"/>
              </w:rPr>
              <w:t>2026-08-05</w:t>
            </w:r>
          </w:p>
        </w:tc>
        <w:tc>
          <w:tcPr>
            <w:tcW w:type="dxa" w:w="6019"/>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the FY2025 share of revenue</w:t>
            </w:r>
          </w:p>
        </w:tc>
        <w:tc>
          <w:tcPr>
            <w:tcW w:type="dxa" w:w="2520"/>
          </w:tcPr>
          <w:p>
            <w:pPr>
              <w:spacing w:after="20"/>
            </w:pPr>
            <w:r>
              <w:rPr>
                <w:color w:val="1C3A36"/>
                <w:sz w:val="15"/>
              </w:rPr>
              <w:t>Net working capital stays near 19.9% of revenue, the FY2025 audited level</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Valuation date rolled to the anchor</w:t>
            </w:r>
          </w:p>
        </w:tc>
        <w:tc>
          <w:tcPr>
            <w:tcW w:type="dxa" w:w="2520"/>
          </w:tcPr>
          <w:p>
            <w:pPr>
              <w:spacing w:after="20"/>
            </w:pPr>
            <w:r>
              <w:rPr>
                <w:color w:val="1C3A36"/>
                <w:sz w:val="15"/>
              </w:rPr>
              <w:t>Every lens value, dated 31 December 2025 by construction, is rolled 217/365 of a year to the 5-Aug-2026 anchor at the cost of equity, less the EGP 1.85 dividend paid in the window</w:t>
            </w:r>
          </w:p>
        </w:tc>
        <w:tc>
          <w:tcPr>
            <w:tcW w:type="dxa" w:w="2952"/>
          </w:tcPr>
          <w:p>
            <w:pPr>
              <w:spacing w:after="20"/>
            </w:pPr>
            <w:r>
              <w:rPr>
                <w:color w:val="1C3A36"/>
                <w:sz w:val="15"/>
              </w:rPr>
              <w:t>The comparison price is dated 5 August 2026; comparing an end-2025 value to it would leave seven months of accretion out of the comparison — an external review flagged the omission and it was accepted</w:t>
            </w:r>
          </w:p>
        </w:tc>
        <w:tc>
          <w:tcPr>
            <w:tcW w:type="dxa" w:w="2664"/>
          </w:tcPr>
          <w:p>
            <w:pPr>
              <w:spacing w:after="20"/>
            </w:pPr>
            <w:r>
              <w:rPr>
                <w:color w:val="1C3A36"/>
                <w:sz w:val="15"/>
              </w:rPr>
              <w:t>A different roll rate (the risk-free rate instead of the cost of equity) would cut the accretion roughly in half; the cost-of-equity roll is the discount identity's own rate</w:t>
            </w:r>
          </w:p>
        </w:tc>
      </w:tr>
      <w:tr>
        <w:tc>
          <w:tcPr>
            <w:tcW w:type="dxa" w:w="1944"/>
          </w:tcPr>
          <w:p>
            <w:pPr>
              <w:spacing w:after="20"/>
            </w:pPr>
            <w:r>
              <w:rPr>
                <w:color w:val="1C3A36"/>
                <w:sz w:val="15"/>
              </w:rPr>
              <w:t>Terminal net-debt weight of 15%</w:t>
            </w:r>
          </w:p>
        </w:tc>
        <w:tc>
          <w:tcPr>
            <w:tcW w:type="dxa" w:w="2520"/>
          </w:tcPr>
          <w:p>
            <w:pPr>
              <w:spacing w:after="20"/>
            </w:pPr>
            <w:r>
              <w:rPr>
                <w:color w:val="1C3A36"/>
                <w:sz w:val="15"/>
              </w:rPr>
              <w:t>Revised from 25% after review: the old weight contradicted the model's own forecast deleveraging in the direction that flattered the valuation</w:t>
            </w:r>
          </w:p>
        </w:tc>
        <w:tc>
          <w:tcPr>
            <w:tcW w:type="dxa" w:w="2952"/>
          </w:tcPr>
          <w:p>
            <w:pPr>
              <w:spacing w:after="20"/>
            </w:pPr>
            <w:r>
              <w:rPr>
                <w:color w:val="1C3A36"/>
                <w:sz w:val="15"/>
              </w:rPr>
              <w:t>At a 25% payout the forecast net-debt weight still falls toward mid-single digits by FY2030E; 15% splits the difference between today's 8.4% and a structurally levered steady state, and costs about 2.4/share on the weighted central versus 25%</w:t>
            </w:r>
          </w:p>
        </w:tc>
        <w:tc>
          <w:tcPr>
            <w:tcW w:type="dxa" w:w="2664"/>
          </w:tcPr>
          <w:p>
            <w:pPr>
              <w:spacing w:after="20"/>
            </w:pPr>
            <w:r>
              <w:rPr>
                <w:color w:val="1C3A36"/>
                <w:sz w:val="15"/>
              </w:rPr>
              <w:t>Evidence the group intends to run materially higher structural net leverage</w:t>
            </w:r>
          </w:p>
        </w:tc>
      </w:tr>
      <w:tr>
        <w:tc>
          <w:tcPr>
            <w:tcW w:type="dxa" w:w="1944"/>
          </w:tcPr>
          <w:p>
            <w:pPr>
              <w:spacing w:after="20"/>
            </w:pPr>
            <w:r>
              <w:rPr>
                <w:color w:val="1C3A36"/>
                <w:sz w:val="15"/>
              </w:rPr>
              <w:t>Forecast payout ratio of 25%</w:t>
            </w:r>
          </w:p>
        </w:tc>
        <w:tc>
          <w:tcPr>
            <w:tcW w:type="dxa" w:w="2520"/>
          </w:tcPr>
          <w:p>
            <w:pPr>
              <w:spacing w:after="20"/>
            </w:pPr>
            <w:r>
              <w:rPr>
                <w:color w:val="1C3A36"/>
                <w:sz w:val="15"/>
              </w:rPr>
              <w:t>Struck at the actual FY2025 payout (EGP 1.85/share = 22.8% of attributable EPS), rounded up for the rising trajectory the +85% step-up implies</w:t>
            </w:r>
          </w:p>
        </w:tc>
        <w:tc>
          <w:tcPr>
            <w:tcW w:type="dxa" w:w="2952"/>
          </w:tcPr>
          <w:p>
            <w:pPr>
              <w:spacing w:after="20"/>
            </w:pPr>
            <w:r>
              <w:rPr>
                <w:color w:val="1C3A36"/>
                <w:sz w:val="15"/>
              </w:rPr>
              <w:t>The FY2025 dividend was ratified 6 May 2026 and paid from 4 June 2026 (EGX disclosure); an earlier revision wrongly removed it on absence-of-evidence grounds</w:t>
            </w:r>
          </w:p>
        </w:tc>
        <w:tc>
          <w:tcPr>
            <w:tcW w:type="dxa" w:w="2664"/>
          </w:tcPr>
          <w:p>
            <w:pPr>
              <w:spacing w:after="20"/>
            </w:pPr>
            <w:r>
              <w:rPr>
                <w:color w:val="1C3A36"/>
                <w:sz w:val="15"/>
              </w:rPr>
              <w:t>The distribution proposed on the FY2026 result</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the Q1-2026 print (25.75%)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The company reports only segment revenue (Note 5-3) and segment profit (Note 16) — no volumes, prices or backlog</w:t>
            </w:r>
          </w:p>
        </w:tc>
        <w:tc>
          <w:tcPr>
            <w:tcW w:type="dxa" w:w="4464"/>
          </w:tcPr>
          <w:p>
            <w:pPr>
              <w:spacing w:after="20"/>
            </w:pPr>
            <w:r>
              <w:rPr>
                <w:color w:val="1C3A36"/>
                <w:sz w:val="15"/>
              </w:rPr>
              <w:t>The forecast is built as a taper on each segment's own recent revenue CAGR and, for Cables, a copper-price and FX-translation driver, rather than a reconstructed unit model</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 — RESOLVED, and the earlier handling corrected</w:t>
            </w:r>
          </w:p>
        </w:tc>
        <w:tc>
          <w:tcPr>
            <w:tcW w:type="dxa" w:w="3384"/>
          </w:tcPr>
          <w:p>
            <w:pPr>
              <w:spacing w:after="20"/>
            </w:pPr>
            <w:r>
              <w:rPr>
                <w:color w:val="1C3A36"/>
                <w:sz w:val="15"/>
              </w:rPr>
              <w:t>Not disclosed in the FY2025 annual filing or the Q1-2026 interim — but the interim covers a period ending 31 March and carries no subsequent-events note, so its silence was never evidence. The dividend exists: EGP 1.85/share, ratified by the general assembly 6 May 2026, rights through 1 June, paid from 4 June 2026 (EGX disclosure, corroborated by financial-press coverage and the quoted trailing yield)</w:t>
            </w:r>
          </w:p>
        </w:tc>
        <w:tc>
          <w:tcPr>
            <w:tcW w:type="dxa" w:w="4464"/>
          </w:tcPr>
          <w:p>
            <w:pPr>
              <w:spacing w:after="20"/>
            </w:pPr>
            <w:r>
              <w:rPr>
                <w:color w:val="1C3A36"/>
                <w:sz w:val="15"/>
              </w:rPr>
              <w:t>An earlier revision removed the dividend on absence-of-evidence grounds — an error, flagged by external review and corrected: the model now carries EGP 1.85 and a 25% forecast payout. Recorded here because reasoning from the silence of a document that could not have contained the fact is exactly the failure mode this register exists to catch</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5 August 2026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