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9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four lenses centre at EGP 43.51 per share against a market price of 130.00 — the price sits about +199% above the central estimate. That gap is not mainly an argument about the business; it is an argument about the discount rate. Discounted at an Egyptian cost of capital gliding 28.8% to 17.2%, the cash flows support roughly EGP 43.51. Discount the hard-currency share of those same cash flows at a hard-currency cost of capital of about 11.3% and the same model produces EGP 57.86 — still -55% against today's price, but +33% above the primary reading. The market appears to be applying something at least as generous as the second view.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28.8% → 17.2%, terminal growth 7%; 82% of enterprise value comes from the terminal value</w:t>
            </w:r>
          </w:p>
        </w:tc>
        <w:tc>
          <w:tcPr>
            <w:tcW w:type="dxa" w:w="1656"/>
          </w:tcPr>
          <w:p>
            <w:pPr>
              <w:spacing w:after="20"/>
              <w:jc w:val="right"/>
            </w:pPr>
            <w:r>
              <w:rPr>
                <w:color w:val="1C3A36"/>
                <w:sz w:val="17"/>
              </w:rPr>
              <w:t>16.18 – 83.80</w:t>
            </w:r>
          </w:p>
        </w:tc>
        <w:tc>
          <w:tcPr>
            <w:tcW w:type="dxa" w:w="1037"/>
          </w:tcPr>
          <w:p>
            <w:pPr>
              <w:spacing w:after="20"/>
              <w:jc w:val="right"/>
            </w:pPr>
            <w:r>
              <w:rPr>
                <w:color w:val="1C3A36"/>
                <w:sz w:val="17"/>
              </w:rPr>
              <w:t>43.51</w:t>
            </w:r>
          </w:p>
        </w:tc>
        <w:tc>
          <w:tcPr>
            <w:tcW w:type="dxa" w:w="907"/>
          </w:tcPr>
          <w:p>
            <w:pPr>
              <w:spacing w:after="20"/>
              <w:jc w:val="right"/>
            </w:pPr>
            <w:r>
              <w:rPr>
                <w:color w:val="1C3A36"/>
                <w:sz w:val="17"/>
              </w:rPr>
              <w:t>-67%</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58.20 – 88.09</w:t>
            </w:r>
          </w:p>
        </w:tc>
        <w:tc>
          <w:tcPr>
            <w:tcW w:type="dxa" w:w="1037"/>
          </w:tcPr>
          <w:p>
            <w:pPr>
              <w:spacing w:after="20"/>
              <w:jc w:val="right"/>
            </w:pPr>
            <w:r>
              <w:rPr>
                <w:color w:val="1C3A36"/>
                <w:sz w:val="17"/>
              </w:rPr>
              <w:t>70.15</w:t>
            </w:r>
          </w:p>
        </w:tc>
        <w:tc>
          <w:tcPr>
            <w:tcW w:type="dxa" w:w="907"/>
          </w:tcPr>
          <w:p>
            <w:pPr>
              <w:spacing w:after="20"/>
              <w:jc w:val="right"/>
            </w:pPr>
            <w:r>
              <w:rPr>
                <w:color w:val="1C3A36"/>
                <w:sz w:val="17"/>
              </w:rPr>
              <w:t>-46%</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10.3% at a justified 9.0× P/E</w:t>
            </w:r>
          </w:p>
        </w:tc>
        <w:tc>
          <w:tcPr>
            <w:tcW w:type="dxa" w:w="1656"/>
          </w:tcPr>
          <w:p>
            <w:pPr>
              <w:spacing w:after="20"/>
              <w:jc w:val="right"/>
            </w:pPr>
            <w:r>
              <w:rPr>
                <w:color w:val="1C3A36"/>
                <w:sz w:val="17"/>
              </w:rPr>
              <w:t>76.56 – 126.96</w:t>
            </w:r>
          </w:p>
        </w:tc>
        <w:tc>
          <w:tcPr>
            <w:tcW w:type="dxa" w:w="1037"/>
          </w:tcPr>
          <w:p>
            <w:pPr>
              <w:spacing w:after="20"/>
              <w:jc w:val="right"/>
            </w:pPr>
            <w:r>
              <w:rPr>
                <w:color w:val="1C3A36"/>
                <w:sz w:val="17"/>
              </w:rPr>
              <w:t>98.96</w:t>
            </w:r>
          </w:p>
        </w:tc>
        <w:tc>
          <w:tcPr>
            <w:tcW w:type="dxa" w:w="907"/>
          </w:tcPr>
          <w:p>
            <w:pPr>
              <w:spacing w:after="20"/>
              <w:jc w:val="right"/>
            </w:pPr>
            <w:r>
              <w:rPr>
                <w:color w:val="1C3A36"/>
                <w:sz w:val="17"/>
              </w:rPr>
              <w:t>-24%</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1.4× on book value of 31.24/share at a sustainable return on equity of 23.5%</w:t>
            </w:r>
          </w:p>
        </w:tc>
        <w:tc>
          <w:tcPr>
            <w:tcW w:type="dxa" w:w="1656"/>
          </w:tcPr>
          <w:p>
            <w:pPr>
              <w:spacing w:after="20"/>
              <w:jc w:val="right"/>
            </w:pPr>
            <w:r>
              <w:rPr>
                <w:color w:val="1C3A36"/>
                <w:sz w:val="17"/>
              </w:rPr>
              <w:t>33.36 – 55.40</w:t>
            </w:r>
          </w:p>
        </w:tc>
        <w:tc>
          <w:tcPr>
            <w:tcW w:type="dxa" w:w="1037"/>
          </w:tcPr>
          <w:p>
            <w:pPr>
              <w:spacing w:after="20"/>
              <w:jc w:val="right"/>
            </w:pPr>
            <w:r>
              <w:rPr>
                <w:color w:val="1C3A36"/>
                <w:sz w:val="17"/>
              </w:rPr>
              <w:t>49.21</w:t>
            </w:r>
          </w:p>
        </w:tc>
        <w:tc>
          <w:tcPr>
            <w:tcW w:type="dxa" w:w="907"/>
          </w:tcPr>
          <w:p>
            <w:pPr>
              <w:spacing w:after="20"/>
              <w:jc w:val="right"/>
            </w:pPr>
            <w:r>
              <w:rPr>
                <w:color w:val="1C3A36"/>
                <w:sz w:val="17"/>
              </w:rPr>
              <w:t>-62%</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16.18 – 83.80</w:t>
            </w:r>
          </w:p>
        </w:tc>
        <w:tc>
          <w:tcPr>
            <w:tcW w:type="dxa" w:w="1037"/>
            <w:shd w:val="clear" w:color="auto" w:fill="F6F1E6"/>
          </w:tcPr>
          <w:p>
            <w:pPr>
              <w:spacing w:after="20"/>
              <w:jc w:val="right"/>
            </w:pPr>
            <w:r>
              <w:rPr>
                <w:b/>
                <w:color w:val="1C3A36"/>
                <w:sz w:val="17"/>
              </w:rPr>
              <w:t>43.51</w:t>
            </w:r>
          </w:p>
        </w:tc>
        <w:tc>
          <w:tcPr>
            <w:tcW w:type="dxa" w:w="907"/>
            <w:shd w:val="clear" w:color="auto" w:fill="F6F1E6"/>
          </w:tcPr>
          <w:p>
            <w:pPr>
              <w:spacing w:after="20"/>
              <w:jc w:val="right"/>
            </w:pPr>
            <w:r>
              <w:rPr>
                <w:b/>
                <w:color w:val="1C3A36"/>
                <w:sz w:val="17"/>
              </w:rPr>
              <w:t>-67%</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60.78</w:t>
            </w:r>
          </w:p>
        </w:tc>
        <w:tc>
          <w:tcPr>
            <w:tcW w:type="dxa" w:w="907"/>
          </w:tcPr>
          <w:p>
            <w:pPr>
              <w:spacing w:after="20"/>
              <w:jc w:val="right"/>
            </w:pPr>
            <w:r>
              <w:rPr>
                <w:color w:val="1C3A36"/>
                <w:sz w:val="17"/>
              </w:rPr>
              <w:t>-53%</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57.86</w:t>
            </w:r>
          </w:p>
        </w:tc>
        <w:tc>
          <w:tcPr>
            <w:tcW w:type="dxa" w:w="907"/>
          </w:tcPr>
          <w:p>
            <w:pPr>
              <w:spacing w:after="20"/>
              <w:jc w:val="right"/>
            </w:pPr>
            <w:r>
              <w:rPr>
                <w:color w:val="1C3A36"/>
                <w:sz w:val="17"/>
              </w:rPr>
              <w:t>-55%</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25.23</w:t>
            </w:r>
          </w:p>
        </w:tc>
        <w:tc>
          <w:tcPr>
            <w:tcW w:type="dxa" w:w="907"/>
          </w:tcPr>
          <w:p>
            <w:pPr>
              <w:spacing w:after="20"/>
              <w:jc w:val="right"/>
            </w:pPr>
            <w:r>
              <w:rPr>
                <w:color w:val="1C3A36"/>
                <w:sz w:val="17"/>
              </w:rPr>
              <w:t>-81%</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48.70</w:t>
            </w:r>
          </w:p>
        </w:tc>
        <w:tc>
          <w:tcPr>
            <w:tcW w:type="dxa" w:w="907"/>
          </w:tcPr>
          <w:p>
            <w:pPr>
              <w:spacing w:after="20"/>
              <w:jc w:val="right"/>
            </w:pPr>
            <w:r>
              <w:rPr>
                <w:color w:val="1C3A36"/>
                <w:sz w:val="17"/>
              </w:rPr>
              <w:t>-63%</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Terminal value is 82%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w:t>
            </w:r>
          </w:p>
        </w:tc>
        <w:tc>
          <w:tcPr>
            <w:tcW w:type="dxa" w:w="7848"/>
          </w:tcPr>
          <w:p>
            <w:pPr>
              <w:spacing w:after="20"/>
            </w:pPr>
            <w:r>
              <w:rPr>
                <w:color w:val="1C3A36"/>
                <w:sz w:val="17"/>
              </w:rPr>
              <w:t>Not disclosed in any of the audited FY2023-25 statements or the Q1-2026 interim, which are the primary sources this build is confined to. The company's quarterly earnings releases have historically disclosed order-book and volume data (the FY2024 release, for example, disclosed 167,665 tons of cable sold); those releases were not reachable from this research environment, so the forecast is built on segment revenue growth rather than a backlog figure — a cross-check against the released backlog is the first refinement to make when they become obtainable</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Margins are therefore OUTPUTS of the build rather than assumptions fed into it, and the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370,030</w:t>
            </w:r>
          </w:p>
        </w:tc>
        <w:tc>
          <w:tcPr>
            <w:tcW w:type="dxa" w:w="1426"/>
          </w:tcPr>
          <w:p>
            <w:pPr>
              <w:spacing w:after="20"/>
              <w:jc w:val="right"/>
            </w:pPr>
            <w:r>
              <w:rPr>
                <w:color w:val="1C3A36"/>
                <w:sz w:val="17"/>
              </w:rPr>
              <w:t>422,528</w:t>
            </w:r>
          </w:p>
        </w:tc>
        <w:tc>
          <w:tcPr>
            <w:tcW w:type="dxa" w:w="1426"/>
          </w:tcPr>
          <w:p>
            <w:pPr>
              <w:spacing w:after="20"/>
              <w:jc w:val="right"/>
            </w:pPr>
            <w:r>
              <w:rPr>
                <w:color w:val="1C3A36"/>
                <w:sz w:val="17"/>
              </w:rPr>
              <w:t>466,619</w:t>
            </w:r>
          </w:p>
        </w:tc>
        <w:tc>
          <w:tcPr>
            <w:tcW w:type="dxa" w:w="1426"/>
          </w:tcPr>
          <w:p>
            <w:pPr>
              <w:spacing w:after="20"/>
              <w:jc w:val="right"/>
            </w:pPr>
            <w:r>
              <w:rPr>
                <w:color w:val="1C3A36"/>
                <w:sz w:val="17"/>
              </w:rPr>
              <w:t>510,440</w:t>
            </w:r>
          </w:p>
        </w:tc>
        <w:tc>
          <w:tcPr>
            <w:tcW w:type="dxa" w:w="1426"/>
          </w:tcPr>
          <w:p>
            <w:pPr>
              <w:spacing w:after="20"/>
              <w:jc w:val="right"/>
            </w:pPr>
            <w:r>
              <w:rPr>
                <w:color w:val="1C3A36"/>
                <w:sz w:val="17"/>
              </w:rPr>
              <w:t>555,225</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175,308</w:t>
            </w:r>
          </w:p>
        </w:tc>
        <w:tc>
          <w:tcPr>
            <w:tcW w:type="dxa" w:w="1426"/>
          </w:tcPr>
          <w:p>
            <w:pPr>
              <w:spacing w:after="20"/>
              <w:jc w:val="right"/>
            </w:pPr>
            <w:r>
              <w:rPr>
                <w:color w:val="1C3A36"/>
                <w:sz w:val="17"/>
              </w:rPr>
              <w:t>200,259</w:t>
            </w:r>
          </w:p>
        </w:tc>
        <w:tc>
          <w:tcPr>
            <w:tcW w:type="dxa" w:w="1426"/>
          </w:tcPr>
          <w:p>
            <w:pPr>
              <w:spacing w:after="20"/>
              <w:jc w:val="right"/>
            </w:pPr>
            <w:r>
              <w:rPr>
                <w:color w:val="1C3A36"/>
                <w:sz w:val="17"/>
              </w:rPr>
              <w:t>221,642</w:t>
            </w:r>
          </w:p>
        </w:tc>
        <w:tc>
          <w:tcPr>
            <w:tcW w:type="dxa" w:w="1426"/>
          </w:tcPr>
          <w:p>
            <w:pPr>
              <w:spacing w:after="20"/>
              <w:jc w:val="right"/>
            </w:pPr>
            <w:r>
              <w:rPr>
                <w:color w:val="1C3A36"/>
                <w:sz w:val="17"/>
              </w:rPr>
              <w:t>242,445</w:t>
            </w:r>
          </w:p>
        </w:tc>
        <w:tc>
          <w:tcPr>
            <w:tcW w:type="dxa" w:w="1426"/>
          </w:tcPr>
          <w:p>
            <w:pPr>
              <w:spacing w:after="20"/>
              <w:jc w:val="right"/>
            </w:pPr>
            <w:r>
              <w:rPr>
                <w:color w:val="1C3A36"/>
                <w:sz w:val="17"/>
              </w:rPr>
              <w:t>263,462</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194,722</w:t>
            </w:r>
          </w:p>
        </w:tc>
        <w:tc>
          <w:tcPr>
            <w:tcW w:type="dxa" w:w="1426"/>
          </w:tcPr>
          <w:p>
            <w:pPr>
              <w:spacing w:after="20"/>
              <w:jc w:val="right"/>
            </w:pPr>
            <w:r>
              <w:rPr>
                <w:color w:val="1C3A36"/>
                <w:sz w:val="17"/>
              </w:rPr>
              <w:t>222,270</w:t>
            </w:r>
          </w:p>
        </w:tc>
        <w:tc>
          <w:tcPr>
            <w:tcW w:type="dxa" w:w="1426"/>
          </w:tcPr>
          <w:p>
            <w:pPr>
              <w:spacing w:after="20"/>
              <w:jc w:val="right"/>
            </w:pPr>
            <w:r>
              <w:rPr>
                <w:color w:val="1C3A36"/>
                <w:sz w:val="17"/>
              </w:rPr>
              <w:t>244,977</w:t>
            </w:r>
          </w:p>
        </w:tc>
        <w:tc>
          <w:tcPr>
            <w:tcW w:type="dxa" w:w="1426"/>
          </w:tcPr>
          <w:p>
            <w:pPr>
              <w:spacing w:after="20"/>
              <w:jc w:val="right"/>
            </w:pPr>
            <w:r>
              <w:rPr>
                <w:color w:val="1C3A36"/>
                <w:sz w:val="17"/>
              </w:rPr>
              <w:t>267,995</w:t>
            </w:r>
          </w:p>
        </w:tc>
        <w:tc>
          <w:tcPr>
            <w:tcW w:type="dxa" w:w="1426"/>
          </w:tcPr>
          <w:p>
            <w:pPr>
              <w:spacing w:after="20"/>
              <w:jc w:val="right"/>
            </w:pPr>
            <w:r>
              <w:rPr>
                <w:color w:val="1C3A36"/>
                <w:sz w:val="17"/>
              </w:rPr>
              <w:t>291,763</w:t>
            </w:r>
          </w:p>
        </w:tc>
      </w:tr>
      <w:tr>
        <w:tc>
          <w:tcPr>
            <w:tcW w:type="dxa" w:w="2952"/>
          </w:tcPr>
          <w:p>
            <w:pPr>
              <w:spacing w:after="20"/>
            </w:pPr>
            <w:r>
              <w:rPr>
                <w:color w:val="1C3A36"/>
                <w:sz w:val="17"/>
              </w:rPr>
              <w:t>EBITDA</w:t>
            </w:r>
          </w:p>
        </w:tc>
        <w:tc>
          <w:tcPr>
            <w:tcW w:type="dxa" w:w="1426"/>
          </w:tcPr>
          <w:p>
            <w:pPr>
              <w:spacing w:after="20"/>
              <w:jc w:val="right"/>
            </w:pPr>
            <w:r>
              <w:rPr>
                <w:color w:val="1C3A36"/>
                <w:sz w:val="17"/>
              </w:rPr>
              <w:t>37,965</w:t>
            </w:r>
          </w:p>
        </w:tc>
        <w:tc>
          <w:tcPr>
            <w:tcW w:type="dxa" w:w="1426"/>
          </w:tcPr>
          <w:p>
            <w:pPr>
              <w:spacing w:after="20"/>
              <w:jc w:val="right"/>
            </w:pPr>
            <w:r>
              <w:rPr>
                <w:color w:val="1C3A36"/>
                <w:sz w:val="17"/>
              </w:rPr>
              <w:t>43,447</w:t>
            </w:r>
          </w:p>
        </w:tc>
        <w:tc>
          <w:tcPr>
            <w:tcW w:type="dxa" w:w="1426"/>
          </w:tcPr>
          <w:p>
            <w:pPr>
              <w:spacing w:after="20"/>
              <w:jc w:val="right"/>
            </w:pPr>
            <w:r>
              <w:rPr>
                <w:color w:val="1C3A36"/>
                <w:sz w:val="17"/>
              </w:rPr>
              <w:t>48,113</w:t>
            </w:r>
          </w:p>
        </w:tc>
        <w:tc>
          <w:tcPr>
            <w:tcW w:type="dxa" w:w="1426"/>
          </w:tcPr>
          <w:p>
            <w:pPr>
              <w:spacing w:after="20"/>
              <w:jc w:val="right"/>
            </w:pPr>
            <w:r>
              <w:rPr>
                <w:color w:val="1C3A36"/>
                <w:sz w:val="17"/>
              </w:rPr>
              <w:t>52,750</w:t>
            </w:r>
          </w:p>
        </w:tc>
        <w:tc>
          <w:tcPr>
            <w:tcW w:type="dxa" w:w="1426"/>
          </w:tcPr>
          <w:p>
            <w:pPr>
              <w:spacing w:after="20"/>
              <w:jc w:val="right"/>
            </w:pPr>
            <w:r>
              <w:rPr>
                <w:color w:val="1C3A36"/>
                <w:sz w:val="17"/>
              </w:rPr>
              <w:t>57,496</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10.4%</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(4,625)</w:t>
            </w:r>
          </w:p>
        </w:tc>
        <w:tc>
          <w:tcPr>
            <w:tcW w:type="dxa" w:w="1426"/>
          </w:tcPr>
          <w:p>
            <w:pPr>
              <w:spacing w:after="20"/>
              <w:jc w:val="right"/>
            </w:pPr>
            <w:r>
              <w:rPr>
                <w:color w:val="1C3A36"/>
                <w:sz w:val="17"/>
              </w:rPr>
              <w:t>(5,282)</w:t>
            </w:r>
          </w:p>
        </w:tc>
        <w:tc>
          <w:tcPr>
            <w:tcW w:type="dxa" w:w="1426"/>
          </w:tcPr>
          <w:p>
            <w:pPr>
              <w:spacing w:after="20"/>
              <w:jc w:val="right"/>
            </w:pPr>
            <w:r>
              <w:rPr>
                <w:color w:val="1C3A36"/>
                <w:sz w:val="17"/>
              </w:rPr>
              <w:t>(5,833)</w:t>
            </w:r>
          </w:p>
        </w:tc>
        <w:tc>
          <w:tcPr>
            <w:tcW w:type="dxa" w:w="1426"/>
          </w:tcPr>
          <w:p>
            <w:pPr>
              <w:spacing w:after="20"/>
              <w:jc w:val="right"/>
            </w:pPr>
            <w:r>
              <w:rPr>
                <w:color w:val="1C3A36"/>
                <w:sz w:val="17"/>
              </w:rPr>
              <w:t>(6,381)</w:t>
            </w:r>
          </w:p>
        </w:tc>
        <w:tc>
          <w:tcPr>
            <w:tcW w:type="dxa" w:w="1426"/>
          </w:tcPr>
          <w:p>
            <w:pPr>
              <w:spacing w:after="20"/>
              <w:jc w:val="right"/>
            </w:pPr>
            <w:r>
              <w:rPr>
                <w:color w:val="1C3A36"/>
                <w:sz w:val="17"/>
              </w:rPr>
              <w:t>(6,940)</w:t>
            </w:r>
          </w:p>
        </w:tc>
      </w:tr>
      <w:tr>
        <w:tc>
          <w:tcPr>
            <w:tcW w:type="dxa" w:w="2952"/>
          </w:tcPr>
          <w:p>
            <w:pPr>
              <w:spacing w:after="20"/>
            </w:pPr>
            <w:r>
              <w:rPr>
                <w:color w:val="1C3A36"/>
                <w:sz w:val="17"/>
              </w:rPr>
              <w:t>EBIT</w:t>
            </w:r>
          </w:p>
        </w:tc>
        <w:tc>
          <w:tcPr>
            <w:tcW w:type="dxa" w:w="1426"/>
          </w:tcPr>
          <w:p>
            <w:pPr>
              <w:spacing w:after="20"/>
              <w:jc w:val="right"/>
            </w:pPr>
            <w:r>
              <w:rPr>
                <w:color w:val="1C3A36"/>
                <w:sz w:val="17"/>
              </w:rPr>
              <w:t>33,339</w:t>
            </w:r>
          </w:p>
        </w:tc>
        <w:tc>
          <w:tcPr>
            <w:tcW w:type="dxa" w:w="1426"/>
          </w:tcPr>
          <w:p>
            <w:pPr>
              <w:spacing w:after="20"/>
              <w:jc w:val="right"/>
            </w:pPr>
            <w:r>
              <w:rPr>
                <w:color w:val="1C3A36"/>
                <w:sz w:val="17"/>
              </w:rPr>
              <w:t>38,165</w:t>
            </w:r>
          </w:p>
        </w:tc>
        <w:tc>
          <w:tcPr>
            <w:tcW w:type="dxa" w:w="1426"/>
          </w:tcPr>
          <w:p>
            <w:pPr>
              <w:spacing w:after="20"/>
              <w:jc w:val="right"/>
            </w:pPr>
            <w:r>
              <w:rPr>
                <w:color w:val="1C3A36"/>
                <w:sz w:val="17"/>
              </w:rPr>
              <w:t>42,280</w:t>
            </w:r>
          </w:p>
        </w:tc>
        <w:tc>
          <w:tcPr>
            <w:tcW w:type="dxa" w:w="1426"/>
          </w:tcPr>
          <w:p>
            <w:pPr>
              <w:spacing w:after="20"/>
              <w:jc w:val="right"/>
            </w:pPr>
            <w:r>
              <w:rPr>
                <w:color w:val="1C3A36"/>
                <w:sz w:val="17"/>
              </w:rPr>
              <w:t>46,370</w:t>
            </w:r>
          </w:p>
        </w:tc>
        <w:tc>
          <w:tcPr>
            <w:tcW w:type="dxa" w:w="1426"/>
          </w:tcPr>
          <w:p>
            <w:pPr>
              <w:spacing w:after="20"/>
              <w:jc w:val="right"/>
            </w:pPr>
            <w:r>
              <w:rPr>
                <w:color w:val="1C3A36"/>
                <w:sz w:val="17"/>
              </w:rPr>
              <w:t>50,556</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25,171</w:t>
            </w:r>
          </w:p>
        </w:tc>
        <w:tc>
          <w:tcPr>
            <w:tcW w:type="dxa" w:w="1426"/>
          </w:tcPr>
          <w:p>
            <w:pPr>
              <w:spacing w:after="20"/>
              <w:jc w:val="right"/>
            </w:pPr>
            <w:r>
              <w:rPr>
                <w:color w:val="1C3A36"/>
                <w:sz w:val="17"/>
              </w:rPr>
              <w:t>28,815</w:t>
            </w:r>
          </w:p>
        </w:tc>
        <w:tc>
          <w:tcPr>
            <w:tcW w:type="dxa" w:w="1426"/>
          </w:tcPr>
          <w:p>
            <w:pPr>
              <w:spacing w:after="20"/>
              <w:jc w:val="right"/>
            </w:pPr>
            <w:r>
              <w:rPr>
                <w:color w:val="1C3A36"/>
                <w:sz w:val="17"/>
              </w:rPr>
              <w:t>31,922</w:t>
            </w:r>
          </w:p>
        </w:tc>
        <w:tc>
          <w:tcPr>
            <w:tcW w:type="dxa" w:w="1426"/>
          </w:tcPr>
          <w:p>
            <w:pPr>
              <w:spacing w:after="20"/>
              <w:jc w:val="right"/>
            </w:pPr>
            <w:r>
              <w:rPr>
                <w:color w:val="1C3A36"/>
                <w:sz w:val="17"/>
              </w:rPr>
              <w:t>35,009</w:t>
            </w:r>
          </w:p>
        </w:tc>
        <w:tc>
          <w:tcPr>
            <w:tcW w:type="dxa" w:w="1426"/>
          </w:tcPr>
          <w:p>
            <w:pPr>
              <w:spacing w:after="20"/>
              <w:jc w:val="right"/>
            </w:pPr>
            <w:r>
              <w:rPr>
                <w:color w:val="1C3A36"/>
                <w:sz w:val="17"/>
              </w:rPr>
              <w:t>38,170</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4,625</w:t>
            </w:r>
          </w:p>
        </w:tc>
        <w:tc>
          <w:tcPr>
            <w:tcW w:type="dxa" w:w="1426"/>
          </w:tcPr>
          <w:p>
            <w:pPr>
              <w:spacing w:after="20"/>
              <w:jc w:val="right"/>
            </w:pPr>
            <w:r>
              <w:rPr>
                <w:color w:val="1C3A36"/>
                <w:sz w:val="17"/>
              </w:rPr>
              <w:t>5,282</w:t>
            </w:r>
          </w:p>
        </w:tc>
        <w:tc>
          <w:tcPr>
            <w:tcW w:type="dxa" w:w="1426"/>
          </w:tcPr>
          <w:p>
            <w:pPr>
              <w:spacing w:after="20"/>
              <w:jc w:val="right"/>
            </w:pPr>
            <w:r>
              <w:rPr>
                <w:color w:val="1C3A36"/>
                <w:sz w:val="17"/>
              </w:rPr>
              <w:t>5,833</w:t>
            </w:r>
          </w:p>
        </w:tc>
        <w:tc>
          <w:tcPr>
            <w:tcW w:type="dxa" w:w="1426"/>
          </w:tcPr>
          <w:p>
            <w:pPr>
              <w:spacing w:after="20"/>
              <w:jc w:val="right"/>
            </w:pPr>
            <w:r>
              <w:rPr>
                <w:color w:val="1C3A36"/>
                <w:sz w:val="17"/>
              </w:rPr>
              <w:t>6,381</w:t>
            </w:r>
          </w:p>
        </w:tc>
        <w:tc>
          <w:tcPr>
            <w:tcW w:type="dxa" w:w="1426"/>
          </w:tcPr>
          <w:p>
            <w:pPr>
              <w:spacing w:after="20"/>
              <w:jc w:val="right"/>
            </w:pPr>
            <w:r>
              <w:rPr>
                <w:color w:val="1C3A36"/>
                <w:sz w:val="17"/>
              </w:rPr>
              <w:t>6,940</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(16,281)</w:t>
            </w:r>
          </w:p>
        </w:tc>
        <w:tc>
          <w:tcPr>
            <w:tcW w:type="dxa" w:w="1426"/>
          </w:tcPr>
          <w:p>
            <w:pPr>
              <w:spacing w:after="20"/>
              <w:jc w:val="right"/>
            </w:pPr>
            <w:r>
              <w:rPr>
                <w:color w:val="1C3A36"/>
                <w:sz w:val="17"/>
              </w:rPr>
              <w:t>(16,901)</w:t>
            </w:r>
          </w:p>
        </w:tc>
        <w:tc>
          <w:tcPr>
            <w:tcW w:type="dxa" w:w="1426"/>
          </w:tcPr>
          <w:p>
            <w:pPr>
              <w:spacing w:after="20"/>
              <w:jc w:val="right"/>
            </w:pPr>
            <w:r>
              <w:rPr>
                <w:color w:val="1C3A36"/>
                <w:sz w:val="17"/>
              </w:rPr>
              <w:t>(16,798)</w:t>
            </w:r>
          </w:p>
        </w:tc>
        <w:tc>
          <w:tcPr>
            <w:tcW w:type="dxa" w:w="1426"/>
          </w:tcPr>
          <w:p>
            <w:pPr>
              <w:spacing w:after="20"/>
              <w:jc w:val="right"/>
            </w:pPr>
            <w:r>
              <w:rPr>
                <w:color w:val="1C3A36"/>
                <w:sz w:val="17"/>
              </w:rPr>
              <w:t>(16,845)</w:t>
            </w:r>
          </w:p>
        </w:tc>
        <w:tc>
          <w:tcPr>
            <w:tcW w:type="dxa" w:w="1426"/>
          </w:tcPr>
          <w:p>
            <w:pPr>
              <w:spacing w:after="20"/>
              <w:jc w:val="right"/>
            </w:pPr>
            <w:r>
              <w:rPr>
                <w:color w:val="1C3A36"/>
                <w:sz w:val="17"/>
              </w:rPr>
              <w:t>(17,212)</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(17,783)</w:t>
            </w:r>
          </w:p>
        </w:tc>
        <w:tc>
          <w:tcPr>
            <w:tcW w:type="dxa" w:w="1426"/>
          </w:tcPr>
          <w:p>
            <w:pPr>
              <w:spacing w:after="20"/>
              <w:jc w:val="right"/>
            </w:pPr>
            <w:r>
              <w:rPr>
                <w:color w:val="1C3A36"/>
                <w:sz w:val="17"/>
              </w:rPr>
              <w:t>(10,447)</w:t>
            </w:r>
          </w:p>
        </w:tc>
        <w:tc>
          <w:tcPr>
            <w:tcW w:type="dxa" w:w="1426"/>
          </w:tcPr>
          <w:p>
            <w:pPr>
              <w:spacing w:after="20"/>
              <w:jc w:val="right"/>
            </w:pPr>
            <w:r>
              <w:rPr>
                <w:color w:val="1C3A36"/>
                <w:sz w:val="17"/>
              </w:rPr>
              <w:t>(8,774)</w:t>
            </w:r>
          </w:p>
        </w:tc>
        <w:tc>
          <w:tcPr>
            <w:tcW w:type="dxa" w:w="1426"/>
          </w:tcPr>
          <w:p>
            <w:pPr>
              <w:spacing w:after="20"/>
              <w:jc w:val="right"/>
            </w:pPr>
            <w:r>
              <w:rPr>
                <w:color w:val="1C3A36"/>
                <w:sz w:val="17"/>
              </w:rPr>
              <w:t>(8,720)</w:t>
            </w:r>
          </w:p>
        </w:tc>
        <w:tc>
          <w:tcPr>
            <w:tcW w:type="dxa" w:w="1426"/>
          </w:tcPr>
          <w:p>
            <w:pPr>
              <w:spacing w:after="20"/>
              <w:jc w:val="right"/>
            </w:pPr>
            <w:r>
              <w:rPr>
                <w:color w:val="1C3A36"/>
                <w:sz w:val="17"/>
              </w:rPr>
              <w:t>(8,912)</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-4,268</w:t>
            </w:r>
          </w:p>
        </w:tc>
        <w:tc>
          <w:tcPr>
            <w:tcW w:type="dxa" w:w="1426"/>
            <w:shd w:val="clear" w:color="auto" w:fill="F6F1E6"/>
          </w:tcPr>
          <w:p>
            <w:pPr>
              <w:spacing w:after="20"/>
              <w:jc w:val="right"/>
            </w:pPr>
            <w:r>
              <w:rPr>
                <w:b/>
                <w:color w:val="1C3A36"/>
                <w:sz w:val="17"/>
              </w:rPr>
              <w:t>6,748</w:t>
            </w:r>
          </w:p>
        </w:tc>
        <w:tc>
          <w:tcPr>
            <w:tcW w:type="dxa" w:w="1426"/>
            <w:shd w:val="clear" w:color="auto" w:fill="F6F1E6"/>
          </w:tcPr>
          <w:p>
            <w:pPr>
              <w:spacing w:after="20"/>
              <w:jc w:val="right"/>
            </w:pPr>
            <w:r>
              <w:rPr>
                <w:b/>
                <w:color w:val="1C3A36"/>
                <w:sz w:val="17"/>
              </w:rPr>
              <w:t>12,182</w:t>
            </w:r>
          </w:p>
        </w:tc>
        <w:tc>
          <w:tcPr>
            <w:tcW w:type="dxa" w:w="1426"/>
            <w:shd w:val="clear" w:color="auto" w:fill="F6F1E6"/>
          </w:tcPr>
          <w:p>
            <w:pPr>
              <w:spacing w:after="20"/>
              <w:jc w:val="right"/>
            </w:pPr>
            <w:r>
              <w:rPr>
                <w:b/>
                <w:color w:val="1C3A36"/>
                <w:sz w:val="17"/>
              </w:rPr>
              <w:t>15,825</w:t>
            </w:r>
          </w:p>
        </w:tc>
        <w:tc>
          <w:tcPr>
            <w:tcW w:type="dxa" w:w="1426"/>
            <w:shd w:val="clear" w:color="auto" w:fill="F6F1E6"/>
          </w:tcPr>
          <w:p>
            <w:pPr>
              <w:spacing w:after="20"/>
              <w:jc w:val="right"/>
            </w:pPr>
            <w:r>
              <w:rPr>
                <w:b/>
                <w:color w:val="1C3A36"/>
                <w:sz w:val="17"/>
              </w:rPr>
              <w:t>18,986</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28.8%</w:t>
            </w:r>
          </w:p>
        </w:tc>
        <w:tc>
          <w:tcPr>
            <w:tcW w:type="dxa" w:w="1426"/>
          </w:tcPr>
          <w:p>
            <w:pPr>
              <w:spacing w:after="20"/>
              <w:jc w:val="right"/>
            </w:pPr>
            <w:r>
              <w:rPr>
                <w:color w:val="1C3A36"/>
                <w:sz w:val="17"/>
              </w:rPr>
              <w:t>25.0%</w:t>
            </w:r>
          </w:p>
        </w:tc>
        <w:tc>
          <w:tcPr>
            <w:tcW w:type="dxa" w:w="1426"/>
          </w:tcPr>
          <w:p>
            <w:pPr>
              <w:spacing w:after="20"/>
              <w:jc w:val="right"/>
            </w:pPr>
            <w:r>
              <w:rPr>
                <w:color w:val="1C3A36"/>
                <w:sz w:val="17"/>
              </w:rPr>
              <w:t>21.7%</w:t>
            </w:r>
          </w:p>
        </w:tc>
        <w:tc>
          <w:tcPr>
            <w:tcW w:type="dxa" w:w="1426"/>
          </w:tcPr>
          <w:p>
            <w:pPr>
              <w:spacing w:after="20"/>
              <w:jc w:val="right"/>
            </w:pPr>
            <w:r>
              <w:rPr>
                <w:color w:val="1C3A36"/>
                <w:sz w:val="17"/>
              </w:rPr>
              <w:t>19.2%</w:t>
            </w:r>
          </w:p>
        </w:tc>
        <w:tc>
          <w:tcPr>
            <w:tcW w:type="dxa" w:w="1426"/>
          </w:tcPr>
          <w:p>
            <w:pPr>
              <w:spacing w:after="20"/>
              <w:jc w:val="right"/>
            </w:pPr>
            <w:r>
              <w:rPr>
                <w:color w:val="1C3A36"/>
                <w:sz w:val="17"/>
              </w:rPr>
              <w:t>17.2%</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0.7762</w:t>
            </w:r>
          </w:p>
        </w:tc>
        <w:tc>
          <w:tcPr>
            <w:tcW w:type="dxa" w:w="1426"/>
          </w:tcPr>
          <w:p>
            <w:pPr>
              <w:spacing w:after="20"/>
              <w:jc w:val="right"/>
            </w:pPr>
            <w:r>
              <w:rPr>
                <w:color w:val="1C3A36"/>
                <w:sz w:val="17"/>
              </w:rPr>
              <w:t>0.6211</w:t>
            </w:r>
          </w:p>
        </w:tc>
        <w:tc>
          <w:tcPr>
            <w:tcW w:type="dxa" w:w="1426"/>
          </w:tcPr>
          <w:p>
            <w:pPr>
              <w:spacing w:after="20"/>
              <w:jc w:val="right"/>
            </w:pPr>
            <w:r>
              <w:rPr>
                <w:color w:val="1C3A36"/>
                <w:sz w:val="17"/>
              </w:rPr>
              <w:t>0.5102</w:t>
            </w:r>
          </w:p>
        </w:tc>
        <w:tc>
          <w:tcPr>
            <w:tcW w:type="dxa" w:w="1426"/>
          </w:tcPr>
          <w:p>
            <w:pPr>
              <w:spacing w:after="20"/>
              <w:jc w:val="right"/>
            </w:pPr>
            <w:r>
              <w:rPr>
                <w:color w:val="1C3A36"/>
                <w:sz w:val="17"/>
              </w:rPr>
              <w:t>0.4282</w:t>
            </w:r>
          </w:p>
        </w:tc>
        <w:tc>
          <w:tcPr>
            <w:tcW w:type="dxa" w:w="1426"/>
          </w:tcPr>
          <w:p>
            <w:pPr>
              <w:spacing w:after="20"/>
              <w:jc w:val="right"/>
            </w:pPr>
            <w:r>
              <w:rPr>
                <w:color w:val="1C3A36"/>
                <w:sz w:val="17"/>
              </w:rPr>
              <w:t>0.3653</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-3,313</w:t>
            </w:r>
          </w:p>
        </w:tc>
        <w:tc>
          <w:tcPr>
            <w:tcW w:type="dxa" w:w="1426"/>
            <w:shd w:val="clear" w:color="auto" w:fill="F6F1E6"/>
          </w:tcPr>
          <w:p>
            <w:pPr>
              <w:spacing w:after="20"/>
              <w:jc w:val="right"/>
            </w:pPr>
            <w:r>
              <w:rPr>
                <w:b/>
                <w:color w:val="1C3A36"/>
                <w:sz w:val="17"/>
              </w:rPr>
              <w:t>4,191</w:t>
            </w:r>
          </w:p>
        </w:tc>
        <w:tc>
          <w:tcPr>
            <w:tcW w:type="dxa" w:w="1426"/>
            <w:shd w:val="clear" w:color="auto" w:fill="F6F1E6"/>
          </w:tcPr>
          <w:p>
            <w:pPr>
              <w:spacing w:after="20"/>
              <w:jc w:val="right"/>
            </w:pPr>
            <w:r>
              <w:rPr>
                <w:b/>
                <w:color w:val="1C3A36"/>
                <w:sz w:val="17"/>
              </w:rPr>
              <w:t>6,216</w:t>
            </w:r>
          </w:p>
        </w:tc>
        <w:tc>
          <w:tcPr>
            <w:tcW w:type="dxa" w:w="1426"/>
            <w:shd w:val="clear" w:color="auto" w:fill="F6F1E6"/>
          </w:tcPr>
          <w:p>
            <w:pPr>
              <w:spacing w:after="20"/>
              <w:jc w:val="right"/>
            </w:pPr>
            <w:r>
              <w:rPr>
                <w:b/>
                <w:color w:val="1C3A36"/>
                <w:sz w:val="17"/>
              </w:rPr>
              <w:t>6,776</w:t>
            </w:r>
          </w:p>
        </w:tc>
        <w:tc>
          <w:tcPr>
            <w:tcW w:type="dxa" w:w="1426"/>
            <w:shd w:val="clear" w:color="auto" w:fill="F6F1E6"/>
          </w:tcPr>
          <w:p>
            <w:pPr>
              <w:spacing w:after="20"/>
              <w:jc w:val="right"/>
            </w:pPr>
            <w:r>
              <w:rPr>
                <w:b/>
                <w:color w:val="1C3A36"/>
                <w:sz w:val="17"/>
              </w:rPr>
              <w:t>6,935</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19.9% of revenue, the level the audited balance sheets actually show.</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20,806</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26,619</w:t>
            </w:r>
          </w:p>
        </w:tc>
        <w:tc>
          <w:tcPr>
            <w:tcW w:type="dxa" w:w="4896"/>
          </w:tcPr>
          <w:p>
            <w:pPr>
              <w:spacing w:after="20"/>
              <w:jc w:val="right"/>
            </w:pPr>
            <w:r>
              <w:rPr>
                <w:color w:val="1C3A36"/>
                <w:sz w:val="16"/>
              </w:rPr>
              <w:t>FY2030E NOPAT grown 7% × (1 − reinvestment rate 34.8%); the reinvestment rate is forced to g ÷ terminal return on capital (20.1%) so growth is paid for — this is why the terminal cash flow sits above year-5 FCFF, disclosed here rather than left implicit</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95,358</w:t>
            </w:r>
          </w:p>
        </w:tc>
        <w:tc>
          <w:tcPr>
            <w:tcW w:type="dxa" w:w="4896"/>
          </w:tcPr>
          <w:p>
            <w:pPr>
              <w:spacing w:after="20"/>
              <w:jc w:val="right"/>
            </w:pPr>
            <w:r>
              <w:rPr>
                <w:color w:val="1C3A36"/>
                <w:sz w:val="16"/>
              </w:rPr>
              <w:t>the terminal cash flow capitalised at 17.2% − 7% = 261,042, discounted at the year-5 factor 0.3653</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116,164</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82%</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(9,904)</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81,185</w:t>
            </w:r>
          </w:p>
        </w:tc>
        <w:tc>
          <w:tcPr>
            <w:tcW w:type="dxa" w:w="4896"/>
          </w:tcPr>
          <w:p>
            <w:pPr>
              <w:spacing w:after="20"/>
              <w:jc w:val="right"/>
            </w:pPr>
            <w:r>
              <w:rPr>
                <w:color w:val="1C3A36"/>
                <w:sz w:val="16"/>
              </w:rPr>
              <w:t>EGP 37.92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×1.1961</w:t>
            </w:r>
          </w:p>
        </w:tc>
        <w:tc>
          <w:tcPr>
            <w:tcW w:type="dxa" w:w="4896"/>
          </w:tcPr>
          <w:p>
            <w:pPr>
              <w:spacing w:after="20"/>
              <w:jc w:val="right"/>
            </w:pPr>
            <w:r>
              <w:rPr>
                <w:color w:val="1C3A36"/>
                <w:sz w:val="16"/>
              </w:rPr>
              <w:t>fair value accretes at the 30.4% cost of equity between the valuation date and the 5-Aug-2026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(1.85/sh)</w:t>
            </w:r>
          </w:p>
        </w:tc>
        <w:tc>
          <w:tcPr>
            <w:tcW w:type="dxa" w:w="4896"/>
          </w:tcPr>
          <w:p>
            <w:pPr>
              <w:spacing w:after="20"/>
              <w:jc w:val="right"/>
            </w:pPr>
            <w:r>
              <w:rPr>
                <w:color w:val="1C3A36"/>
                <w:sz w:val="16"/>
              </w:rPr>
              <w:t>EGP 1.85, ex 1 June 2026 — value that left the share before the anchor date</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43.51</w:t>
            </w:r>
          </w:p>
        </w:tc>
        <w:tc>
          <w:tcPr>
            <w:tcW w:type="dxa" w:w="4896"/>
            <w:shd w:val="clear" w:color="auto" w:fill="F6F1E6"/>
          </w:tcPr>
          <w:p>
            <w:pPr>
              <w:spacing w:after="20"/>
              <w:jc w:val="right"/>
            </w:pPr>
            <w:r>
              <w:rPr>
                <w:b/>
                <w:color w:val="1C3A36"/>
                <w:sz w:val="16"/>
              </w:rPr>
              <w:t>against a spot of 130.00 (-67%)</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19.1% — a steady-state multiple takes a steady-state rate, not a five-year transitional one. (An earlier wording called this figure an 'average' of the two windows, which it never was; the actual average, 24.8%, is the construction behind this lens's published bear bound of 33.36.) That gives 1.4× book, or EGP 49.21 per share at the anchor.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(-879)</w:t>
            </w:r>
          </w:p>
        </w:tc>
        <w:tc>
          <w:tcPr>
            <w:tcW w:type="dxa" w:w="5688"/>
          </w:tcPr>
          <w:p>
            <w:pPr>
              <w:spacing w:after="20"/>
              <w:jc w:val="right"/>
            </w:pPr>
            <w:r>
              <w:rPr>
                <w:color w:val="1C3A36"/>
                <w:sz w:val="17"/>
              </w:rPr>
              <w:t>the present value of the FY2026-27 free cash flows the forward multiple does not capture — net negative, because FY2026 consumes working capital. Added after external review; omitting it had overstated this lens slightly</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70.15</w:t>
            </w:r>
          </w:p>
        </w:tc>
        <w:tc>
          <w:tcPr>
            <w:tcW w:type="dxa" w:w="5688"/>
          </w:tcPr>
          <w:p>
            <w:pPr>
              <w:spacing w:after="20"/>
              <w:jc w:val="right"/>
            </w:pPr>
            <w:r>
              <w:rPr>
                <w:color w:val="1C3A36"/>
                <w:sz w:val="17"/>
              </w:rPr>
              <w:t>bear 58.20 at 5.5× / bull 88.09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134.15 per share instead of 70.15 — a EGP 64.00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10.3% — the FY28E point of the forecast, comfortably below the FY2024 outturn of 13.6% and above the FY2025 trough of 10.1% — is applied to FY2026E revenue of EGP 370,030mn.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370,030</w:t>
            </w:r>
          </w:p>
        </w:tc>
      </w:tr>
      <w:tr>
        <w:tc>
          <w:tcPr>
            <w:tcW w:type="dxa" w:w="6552"/>
          </w:tcPr>
          <w:p>
            <w:pPr>
              <w:spacing w:after="20"/>
            </w:pPr>
            <w:r>
              <w:rPr>
                <w:color w:val="1C3A36"/>
                <w:sz w:val="17"/>
              </w:rPr>
              <w:t>Mid-cycle EBITDA margin (FY28E) at 10.3%</w:t>
            </w:r>
          </w:p>
        </w:tc>
        <w:tc>
          <w:tcPr>
            <w:tcW w:type="dxa" w:w="1944"/>
          </w:tcPr>
          <w:p>
            <w:pPr>
              <w:spacing w:after="20"/>
              <w:jc w:val="right"/>
            </w:pPr>
            <w:r>
              <w:rPr>
                <w:color w:val="1C3A36"/>
                <w:sz w:val="17"/>
              </w:rPr>
              <w:t>38,154</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(4,625)</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33,528</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(13,432)</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20,048</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9.36</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98.96</w:t>
            </w:r>
          </w:p>
        </w:tc>
      </w:tr>
    </w:tbl>
    <w:p>
      <w:pPr>
        <w:spacing w:after="40"/>
      </w:pPr>
    </w:p>
    <w:p>
      <w:pPr>
        <w:spacing w:after="200" w:before="0"/>
      </w:pPr>
      <w:r>
        <w:rPr>
          <w:b w:val="0"/>
          <w:i/>
          <w:color w:val="6E7B77"/>
          <w:sz w:val="17"/>
        </w:rPr>
        <w:t>Bear 76.56 at 7.0× and bull 126.96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30%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16.18</w:t>
            </w:r>
          </w:p>
        </w:tc>
        <w:tc>
          <w:tcPr>
            <w:tcW w:type="dxa" w:w="1238"/>
          </w:tcPr>
          <w:p>
            <w:pPr>
              <w:spacing w:after="20"/>
              <w:jc w:val="right"/>
            </w:pPr>
            <w:r>
              <w:rPr>
                <w:color w:val="1C3A36"/>
                <w:sz w:val="17"/>
              </w:rPr>
              <w:t>43.51</w:t>
            </w:r>
          </w:p>
        </w:tc>
        <w:tc>
          <w:tcPr>
            <w:tcW w:type="dxa" w:w="1238"/>
          </w:tcPr>
          <w:p>
            <w:pPr>
              <w:spacing w:after="20"/>
              <w:jc w:val="right"/>
            </w:pPr>
            <w:r>
              <w:rPr>
                <w:color w:val="1C3A36"/>
                <w:sz w:val="17"/>
              </w:rPr>
              <w:t>83.80</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-67%</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58.20</w:t>
            </w:r>
          </w:p>
        </w:tc>
        <w:tc>
          <w:tcPr>
            <w:tcW w:type="dxa" w:w="1238"/>
          </w:tcPr>
          <w:p>
            <w:pPr>
              <w:spacing w:after="20"/>
              <w:jc w:val="right"/>
            </w:pPr>
            <w:r>
              <w:rPr>
                <w:color w:val="1C3A36"/>
                <w:sz w:val="17"/>
              </w:rPr>
              <w:t>70.15</w:t>
            </w:r>
          </w:p>
        </w:tc>
        <w:tc>
          <w:tcPr>
            <w:tcW w:type="dxa" w:w="1238"/>
          </w:tcPr>
          <w:p>
            <w:pPr>
              <w:spacing w:after="20"/>
              <w:jc w:val="right"/>
            </w:pPr>
            <w:r>
              <w:rPr>
                <w:color w:val="1C3A36"/>
                <w:sz w:val="17"/>
              </w:rPr>
              <w:t>88.09</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-46%</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76.56</w:t>
            </w:r>
          </w:p>
        </w:tc>
        <w:tc>
          <w:tcPr>
            <w:tcW w:type="dxa" w:w="1238"/>
          </w:tcPr>
          <w:p>
            <w:pPr>
              <w:spacing w:after="20"/>
              <w:jc w:val="right"/>
            </w:pPr>
            <w:r>
              <w:rPr>
                <w:color w:val="1C3A36"/>
                <w:sz w:val="17"/>
              </w:rPr>
              <w:t>98.96</w:t>
            </w:r>
          </w:p>
        </w:tc>
        <w:tc>
          <w:tcPr>
            <w:tcW w:type="dxa" w:w="1238"/>
          </w:tcPr>
          <w:p>
            <w:pPr>
              <w:spacing w:after="20"/>
              <w:jc w:val="right"/>
            </w:pPr>
            <w:r>
              <w:rPr>
                <w:color w:val="1C3A36"/>
                <w:sz w:val="17"/>
              </w:rPr>
              <w:t>126.96</w:t>
            </w:r>
          </w:p>
        </w:tc>
        <w:tc>
          <w:tcPr>
            <w:tcW w:type="dxa" w:w="1195"/>
          </w:tcPr>
          <w:p>
            <w:pPr>
              <w:spacing w:after="20"/>
              <w:jc w:val="right"/>
            </w:pPr>
            <w:r>
              <w:rPr>
                <w:color w:val="1C3A36"/>
                <w:sz w:val="17"/>
              </w:rPr>
              <w:t>not published for this class</w:t>
            </w:r>
          </w:p>
        </w:tc>
        <w:tc>
          <w:tcPr>
            <w:tcW w:type="dxa" w:w="1642"/>
          </w:tcPr>
          <w:p>
            <w:pPr>
              <w:spacing w:after="20"/>
              <w:jc w:val="right"/>
            </w:pPr>
            <w:r>
              <w:rPr>
                <w:color w:val="1C3A36"/>
                <w:sz w:val="17"/>
              </w:rPr>
              <w:t>-24%</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33.36</w:t>
            </w:r>
          </w:p>
        </w:tc>
        <w:tc>
          <w:tcPr>
            <w:tcW w:type="dxa" w:w="1238"/>
          </w:tcPr>
          <w:p>
            <w:pPr>
              <w:spacing w:after="20"/>
              <w:jc w:val="right"/>
            </w:pPr>
            <w:r>
              <w:rPr>
                <w:color w:val="1C3A36"/>
                <w:sz w:val="17"/>
              </w:rPr>
              <w:t>49.21</w:t>
            </w:r>
          </w:p>
        </w:tc>
        <w:tc>
          <w:tcPr>
            <w:tcW w:type="dxa" w:w="1238"/>
          </w:tcPr>
          <w:p>
            <w:pPr>
              <w:spacing w:after="20"/>
              <w:jc w:val="right"/>
            </w:pPr>
            <w:r>
              <w:rPr>
                <w:color w:val="1C3A36"/>
                <w:sz w:val="17"/>
              </w:rPr>
              <w:t>55.40</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-62%</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16.18</w:t>
            </w:r>
          </w:p>
        </w:tc>
        <w:tc>
          <w:tcPr>
            <w:tcW w:type="dxa" w:w="1238"/>
            <w:shd w:val="clear" w:color="auto" w:fill="F6F1E6"/>
          </w:tcPr>
          <w:p>
            <w:pPr>
              <w:spacing w:after="20"/>
              <w:jc w:val="right"/>
            </w:pPr>
            <w:r>
              <w:rPr>
                <w:b/>
                <w:color w:val="1C3A36"/>
                <w:sz w:val="17"/>
              </w:rPr>
              <w:t>43.51</w:t>
            </w:r>
          </w:p>
        </w:tc>
        <w:tc>
          <w:tcPr>
            <w:tcW w:type="dxa" w:w="1238"/>
            <w:shd w:val="clear" w:color="auto" w:fill="F6F1E6"/>
          </w:tcPr>
          <w:p>
            <w:pPr>
              <w:spacing w:after="20"/>
              <w:jc w:val="right"/>
            </w:pPr>
            <w:r>
              <w:rPr>
                <w:b/>
                <w:color w:val="1C3A36"/>
                <w:sz w:val="17"/>
              </w:rPr>
              <w:t>83.80</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-67%</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60.78</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-53%</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43.51, and the market-anchored reads are published beside it at their own values so a reader can judge the disagreement rather than receive a number in which it has already been settled by a weight. An earlier edition did settle it that way and reported EGP 60.78, -53% against the price where this study holds -67%.</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so the forecast is built as a taper on each segment's own recent revenue growth and margin path rather than a reconstructed unit model. Margins are therefore outputs of the build, not inputs to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c>
          <w:tcPr>
            <w:tcW w:type="dxa" w:w="1051"/>
          </w:tcPr>
          <w:p>
            <w:pPr>
              <w:spacing w:after="20"/>
              <w:jc w:val="right"/>
            </w:pPr>
            <w:r>
              <w:rPr>
                <w:color w:val="1C3A36"/>
                <w:sz w:val="16"/>
              </w:rPr>
              <w:t>14,000</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49.5</w:t>
            </w:r>
          </w:p>
        </w:tc>
        <w:tc>
          <w:tcPr>
            <w:tcW w:type="dxa" w:w="1051"/>
          </w:tcPr>
          <w:p>
            <w:pPr>
              <w:spacing w:after="20"/>
              <w:jc w:val="right"/>
            </w:pPr>
            <w:r>
              <w:rPr>
                <w:color w:val="1C3A36"/>
                <w:sz w:val="16"/>
              </w:rPr>
              <w:t>51.0</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57.5</w:t>
            </w:r>
          </w:p>
        </w:tc>
        <w:tc>
          <w:tcPr>
            <w:tcW w:type="dxa" w:w="1051"/>
          </w:tcPr>
          <w:p>
            <w:pPr>
              <w:spacing w:after="20"/>
              <w:jc w:val="right"/>
            </w:pPr>
            <w:r>
              <w:rPr>
                <w:color w:val="1C3A36"/>
                <w:sz w:val="16"/>
              </w:rPr>
              <w:t>61.0</w:t>
            </w:r>
          </w:p>
        </w:tc>
        <w:tc>
          <w:tcPr>
            <w:tcW w:type="dxa" w:w="1051"/>
          </w:tcPr>
          <w:p>
            <w:pPr>
              <w:spacing w:after="20"/>
              <w:jc w:val="right"/>
            </w:pPr>
            <w:r>
              <w:rPr>
                <w:color w:val="1C3A36"/>
                <w:sz w:val="16"/>
              </w:rPr>
              <w:t>64.5</w:t>
            </w:r>
          </w:p>
        </w:tc>
      </w:tr>
      <w:tr>
        <w:tc>
          <w:tcPr>
            <w:tcW w:type="dxa" w:w="3384"/>
          </w:tcPr>
          <w:p>
            <w:pPr>
              <w:spacing w:after="20"/>
            </w:pPr>
            <w:r>
              <w:rPr>
                <w:color w:val="1C3A36"/>
                <w:sz w:val="16"/>
              </w:rPr>
              <w:t>Cables — real growth (over copper × FX)</w:t>
            </w:r>
          </w:p>
        </w:tc>
        <w:tc>
          <w:tcPr>
            <w:tcW w:type="dxa" w:w="1051"/>
          </w:tcPr>
          <w:p>
            <w:pPr>
              <w:spacing w:after="20"/>
              <w:jc w:val="right"/>
            </w:pPr>
            <w:r>
              <w:rPr>
                <w:color w:val="1C3A36"/>
                <w:sz w:val="16"/>
              </w:rPr>
              <w:t>—</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18.0%</w:t>
            </w:r>
          </w:p>
        </w:tc>
        <w:tc>
          <w:tcPr>
            <w:tcW w:type="dxa" w:w="1051"/>
          </w:tcPr>
          <w:p>
            <w:pPr>
              <w:spacing w:after="20"/>
              <w:jc w:val="right"/>
            </w:pPr>
            <w:r>
              <w:rPr>
                <w:color w:val="1C3A36"/>
                <w:sz w:val="16"/>
              </w:rPr>
              <w:t>14.0%</w:t>
            </w:r>
          </w:p>
        </w:tc>
        <w:tc>
          <w:tcPr>
            <w:tcW w:type="dxa" w:w="1051"/>
          </w:tcPr>
          <w:p>
            <w:pPr>
              <w:spacing w:after="20"/>
              <w:jc w:val="right"/>
            </w:pPr>
            <w:r>
              <w:rPr>
                <w:color w:val="1C3A36"/>
                <w:sz w:val="16"/>
              </w:rPr>
              <w:t>11.0%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8.0%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13.0%</w:t>
            </w:r>
          </w:p>
        </w:tc>
        <w:tc>
          <w:tcPr>
            <w:tcW w:type="dxa" w:w="1051"/>
          </w:tcPr>
          <w:p>
            <w:pPr>
              <w:spacing w:after="20"/>
              <w:jc w:val="right"/>
            </w:pPr>
            <w:r>
              <w:rPr>
                <w:color w:val="1C3A36"/>
                <w:sz w:val="16"/>
              </w:rPr>
              <w:t>11.0%</w:t>
            </w:r>
          </w:p>
        </w:tc>
        <w:tc>
          <w:tcPr>
            <w:tcW w:type="dxa" w:w="1051"/>
          </w:tcPr>
          <w:p>
            <w:pPr>
              <w:spacing w:after="20"/>
              <w:jc w:val="right"/>
            </w:pPr>
            <w:r>
              <w:rPr>
                <w:color w:val="1C3A36"/>
                <w:sz w:val="16"/>
              </w:rPr>
              <w:t>10.0%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4.0%</w:t>
            </w:r>
          </w:p>
        </w:tc>
        <w:tc>
          <w:tcPr>
            <w:tcW w:type="dxa" w:w="1051"/>
          </w:tcPr>
          <w:p>
            <w:pPr>
              <w:spacing w:after="20"/>
              <w:jc w:val="right"/>
            </w:pPr>
            <w:r>
              <w:rPr>
                <w:color w:val="1C3A36"/>
                <w:sz w:val="16"/>
              </w:rPr>
              <w:t>3.6%</w:t>
            </w:r>
          </w:p>
        </w:tc>
        <w:tc>
          <w:tcPr>
            <w:tcW w:type="dxa" w:w="1051"/>
          </w:tcPr>
          <w:p>
            <w:pPr>
              <w:spacing w:after="20"/>
              <w:jc w:val="right"/>
            </w:pPr>
            <w:r>
              <w:rPr>
                <w:color w:val="1C3A36"/>
                <w:sz w:val="16"/>
              </w:rPr>
              <w:t>3.3%</w:t>
            </w:r>
          </w:p>
        </w:tc>
        <w:tc>
          <w:tcPr>
            <w:tcW w:type="dxa" w:w="1051"/>
          </w:tcPr>
          <w:p>
            <w:pPr>
              <w:spacing w:after="20"/>
              <w:jc w:val="right"/>
            </w:pPr>
            <w:r>
              <w:rPr>
                <w:color w:val="1C3A36"/>
                <w:sz w:val="16"/>
              </w:rPr>
              <w:t>3.1%</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c>
          <w:tcPr>
            <w:tcW w:type="dxa" w:w="1051"/>
          </w:tcPr>
          <w:p>
            <w:pPr>
              <w:spacing w:after="20"/>
              <w:jc w:val="right"/>
            </w:pPr>
            <w:r>
              <w:rPr>
                <w:color w:val="1C3A36"/>
                <w:sz w:val="16"/>
              </w:rPr>
              <w:t>1.2%</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copper-price growth × FX-translation growth × a modest real-volume assumption, since no tonnage figure is disclosed in the audited statements to build a literal unit model from. Constructions and Electrical products taper on their own FY2023-25 revenue CAGR. The corporate cost load — stated on the same segment-profit-to-EBIT basis as the audited history (5.70% / 4.30% / 3.16%) — glides UP from FY2025's unusually low level toward the FY2023-24 average, the single most conservative choice in the build. The capex and D&amp;A paths are shown because they are live free-cash-flow drivers, not footnotes: capex tapers from the FY2025 peak of 4.7% as the 2024-25 capacity programme completes (it ran 3.1% in FY2023 and 3.7% in FY2024); holding it at the FY2025 peak instead would cost roughly EGP 1.8 on the cash-flow lens.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370,030</w:t>
            </w:r>
          </w:p>
        </w:tc>
        <w:tc>
          <w:tcPr>
            <w:tcW w:type="dxa" w:w="1426"/>
          </w:tcPr>
          <w:p>
            <w:pPr>
              <w:spacing w:after="20"/>
              <w:jc w:val="right"/>
            </w:pPr>
            <w:r>
              <w:rPr>
                <w:color w:val="1C3A36"/>
                <w:sz w:val="16"/>
              </w:rPr>
              <w:t>422,528</w:t>
            </w:r>
          </w:p>
        </w:tc>
        <w:tc>
          <w:tcPr>
            <w:tcW w:type="dxa" w:w="1426"/>
          </w:tcPr>
          <w:p>
            <w:pPr>
              <w:spacing w:after="20"/>
              <w:jc w:val="right"/>
            </w:pPr>
            <w:r>
              <w:rPr>
                <w:color w:val="1C3A36"/>
                <w:sz w:val="16"/>
              </w:rPr>
              <w:t>466,619</w:t>
            </w:r>
          </w:p>
        </w:tc>
        <w:tc>
          <w:tcPr>
            <w:tcW w:type="dxa" w:w="1426"/>
          </w:tcPr>
          <w:p>
            <w:pPr>
              <w:spacing w:after="20"/>
              <w:jc w:val="right"/>
            </w:pPr>
            <w:r>
              <w:rPr>
                <w:color w:val="1C3A36"/>
                <w:sz w:val="16"/>
              </w:rPr>
              <w:t>510,440</w:t>
            </w:r>
          </w:p>
        </w:tc>
        <w:tc>
          <w:tcPr>
            <w:tcW w:type="dxa" w:w="1426"/>
          </w:tcPr>
          <w:p>
            <w:pPr>
              <w:spacing w:after="20"/>
              <w:jc w:val="right"/>
            </w:pPr>
            <w:r>
              <w:rPr>
                <w:color w:val="1C3A36"/>
                <w:sz w:val="16"/>
              </w:rPr>
              <w:t>555,225</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44,699</w:t>
            </w:r>
          </w:p>
        </w:tc>
        <w:tc>
          <w:tcPr>
            <w:tcW w:type="dxa" w:w="1426"/>
          </w:tcPr>
          <w:p>
            <w:pPr>
              <w:spacing w:after="20"/>
              <w:jc w:val="right"/>
            </w:pPr>
            <w:r>
              <w:rPr>
                <w:color w:val="1C3A36"/>
                <w:sz w:val="16"/>
              </w:rPr>
              <w:t>51,137</w:t>
            </w:r>
          </w:p>
        </w:tc>
        <w:tc>
          <w:tcPr>
            <w:tcW w:type="dxa" w:w="1426"/>
          </w:tcPr>
          <w:p>
            <w:pPr>
              <w:spacing w:after="20"/>
              <w:jc w:val="right"/>
            </w:pPr>
            <w:r>
              <w:rPr>
                <w:color w:val="1C3A36"/>
                <w:sz w:val="16"/>
              </w:rPr>
              <w:t>56,606</w:t>
            </w:r>
          </w:p>
        </w:tc>
        <w:tc>
          <w:tcPr>
            <w:tcW w:type="dxa" w:w="1426"/>
          </w:tcPr>
          <w:p>
            <w:pPr>
              <w:spacing w:after="20"/>
              <w:jc w:val="right"/>
            </w:pPr>
            <w:r>
              <w:rPr>
                <w:color w:val="1C3A36"/>
                <w:sz w:val="16"/>
              </w:rPr>
              <w:t>62,040</w:t>
            </w:r>
          </w:p>
        </w:tc>
        <w:tc>
          <w:tcPr>
            <w:tcW w:type="dxa" w:w="1426"/>
          </w:tcPr>
          <w:p>
            <w:pPr>
              <w:spacing w:after="20"/>
              <w:jc w:val="right"/>
            </w:pPr>
            <w:r>
              <w:rPr>
                <w:color w:val="1C3A36"/>
                <w:sz w:val="16"/>
              </w:rPr>
              <w:t>67,601</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12.1%</w:t>
            </w:r>
          </w:p>
        </w:tc>
        <w:tc>
          <w:tcPr>
            <w:tcW w:type="dxa" w:w="1426"/>
          </w:tcPr>
          <w:p>
            <w:pPr>
              <w:spacing w:after="20"/>
              <w:jc w:val="right"/>
            </w:pPr>
            <w:r>
              <w:rPr>
                <w:color w:val="1C3A36"/>
                <w:sz w:val="16"/>
              </w:rPr>
              <w:t>12.1%</w:t>
            </w:r>
          </w:p>
        </w:tc>
        <w:tc>
          <w:tcPr>
            <w:tcW w:type="dxa" w:w="1426"/>
          </w:tcPr>
          <w:p>
            <w:pPr>
              <w:spacing w:after="20"/>
              <w:jc w:val="right"/>
            </w:pPr>
            <w:r>
              <w:rPr>
                <w:color w:val="1C3A36"/>
                <w:sz w:val="16"/>
              </w:rPr>
              <w:t>12.1%</w:t>
            </w:r>
          </w:p>
        </w:tc>
        <w:tc>
          <w:tcPr>
            <w:tcW w:type="dxa" w:w="1426"/>
          </w:tcPr>
          <w:p>
            <w:pPr>
              <w:spacing w:after="20"/>
              <w:jc w:val="right"/>
            </w:pPr>
            <w:r>
              <w:rPr>
                <w:color w:val="1C3A36"/>
                <w:sz w:val="16"/>
              </w:rPr>
              <w:t>12.2%</w:t>
            </w:r>
          </w:p>
        </w:tc>
        <w:tc>
          <w:tcPr>
            <w:tcW w:type="dxa" w:w="1426"/>
          </w:tcPr>
          <w:p>
            <w:pPr>
              <w:spacing w:after="20"/>
              <w:jc w:val="right"/>
            </w:pPr>
            <w:r>
              <w:rPr>
                <w:color w:val="1C3A36"/>
                <w:sz w:val="16"/>
              </w:rPr>
              <w:t>12.2%</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(11,360)</w:t>
            </w:r>
          </w:p>
        </w:tc>
        <w:tc>
          <w:tcPr>
            <w:tcW w:type="dxa" w:w="1426"/>
          </w:tcPr>
          <w:p>
            <w:pPr>
              <w:spacing w:after="20"/>
              <w:jc w:val="right"/>
            </w:pPr>
            <w:r>
              <w:rPr>
                <w:color w:val="1C3A36"/>
                <w:sz w:val="16"/>
              </w:rPr>
              <w:t>(12,972)</w:t>
            </w:r>
          </w:p>
        </w:tc>
        <w:tc>
          <w:tcPr>
            <w:tcW w:type="dxa" w:w="1426"/>
          </w:tcPr>
          <w:p>
            <w:pPr>
              <w:spacing w:after="20"/>
              <w:jc w:val="right"/>
            </w:pPr>
            <w:r>
              <w:rPr>
                <w:color w:val="1C3A36"/>
                <w:sz w:val="16"/>
              </w:rPr>
              <w:t>(14,325)</w:t>
            </w:r>
          </w:p>
        </w:tc>
        <w:tc>
          <w:tcPr>
            <w:tcW w:type="dxa" w:w="1426"/>
          </w:tcPr>
          <w:p>
            <w:pPr>
              <w:spacing w:after="20"/>
              <w:jc w:val="right"/>
            </w:pPr>
            <w:r>
              <w:rPr>
                <w:color w:val="1C3A36"/>
                <w:sz w:val="16"/>
              </w:rPr>
              <w:t>(15,671)</w:t>
            </w:r>
          </w:p>
        </w:tc>
        <w:tc>
          <w:tcPr>
            <w:tcW w:type="dxa" w:w="1426"/>
          </w:tcPr>
          <w:p>
            <w:pPr>
              <w:spacing w:after="20"/>
              <w:jc w:val="right"/>
            </w:pPr>
            <w:r>
              <w:rPr>
                <w:color w:val="1C3A36"/>
                <w:sz w:val="16"/>
              </w:rPr>
              <w:t>(17,045)</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33,339</w:t>
            </w:r>
          </w:p>
        </w:tc>
        <w:tc>
          <w:tcPr>
            <w:tcW w:type="dxa" w:w="1426"/>
            <w:shd w:val="clear" w:color="auto" w:fill="F6F1E6"/>
          </w:tcPr>
          <w:p>
            <w:pPr>
              <w:spacing w:after="20"/>
              <w:jc w:val="right"/>
            </w:pPr>
            <w:r>
              <w:rPr>
                <w:b/>
                <w:color w:val="1C3A36"/>
                <w:sz w:val="16"/>
              </w:rPr>
              <w:t>38,165</w:t>
            </w:r>
          </w:p>
        </w:tc>
        <w:tc>
          <w:tcPr>
            <w:tcW w:type="dxa" w:w="1426"/>
            <w:shd w:val="clear" w:color="auto" w:fill="F6F1E6"/>
          </w:tcPr>
          <w:p>
            <w:pPr>
              <w:spacing w:after="20"/>
              <w:jc w:val="right"/>
            </w:pPr>
            <w:r>
              <w:rPr>
                <w:b/>
                <w:color w:val="1C3A36"/>
                <w:sz w:val="16"/>
              </w:rPr>
              <w:t>42,280</w:t>
            </w:r>
          </w:p>
        </w:tc>
        <w:tc>
          <w:tcPr>
            <w:tcW w:type="dxa" w:w="1426"/>
            <w:shd w:val="clear" w:color="auto" w:fill="F6F1E6"/>
          </w:tcPr>
          <w:p>
            <w:pPr>
              <w:spacing w:after="20"/>
              <w:jc w:val="right"/>
            </w:pPr>
            <w:r>
              <w:rPr>
                <w:b/>
                <w:color w:val="1C3A36"/>
                <w:sz w:val="16"/>
              </w:rPr>
              <w:t>46,370</w:t>
            </w:r>
          </w:p>
        </w:tc>
        <w:tc>
          <w:tcPr>
            <w:tcW w:type="dxa" w:w="1426"/>
            <w:shd w:val="clear" w:color="auto" w:fill="F6F1E6"/>
          </w:tcPr>
          <w:p>
            <w:pPr>
              <w:spacing w:after="20"/>
              <w:jc w:val="right"/>
            </w:pPr>
            <w:r>
              <w:rPr>
                <w:b/>
                <w:color w:val="1C3A36"/>
                <w:sz w:val="16"/>
              </w:rPr>
              <w:t>50,556</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4,625</w:t>
            </w:r>
          </w:p>
        </w:tc>
        <w:tc>
          <w:tcPr>
            <w:tcW w:type="dxa" w:w="1426"/>
          </w:tcPr>
          <w:p>
            <w:pPr>
              <w:spacing w:after="20"/>
              <w:jc w:val="right"/>
            </w:pPr>
            <w:r>
              <w:rPr>
                <w:color w:val="1C3A36"/>
                <w:sz w:val="16"/>
              </w:rPr>
              <w:t>5,282</w:t>
            </w:r>
          </w:p>
        </w:tc>
        <w:tc>
          <w:tcPr>
            <w:tcW w:type="dxa" w:w="1426"/>
          </w:tcPr>
          <w:p>
            <w:pPr>
              <w:spacing w:after="20"/>
              <w:jc w:val="right"/>
            </w:pPr>
            <w:r>
              <w:rPr>
                <w:color w:val="1C3A36"/>
                <w:sz w:val="16"/>
              </w:rPr>
              <w:t>5,833</w:t>
            </w:r>
          </w:p>
        </w:tc>
        <w:tc>
          <w:tcPr>
            <w:tcW w:type="dxa" w:w="1426"/>
          </w:tcPr>
          <w:p>
            <w:pPr>
              <w:spacing w:after="20"/>
              <w:jc w:val="right"/>
            </w:pPr>
            <w:r>
              <w:rPr>
                <w:color w:val="1C3A36"/>
                <w:sz w:val="16"/>
              </w:rPr>
              <w:t>6,381</w:t>
            </w:r>
          </w:p>
        </w:tc>
        <w:tc>
          <w:tcPr>
            <w:tcW w:type="dxa" w:w="1426"/>
          </w:tcPr>
          <w:p>
            <w:pPr>
              <w:spacing w:after="20"/>
              <w:jc w:val="right"/>
            </w:pPr>
            <w:r>
              <w:rPr>
                <w:color w:val="1C3A36"/>
                <w:sz w:val="16"/>
              </w:rPr>
              <w:t>6,940</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37,965</w:t>
            </w:r>
          </w:p>
        </w:tc>
        <w:tc>
          <w:tcPr>
            <w:tcW w:type="dxa" w:w="1426"/>
            <w:shd w:val="clear" w:color="auto" w:fill="F6F1E6"/>
          </w:tcPr>
          <w:p>
            <w:pPr>
              <w:spacing w:after="20"/>
              <w:jc w:val="right"/>
            </w:pPr>
            <w:r>
              <w:rPr>
                <w:b/>
                <w:color w:val="1C3A36"/>
                <w:sz w:val="16"/>
              </w:rPr>
              <w:t>43,447</w:t>
            </w:r>
          </w:p>
        </w:tc>
        <w:tc>
          <w:tcPr>
            <w:tcW w:type="dxa" w:w="1426"/>
            <w:shd w:val="clear" w:color="auto" w:fill="F6F1E6"/>
          </w:tcPr>
          <w:p>
            <w:pPr>
              <w:spacing w:after="20"/>
              <w:jc w:val="right"/>
            </w:pPr>
            <w:r>
              <w:rPr>
                <w:b/>
                <w:color w:val="1C3A36"/>
                <w:sz w:val="16"/>
              </w:rPr>
              <w:t>48,113</w:t>
            </w:r>
          </w:p>
        </w:tc>
        <w:tc>
          <w:tcPr>
            <w:tcW w:type="dxa" w:w="1426"/>
            <w:shd w:val="clear" w:color="auto" w:fill="F6F1E6"/>
          </w:tcPr>
          <w:p>
            <w:pPr>
              <w:spacing w:after="20"/>
              <w:jc w:val="right"/>
            </w:pPr>
            <w:r>
              <w:rPr>
                <w:b/>
                <w:color w:val="1C3A36"/>
                <w:sz w:val="16"/>
              </w:rPr>
              <w:t>52,750</w:t>
            </w:r>
          </w:p>
        </w:tc>
        <w:tc>
          <w:tcPr>
            <w:tcW w:type="dxa" w:w="1426"/>
            <w:shd w:val="clear" w:color="auto" w:fill="F6F1E6"/>
          </w:tcPr>
          <w:p>
            <w:pPr>
              <w:spacing w:after="20"/>
              <w:jc w:val="right"/>
            </w:pPr>
            <w:r>
              <w:rPr>
                <w:b/>
                <w:color w:val="1C3A36"/>
                <w:sz w:val="16"/>
              </w:rPr>
              <w:t>57,496</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10.4%</w:t>
            </w:r>
          </w:p>
        </w:tc>
      </w:tr>
    </w:tbl>
    <w:p>
      <w:pPr>
        <w:spacing w:after="40"/>
      </w:pPr>
    </w:p>
    <w:p>
      <w:pPr>
        <w:spacing w:after="200" w:before="0"/>
      </w:pPr>
      <w:r>
        <w:rPr>
          <w:b w:val="0"/>
          <w:i/>
          <w:color w:val="6E7B77"/>
          <w:sz w:val="17"/>
        </w:rPr>
        <w:t>The FY2026 build is checked, not calibrated, against the print: the disclosed Q1-2026 revenue of 75,298, grossed up on the Q1-2025 seasonal share of FY2025, implies a full FY2026 of roughly 356,323, against the build's 370,030 — a +4% difference, an independent check that the segment build is not running ahead of the company's own trading.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329,470</w:t>
            </w:r>
          </w:p>
        </w:tc>
        <w:tc>
          <w:tcPr>
            <w:tcW w:type="dxa" w:w="1181"/>
          </w:tcPr>
          <w:p>
            <w:pPr>
              <w:spacing w:after="20"/>
              <w:jc w:val="right"/>
            </w:pPr>
            <w:r>
              <w:rPr>
                <w:color w:val="1C3A36"/>
                <w:sz w:val="16"/>
              </w:rPr>
              <w:t>59.3%</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159,883</w:t>
            </w:r>
          </w:p>
        </w:tc>
        <w:tc>
          <w:tcPr>
            <w:tcW w:type="dxa" w:w="1181"/>
          </w:tcPr>
          <w:p>
            <w:pPr>
              <w:spacing w:after="20"/>
              <w:jc w:val="right"/>
            </w:pPr>
            <w:r>
              <w:rPr>
                <w:color w:val="1C3A36"/>
                <w:sz w:val="16"/>
              </w:rPr>
              <w:t>28.8%</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65,871</w:t>
            </w:r>
          </w:p>
        </w:tc>
        <w:tc>
          <w:tcPr>
            <w:tcW w:type="dxa" w:w="1181"/>
          </w:tcPr>
          <w:p>
            <w:pPr>
              <w:spacing w:after="20"/>
              <w:jc w:val="right"/>
            </w:pPr>
            <w:r>
              <w:rPr>
                <w:color w:val="1C3A36"/>
                <w:sz w:val="16"/>
              </w:rPr>
              <w:t>11.9%</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555,225</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59.3%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17,783mn working-capital build cuts free cash flow to the firm to just EGP -4,268mn, against EGP 6,748mn the following year once the step-up is absorbed. A rising copper price is not good news for this business in the year it happens.</w:t>
      </w:r>
    </w:p>
    <w:p>
      <w:pPr>
        <w:spacing w:after="120" w:before="0"/>
      </w:pPr>
      <w:r>
        <w:rPr>
          <w:b w:val="0"/>
          <w:i w:val="0"/>
          <w:color w:val="1C3A36"/>
          <w:sz w:val="21"/>
        </w:rPr>
        <w:t>The model holds this ratio near 19.9% of revenue, the FY2025 disclosed level. That single assumption is worth a great deal: every percentage point of revenue added to or removed from working-capital intensity is worth roughly EGP 2.18-2.33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the central bank's 5% Q4-2028 inflation-target midpoint — deliberately the terminal-state target, not the nearer 7% Q4-2026 waypoint — plus a 5.5pp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31.8%)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10.5%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1.225</w:t>
            </w:r>
          </w:p>
        </w:tc>
        <w:tc>
          <w:tcPr>
            <w:tcW w:type="dxa" w:w="5299"/>
          </w:tcPr>
          <w:p>
            <w:pPr>
              <w:spacing w:after="20"/>
              <w:jc w:val="right"/>
            </w:pPr>
            <w:r>
              <w:rPr>
                <w:color w:val="1C3A36"/>
                <w:sz w:val="16"/>
              </w:rPr>
              <w:t>own-stock weekly regression against a 31-name equal-weight local composite over five years: R-squared 0.368, n = 256, standard error 0.170, 90% interval [0.95, 1.50]</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(January-2026 vintage, both columns confirmed against the file), credit-default-swap basis; the rating-basis column is the published alternative below.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30.4%</w:t>
            </w:r>
          </w:p>
        </w:tc>
        <w:tc>
          <w:tcPr>
            <w:tcW w:type="dxa" w:w="1152"/>
          </w:tcPr>
          <w:p>
            <w:pPr>
              <w:spacing w:after="20"/>
              <w:jc w:val="right"/>
            </w:pPr>
            <w:r>
              <w:rPr>
                <w:color w:val="1C3A36"/>
                <w:sz w:val="16"/>
              </w:rPr>
              <w:t>19.1%</w:t>
            </w:r>
          </w:p>
        </w:tc>
        <w:tc>
          <w:tcPr>
            <w:tcW w:type="dxa" w:w="5299"/>
          </w:tcPr>
          <w:p>
            <w:pPr>
              <w:spacing w:after="20"/>
              <w:jc w:val="right"/>
            </w:pPr>
            <w:r>
              <w:rPr>
                <w:color w:val="1C3A36"/>
                <w:sz w:val="16"/>
              </w:rPr>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shd w:val="clear" w:color="auto" w:fill="F6F1E6"/>
          </w:tcPr>
          <w:p>
            <w:pPr>
              <w:spacing w:after="20"/>
            </w:pPr>
            <w:r>
              <w:rPr>
                <w:b/>
                <w:color w:val="1C3A36"/>
                <w:sz w:val="16"/>
              </w:rPr>
              <w:t>Cost-of-debt path (drives the glide)</w:t>
            </w:r>
          </w:p>
        </w:tc>
        <w:tc>
          <w:tcPr>
            <w:tcW w:type="dxa" w:w="1325"/>
            <w:shd w:val="clear" w:color="auto" w:fill="F6F1E6"/>
          </w:tcPr>
          <w:p>
            <w:pPr>
              <w:spacing w:after="20"/>
              <w:jc w:val="right"/>
            </w:pPr>
            <w:r>
              <w:rPr>
                <w:b/>
                <w:color w:val="1C3A36"/>
                <w:sz w:val="16"/>
              </w:rPr>
              <w:t>9.5% / 8.9% / 8.4% / 8.0% / 7.7%</w:t>
            </w:r>
          </w:p>
        </w:tc>
        <w:tc>
          <w:tcPr>
            <w:tcW w:type="dxa" w:w="1152"/>
            <w:shd w:val="clear" w:color="auto" w:fill="F6F1E6"/>
          </w:tcPr>
          <w:p>
            <w:pPr>
              <w:spacing w:after="20"/>
              <w:jc w:val="right"/>
            </w:pPr>
            <w:r>
              <w:rPr>
                <w:b/>
                <w:color w:val="1C3A36"/>
                <w:sz w:val="16"/>
              </w:rPr>
              <w:t>—</w:t>
            </w:r>
          </w:p>
        </w:tc>
        <w:tc>
          <w:tcPr>
            <w:tcW w:type="dxa" w:w="5299"/>
            <w:shd w:val="clear" w:color="auto" w:fill="F6F1E6"/>
          </w:tcPr>
          <w:p>
            <w:pPr>
              <w:spacing w:after="20"/>
              <w:jc w:val="right"/>
            </w:pPr>
            <w:r>
              <w:rPr>
                <w:b/>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6.9%</w:t>
            </w:r>
          </w:p>
        </w:tc>
        <w:tc>
          <w:tcPr>
            <w:tcW w:type="dxa" w:w="1152"/>
          </w:tcPr>
          <w:p>
            <w:pPr>
              <w:spacing w:after="20"/>
              <w:jc w:val="right"/>
            </w:pPr>
            <w:r>
              <w:rPr>
                <w:color w:val="1C3A36"/>
                <w:sz w:val="16"/>
              </w:rPr>
              <w:t>15.0%</w:t>
            </w:r>
          </w:p>
        </w:tc>
        <w:tc>
          <w:tcPr>
            <w:tcW w:type="dxa" w:w="5299"/>
          </w:tcPr>
          <w:p>
            <w:pPr>
              <w:spacing w:after="20"/>
              <w:jc w:val="right"/>
            </w:pPr>
            <w:r>
              <w:rPr>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28.8%</w:t>
            </w:r>
          </w:p>
        </w:tc>
        <w:tc>
          <w:tcPr>
            <w:tcW w:type="dxa" w:w="1152"/>
          </w:tcPr>
          <w:p>
            <w:pPr>
              <w:spacing w:after="20"/>
              <w:jc w:val="right"/>
            </w:pPr>
            <w:r>
              <w:rPr>
                <w:color w:val="1C3A36"/>
                <w:sz w:val="16"/>
              </w:rPr>
              <w:t>17.2%</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5-Aug-2026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33.0%</w:t>
            </w:r>
          </w:p>
        </w:tc>
        <w:tc>
          <w:tcPr>
            <w:tcW w:type="dxa" w:w="1843"/>
          </w:tcPr>
          <w:p>
            <w:pPr>
              <w:spacing w:after="20"/>
              <w:jc w:val="right"/>
            </w:pPr>
            <w:r>
              <w:rPr>
                <w:color w:val="1C3A36"/>
                <w:sz w:val="16"/>
              </w:rPr>
              <w:t>EGP 25.23 (against 43.51)</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18.28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48.70 (5.19)</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26.2%)</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(13.9%): the hard-currency legs loaded with the pound's own 5.4%/year forecast depreciation, under uncovered interest parity</w:t>
            </w:r>
          </w:p>
        </w:tc>
        <w:tc>
          <w:tcPr>
            <w:tcW w:type="dxa" w:w="1843"/>
          </w:tcPr>
          <w:p>
            <w:pPr>
              <w:spacing w:after="20"/>
              <w:jc w:val="right"/>
            </w:pPr>
            <w:r>
              <w:rPr>
                <w:color w:val="1C3A36"/>
                <w:sz w:val="16"/>
              </w:rPr>
              <w:t>EGP 43.30 (-0.21)</w:t>
            </w:r>
          </w:p>
        </w:tc>
        <w:tc>
          <w:tcPr>
            <w:tcW w:type="dxa" w:w="3096"/>
          </w:tcPr>
          <w:p>
            <w:pPr>
              <w:spacing w:after="20"/>
              <w:jc w:val="right"/>
            </w:pPr>
            <w:r>
              <w:rPr>
                <w:color w:val="1C3A36"/>
                <w:sz w:val="16"/>
              </w:rPr>
              <w:t>Net debt carries only 6.9% of the capital structure, so even this 444-basis-point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25.23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No cell in the tested range reaches the market price of 130.00: even the most generous corner sits well below it.</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25.8%</w:t>
            </w:r>
          </w:p>
        </w:tc>
        <w:tc>
          <w:tcPr>
            <w:tcW w:type="dxa" w:w="1541"/>
            <w:shd w:val="clear" w:color="auto" w:fill="EAF0EE"/>
          </w:tcPr>
          <w:p>
            <w:pPr>
              <w:spacing w:after="20"/>
            </w:pPr>
            <w:r>
              <w:rPr>
                <w:b/>
                <w:color w:val="1C3A36"/>
                <w:sz w:val="16"/>
              </w:rPr>
              <w:t>27.3%</w:t>
            </w:r>
          </w:p>
        </w:tc>
        <w:tc>
          <w:tcPr>
            <w:tcW w:type="dxa" w:w="1541"/>
            <w:shd w:val="clear" w:color="auto" w:fill="EAF0EE"/>
          </w:tcPr>
          <w:p>
            <w:pPr>
              <w:spacing w:after="20"/>
            </w:pPr>
            <w:r>
              <w:rPr>
                <w:b/>
                <w:color w:val="1C3A36"/>
                <w:sz w:val="16"/>
              </w:rPr>
              <w:t>28.8%</w:t>
            </w:r>
          </w:p>
        </w:tc>
        <w:tc>
          <w:tcPr>
            <w:tcW w:type="dxa" w:w="1541"/>
            <w:shd w:val="clear" w:color="auto" w:fill="EAF0EE"/>
          </w:tcPr>
          <w:p>
            <w:pPr>
              <w:spacing w:after="20"/>
            </w:pPr>
            <w:r>
              <w:rPr>
                <w:b/>
                <w:color w:val="1C3A36"/>
                <w:sz w:val="16"/>
              </w:rPr>
              <w:t>30.3%</w:t>
            </w:r>
          </w:p>
        </w:tc>
        <w:tc>
          <w:tcPr>
            <w:tcW w:type="dxa" w:w="1541"/>
            <w:shd w:val="clear" w:color="auto" w:fill="EAF0EE"/>
          </w:tcPr>
          <w:p>
            <w:pPr>
              <w:spacing w:after="20"/>
            </w:pPr>
            <w:r>
              <w:rPr>
                <w:b/>
                <w:color w:val="1C3A36"/>
                <w:sz w:val="16"/>
              </w:rPr>
              <w:t>31.8%</w:t>
            </w:r>
          </w:p>
        </w:tc>
      </w:tr>
      <w:tr>
        <w:tc>
          <w:tcPr>
            <w:tcW w:type="dxa" w:w="2333"/>
          </w:tcPr>
          <w:p>
            <w:pPr>
              <w:spacing w:after="20"/>
            </w:pPr>
            <w:r>
              <w:rPr>
                <w:color w:val="1C3A36"/>
                <w:sz w:val="16"/>
              </w:rPr>
              <w:t>terminal 15.2%</w:t>
            </w:r>
          </w:p>
        </w:tc>
        <w:tc>
          <w:tcPr>
            <w:tcW w:type="dxa" w:w="1541"/>
          </w:tcPr>
          <w:p>
            <w:pPr>
              <w:spacing w:after="20"/>
              <w:jc w:val="right"/>
            </w:pPr>
            <w:r>
              <w:rPr>
                <w:color w:val="1C3A36"/>
                <w:sz w:val="16"/>
              </w:rPr>
              <w:t>68.64</w:t>
            </w:r>
          </w:p>
        </w:tc>
        <w:tc>
          <w:tcPr>
            <w:tcW w:type="dxa" w:w="1541"/>
          </w:tcPr>
          <w:p>
            <w:pPr>
              <w:spacing w:after="20"/>
              <w:jc w:val="right"/>
            </w:pPr>
            <w:r>
              <w:rPr>
                <w:color w:val="1C3A36"/>
                <w:sz w:val="16"/>
              </w:rPr>
              <w:t>66.58</w:t>
            </w:r>
          </w:p>
        </w:tc>
        <w:tc>
          <w:tcPr>
            <w:tcW w:type="dxa" w:w="1541"/>
          </w:tcPr>
          <w:p>
            <w:pPr>
              <w:spacing w:after="20"/>
              <w:jc w:val="right"/>
            </w:pPr>
            <w:r>
              <w:rPr>
                <w:color w:val="1C3A36"/>
                <w:sz w:val="16"/>
              </w:rPr>
              <w:t>64.58</w:t>
            </w:r>
          </w:p>
        </w:tc>
        <w:tc>
          <w:tcPr>
            <w:tcW w:type="dxa" w:w="1541"/>
          </w:tcPr>
          <w:p>
            <w:pPr>
              <w:spacing w:after="20"/>
              <w:jc w:val="right"/>
            </w:pPr>
            <w:r>
              <w:rPr>
                <w:color w:val="1C3A36"/>
                <w:sz w:val="16"/>
              </w:rPr>
              <w:t>62.65</w:t>
            </w:r>
          </w:p>
        </w:tc>
        <w:tc>
          <w:tcPr>
            <w:tcW w:type="dxa" w:w="1541"/>
          </w:tcPr>
          <w:p>
            <w:pPr>
              <w:spacing w:after="20"/>
              <w:jc w:val="right"/>
            </w:pPr>
            <w:r>
              <w:rPr>
                <w:color w:val="1C3A36"/>
                <w:sz w:val="16"/>
              </w:rPr>
              <w:t>60.79</w:t>
            </w:r>
          </w:p>
        </w:tc>
      </w:tr>
      <w:tr>
        <w:tc>
          <w:tcPr>
            <w:tcW w:type="dxa" w:w="2333"/>
          </w:tcPr>
          <w:p>
            <w:pPr>
              <w:spacing w:after="20"/>
            </w:pPr>
            <w:r>
              <w:rPr>
                <w:color w:val="1C3A36"/>
                <w:sz w:val="16"/>
              </w:rPr>
              <w:t>terminal 16.2%</w:t>
            </w:r>
          </w:p>
        </w:tc>
        <w:tc>
          <w:tcPr>
            <w:tcW w:type="dxa" w:w="1541"/>
          </w:tcPr>
          <w:p>
            <w:pPr>
              <w:spacing w:after="20"/>
              <w:jc w:val="right"/>
            </w:pPr>
            <w:r>
              <w:rPr>
                <w:color w:val="1C3A36"/>
                <w:sz w:val="16"/>
              </w:rPr>
              <w:t>59.93</w:t>
            </w:r>
          </w:p>
        </w:tc>
        <w:tc>
          <w:tcPr>
            <w:tcW w:type="dxa" w:w="1541"/>
          </w:tcPr>
          <w:p>
            <w:pPr>
              <w:spacing w:after="20"/>
              <w:jc w:val="right"/>
            </w:pPr>
            <w:r>
              <w:rPr>
                <w:color w:val="1C3A36"/>
                <w:sz w:val="16"/>
              </w:rPr>
              <w:t>58.10</w:t>
            </w:r>
          </w:p>
        </w:tc>
        <w:tc>
          <w:tcPr>
            <w:tcW w:type="dxa" w:w="1541"/>
          </w:tcPr>
          <w:p>
            <w:pPr>
              <w:spacing w:after="20"/>
              <w:jc w:val="right"/>
            </w:pPr>
            <w:r>
              <w:rPr>
                <w:color w:val="1C3A36"/>
                <w:sz w:val="16"/>
              </w:rPr>
              <w:t>56.33</w:t>
            </w:r>
          </w:p>
        </w:tc>
        <w:tc>
          <w:tcPr>
            <w:tcW w:type="dxa" w:w="1541"/>
          </w:tcPr>
          <w:p>
            <w:pPr>
              <w:spacing w:after="20"/>
              <w:jc w:val="right"/>
            </w:pPr>
            <w:r>
              <w:rPr>
                <w:color w:val="1C3A36"/>
                <w:sz w:val="16"/>
              </w:rPr>
              <w:t>54.63</w:t>
            </w:r>
          </w:p>
        </w:tc>
        <w:tc>
          <w:tcPr>
            <w:tcW w:type="dxa" w:w="1541"/>
          </w:tcPr>
          <w:p>
            <w:pPr>
              <w:spacing w:after="20"/>
              <w:jc w:val="right"/>
            </w:pPr>
            <w:r>
              <w:rPr>
                <w:color w:val="1C3A36"/>
                <w:sz w:val="16"/>
              </w:rPr>
              <w:t>52.98</w:t>
            </w:r>
          </w:p>
        </w:tc>
      </w:tr>
      <w:tr>
        <w:tc>
          <w:tcPr>
            <w:tcW w:type="dxa" w:w="2333"/>
          </w:tcPr>
          <w:p>
            <w:pPr>
              <w:spacing w:after="20"/>
            </w:pPr>
            <w:r>
              <w:rPr>
                <w:color w:val="1C3A36"/>
                <w:sz w:val="16"/>
              </w:rPr>
              <w:t>terminal 17.2%</w:t>
            </w:r>
          </w:p>
        </w:tc>
        <w:tc>
          <w:tcPr>
            <w:tcW w:type="dxa" w:w="1541"/>
          </w:tcPr>
          <w:p>
            <w:pPr>
              <w:spacing w:after="20"/>
              <w:jc w:val="right"/>
            </w:pPr>
            <w:r>
              <w:rPr>
                <w:color w:val="1C3A36"/>
                <w:sz w:val="16"/>
              </w:rPr>
              <w:t>52.93</w:t>
            </w:r>
          </w:p>
        </w:tc>
        <w:tc>
          <w:tcPr>
            <w:tcW w:type="dxa" w:w="1541"/>
          </w:tcPr>
          <w:p>
            <w:pPr>
              <w:spacing w:after="20"/>
              <w:jc w:val="right"/>
            </w:pPr>
            <w:r>
              <w:rPr>
                <w:color w:val="1C3A36"/>
                <w:sz w:val="16"/>
              </w:rPr>
              <w:t>51.29</w:t>
            </w:r>
          </w:p>
        </w:tc>
        <w:tc>
          <w:tcPr>
            <w:tcW w:type="dxa" w:w="1541"/>
          </w:tcPr>
          <w:p>
            <w:pPr>
              <w:spacing w:after="20"/>
              <w:jc w:val="right"/>
            </w:pPr>
            <w:r>
              <w:rPr>
                <w:color w:val="1C3A36"/>
                <w:sz w:val="16"/>
              </w:rPr>
              <w:t>49.71</w:t>
            </w:r>
          </w:p>
        </w:tc>
        <w:tc>
          <w:tcPr>
            <w:tcW w:type="dxa" w:w="1541"/>
          </w:tcPr>
          <w:p>
            <w:pPr>
              <w:spacing w:after="20"/>
              <w:jc w:val="right"/>
            </w:pPr>
            <w:r>
              <w:rPr>
                <w:color w:val="1C3A36"/>
                <w:sz w:val="16"/>
              </w:rPr>
              <w:t>48.18</w:t>
            </w:r>
          </w:p>
        </w:tc>
        <w:tc>
          <w:tcPr>
            <w:tcW w:type="dxa" w:w="1541"/>
          </w:tcPr>
          <w:p>
            <w:pPr>
              <w:spacing w:after="20"/>
              <w:jc w:val="right"/>
            </w:pPr>
            <w:r>
              <w:rPr>
                <w:color w:val="1C3A36"/>
                <w:sz w:val="16"/>
              </w:rPr>
              <w:t>46.70</w:t>
            </w:r>
          </w:p>
        </w:tc>
      </w:tr>
      <w:tr>
        <w:tc>
          <w:tcPr>
            <w:tcW w:type="dxa" w:w="2333"/>
          </w:tcPr>
          <w:p>
            <w:pPr>
              <w:spacing w:after="20"/>
            </w:pPr>
            <w:r>
              <w:rPr>
                <w:color w:val="1C3A36"/>
                <w:sz w:val="16"/>
              </w:rPr>
              <w:t>terminal 18.2%</w:t>
            </w:r>
          </w:p>
        </w:tc>
        <w:tc>
          <w:tcPr>
            <w:tcW w:type="dxa" w:w="1541"/>
          </w:tcPr>
          <w:p>
            <w:pPr>
              <w:spacing w:after="20"/>
              <w:jc w:val="right"/>
            </w:pPr>
            <w:r>
              <w:rPr>
                <w:color w:val="1C3A36"/>
                <w:sz w:val="16"/>
              </w:rPr>
              <w:t>47.19</w:t>
            </w:r>
          </w:p>
        </w:tc>
        <w:tc>
          <w:tcPr>
            <w:tcW w:type="dxa" w:w="1541"/>
          </w:tcPr>
          <w:p>
            <w:pPr>
              <w:spacing w:after="20"/>
              <w:jc w:val="right"/>
            </w:pPr>
            <w:r>
              <w:rPr>
                <w:color w:val="1C3A36"/>
                <w:sz w:val="16"/>
              </w:rPr>
              <w:t>45.70</w:t>
            </w:r>
          </w:p>
        </w:tc>
        <w:tc>
          <w:tcPr>
            <w:tcW w:type="dxa" w:w="1541"/>
          </w:tcPr>
          <w:p>
            <w:pPr>
              <w:spacing w:after="20"/>
              <w:jc w:val="right"/>
            </w:pPr>
            <w:r>
              <w:rPr>
                <w:color w:val="1C3A36"/>
                <w:sz w:val="16"/>
              </w:rPr>
              <w:t>44.27</w:t>
            </w:r>
          </w:p>
        </w:tc>
        <w:tc>
          <w:tcPr>
            <w:tcW w:type="dxa" w:w="1541"/>
          </w:tcPr>
          <w:p>
            <w:pPr>
              <w:spacing w:after="20"/>
              <w:jc w:val="right"/>
            </w:pPr>
            <w:r>
              <w:rPr>
                <w:color w:val="1C3A36"/>
                <w:sz w:val="16"/>
              </w:rPr>
              <w:t>42.88</w:t>
            </w:r>
          </w:p>
        </w:tc>
        <w:tc>
          <w:tcPr>
            <w:tcW w:type="dxa" w:w="1541"/>
          </w:tcPr>
          <w:p>
            <w:pPr>
              <w:spacing w:after="20"/>
              <w:jc w:val="right"/>
            </w:pPr>
            <w:r>
              <w:rPr>
                <w:color w:val="1C3A36"/>
                <w:sz w:val="16"/>
              </w:rPr>
              <w:t>41.54</w:t>
            </w:r>
          </w:p>
        </w:tc>
      </w:tr>
      <w:tr>
        <w:tc>
          <w:tcPr>
            <w:tcW w:type="dxa" w:w="2333"/>
          </w:tcPr>
          <w:p>
            <w:pPr>
              <w:spacing w:after="20"/>
            </w:pPr>
            <w:r>
              <w:rPr>
                <w:color w:val="1C3A36"/>
                <w:sz w:val="16"/>
              </w:rPr>
              <w:t>terminal 19.2%</w:t>
            </w:r>
          </w:p>
        </w:tc>
        <w:tc>
          <w:tcPr>
            <w:tcW w:type="dxa" w:w="1541"/>
          </w:tcPr>
          <w:p>
            <w:pPr>
              <w:spacing w:after="20"/>
              <w:jc w:val="right"/>
            </w:pPr>
            <w:r>
              <w:rPr>
                <w:color w:val="1C3A36"/>
                <w:sz w:val="16"/>
              </w:rPr>
              <w:t>42.39</w:t>
            </w:r>
          </w:p>
        </w:tc>
        <w:tc>
          <w:tcPr>
            <w:tcW w:type="dxa" w:w="1541"/>
          </w:tcPr>
          <w:p>
            <w:pPr>
              <w:spacing w:after="20"/>
              <w:jc w:val="right"/>
            </w:pPr>
            <w:r>
              <w:rPr>
                <w:color w:val="1C3A36"/>
                <w:sz w:val="16"/>
              </w:rPr>
              <w:t>41.03</w:t>
            </w:r>
          </w:p>
        </w:tc>
        <w:tc>
          <w:tcPr>
            <w:tcW w:type="dxa" w:w="1541"/>
          </w:tcPr>
          <w:p>
            <w:pPr>
              <w:spacing w:after="20"/>
              <w:jc w:val="right"/>
            </w:pPr>
            <w:r>
              <w:rPr>
                <w:color w:val="1C3A36"/>
                <w:sz w:val="16"/>
              </w:rPr>
              <w:t>39.72</w:t>
            </w:r>
          </w:p>
        </w:tc>
        <w:tc>
          <w:tcPr>
            <w:tcW w:type="dxa" w:w="1541"/>
          </w:tcPr>
          <w:p>
            <w:pPr>
              <w:spacing w:after="20"/>
              <w:jc w:val="right"/>
            </w:pPr>
            <w:r>
              <w:rPr>
                <w:color w:val="1C3A36"/>
                <w:sz w:val="16"/>
              </w:rPr>
              <w:t>38.46</w:t>
            </w:r>
          </w:p>
        </w:tc>
        <w:tc>
          <w:tcPr>
            <w:tcW w:type="dxa" w:w="1541"/>
          </w:tcPr>
          <w:p>
            <w:pPr>
              <w:spacing w:after="20"/>
              <w:jc w:val="right"/>
            </w:pPr>
            <w:r>
              <w:rPr>
                <w:color w:val="1C3A36"/>
                <w:sz w:val="16"/>
              </w:rPr>
              <w:t>37.24</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46.50 – 94.47</w:t>
            </w:r>
          </w:p>
        </w:tc>
        <w:tc>
          <w:tcPr>
            <w:tcW w:type="dxa" w:w="1944"/>
          </w:tcPr>
          <w:p>
            <w:pPr>
              <w:spacing w:after="20"/>
              <w:jc w:val="right"/>
            </w:pPr>
            <w:r>
              <w:rPr>
                <w:color w:val="1C3A36"/>
                <w:sz w:val="17"/>
              </w:rPr>
              <w:t>47.96</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42.08 – 53.56</w:t>
            </w:r>
          </w:p>
        </w:tc>
        <w:tc>
          <w:tcPr>
            <w:tcW w:type="dxa" w:w="1944"/>
          </w:tcPr>
          <w:p>
            <w:pPr>
              <w:spacing w:after="20"/>
              <w:jc w:val="right"/>
            </w:pPr>
            <w:r>
              <w:rPr>
                <w:color w:val="1C3A36"/>
                <w:sz w:val="17"/>
              </w:rPr>
              <w:t>11.49</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23.18 – 63.84</w:t>
            </w:r>
          </w:p>
        </w:tc>
        <w:tc>
          <w:tcPr>
            <w:tcW w:type="dxa" w:w="1944"/>
          </w:tcPr>
          <w:p>
            <w:pPr>
              <w:spacing w:after="20"/>
              <w:jc w:val="right"/>
            </w:pPr>
            <w:r>
              <w:rPr>
                <w:color w:val="1C3A36"/>
                <w:sz w:val="17"/>
              </w:rPr>
              <w:t>40.67</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41.36 – 45.66</w:t>
            </w:r>
          </w:p>
        </w:tc>
        <w:tc>
          <w:tcPr>
            <w:tcW w:type="dxa" w:w="1944"/>
          </w:tcPr>
          <w:p>
            <w:pPr>
              <w:spacing w:after="20"/>
              <w:jc w:val="right"/>
            </w:pPr>
            <w:r>
              <w:rPr>
                <w:color w:val="1C3A36"/>
                <w:sz w:val="17"/>
              </w:rPr>
              <w:t>4.31</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36.28 – 50.27</w:t>
            </w:r>
          </w:p>
        </w:tc>
        <w:tc>
          <w:tcPr>
            <w:tcW w:type="dxa" w:w="1944"/>
          </w:tcPr>
          <w:p>
            <w:pPr>
              <w:spacing w:after="20"/>
              <w:jc w:val="right"/>
            </w:pPr>
            <w:r>
              <w:rPr>
                <w:color w:val="1C3A36"/>
                <w:sz w:val="17"/>
              </w:rPr>
              <w:t>13.99</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40.98 – 58.17</w:t>
            </w:r>
          </w:p>
        </w:tc>
        <w:tc>
          <w:tcPr>
            <w:tcW w:type="dxa" w:w="1944"/>
          </w:tcPr>
          <w:p>
            <w:pPr>
              <w:spacing w:after="20"/>
              <w:jc w:val="right"/>
            </w:pPr>
            <w:r>
              <w:rPr>
                <w:color w:val="1C3A36"/>
                <w:sz w:val="17"/>
              </w:rPr>
              <w:t>17.19</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3% – 7%</w:t>
            </w:r>
          </w:p>
        </w:tc>
        <w:tc>
          <w:tcPr>
            <w:tcW w:type="dxa" w:w="2736"/>
          </w:tcPr>
          <w:p>
            <w:pPr>
              <w:spacing w:after="20"/>
              <w:jc w:val="right"/>
            </w:pPr>
            <w:r>
              <w:rPr>
                <w:color w:val="1C3A36"/>
                <w:sz w:val="17"/>
              </w:rPr>
              <w:t>45.05 – 49.71</w:t>
            </w:r>
          </w:p>
        </w:tc>
        <w:tc>
          <w:tcPr>
            <w:tcW w:type="dxa" w:w="1944"/>
          </w:tcPr>
          <w:p>
            <w:pPr>
              <w:spacing w:after="20"/>
              <w:jc w:val="right"/>
            </w:pPr>
            <w:r>
              <w:rPr>
                <w:color w:val="1C3A36"/>
                <w:sz w:val="17"/>
              </w:rPr>
              <w:t>4.66</w:t>
            </w:r>
          </w:p>
        </w:tc>
      </w:tr>
    </w:tbl>
    <w:p>
      <w:pPr>
        <w:spacing w:after="40"/>
      </w:pP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the swing is small and can even run the 'wrong' way, because a higher metal price raises revenue and working capital without raising the profit Cables earns on it. Ranked by single-row swing, the segment-margin row is the LARGEST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93.77</w:t>
            </w:r>
          </w:p>
        </w:tc>
        <w:tc>
          <w:tcPr>
            <w:tcW w:type="dxa" w:w="5760"/>
          </w:tcPr>
          <w:p>
            <w:pPr>
              <w:spacing w:after="20"/>
              <w:jc w:val="right"/>
            </w:pPr>
            <w:r>
              <w:rPr>
                <w:color w:val="1C3A36"/>
                <w:sz w:val="17"/>
              </w:rPr>
              <w:t>price is +39%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90.04</w:t>
            </w:r>
          </w:p>
        </w:tc>
        <w:tc>
          <w:tcPr>
            <w:tcW w:type="dxa" w:w="5760"/>
          </w:tcPr>
          <w:p>
            <w:pPr>
              <w:spacing w:after="20"/>
              <w:jc w:val="right"/>
            </w:pPr>
            <w:r>
              <w:rPr>
                <w:color w:val="1C3A36"/>
                <w:sz w:val="17"/>
              </w:rPr>
              <w:t>price is +44%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86.07</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81.88</w:t>
            </w:r>
          </w:p>
        </w:tc>
        <w:tc>
          <w:tcPr>
            <w:tcW w:type="dxa" w:w="5760"/>
          </w:tcPr>
          <w:p>
            <w:pPr>
              <w:spacing w:after="20"/>
              <w:jc w:val="right"/>
            </w:pPr>
            <w:r>
              <w:rPr>
                <w:color w:val="1C3A36"/>
                <w:sz w:val="17"/>
              </w:rPr>
              <w:t>price is +59%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109.02</w:t>
            </w:r>
          </w:p>
        </w:tc>
        <w:tc>
          <w:tcPr>
            <w:tcW w:type="dxa" w:w="5760"/>
          </w:tcPr>
          <w:p>
            <w:pPr>
              <w:spacing w:after="20"/>
              <w:jc w:val="right"/>
            </w:pPr>
            <w:r>
              <w:rPr>
                <w:color w:val="1C3A36"/>
                <w:sz w:val="17"/>
              </w:rPr>
              <w:t>+19.2% from the high — the high IS the +14.1% print of 4 August 2026, one session before the anchor</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114.50</w:t>
            </w:r>
          </w:p>
        </w:tc>
        <w:tc>
          <w:tcPr>
            <w:tcW w:type="dxa" w:w="5760"/>
          </w:tcPr>
          <w:p>
            <w:pPr>
              <w:spacing w:after="20"/>
              <w:jc w:val="right"/>
            </w:pPr>
            <w:r>
              <w:rPr>
                <w:color w:val="1C3A36"/>
                <w:sz w:val="17"/>
              </w:rPr>
              <w:t>+14%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48.4%</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+70% over the last 252 trading sessions (the exchange's trailing year on the supplied series) and sits +19.2% from its 52-week high. Realised volatility of about 48%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48.4% annualised figure is dominated by a single session: the shares rose 14.1% on 4 August 2026 on roughly eleven times normal volume. Realised volatility over the last 50 sessions is 36.1%; strip out that one session and it falls to 22.0%.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(47% inside the 50% band, 68% inside the 80%, 84% inside the 90%, over those 19 windows), and the outcomes were spread evenly across the distribution rather than bunching at one end — a uniformity test returns p = 0.28, comfortably consistent with a well-calibrated forecast. Over the very long run the picture is more mixed: across the full 14-year history the bands are about 22% wider than a naive carry-anchored band, which is a real limitation — a wider band catches more by construction —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43.51;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2026-09-06)</w:t>
            </w:r>
          </w:p>
        </w:tc>
        <w:tc>
          <w:tcPr>
            <w:tcW w:type="dxa" w:w="1152"/>
          </w:tcPr>
          <w:p>
            <w:pPr>
              <w:spacing w:after="20"/>
              <w:jc w:val="right"/>
            </w:pPr>
            <w:r>
              <w:rPr>
                <w:color w:val="1C3A36"/>
                <w:sz w:val="17"/>
              </w:rPr>
              <w:t>87.47</w:t>
            </w:r>
          </w:p>
        </w:tc>
        <w:tc>
          <w:tcPr>
            <w:tcW w:type="dxa" w:w="1152"/>
          </w:tcPr>
          <w:p>
            <w:pPr>
              <w:spacing w:after="20"/>
              <w:jc w:val="right"/>
            </w:pPr>
            <w:r>
              <w:rPr>
                <w:color w:val="1C3A36"/>
                <w:sz w:val="17"/>
              </w:rPr>
              <w:t>99.11</w:t>
            </w:r>
          </w:p>
        </w:tc>
        <w:tc>
          <w:tcPr>
            <w:tcW w:type="dxa" w:w="1152"/>
          </w:tcPr>
          <w:p>
            <w:pPr>
              <w:spacing w:after="20"/>
              <w:jc w:val="right"/>
            </w:pPr>
            <w:r>
              <w:rPr>
                <w:color w:val="1C3A36"/>
                <w:sz w:val="17"/>
              </w:rPr>
              <w:t>106.68</w:t>
            </w:r>
          </w:p>
        </w:tc>
        <w:tc>
          <w:tcPr>
            <w:tcW w:type="dxa" w:w="1152"/>
          </w:tcPr>
          <w:p>
            <w:pPr>
              <w:spacing w:after="20"/>
              <w:jc w:val="right"/>
            </w:pPr>
            <w:r>
              <w:rPr>
                <w:color w:val="1C3A36"/>
                <w:sz w:val="17"/>
              </w:rPr>
              <w:t>114.90</w:t>
            </w:r>
          </w:p>
        </w:tc>
        <w:tc>
          <w:tcPr>
            <w:tcW w:type="dxa" w:w="1152"/>
          </w:tcPr>
          <w:p>
            <w:pPr>
              <w:spacing w:after="20"/>
              <w:jc w:val="right"/>
            </w:pPr>
            <w:r>
              <w:rPr>
                <w:color w:val="1C3A36"/>
                <w:sz w:val="17"/>
              </w:rPr>
              <w:t>130.17</w:t>
            </w:r>
          </w:p>
        </w:tc>
        <w:tc>
          <w:tcPr>
            <w:tcW w:type="dxa" w:w="1800"/>
          </w:tcPr>
          <w:p>
            <w:pPr>
              <w:spacing w:after="20"/>
              <w:jc w:val="right"/>
            </w:pPr>
            <w:r>
              <w:rPr>
                <w:color w:val="1C3A36"/>
                <w:sz w:val="17"/>
              </w:rPr>
              <w:t>55%</w:t>
            </w:r>
          </w:p>
        </w:tc>
      </w:tr>
      <w:tr>
        <w:tc>
          <w:tcPr>
            <w:tcW w:type="dxa" w:w="2520"/>
          </w:tcPr>
          <w:p>
            <w:pPr>
              <w:spacing w:after="20"/>
            </w:pPr>
            <w:r>
              <w:rPr>
                <w:color w:val="1C3A36"/>
                <w:sz w:val="17"/>
              </w:rPr>
              <w:t>3 months (to 2026-11-05)</w:t>
            </w:r>
          </w:p>
        </w:tc>
        <w:tc>
          <w:tcPr>
            <w:tcW w:type="dxa" w:w="1152"/>
          </w:tcPr>
          <w:p>
            <w:pPr>
              <w:spacing w:after="20"/>
              <w:jc w:val="right"/>
            </w:pPr>
            <w:r>
              <w:rPr>
                <w:color w:val="1C3A36"/>
                <w:sz w:val="17"/>
              </w:rPr>
              <w:t>78.30</w:t>
            </w:r>
          </w:p>
        </w:tc>
        <w:tc>
          <w:tcPr>
            <w:tcW w:type="dxa" w:w="1152"/>
          </w:tcPr>
          <w:p>
            <w:pPr>
              <w:spacing w:after="20"/>
              <w:jc w:val="right"/>
            </w:pPr>
            <w:r>
              <w:rPr>
                <w:color w:val="1C3A36"/>
                <w:sz w:val="17"/>
              </w:rPr>
              <w:t>96.94</w:t>
            </w:r>
          </w:p>
        </w:tc>
        <w:tc>
          <w:tcPr>
            <w:tcW w:type="dxa" w:w="1152"/>
          </w:tcPr>
          <w:p>
            <w:pPr>
              <w:spacing w:after="20"/>
              <w:jc w:val="right"/>
            </w:pPr>
            <w:r>
              <w:rPr>
                <w:color w:val="1C3A36"/>
                <w:sz w:val="17"/>
              </w:rPr>
              <w:t>109.91</w:t>
            </w:r>
          </w:p>
        </w:tc>
        <w:tc>
          <w:tcPr>
            <w:tcW w:type="dxa" w:w="1152"/>
          </w:tcPr>
          <w:p>
            <w:pPr>
              <w:spacing w:after="20"/>
              <w:jc w:val="right"/>
            </w:pPr>
            <w:r>
              <w:rPr>
                <w:color w:val="1C3A36"/>
                <w:sz w:val="17"/>
              </w:rPr>
              <w:t>124.46</w:t>
            </w:r>
          </w:p>
        </w:tc>
        <w:tc>
          <w:tcPr>
            <w:tcW w:type="dxa" w:w="1152"/>
          </w:tcPr>
          <w:p>
            <w:pPr>
              <w:spacing w:after="20"/>
              <w:jc w:val="right"/>
            </w:pPr>
            <w:r>
              <w:rPr>
                <w:color w:val="1C3A36"/>
                <w:sz w:val="17"/>
              </w:rPr>
              <w:t>154.19</w:t>
            </w:r>
          </w:p>
        </w:tc>
        <w:tc>
          <w:tcPr>
            <w:tcW w:type="dxa" w:w="1800"/>
          </w:tcPr>
          <w:p>
            <w:pPr>
              <w:spacing w:after="20"/>
              <w:jc w:val="right"/>
            </w:pPr>
            <w:r>
              <w:rPr>
                <w:color w:val="1C3A36"/>
                <w:sz w:val="17"/>
              </w:rPr>
              <w:t>59%</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23%</w:t>
            </w:r>
          </w:p>
        </w:tc>
        <w:tc>
          <w:tcPr>
            <w:tcW w:type="dxa" w:w="1944"/>
          </w:tcPr>
          <w:p>
            <w:pPr>
              <w:spacing w:after="20"/>
              <w:jc w:val="right"/>
            </w:pPr>
            <w:r>
              <w:rPr>
                <w:color w:val="1C3A36"/>
                <w:sz w:val="17"/>
              </w:rPr>
              <w:t>39%</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37%</w:t>
            </w:r>
          </w:p>
        </w:tc>
        <w:tc>
          <w:tcPr>
            <w:tcW w:type="dxa" w:w="1944"/>
          </w:tcPr>
          <w:p>
            <w:pPr>
              <w:spacing w:after="20"/>
              <w:jc w:val="right"/>
            </w:pPr>
            <w:r>
              <w:rPr>
                <w:color w:val="1C3A36"/>
                <w:sz w:val="17"/>
              </w:rPr>
              <w:t>63%</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25%</w:t>
            </w:r>
          </w:p>
        </w:tc>
        <w:tc>
          <w:tcPr>
            <w:tcW w:type="dxa" w:w="1944"/>
          </w:tcPr>
          <w:p>
            <w:pPr>
              <w:spacing w:after="20"/>
              <w:jc w:val="right"/>
            </w:pPr>
            <w:r>
              <w:rPr>
                <w:color w:val="1C3A36"/>
                <w:sz w:val="17"/>
              </w:rPr>
              <w:t>45%</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(weighted)</w:t>
            </w:r>
          </w:p>
        </w:tc>
        <w:tc>
          <w:tcPr>
            <w:tcW w:type="dxa" w:w="3168"/>
          </w:tcPr>
          <w:p>
            <w:pPr>
              <w:spacing w:after="20"/>
              <w:jc w:val="right"/>
            </w:pPr>
            <w:r>
              <w:rPr>
                <w:color w:val="1C3A36"/>
                <w:sz w:val="17"/>
              </w:rPr>
              <w:t>EGP 43.51 central, -67% against the market</w:t>
            </w:r>
          </w:p>
        </w:tc>
        <w:tc>
          <w:tcPr>
            <w:tcW w:type="dxa" w:w="4248"/>
          </w:tcPr>
          <w:p>
            <w:pPr>
              <w:spacing w:after="20"/>
              <w:jc w:val="right"/>
            </w:pPr>
            <w:r>
              <w:rPr>
                <w:color w:val="1C3A36"/>
                <w:sz w:val="17"/>
              </w:rPr>
              <w:t>an Egyptian cost of capital applied to the whole company, and no real terminal growth</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43.51, -67%</w:t>
            </w:r>
          </w:p>
        </w:tc>
        <w:tc>
          <w:tcPr>
            <w:tcW w:type="dxa" w:w="4248"/>
          </w:tcPr>
          <w:p>
            <w:pPr>
              <w:spacing w:after="20"/>
              <w:jc w:val="right"/>
            </w:pPr>
            <w:r>
              <w:rPr>
                <w:color w:val="1C3A36"/>
                <w:sz w:val="17"/>
              </w:rPr>
              <w:t>a cost of capital gliding 28.8% to 17.2%</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57.86, -55%</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70.15, -46%</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109.91, 59%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57.86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19.9%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anywhere in the audited filings, so the Constructions and infrastructure forecast tapers on its own revenue growth rather than a burn rate</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109.91 and a 5th-to-95th percentile span of 78.30 to 154.19. Read that span honestly: it means the model considers a -40% move and a +19%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78.30</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96.94 – 109.91</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109.91 – 124.46</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154.19</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43.51</w:t>
            </w:r>
          </w:p>
        </w:tc>
        <w:tc>
          <w:tcPr>
            <w:tcW w:type="dxa" w:w="5040"/>
          </w:tcPr>
          <w:p>
            <w:pPr>
              <w:spacing w:after="20"/>
              <w:jc w:val="right"/>
            </w:pPr>
            <w:r>
              <w:rPr>
                <w:color w:val="1C3A36"/>
                <w:sz w:val="17"/>
              </w:rPr>
              <w:t>below even the 5th percentile (78.30)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252,892</w:t>
            </w:r>
          </w:p>
        </w:tc>
        <w:tc>
          <w:tcPr>
            <w:tcW w:type="dxa" w:w="1728"/>
          </w:tcPr>
          <w:p>
            <w:pPr>
              <w:spacing w:after="20"/>
              <w:jc w:val="right"/>
            </w:pPr>
            <w:r>
              <w:rPr>
                <w:color w:val="1C3A36"/>
                <w:sz w:val="17"/>
              </w:rPr>
              <w:t>466,619</w:t>
            </w:r>
          </w:p>
        </w:tc>
        <w:tc>
          <w:tcPr>
            <w:tcW w:type="dxa" w:w="1728"/>
          </w:tcPr>
          <w:p>
            <w:pPr>
              <w:spacing w:after="20"/>
              <w:jc w:val="right"/>
            </w:pPr>
            <w:r>
              <w:rPr>
                <w:color w:val="1C3A36"/>
                <w:sz w:val="17"/>
              </w:rPr>
              <w:t>1,211,374</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183,100</w:t>
            </w:r>
          </w:p>
        </w:tc>
        <w:tc>
          <w:tcPr>
            <w:tcW w:type="dxa" w:w="1728"/>
          </w:tcPr>
          <w:p>
            <w:pPr>
              <w:spacing w:after="20"/>
              <w:jc w:val="right"/>
            </w:pPr>
            <w:r>
              <w:rPr>
                <w:color w:val="1C3A36"/>
                <w:sz w:val="17"/>
              </w:rPr>
              <w:t>510,440</w:t>
            </w:r>
          </w:p>
        </w:tc>
        <w:tc>
          <w:tcPr>
            <w:tcW w:type="dxa" w:w="1728"/>
          </w:tcPr>
          <w:p>
            <w:pPr>
              <w:spacing w:after="20"/>
              <w:jc w:val="right"/>
            </w:pPr>
            <w:r>
              <w:rPr>
                <w:color w:val="1C3A36"/>
                <w:sz w:val="17"/>
              </w:rPr>
              <w:t>1,731,051</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195,106</w:t>
            </w:r>
          </w:p>
        </w:tc>
        <w:tc>
          <w:tcPr>
            <w:tcW w:type="dxa" w:w="1728"/>
          </w:tcPr>
          <w:p>
            <w:pPr>
              <w:spacing w:after="20"/>
              <w:jc w:val="right"/>
            </w:pPr>
            <w:r>
              <w:rPr>
                <w:color w:val="1C3A36"/>
                <w:sz w:val="17"/>
              </w:rPr>
              <w:t>555,225</w:t>
            </w:r>
          </w:p>
        </w:tc>
        <w:tc>
          <w:tcPr>
            <w:tcW w:type="dxa" w:w="1728"/>
          </w:tcPr>
          <w:p>
            <w:pPr>
              <w:spacing w:after="20"/>
              <w:jc w:val="right"/>
            </w:pPr>
            <w:r>
              <w:rPr>
                <w:color w:val="1C3A36"/>
                <w:sz w:val="17"/>
              </w:rPr>
              <w:t>2,023,700</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26,181</w:t>
            </w:r>
          </w:p>
        </w:tc>
        <w:tc>
          <w:tcPr>
            <w:tcW w:type="dxa" w:w="1728"/>
          </w:tcPr>
          <w:p>
            <w:pPr>
              <w:spacing w:after="20"/>
              <w:jc w:val="right"/>
            </w:pPr>
            <w:r>
              <w:rPr>
                <w:color w:val="1C3A36"/>
                <w:sz w:val="17"/>
              </w:rPr>
              <w:t>56,606</w:t>
            </w:r>
          </w:p>
        </w:tc>
        <w:tc>
          <w:tcPr>
            <w:tcW w:type="dxa" w:w="1728"/>
          </w:tcPr>
          <w:p>
            <w:pPr>
              <w:spacing w:after="20"/>
              <w:jc w:val="right"/>
            </w:pPr>
            <w:r>
              <w:rPr>
                <w:color w:val="1C3A36"/>
                <w:sz w:val="17"/>
              </w:rPr>
              <w:t>162,139</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24,022</w:t>
            </w:r>
          </w:p>
        </w:tc>
        <w:tc>
          <w:tcPr>
            <w:tcW w:type="dxa" w:w="1728"/>
          </w:tcPr>
          <w:p>
            <w:pPr>
              <w:spacing w:after="20"/>
              <w:jc w:val="right"/>
            </w:pPr>
            <w:r>
              <w:rPr>
                <w:color w:val="1C3A36"/>
                <w:sz w:val="17"/>
              </w:rPr>
              <w:t>62,040</w:t>
            </w:r>
          </w:p>
        </w:tc>
        <w:tc>
          <w:tcPr>
            <w:tcW w:type="dxa" w:w="1728"/>
          </w:tcPr>
          <w:p>
            <w:pPr>
              <w:spacing w:after="20"/>
              <w:jc w:val="right"/>
            </w:pPr>
            <w:r>
              <w:rPr>
                <w:color w:val="1C3A36"/>
                <w:sz w:val="17"/>
              </w:rPr>
              <w:t>262,800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34,648</w:t>
            </w:r>
          </w:p>
        </w:tc>
        <w:tc>
          <w:tcPr>
            <w:tcW w:type="dxa" w:w="1728"/>
          </w:tcPr>
          <w:p>
            <w:pPr>
              <w:spacing w:after="20"/>
              <w:jc w:val="right"/>
            </w:pPr>
            <w:r>
              <w:rPr>
                <w:color w:val="1C3A36"/>
                <w:sz w:val="17"/>
              </w:rPr>
              <w:t>67,601</w:t>
            </w:r>
          </w:p>
        </w:tc>
        <w:tc>
          <w:tcPr>
            <w:tcW w:type="dxa" w:w="1728"/>
          </w:tcPr>
          <w:p>
            <w:pPr>
              <w:spacing w:after="20"/>
              <w:jc w:val="right"/>
            </w:pPr>
            <w:r>
              <w:rPr>
                <w:color w:val="1C3A36"/>
                <w:sz w:val="17"/>
              </w:rPr>
              <w:t>234,225</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means the outturn has landed between 0.55 and 2.60 times what this method projected.</w:t>
      </w:r>
    </w:p>
    <w:p>
      <w:pPr>
        <w:pStyle w:val="ListBullet"/>
        <w:spacing w:after="60"/>
      </w:pPr>
      <w:r>
        <w:rPr>
          <w:b/>
          <w:color w:val="1C3A36"/>
          <w:sz w:val="21"/>
        </w:rPr>
        <w:t xml:space="preserve">No order book, backlog or unit-volume figure is disclosed in the audited statements. </w:t>
      </w:r>
      <w:r>
        <w:rPr>
          <w:color w:val="1C3A36"/>
          <w:sz w:val="21"/>
        </w:rPr>
        <w:t>All three audited financial statements and the Q1-2026 interim disclose segment revenue and segment profit, but no tonnage, MVA, meter count or order-book figure for any segment. The company's quarterly EARNINGS RELEASES have historically carried backlog and volume data; they were not reachable from this research environment, so the forecast is built as a taper on each segment's own recent revenue growth and margin path rather than a backlog-burn model. An earlier wording said 'disclosed anywhere', which overclaimed — the scope of the negative result is the audited statements, and cross-checking the Constructions taper against the released backlog is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30.4% cost of equity less the EGP 1.85 dividend paid in the window — worth about +7.44 gross on the primary lens.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82%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checked against one quarter, not several. </w:t>
      </w:r>
      <w:r>
        <w:rPr>
          <w:color w:val="1C3A36"/>
          <w:sz w:val="21"/>
        </w:rPr>
        <w:t>The segment build for FY2026E is cross-checked, not calibrated, against the disclosed Q1-2026 print — the build's 370,030 against a 356,323 grossed-up implied full year, a gap of +4%. One quarter is a thin check, and it is the reason the half-year 2026 result matters: it will either confirm or contradict the segment growth and margin paths that all three cash-based lenses share.</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just over half its money on a hard-currency-linked basis. The alternative construction gives EGP 57.86. We have chosen the conservative reading and shown the other in full rather than splitting the difference silently.</w:t>
      </w:r>
    </w:p>
    <w:p>
      <w:pPr>
        <w:pStyle w:val="ListBullet"/>
        <w:spacing w:after="60"/>
      </w:pPr>
      <w:r>
        <w:rPr>
          <w:b/>
          <w:color w:val="1C3A36"/>
          <w:sz w:val="21"/>
        </w:rPr>
        <w:t xml:space="preserve">Terminal growth of 7% is EXACTLY zero in real terms. </w:t>
      </w:r>
      <w:r>
        <w:rPr>
          <w:color w:val="1C3A36"/>
          <w:sz w:val="21"/>
        </w:rPr>
        <w:t>The terminal rate embeds 7% inflation and the terminal growth rate is DERIVED from it and a stated real growth of zero, so it is not a nominal figure somebody typed beside an inflation assumption. A 7%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9,904mn (4.63 per share) from the equity value — EGP 2.23 per share MORE than deducting the audited book value of 5,119mn would (an earlier wording conflated the total charge with the excess; this states both). It is also the internally consistent choice: this study values the group's equity at 1.4×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370,030</w:t>
            </w:r>
          </w:p>
        </w:tc>
        <w:tc>
          <w:tcPr>
            <w:tcW w:type="dxa" w:w="950"/>
          </w:tcPr>
          <w:p>
            <w:pPr>
              <w:spacing w:after="20"/>
              <w:jc w:val="right"/>
            </w:pPr>
            <w:r>
              <w:rPr>
                <w:color w:val="1C3A36"/>
                <w:sz w:val="15"/>
              </w:rPr>
              <w:t>422,528</w:t>
            </w:r>
          </w:p>
        </w:tc>
        <w:tc>
          <w:tcPr>
            <w:tcW w:type="dxa" w:w="950"/>
          </w:tcPr>
          <w:p>
            <w:pPr>
              <w:spacing w:after="20"/>
              <w:jc w:val="right"/>
            </w:pPr>
            <w:r>
              <w:rPr>
                <w:color w:val="1C3A36"/>
                <w:sz w:val="15"/>
              </w:rPr>
              <w:t>466,619</w:t>
            </w:r>
          </w:p>
        </w:tc>
        <w:tc>
          <w:tcPr>
            <w:tcW w:type="dxa" w:w="950"/>
          </w:tcPr>
          <w:p>
            <w:pPr>
              <w:spacing w:after="20"/>
              <w:jc w:val="right"/>
            </w:pPr>
            <w:r>
              <w:rPr>
                <w:color w:val="1C3A36"/>
                <w:sz w:val="15"/>
              </w:rPr>
              <w:t>510,440</w:t>
            </w:r>
          </w:p>
        </w:tc>
        <w:tc>
          <w:tcPr>
            <w:tcW w:type="dxa" w:w="950"/>
          </w:tcPr>
          <w:p>
            <w:pPr>
              <w:spacing w:after="20"/>
              <w:jc w:val="right"/>
            </w:pPr>
            <w:r>
              <w:rPr>
                <w:color w:val="1C3A36"/>
                <w:sz w:val="15"/>
              </w:rPr>
              <w:t>555,225</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EBITDA (derived: EBIT + D&amp;A)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31,601</w:t>
            </w:r>
          </w:p>
        </w:tc>
        <w:tc>
          <w:tcPr>
            <w:tcW w:type="dxa" w:w="950"/>
            <w:shd w:val="clear" w:color="auto" w:fill="F6F1E6"/>
          </w:tcPr>
          <w:p>
            <w:pPr>
              <w:spacing w:after="20"/>
              <w:jc w:val="right"/>
            </w:pPr>
            <w:r>
              <w:rPr>
                <w:b/>
                <w:color w:val="1C3A36"/>
                <w:sz w:val="15"/>
              </w:rPr>
              <w:t>28,363</w:t>
            </w:r>
          </w:p>
        </w:tc>
        <w:tc>
          <w:tcPr>
            <w:tcW w:type="dxa" w:w="950"/>
            <w:shd w:val="clear" w:color="auto" w:fill="F6F1E6"/>
          </w:tcPr>
          <w:p>
            <w:pPr>
              <w:spacing w:after="20"/>
              <w:jc w:val="right"/>
            </w:pPr>
            <w:r>
              <w:rPr>
                <w:b/>
                <w:color w:val="1C3A36"/>
                <w:sz w:val="15"/>
              </w:rPr>
              <w:t>37,965</w:t>
            </w:r>
          </w:p>
        </w:tc>
        <w:tc>
          <w:tcPr>
            <w:tcW w:type="dxa" w:w="950"/>
            <w:shd w:val="clear" w:color="auto" w:fill="F6F1E6"/>
          </w:tcPr>
          <w:p>
            <w:pPr>
              <w:spacing w:after="20"/>
              <w:jc w:val="right"/>
            </w:pPr>
            <w:r>
              <w:rPr>
                <w:b/>
                <w:color w:val="1C3A36"/>
                <w:sz w:val="15"/>
              </w:rPr>
              <w:t>43,447</w:t>
            </w:r>
          </w:p>
        </w:tc>
        <w:tc>
          <w:tcPr>
            <w:tcW w:type="dxa" w:w="950"/>
            <w:shd w:val="clear" w:color="auto" w:fill="F6F1E6"/>
          </w:tcPr>
          <w:p>
            <w:pPr>
              <w:spacing w:after="20"/>
              <w:jc w:val="right"/>
            </w:pPr>
            <w:r>
              <w:rPr>
                <w:b/>
                <w:color w:val="1C3A36"/>
                <w:sz w:val="15"/>
              </w:rPr>
              <w:t>48,113</w:t>
            </w:r>
          </w:p>
        </w:tc>
        <w:tc>
          <w:tcPr>
            <w:tcW w:type="dxa" w:w="950"/>
            <w:shd w:val="clear" w:color="auto" w:fill="F6F1E6"/>
          </w:tcPr>
          <w:p>
            <w:pPr>
              <w:spacing w:after="20"/>
              <w:jc w:val="right"/>
            </w:pPr>
            <w:r>
              <w:rPr>
                <w:b/>
                <w:color w:val="1C3A36"/>
                <w:sz w:val="15"/>
              </w:rPr>
              <w:t>52,750</w:t>
            </w:r>
          </w:p>
        </w:tc>
        <w:tc>
          <w:tcPr>
            <w:tcW w:type="dxa" w:w="950"/>
            <w:shd w:val="clear" w:color="auto" w:fill="F6F1E6"/>
          </w:tcPr>
          <w:p>
            <w:pPr>
              <w:spacing w:after="20"/>
              <w:jc w:val="right"/>
            </w:pPr>
            <w:r>
              <w:rPr>
                <w:b/>
                <w:color w:val="1C3A36"/>
                <w:sz w:val="15"/>
              </w:rPr>
              <w:t>57,496</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10.4%</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(3,009)</w:t>
            </w:r>
          </w:p>
        </w:tc>
        <w:tc>
          <w:tcPr>
            <w:tcW w:type="dxa" w:w="950"/>
          </w:tcPr>
          <w:p>
            <w:pPr>
              <w:spacing w:after="20"/>
              <w:jc w:val="right"/>
            </w:pPr>
            <w:r>
              <w:rPr>
                <w:color w:val="1C3A36"/>
                <w:sz w:val="15"/>
              </w:rPr>
              <w:t>(4,625)</w:t>
            </w:r>
          </w:p>
        </w:tc>
        <w:tc>
          <w:tcPr>
            <w:tcW w:type="dxa" w:w="950"/>
          </w:tcPr>
          <w:p>
            <w:pPr>
              <w:spacing w:after="20"/>
              <w:jc w:val="right"/>
            </w:pPr>
            <w:r>
              <w:rPr>
                <w:color w:val="1C3A36"/>
                <w:sz w:val="15"/>
              </w:rPr>
              <w:t>(5,282)</w:t>
            </w:r>
          </w:p>
        </w:tc>
        <w:tc>
          <w:tcPr>
            <w:tcW w:type="dxa" w:w="950"/>
          </w:tcPr>
          <w:p>
            <w:pPr>
              <w:spacing w:after="20"/>
              <w:jc w:val="right"/>
            </w:pPr>
            <w:r>
              <w:rPr>
                <w:color w:val="1C3A36"/>
                <w:sz w:val="15"/>
              </w:rPr>
              <w:t>(5,833)</w:t>
            </w:r>
          </w:p>
        </w:tc>
        <w:tc>
          <w:tcPr>
            <w:tcW w:type="dxa" w:w="950"/>
          </w:tcPr>
          <w:p>
            <w:pPr>
              <w:spacing w:after="20"/>
              <w:jc w:val="right"/>
            </w:pPr>
            <w:r>
              <w:rPr>
                <w:color w:val="1C3A36"/>
                <w:sz w:val="15"/>
              </w:rPr>
              <w:t>(6,381)</w:t>
            </w:r>
          </w:p>
        </w:tc>
        <w:tc>
          <w:tcPr>
            <w:tcW w:type="dxa" w:w="950"/>
          </w:tcPr>
          <w:p>
            <w:pPr>
              <w:spacing w:after="20"/>
              <w:jc w:val="right"/>
            </w:pPr>
            <w:r>
              <w:rPr>
                <w:color w:val="1C3A36"/>
                <w:sz w:val="15"/>
              </w:rPr>
              <w:t>(6,940)</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25,354</w:t>
            </w:r>
          </w:p>
        </w:tc>
        <w:tc>
          <w:tcPr>
            <w:tcW w:type="dxa" w:w="950"/>
            <w:shd w:val="clear" w:color="auto" w:fill="F6F1E6"/>
          </w:tcPr>
          <w:p>
            <w:pPr>
              <w:spacing w:after="20"/>
              <w:jc w:val="right"/>
            </w:pPr>
            <w:r>
              <w:rPr>
                <w:b/>
                <w:color w:val="1C3A36"/>
                <w:sz w:val="15"/>
              </w:rPr>
              <w:t>33,339</w:t>
            </w:r>
          </w:p>
        </w:tc>
        <w:tc>
          <w:tcPr>
            <w:tcW w:type="dxa" w:w="950"/>
            <w:shd w:val="clear" w:color="auto" w:fill="F6F1E6"/>
          </w:tcPr>
          <w:p>
            <w:pPr>
              <w:spacing w:after="20"/>
              <w:jc w:val="right"/>
            </w:pPr>
            <w:r>
              <w:rPr>
                <w:b/>
                <w:color w:val="1C3A36"/>
                <w:sz w:val="15"/>
              </w:rPr>
              <w:t>38,165</w:t>
            </w:r>
          </w:p>
        </w:tc>
        <w:tc>
          <w:tcPr>
            <w:tcW w:type="dxa" w:w="950"/>
            <w:shd w:val="clear" w:color="auto" w:fill="F6F1E6"/>
          </w:tcPr>
          <w:p>
            <w:pPr>
              <w:spacing w:after="20"/>
              <w:jc w:val="right"/>
            </w:pPr>
            <w:r>
              <w:rPr>
                <w:b/>
                <w:color w:val="1C3A36"/>
                <w:sz w:val="15"/>
              </w:rPr>
              <w:t>42,280</w:t>
            </w:r>
          </w:p>
        </w:tc>
        <w:tc>
          <w:tcPr>
            <w:tcW w:type="dxa" w:w="950"/>
            <w:shd w:val="clear" w:color="auto" w:fill="F6F1E6"/>
          </w:tcPr>
          <w:p>
            <w:pPr>
              <w:spacing w:after="20"/>
              <w:jc w:val="right"/>
            </w:pPr>
            <w:r>
              <w:rPr>
                <w:b/>
                <w:color w:val="1C3A36"/>
                <w:sz w:val="15"/>
              </w:rPr>
              <w:t>46,370</w:t>
            </w:r>
          </w:p>
        </w:tc>
        <w:tc>
          <w:tcPr>
            <w:tcW w:type="dxa" w:w="950"/>
            <w:shd w:val="clear" w:color="auto" w:fill="F6F1E6"/>
          </w:tcPr>
          <w:p>
            <w:pPr>
              <w:spacing w:after="20"/>
              <w:jc w:val="right"/>
            </w:pPr>
            <w:r>
              <w:rPr>
                <w:b/>
                <w:color w:val="1C3A36"/>
                <w:sz w:val="15"/>
              </w:rPr>
              <w:t>50,556</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(2,494)</w:t>
            </w:r>
          </w:p>
        </w:tc>
        <w:tc>
          <w:tcPr>
            <w:tcW w:type="dxa" w:w="950"/>
          </w:tcPr>
          <w:p>
            <w:pPr>
              <w:spacing w:after="20"/>
              <w:jc w:val="right"/>
            </w:pPr>
            <w:r>
              <w:rPr>
                <w:color w:val="1C3A36"/>
                <w:sz w:val="15"/>
              </w:rPr>
              <w:t>(2,335)</w:t>
            </w:r>
          </w:p>
        </w:tc>
        <w:tc>
          <w:tcPr>
            <w:tcW w:type="dxa" w:w="950"/>
          </w:tcPr>
          <w:p>
            <w:pPr>
              <w:spacing w:after="20"/>
              <w:jc w:val="right"/>
            </w:pPr>
            <w:r>
              <w:rPr>
                <w:color w:val="1C3A36"/>
                <w:sz w:val="15"/>
              </w:rPr>
              <w:t>(1,757)</w:t>
            </w:r>
          </w:p>
        </w:tc>
        <w:tc>
          <w:tcPr>
            <w:tcW w:type="dxa" w:w="950"/>
          </w:tcPr>
          <w:p>
            <w:pPr>
              <w:spacing w:after="20"/>
              <w:jc w:val="right"/>
            </w:pPr>
            <w:r>
              <w:rPr>
                <w:color w:val="1C3A36"/>
                <w:sz w:val="15"/>
              </w:rPr>
              <w:t>(917)</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22,703</w:t>
            </w:r>
          </w:p>
        </w:tc>
        <w:tc>
          <w:tcPr>
            <w:tcW w:type="dxa" w:w="950"/>
            <w:shd w:val="clear" w:color="auto" w:fill="F6F1E6"/>
          </w:tcPr>
          <w:p>
            <w:pPr>
              <w:spacing w:after="20"/>
              <w:jc w:val="right"/>
            </w:pPr>
            <w:r>
              <w:rPr>
                <w:b/>
                <w:color w:val="1C3A36"/>
                <w:sz w:val="15"/>
              </w:rPr>
              <w:t>25,574</w:t>
            </w:r>
          </w:p>
        </w:tc>
        <w:tc>
          <w:tcPr>
            <w:tcW w:type="dxa" w:w="950"/>
            <w:shd w:val="clear" w:color="auto" w:fill="F6F1E6"/>
          </w:tcPr>
          <w:p>
            <w:pPr>
              <w:spacing w:after="20"/>
              <w:jc w:val="right"/>
            </w:pPr>
            <w:r>
              <w:rPr>
                <w:b/>
                <w:color w:val="1C3A36"/>
                <w:sz w:val="15"/>
              </w:rPr>
              <w:t>28,589</w:t>
            </w:r>
          </w:p>
        </w:tc>
        <w:tc>
          <w:tcPr>
            <w:tcW w:type="dxa" w:w="950"/>
            <w:shd w:val="clear" w:color="auto" w:fill="F6F1E6"/>
          </w:tcPr>
          <w:p>
            <w:pPr>
              <w:spacing w:after="20"/>
              <w:jc w:val="right"/>
            </w:pPr>
            <w:r>
              <w:rPr>
                <w:b/>
                <w:color w:val="1C3A36"/>
                <w:sz w:val="15"/>
              </w:rPr>
              <w:t>31,879</w:t>
            </w:r>
          </w:p>
        </w:tc>
        <w:tc>
          <w:tcPr>
            <w:tcW w:type="dxa" w:w="950"/>
            <w:shd w:val="clear" w:color="auto" w:fill="F6F1E6"/>
          </w:tcPr>
          <w:p>
            <w:pPr>
              <w:spacing w:after="20"/>
              <w:jc w:val="right"/>
            </w:pPr>
            <w:r>
              <w:rPr>
                <w:b/>
                <w:color w:val="1C3A36"/>
                <w:sz w:val="15"/>
              </w:rPr>
              <w:t>35,423</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10.60</w:t>
            </w:r>
          </w:p>
        </w:tc>
        <w:tc>
          <w:tcPr>
            <w:tcW w:type="dxa" w:w="950"/>
          </w:tcPr>
          <w:p>
            <w:pPr>
              <w:spacing w:after="20"/>
              <w:jc w:val="right"/>
            </w:pPr>
            <w:r>
              <w:rPr>
                <w:color w:val="1C3A36"/>
                <w:sz w:val="15"/>
              </w:rPr>
              <w:t>11.95</w:t>
            </w:r>
          </w:p>
        </w:tc>
        <w:tc>
          <w:tcPr>
            <w:tcW w:type="dxa" w:w="950"/>
          </w:tcPr>
          <w:p>
            <w:pPr>
              <w:spacing w:after="20"/>
              <w:jc w:val="right"/>
            </w:pPr>
            <w:r>
              <w:rPr>
                <w:color w:val="1C3A36"/>
                <w:sz w:val="15"/>
              </w:rPr>
              <w:t>13.35</w:t>
            </w:r>
          </w:p>
        </w:tc>
        <w:tc>
          <w:tcPr>
            <w:tcW w:type="dxa" w:w="950"/>
          </w:tcPr>
          <w:p>
            <w:pPr>
              <w:spacing w:after="20"/>
              <w:jc w:val="right"/>
            </w:pPr>
            <w:r>
              <w:rPr>
                <w:color w:val="1C3A36"/>
                <w:sz w:val="15"/>
              </w:rPr>
              <w:t>14.89</w:t>
            </w:r>
          </w:p>
        </w:tc>
        <w:tc>
          <w:tcPr>
            <w:tcW w:type="dxa" w:w="950"/>
          </w:tcPr>
          <w:p>
            <w:pPr>
              <w:spacing w:after="20"/>
              <w:jc w:val="right"/>
            </w:pPr>
            <w:r>
              <w:rPr>
                <w:color w:val="1C3A36"/>
                <w:sz w:val="15"/>
              </w:rPr>
              <w:t>16.55</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73,636</w:t>
            </w:r>
          </w:p>
        </w:tc>
        <w:tc>
          <w:tcPr>
            <w:tcW w:type="dxa" w:w="1426"/>
          </w:tcPr>
          <w:p>
            <w:pPr>
              <w:spacing w:after="20"/>
              <w:jc w:val="right"/>
            </w:pPr>
            <w:r>
              <w:rPr>
                <w:color w:val="1C3A36"/>
                <w:sz w:val="16"/>
              </w:rPr>
              <w:t>84,083</w:t>
            </w:r>
          </w:p>
        </w:tc>
        <w:tc>
          <w:tcPr>
            <w:tcW w:type="dxa" w:w="1426"/>
          </w:tcPr>
          <w:p>
            <w:pPr>
              <w:spacing w:after="20"/>
              <w:jc w:val="right"/>
            </w:pPr>
            <w:r>
              <w:rPr>
                <w:color w:val="1C3A36"/>
                <w:sz w:val="16"/>
              </w:rPr>
              <w:t>92,857</w:t>
            </w:r>
          </w:p>
        </w:tc>
        <w:tc>
          <w:tcPr>
            <w:tcW w:type="dxa" w:w="1426"/>
          </w:tcPr>
          <w:p>
            <w:pPr>
              <w:spacing w:after="20"/>
              <w:jc w:val="right"/>
            </w:pPr>
            <w:r>
              <w:rPr>
                <w:color w:val="1C3A36"/>
                <w:sz w:val="16"/>
              </w:rPr>
              <w:t>101,578</w:t>
            </w:r>
          </w:p>
        </w:tc>
        <w:tc>
          <w:tcPr>
            <w:tcW w:type="dxa" w:w="1426"/>
          </w:tcPr>
          <w:p>
            <w:pPr>
              <w:spacing w:after="20"/>
              <w:jc w:val="right"/>
            </w:pPr>
            <w:r>
              <w:rPr>
                <w:color w:val="1C3A36"/>
                <w:sz w:val="16"/>
              </w:rPr>
              <w:t>110,490</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47,617</w:t>
            </w:r>
          </w:p>
        </w:tc>
        <w:tc>
          <w:tcPr>
            <w:tcW w:type="dxa" w:w="1426"/>
          </w:tcPr>
          <w:p>
            <w:pPr>
              <w:spacing w:after="20"/>
              <w:jc w:val="right"/>
            </w:pPr>
            <w:r>
              <w:rPr>
                <w:color w:val="1C3A36"/>
                <w:sz w:val="16"/>
              </w:rPr>
              <w:t>59,237</w:t>
            </w:r>
          </w:p>
        </w:tc>
        <w:tc>
          <w:tcPr>
            <w:tcW w:type="dxa" w:w="1426"/>
          </w:tcPr>
          <w:p>
            <w:pPr>
              <w:spacing w:after="20"/>
              <w:jc w:val="right"/>
            </w:pPr>
            <w:r>
              <w:rPr>
                <w:color w:val="1C3A36"/>
                <w:sz w:val="16"/>
              </w:rPr>
              <w:t>70,202</w:t>
            </w:r>
          </w:p>
        </w:tc>
        <w:tc>
          <w:tcPr>
            <w:tcW w:type="dxa" w:w="1426"/>
          </w:tcPr>
          <w:p>
            <w:pPr>
              <w:spacing w:after="20"/>
              <w:jc w:val="right"/>
            </w:pPr>
            <w:r>
              <w:rPr>
                <w:color w:val="1C3A36"/>
                <w:sz w:val="16"/>
              </w:rPr>
              <w:t>80,666</w:t>
            </w:r>
          </w:p>
        </w:tc>
        <w:tc>
          <w:tcPr>
            <w:tcW w:type="dxa" w:w="1426"/>
          </w:tcPr>
          <w:p>
            <w:pPr>
              <w:spacing w:after="20"/>
              <w:jc w:val="right"/>
            </w:pPr>
            <w:r>
              <w:rPr>
                <w:color w:val="1C3A36"/>
                <w:sz w:val="16"/>
              </w:rPr>
              <w:t>90,938</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123,002</w:t>
            </w:r>
          </w:p>
        </w:tc>
        <w:tc>
          <w:tcPr>
            <w:tcW w:type="dxa" w:w="1426"/>
          </w:tcPr>
          <w:p>
            <w:pPr>
              <w:spacing w:after="20"/>
              <w:jc w:val="right"/>
            </w:pPr>
            <w:r>
              <w:rPr>
                <w:color w:val="1C3A36"/>
                <w:sz w:val="16"/>
              </w:rPr>
              <w:t>145,069</w:t>
            </w:r>
          </w:p>
        </w:tc>
        <w:tc>
          <w:tcPr>
            <w:tcW w:type="dxa" w:w="1426"/>
          </w:tcPr>
          <w:p>
            <w:pPr>
              <w:spacing w:after="20"/>
              <w:jc w:val="right"/>
            </w:pPr>
            <w:r>
              <w:rPr>
                <w:color w:val="1C3A36"/>
                <w:sz w:val="16"/>
              </w:rPr>
              <w:t>164,808</w:t>
            </w:r>
          </w:p>
        </w:tc>
        <w:tc>
          <w:tcPr>
            <w:tcW w:type="dxa" w:w="1426"/>
          </w:tcPr>
          <w:p>
            <w:pPr>
              <w:spacing w:after="20"/>
              <w:jc w:val="right"/>
            </w:pPr>
            <w:r>
              <w:rPr>
                <w:color w:val="1C3A36"/>
                <w:sz w:val="16"/>
              </w:rPr>
              <w:t>183,992</w:t>
            </w:r>
          </w:p>
        </w:tc>
        <w:tc>
          <w:tcPr>
            <w:tcW w:type="dxa" w:w="1426"/>
          </w:tcPr>
          <w:p>
            <w:pPr>
              <w:spacing w:after="20"/>
              <w:jc w:val="right"/>
            </w:pPr>
            <w:r>
              <w:rPr>
                <w:color w:val="1C3A36"/>
                <w:sz w:val="16"/>
              </w:rPr>
              <w:t>203,176</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20.5%</w:t>
            </w:r>
          </w:p>
        </w:tc>
        <w:tc>
          <w:tcPr>
            <w:tcW w:type="dxa" w:w="1426"/>
          </w:tcPr>
          <w:p>
            <w:pPr>
              <w:spacing w:after="20"/>
              <w:jc w:val="right"/>
            </w:pPr>
            <w:r>
              <w:rPr>
                <w:color w:val="1C3A36"/>
                <w:sz w:val="16"/>
              </w:rPr>
              <w:t>19.9%</w:t>
            </w:r>
          </w:p>
        </w:tc>
        <w:tc>
          <w:tcPr>
            <w:tcW w:type="dxa" w:w="1426"/>
          </w:tcPr>
          <w:p>
            <w:pPr>
              <w:spacing w:after="20"/>
              <w:jc w:val="right"/>
            </w:pPr>
            <w:r>
              <w:rPr>
                <w:color w:val="1C3A36"/>
                <w:sz w:val="16"/>
              </w:rPr>
              <w:t>19.4%</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18.8%</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(16,281)</w:t>
            </w:r>
          </w:p>
        </w:tc>
        <w:tc>
          <w:tcPr>
            <w:tcW w:type="dxa" w:w="1426"/>
          </w:tcPr>
          <w:p>
            <w:pPr>
              <w:spacing w:after="20"/>
              <w:jc w:val="right"/>
            </w:pPr>
            <w:r>
              <w:rPr>
                <w:color w:val="1C3A36"/>
                <w:sz w:val="16"/>
              </w:rPr>
              <w:t>(16,901)</w:t>
            </w:r>
          </w:p>
        </w:tc>
        <w:tc>
          <w:tcPr>
            <w:tcW w:type="dxa" w:w="1426"/>
          </w:tcPr>
          <w:p>
            <w:pPr>
              <w:spacing w:after="20"/>
              <w:jc w:val="right"/>
            </w:pPr>
            <w:r>
              <w:rPr>
                <w:color w:val="1C3A36"/>
                <w:sz w:val="16"/>
              </w:rPr>
              <w:t>(16,798)</w:t>
            </w:r>
          </w:p>
        </w:tc>
        <w:tc>
          <w:tcPr>
            <w:tcW w:type="dxa" w:w="1426"/>
          </w:tcPr>
          <w:p>
            <w:pPr>
              <w:spacing w:after="20"/>
              <w:jc w:val="right"/>
            </w:pPr>
            <w:r>
              <w:rPr>
                <w:color w:val="1C3A36"/>
                <w:sz w:val="16"/>
              </w:rPr>
              <w:t>(16,845)</w:t>
            </w:r>
          </w:p>
        </w:tc>
        <w:tc>
          <w:tcPr>
            <w:tcW w:type="dxa" w:w="1426"/>
          </w:tcPr>
          <w:p>
            <w:pPr>
              <w:spacing w:after="20"/>
              <w:jc w:val="right"/>
            </w:pPr>
            <w:r>
              <w:rPr>
                <w:color w:val="1C3A36"/>
                <w:sz w:val="16"/>
              </w:rPr>
              <w:t>(17,212)</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(17,783)</w:t>
            </w:r>
          </w:p>
        </w:tc>
        <w:tc>
          <w:tcPr>
            <w:tcW w:type="dxa" w:w="1426"/>
            <w:shd w:val="clear" w:color="auto" w:fill="F6F1E6"/>
          </w:tcPr>
          <w:p>
            <w:pPr>
              <w:spacing w:after="20"/>
              <w:jc w:val="right"/>
            </w:pPr>
            <w:r>
              <w:rPr>
                <w:b/>
                <w:color w:val="1C3A36"/>
                <w:sz w:val="16"/>
              </w:rPr>
              <w:t>(10,447)</w:t>
            </w:r>
          </w:p>
        </w:tc>
        <w:tc>
          <w:tcPr>
            <w:tcW w:type="dxa" w:w="1426"/>
            <w:shd w:val="clear" w:color="auto" w:fill="F6F1E6"/>
          </w:tcPr>
          <w:p>
            <w:pPr>
              <w:spacing w:after="20"/>
              <w:jc w:val="right"/>
            </w:pPr>
            <w:r>
              <w:rPr>
                <w:b/>
                <w:color w:val="1C3A36"/>
                <w:sz w:val="16"/>
              </w:rPr>
              <w:t>(8,774)</w:t>
            </w:r>
          </w:p>
        </w:tc>
        <w:tc>
          <w:tcPr>
            <w:tcW w:type="dxa" w:w="1426"/>
            <w:shd w:val="clear" w:color="auto" w:fill="F6F1E6"/>
          </w:tcPr>
          <w:p>
            <w:pPr>
              <w:spacing w:after="20"/>
              <w:jc w:val="right"/>
            </w:pPr>
            <w:r>
              <w:rPr>
                <w:b/>
                <w:color w:val="1C3A36"/>
                <w:sz w:val="16"/>
              </w:rPr>
              <w:t>(8,720)</w:t>
            </w:r>
          </w:p>
        </w:tc>
        <w:tc>
          <w:tcPr>
            <w:tcW w:type="dxa" w:w="1426"/>
            <w:shd w:val="clear" w:color="auto" w:fill="F6F1E6"/>
          </w:tcPr>
          <w:p>
            <w:pPr>
              <w:spacing w:after="20"/>
              <w:jc w:val="right"/>
            </w:pPr>
            <w:r>
              <w:rPr>
                <w:b/>
                <w:color w:val="1C3A36"/>
                <w:sz w:val="16"/>
              </w:rPr>
              <w:t>(8,912)</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-4,268</w:t>
            </w:r>
          </w:p>
        </w:tc>
        <w:tc>
          <w:tcPr>
            <w:tcW w:type="dxa" w:w="1426"/>
          </w:tcPr>
          <w:p>
            <w:pPr>
              <w:spacing w:after="20"/>
              <w:jc w:val="right"/>
            </w:pPr>
            <w:r>
              <w:rPr>
                <w:color w:val="1C3A36"/>
                <w:sz w:val="16"/>
              </w:rPr>
              <w:t>6,748</w:t>
            </w:r>
          </w:p>
        </w:tc>
        <w:tc>
          <w:tcPr>
            <w:tcW w:type="dxa" w:w="1426"/>
          </w:tcPr>
          <w:p>
            <w:pPr>
              <w:spacing w:after="20"/>
              <w:jc w:val="right"/>
            </w:pPr>
            <w:r>
              <w:rPr>
                <w:color w:val="1C3A36"/>
                <w:sz w:val="16"/>
              </w:rPr>
              <w:t>12,182</w:t>
            </w:r>
          </w:p>
        </w:tc>
        <w:tc>
          <w:tcPr>
            <w:tcW w:type="dxa" w:w="1426"/>
          </w:tcPr>
          <w:p>
            <w:pPr>
              <w:spacing w:after="20"/>
              <w:jc w:val="right"/>
            </w:pPr>
            <w:r>
              <w:rPr>
                <w:color w:val="1C3A36"/>
                <w:sz w:val="16"/>
              </w:rPr>
              <w:t>15,825</w:t>
            </w:r>
          </w:p>
        </w:tc>
        <w:tc>
          <w:tcPr>
            <w:tcW w:type="dxa" w:w="1426"/>
          </w:tcPr>
          <w:p>
            <w:pPr>
              <w:spacing w:after="20"/>
              <w:jc w:val="right"/>
            </w:pPr>
            <w:r>
              <w:rPr>
                <w:color w:val="1C3A36"/>
                <w:sz w:val="16"/>
              </w:rPr>
              <w:t>18,986</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83,898</w:t>
            </w:r>
          </w:p>
        </w:tc>
        <w:tc>
          <w:tcPr>
            <w:tcW w:type="dxa" w:w="1426"/>
          </w:tcPr>
          <w:p>
            <w:pPr>
              <w:spacing w:after="20"/>
              <w:jc w:val="right"/>
            </w:pPr>
            <w:r>
              <w:rPr>
                <w:color w:val="1C3A36"/>
                <w:sz w:val="16"/>
              </w:rPr>
              <w:t>103,078</w:t>
            </w:r>
          </w:p>
        </w:tc>
        <w:tc>
          <w:tcPr>
            <w:tcW w:type="dxa" w:w="1426"/>
          </w:tcPr>
          <w:p>
            <w:pPr>
              <w:spacing w:after="20"/>
              <w:jc w:val="right"/>
            </w:pPr>
            <w:r>
              <w:rPr>
                <w:color w:val="1C3A36"/>
                <w:sz w:val="16"/>
              </w:rPr>
              <w:t>124,520</w:t>
            </w:r>
          </w:p>
        </w:tc>
        <w:tc>
          <w:tcPr>
            <w:tcW w:type="dxa" w:w="1426"/>
          </w:tcPr>
          <w:p>
            <w:pPr>
              <w:spacing w:after="20"/>
              <w:jc w:val="right"/>
            </w:pPr>
            <w:r>
              <w:rPr>
                <w:color w:val="1C3A36"/>
                <w:sz w:val="16"/>
              </w:rPr>
              <w:t>148,429</w:t>
            </w:r>
          </w:p>
        </w:tc>
        <w:tc>
          <w:tcPr>
            <w:tcW w:type="dxa" w:w="1426"/>
          </w:tcPr>
          <w:p>
            <w:pPr>
              <w:spacing w:after="20"/>
              <w:jc w:val="right"/>
            </w:pPr>
            <w:r>
              <w:rPr>
                <w:color w:val="1C3A36"/>
                <w:sz w:val="16"/>
              </w:rPr>
              <w:t>174,997</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31,820</w:t>
            </w:r>
          </w:p>
        </w:tc>
        <w:tc>
          <w:tcPr>
            <w:tcW w:type="dxa" w:w="1426"/>
          </w:tcPr>
          <w:p>
            <w:pPr>
              <w:spacing w:after="20"/>
              <w:jc w:val="right"/>
            </w:pPr>
            <w:r>
              <w:rPr>
                <w:color w:val="1C3A36"/>
                <w:sz w:val="16"/>
              </w:rPr>
              <w:t>33,349</w:t>
            </w:r>
          </w:p>
        </w:tc>
        <w:tc>
          <w:tcPr>
            <w:tcW w:type="dxa" w:w="1426"/>
          </w:tcPr>
          <w:p>
            <w:pPr>
              <w:spacing w:after="20"/>
              <w:jc w:val="right"/>
            </w:pPr>
            <w:r>
              <w:rPr>
                <w:color w:val="1C3A36"/>
                <w:sz w:val="16"/>
              </w:rPr>
              <w:t>30,076</w:t>
            </w:r>
          </w:p>
        </w:tc>
        <w:tc>
          <w:tcPr>
            <w:tcW w:type="dxa" w:w="1426"/>
          </w:tcPr>
          <w:p>
            <w:pPr>
              <w:spacing w:after="20"/>
              <w:jc w:val="right"/>
            </w:pPr>
            <w:r>
              <w:rPr>
                <w:color w:val="1C3A36"/>
                <w:sz w:val="16"/>
              </w:rPr>
              <w:t>23,548</w:t>
            </w:r>
          </w:p>
        </w:tc>
        <w:tc>
          <w:tcPr>
            <w:tcW w:type="dxa" w:w="1426"/>
          </w:tcPr>
          <w:p>
            <w:pPr>
              <w:spacing w:after="20"/>
              <w:jc w:val="right"/>
            </w:pPr>
            <w:r>
              <w:rPr>
                <w:color w:val="1C3A36"/>
                <w:sz w:val="16"/>
              </w:rPr>
              <w:t>14,111</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11.49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31.41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13.99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40.67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17.19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rather than a reconstructed unit or backlog-burn model</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The company's quarterly earnings releases have historically carried such data but were not reachable from this research environment. The forecast is built as a taper on each segment's own recent revenue growth and margin path instead.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5-Aug-2026 anchor exactly as the four lenses are; and Expert 1 deliberately runs the SAME kind of earnings-power question as section 1.4 with different persona choices — FY2028-scale earnings at 9.5× against the lens's current-scale earnings at 9.0× — which is why the two land 153.05 and 98.96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466,619</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10.3%</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42,280</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13.63</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153.05</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112.29 – 193.82</w:t>
            </w:r>
          </w:p>
        </w:tc>
      </w:tr>
    </w:tbl>
    <w:p>
      <w:pPr>
        <w:spacing w:after="40"/>
      </w:pPr>
    </w:p>
    <w:p>
      <w:pPr>
        <w:spacing w:after="120" w:before="0"/>
      </w:pPr>
      <w:r>
        <w:rPr>
          <w:b w:val="0"/>
          <w:i w:val="0"/>
          <w:color w:val="1C3A36"/>
          <w:sz w:val="21"/>
        </w:rPr>
        <w:t>Named sensitivity: each one-turn change in the multiple is worth EGP 13.63 per share, and each percentage point of mid-cycle EBITDA margin is worth roughly EGP 1.34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15,664</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(1,457)</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13,599</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1.07 ÷ (19.1% − 7%)</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65.48</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34.12 – 59.75</w:t>
            </w:r>
          </w:p>
        </w:tc>
      </w:tr>
    </w:tbl>
    <w:p>
      <w:pPr>
        <w:spacing w:after="40"/>
      </w:pPr>
    </w:p>
    <w:p>
      <w:pPr>
        <w:spacing w:after="120" w:before="0"/>
      </w:pPr>
      <w:r>
        <w:rPr>
          <w:b w:val="0"/>
          <w:i w:val="0"/>
          <w:color w:val="1C3A36"/>
          <w:sz w:val="21"/>
        </w:rPr>
        <w:t>This is the harshest of the three readings, at EGP 65.48,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1,464</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12,182</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107,208</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45.29</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42.23 – 57.86</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20.5%</w:t>
            </w:r>
          </w:p>
        </w:tc>
        <w:tc>
          <w:tcPr>
            <w:tcW w:type="dxa" w:w="1426"/>
          </w:tcPr>
          <w:p>
            <w:pPr>
              <w:spacing w:after="20"/>
              <w:jc w:val="right"/>
            </w:pPr>
            <w:r>
              <w:rPr>
                <w:color w:val="1C3A36"/>
                <w:sz w:val="16"/>
              </w:rPr>
              <w:t>19.9%</w:t>
            </w:r>
          </w:p>
        </w:tc>
        <w:tc>
          <w:tcPr>
            <w:tcW w:type="dxa" w:w="1426"/>
          </w:tcPr>
          <w:p>
            <w:pPr>
              <w:spacing w:after="20"/>
              <w:jc w:val="right"/>
            </w:pPr>
            <w:r>
              <w:rPr>
                <w:color w:val="1C3A36"/>
                <w:sz w:val="16"/>
              </w:rPr>
              <w:t>19.4%</w:t>
            </w:r>
          </w:p>
        </w:tc>
        <w:tc>
          <w:tcPr>
            <w:tcW w:type="dxa" w:w="1426"/>
          </w:tcPr>
          <w:p>
            <w:pPr>
              <w:spacing w:after="20"/>
              <w:jc w:val="right"/>
            </w:pPr>
            <w:r>
              <w:rPr>
                <w:color w:val="1C3A36"/>
                <w:sz w:val="16"/>
              </w:rPr>
              <w:t>19.0%</w:t>
            </w:r>
          </w:p>
        </w:tc>
        <w:tc>
          <w:tcPr>
            <w:tcW w:type="dxa" w:w="1426"/>
          </w:tcPr>
          <w:p>
            <w:pPr>
              <w:spacing w:after="20"/>
              <w:jc w:val="right"/>
            </w:pPr>
            <w:r>
              <w:rPr>
                <w:color w:val="1C3A36"/>
                <w:sz w:val="16"/>
              </w:rPr>
              <w:t>18.8%</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28.8%</w:t>
            </w:r>
          </w:p>
        </w:tc>
        <w:tc>
          <w:tcPr>
            <w:tcW w:type="dxa" w:w="1426"/>
          </w:tcPr>
          <w:p>
            <w:pPr>
              <w:spacing w:after="20"/>
              <w:jc w:val="right"/>
            </w:pPr>
            <w:r>
              <w:rPr>
                <w:color w:val="1C3A36"/>
                <w:sz w:val="16"/>
              </w:rPr>
              <w:t>25.0%</w:t>
            </w:r>
          </w:p>
        </w:tc>
        <w:tc>
          <w:tcPr>
            <w:tcW w:type="dxa" w:w="1426"/>
          </w:tcPr>
          <w:p>
            <w:pPr>
              <w:spacing w:after="20"/>
              <w:jc w:val="right"/>
            </w:pPr>
            <w:r>
              <w:rPr>
                <w:color w:val="1C3A36"/>
                <w:sz w:val="16"/>
              </w:rPr>
              <w:t>21.7%</w:t>
            </w:r>
          </w:p>
        </w:tc>
        <w:tc>
          <w:tcPr>
            <w:tcW w:type="dxa" w:w="1426"/>
          </w:tcPr>
          <w:p>
            <w:pPr>
              <w:spacing w:after="20"/>
              <w:jc w:val="right"/>
            </w:pPr>
            <w:r>
              <w:rPr>
                <w:color w:val="1C3A36"/>
                <w:sz w:val="16"/>
              </w:rPr>
              <w:t>19.2%</w:t>
            </w:r>
          </w:p>
        </w:tc>
        <w:tc>
          <w:tcPr>
            <w:tcW w:type="dxa" w:w="1426"/>
          </w:tcPr>
          <w:p>
            <w:pPr>
              <w:spacing w:after="20"/>
              <w:jc w:val="right"/>
            </w:pPr>
            <w:r>
              <w:rPr>
                <w:color w:val="1C3A36"/>
                <w:sz w:val="16"/>
              </w:rPr>
              <w:t>17.2%</w:t>
            </w:r>
          </w:p>
        </w:tc>
      </w:tr>
      <w:tr>
        <w:tc>
          <w:tcPr>
            <w:tcW w:type="dxa" w:w="2952"/>
          </w:tcPr>
          <w:p>
            <w:pPr>
              <w:spacing w:after="20"/>
            </w:pPr>
            <w:r>
              <w:rPr>
                <w:color w:val="1C3A36"/>
                <w:sz w:val="16"/>
              </w:rPr>
              <w:t>Spread</w:t>
            </w:r>
          </w:p>
        </w:tc>
        <w:tc>
          <w:tcPr>
            <w:tcW w:type="dxa" w:w="1426"/>
          </w:tcPr>
          <w:p>
            <w:pPr>
              <w:spacing w:after="20"/>
              <w:jc w:val="right"/>
            </w:pPr>
            <w:r>
              <w:rPr>
                <w:color w:val="1C3A36"/>
                <w:sz w:val="16"/>
              </w:rPr>
              <w:t>-8.4pp</w:t>
            </w:r>
          </w:p>
        </w:tc>
        <w:tc>
          <w:tcPr>
            <w:tcW w:type="dxa" w:w="1426"/>
          </w:tcPr>
          <w:p>
            <w:pPr>
              <w:spacing w:after="20"/>
              <w:jc w:val="right"/>
            </w:pPr>
            <w:r>
              <w:rPr>
                <w:color w:val="1C3A36"/>
                <w:sz w:val="16"/>
              </w:rPr>
              <w:t>-5.1pp</w:t>
            </w:r>
          </w:p>
        </w:tc>
        <w:tc>
          <w:tcPr>
            <w:tcW w:type="dxa" w:w="1426"/>
          </w:tcPr>
          <w:p>
            <w:pPr>
              <w:spacing w:after="20"/>
              <w:jc w:val="right"/>
            </w:pPr>
            <w:r>
              <w:rPr>
                <w:color w:val="1C3A36"/>
                <w:sz w:val="16"/>
              </w:rPr>
              <w:t>-2.4pp</w:t>
            </w:r>
          </w:p>
        </w:tc>
        <w:tc>
          <w:tcPr>
            <w:tcW w:type="dxa" w:w="1426"/>
          </w:tcPr>
          <w:p>
            <w:pPr>
              <w:spacing w:after="20"/>
              <w:jc w:val="right"/>
            </w:pPr>
            <w:r>
              <w:rPr>
                <w:color w:val="1C3A36"/>
                <w:sz w:val="16"/>
              </w:rPr>
              <w:t>-0.1pp</w:t>
            </w:r>
          </w:p>
        </w:tc>
        <w:tc>
          <w:tcPr>
            <w:tcW w:type="dxa" w:w="1426"/>
          </w:tcPr>
          <w:p>
            <w:pPr>
              <w:spacing w:after="20"/>
              <w:jc w:val="right"/>
            </w:pPr>
            <w:r>
              <w:rPr>
                <w:color w:val="1C3A36"/>
                <w:sz w:val="16"/>
              </w:rPr>
              <w:t>+1.6pp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-1,808</w:t>
            </w:r>
          </w:p>
        </w:tc>
        <w:tc>
          <w:tcPr>
            <w:tcW w:type="dxa" w:w="1426"/>
            <w:shd w:val="clear" w:color="auto" w:fill="F6F1E6"/>
          </w:tcPr>
          <w:p>
            <w:pPr>
              <w:spacing w:after="20"/>
              <w:jc w:val="right"/>
            </w:pPr>
            <w:r>
              <w:rPr>
                <w:b/>
                <w:color w:val="1C3A36"/>
                <w:sz w:val="16"/>
              </w:rPr>
              <w:t>-1,891</w:t>
            </w:r>
          </w:p>
        </w:tc>
        <w:tc>
          <w:tcPr>
            <w:tcW w:type="dxa" w:w="1426"/>
            <w:shd w:val="clear" w:color="auto" w:fill="F6F1E6"/>
          </w:tcPr>
          <w:p>
            <w:pPr>
              <w:spacing w:after="20"/>
              <w:jc w:val="right"/>
            </w:pPr>
            <w:r>
              <w:rPr>
                <w:b/>
                <w:color w:val="1C3A36"/>
                <w:sz w:val="16"/>
              </w:rPr>
              <w:t>389</w:t>
            </w:r>
          </w:p>
        </w:tc>
        <w:tc>
          <w:tcPr>
            <w:tcW w:type="dxa" w:w="1426"/>
            <w:shd w:val="clear" w:color="auto" w:fill="F6F1E6"/>
          </w:tcPr>
          <w:p>
            <w:pPr>
              <w:spacing w:after="20"/>
              <w:jc w:val="right"/>
            </w:pPr>
            <w:r>
              <w:rPr>
                <w:b/>
                <w:color w:val="1C3A36"/>
                <w:sz w:val="16"/>
              </w:rPr>
              <w:t>3,440</w:t>
            </w:r>
          </w:p>
        </w:tc>
        <w:tc>
          <w:tcPr>
            <w:tcW w:type="dxa" w:w="1426"/>
            <w:shd w:val="clear" w:color="auto" w:fill="F6F1E6"/>
          </w:tcPr>
          <w:p>
            <w:pPr>
              <w:spacing w:after="20"/>
              <w:jc w:val="right"/>
            </w:pPr>
            <w:r>
              <w:rPr>
                <w:b/>
                <w:color w:val="1C3A36"/>
                <w:sz w:val="16"/>
              </w:rPr>
              <w:t>6,488</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(107,208) and the DCF's (116,164) differ by 8,956: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20% on capital while its cost of capital is 29%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65.48; the vertical line is the market price of 130.00.</w:t>
      </w:r>
    </w:p>
    <w:p>
      <w:pPr>
        <w:spacing w:after="120" w:before="0"/>
      </w:pPr>
      <w:r>
        <w:rPr>
          <w:b w:val="0"/>
          <w:i w:val="0"/>
          <w:color w:val="1C3A36"/>
          <w:sz w:val="21"/>
        </w:rPr>
        <w:t>The panel spans EGP 45.29 to 153.05 — a factor of 3.4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65.48 sits -50% against the market price and +51% against the study's own central of 43.51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19.1%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7%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82%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