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594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a secondary source disagreed with the company's own filings.</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559</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10</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170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29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r>
        <w:br w:type="page"/>
      </w:r>
    </w:p>
    <w:p>
      <w:pPr>
        <w:spacing w:after="100" w:before="260"/>
      </w:pPr>
      <w:r>
        <w:rPr>
          <w:b/>
          <w:i w:val="0"/>
          <w:color w:val="1C3A36"/>
          <w:sz w:val="28"/>
        </w:rPr>
        <w:t>The input register — every figure the model uses</w:t>
      </w:r>
    </w:p>
    <w:p>
      <w:pPr>
        <w:spacing w:after="100" w:before="0"/>
      </w:pPr>
      <w:r>
        <w:rPr>
          <w:b w:val="0"/>
          <w:i w:val="0"/>
          <w:color w:val="6E7B77"/>
          <w:sz w:val="19"/>
        </w:rPr>
        <w:t>All 594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559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owned-fleet time-charter equivalent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time-charter-equivalent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a presentational driver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10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these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average rate, against the rate achieved in the first quarter of 2026, in setting the second half of 2026. A half-and-half blend is a deliberate step down from a first half running far above it</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spacing w:after="40"/>
      </w:pPr>
    </w:p>
    <w:p>
      <w:r>
        <w:br w:type="page"/>
      </w:r>
    </w:p>
    <w:p>
      <w:pPr>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5.69 a share, rates settling 30% above that gives AED 6.97.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7.68 against the published AED 6.60.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overleaf.</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3.48 and AED 9.00 a share against a base of AED 5.69.</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6.64 a share against the published AED 6.60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Deducted in full — USD 1,978.6m — in the bridge from enterprise to equity value, and charged as debt-like in the cash-flow lens, although the company classifies them as equity because their coupons are payable solely at its discretion. Their coupons never touch the income statement, so earnings available to ordinary holders are struck after them.</w:t>
            </w:r>
          </w:p>
        </w:tc>
        <w:tc>
          <w:tcPr>
            <w:tcW w:type="dxa" w:w="4262"/>
          </w:tcPr>
          <w:p>
            <w:pPr>
              <w:spacing w:after="20" w:before="0" w:line="240" w:lineRule="auto"/>
            </w:pPr>
            <w:r>
              <w:rPr>
                <w:color w:val="1C3A36"/>
                <w:sz w:val="15"/>
              </w:rPr>
              <w:t>They rank ahead of the ordinary shares whichever way they are classified, which is why they are deducted. Treating them as equity instead would add about AED 0.98 a share. A redemption, or a coupon actually deferred, would resolve the question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78%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15.3%,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spacing w:after="40"/>
      </w:pPr>
    </w:p>
    <w:p>
      <w:r>
        <w:br w:type="page"/>
      </w:r>
    </w:p>
    <w:p>
      <w:pPr>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spacing w:after="40"/>
      </w:pPr>
    </w:p>
    <w:p>
      <w:r>
        <w:br w:type="page"/>
      </w:r>
    </w:p>
    <w:p>
      <w:pPr>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