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CellMar>
          <w:top w:w="80" w:type="dxa"/>
          <w:left w:w="150" w:type="dxa"/>
          <w:bottom w:w="80" w:type="dxa"/>
          <w:right w:w="150" w:type="dxa"/>
        </w:tblCellMar>
      </w:tblPr>
      <w:tblGrid>
        <w:gridCol w:w="10224"/>
      </w:tblGrid>
      <w:tr>
        <w:tc>
          <w:tcPr>
            <w:tcW w:type="dxa" w:w="10224"/>
            <w:shd w:val="clear" w:color="auto" w:fill="1C3A36"/>
          </w:tcPr>
          <w:p>
            <w:r>
              <w:rPr>
                <w:b/>
                <w:color w:val="FFFFFF"/>
                <w:sz w:val="22"/>
              </w:rPr>
              <w:t>Testahil · Independent Valuation Study — Educational Analysis</w:t>
            </w:r>
            <w:r>
              <w:rPr>
                <w:color w:val="9FB0AC"/>
                <w:sz w:val="19"/>
              </w:rPr>
              <w:t xml:space="preserve">   Not investment advice</w:t>
            </w:r>
          </w:p>
        </w:tc>
      </w:tr>
    </w:tbl>
    <w:p>
      <w:pPr>
        <w:spacing w:after="0"/>
      </w:pPr>
    </w:p>
    <w:p>
      <w:pPr>
        <w:spacing w:after="80" w:before="240"/>
      </w:pPr>
      <w:r>
        <w:rPr>
          <w:b/>
          <w:i w:val="0"/>
          <w:color w:val="1C3A36"/>
          <w:sz w:val="26"/>
        </w:rPr>
        <w:t>Elsewedy Electric Company S.A.E. (EGX: SWDY) — Bibliography and Source Register</w:t>
      </w:r>
    </w:p>
    <w:p>
      <w:pPr>
        <w:spacing w:after="100" w:before="0"/>
      </w:pPr>
      <w:r>
        <w:rPr>
          <w:b w:val="0"/>
          <w:i w:val="0"/>
          <w:color w:val="6E7B77"/>
          <w:sz w:val="19"/>
        </w:rPr>
        <w:t>Companion document to the valuation study dated 5 August 2026. It records where every number in that study came from.</w:t>
      </w:r>
    </w:p>
    <w:p>
      <w:pPr>
        <w:spacing w:after="60" w:before="160"/>
      </w:pPr>
      <w:r>
        <w:rPr>
          <w:b/>
          <w:i w:val="0"/>
          <w:color w:val="1C3A36"/>
          <w:sz w:val="22"/>
        </w:rPr>
        <w:t>READ FIRST</w:t>
      </w:r>
    </w:p>
    <w:p>
      <w:pPr>
        <w:spacing w:after="100" w:before="0"/>
      </w:pPr>
      <w:r>
        <w:rPr>
          <w:b w:val="0"/>
          <w:i w:val="0"/>
          <w:color w:val="1C3A36"/>
          <w:sz w:val="20"/>
        </w:rPr>
        <w:t>This document exists so that a reader can check the study rather than trust it. It lists every input the valuation model uses, together with the value, the source, the date of that source, and the research layer it belongs to. Nothing in the study is computed from a figure that does not appear here.</w:t>
      </w:r>
    </w:p>
    <w:p>
      <w:pPr>
        <w:spacing w:after="100" w:before="0"/>
      </w:pPr>
      <w:r>
        <w:rPr>
          <w:b w:val="0"/>
          <w:i w:val="0"/>
          <w:color w:val="1C3A36"/>
          <w:sz w:val="20"/>
        </w:rPr>
        <w:t>Two things are worth knowing before reading the tables. First, inputs marked "House" are judgements or derivations made by the analyst, not disclosures by the company — each carries the reasoning that produced it, and the reader is free to disagree with it and re-run the model. Second, where a company disclosure could not be reached, that is recorded as a negative result at the end of this document rather than quietly filled in.</w:t>
      </w:r>
    </w:p>
    <w:p>
      <w:pPr>
        <w:spacing w:after="60" w:before="160"/>
      </w:pPr>
      <w:r>
        <w:rPr>
          <w:b/>
          <w:i w:val="0"/>
          <w:color w:val="1C3A36"/>
          <w:sz w:val="22"/>
        </w:rPr>
        <w:t>The research layers</w:t>
      </w:r>
    </w:p>
    <w:tbl>
      <w:tblPr>
        <w:tblW w:type="auto" w:w="0"/>
        <w:jc w:val="center"/>
        <w:tblLook w:firstColumn="1" w:firstRow="1" w:lastColumn="0" w:lastRow="0" w:noHBand="0" w:noVBand="1" w:val="04A0"/>
        <w:tblLayout w:type="fixed"/>
        <w:tblCellMar>
          <w:top w:w="36" w:type="dxa"/>
          <w:left w:w="80" w:type="dxa"/>
          <w:bottom w:w="36"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512"/>
        <w:gridCol w:w="8568"/>
      </w:tblGrid>
      <w:tr>
        <w:tc>
          <w:tcPr>
            <w:tcW w:type="dxa" w:w="1512"/>
            <w:shd w:val="clear" w:color="auto" w:fill="EAF0EE"/>
          </w:tcPr>
          <w:p>
            <w:pPr>
              <w:spacing w:after="20"/>
            </w:pPr>
            <w:r>
              <w:rPr>
                <w:b/>
                <w:color w:val="1C3A36"/>
                <w:sz w:val="17"/>
              </w:rPr>
              <w:t>Layer</w:t>
            </w:r>
          </w:p>
        </w:tc>
        <w:tc>
          <w:tcPr>
            <w:tcW w:type="dxa" w:w="8568"/>
            <w:shd w:val="clear" w:color="auto" w:fill="EAF0EE"/>
          </w:tcPr>
          <w:p>
            <w:pPr>
              <w:spacing w:after="20"/>
            </w:pPr>
            <w:r>
              <w:rPr>
                <w:b/>
                <w:color w:val="1C3A36"/>
                <w:sz w:val="17"/>
              </w:rPr>
              <w:t>What it covers</w:t>
            </w:r>
          </w:p>
        </w:tc>
      </w:tr>
      <w:tr>
        <w:tc>
          <w:tcPr>
            <w:tcW w:type="dxa" w:w="1512"/>
          </w:tcPr>
          <w:p>
            <w:pPr>
              <w:spacing w:after="20"/>
            </w:pPr>
            <w:r>
              <w:rPr>
                <w:color w:val="1C3A36"/>
                <w:sz w:val="17"/>
              </w:rPr>
              <w:t>Market</w:t>
            </w:r>
          </w:p>
        </w:tc>
        <w:tc>
          <w:tcPr>
            <w:tcW w:type="dxa" w:w="8568"/>
          </w:tcPr>
          <w:p>
            <w:pPr>
              <w:spacing w:after="20"/>
            </w:pPr>
            <w:r>
              <w:rPr>
                <w:color w:val="1C3A36"/>
                <w:sz w:val="17"/>
              </w:rPr>
              <w:t>Prices, volumes and market-observable data for the security itself</w:t>
            </w:r>
          </w:p>
        </w:tc>
      </w:tr>
      <w:tr>
        <w:tc>
          <w:tcPr>
            <w:tcW w:type="dxa" w:w="1512"/>
          </w:tcPr>
          <w:p>
            <w:pPr>
              <w:spacing w:after="20"/>
            </w:pPr>
            <w:r>
              <w:rPr>
                <w:color w:val="1C3A36"/>
                <w:sz w:val="17"/>
              </w:rPr>
              <w:t>Country</w:t>
            </w:r>
          </w:p>
        </w:tc>
        <w:tc>
          <w:tcPr>
            <w:tcW w:type="dxa" w:w="8568"/>
          </w:tcPr>
          <w:p>
            <w:pPr>
              <w:spacing w:after="20"/>
            </w:pPr>
            <w:r>
              <w:rPr>
                <w:color w:val="1C3A36"/>
                <w:sz w:val="17"/>
              </w:rPr>
              <w:t>Egyptian macroeconomic and sovereign data: policy rates, government bond yields, sovereign spreads, the exchange rate, the tax regime, the country equity risk premium</w:t>
            </w:r>
          </w:p>
        </w:tc>
      </w:tr>
      <w:tr>
        <w:tc>
          <w:tcPr>
            <w:tcW w:type="dxa" w:w="1512"/>
          </w:tcPr>
          <w:p>
            <w:pPr>
              <w:spacing w:after="20"/>
            </w:pPr>
            <w:r>
              <w:rPr>
                <w:color w:val="1C3A36"/>
                <w:sz w:val="17"/>
              </w:rPr>
              <w:t>Industry</w:t>
            </w:r>
          </w:p>
        </w:tc>
        <w:tc>
          <w:tcPr>
            <w:tcW w:type="dxa" w:w="8568"/>
          </w:tcPr>
          <w:p>
            <w:pPr>
              <w:spacing w:after="20"/>
            </w:pPr>
            <w:r>
              <w:rPr>
                <w:color w:val="1C3A36"/>
                <w:sz w:val="17"/>
              </w:rPr>
              <w:t>The wires and cables sector, engineering and construction, input costs and the competitive frame</w:t>
            </w:r>
          </w:p>
        </w:tc>
      </w:tr>
      <w:tr>
        <w:tc>
          <w:tcPr>
            <w:tcW w:type="dxa" w:w="1512"/>
          </w:tcPr>
          <w:p>
            <w:pPr>
              <w:spacing w:after="20"/>
            </w:pPr>
            <w:r>
              <w:rPr>
                <w:color w:val="1C3A36"/>
                <w:sz w:val="17"/>
              </w:rPr>
              <w:t>Company</w:t>
            </w:r>
          </w:p>
        </w:tc>
        <w:tc>
          <w:tcPr>
            <w:tcW w:type="dxa" w:w="8568"/>
          </w:tcPr>
          <w:p>
            <w:pPr>
              <w:spacing w:after="20"/>
            </w:pPr>
            <w:r>
              <w:rPr>
                <w:color w:val="1C3A36"/>
                <w:sz w:val="17"/>
              </w:rPr>
              <w:t>Elsewedy Electric's own audited and interim financial statements, earnings releases, exchange filings and disclosures</w:t>
            </w:r>
          </w:p>
        </w:tc>
      </w:tr>
      <w:tr>
        <w:tc>
          <w:tcPr>
            <w:tcW w:type="dxa" w:w="1512"/>
          </w:tcPr>
          <w:p>
            <w:pPr>
              <w:spacing w:after="20"/>
            </w:pPr>
            <w:r>
              <w:rPr>
                <w:color w:val="1C3A36"/>
                <w:sz w:val="17"/>
              </w:rPr>
              <w:t>House</w:t>
            </w:r>
          </w:p>
        </w:tc>
        <w:tc>
          <w:tcPr>
            <w:tcW w:type="dxa" w:w="8568"/>
          </w:tcPr>
          <w:p>
            <w:pPr>
              <w:spacing w:after="20"/>
            </w:pPr>
            <w:r>
              <w:rPr>
                <w:color w:val="1C3A36"/>
                <w:sz w:val="17"/>
              </w:rPr>
              <w:t>Analyst judgement — forecast drivers, normalisation choices and cost-of-capital construction. Each is argued in place rather than asserted</w:t>
            </w:r>
          </w:p>
        </w:tc>
      </w:tr>
    </w:tbl>
    <w:p>
      <w:pPr>
        <w:spacing w:after="40"/>
      </w:pPr>
    </w:p>
    <w:p>
      <w:pPr>
        <w:spacing w:after="60" w:before="160"/>
      </w:pPr>
      <w:r>
        <w:rPr>
          <w:b/>
          <w:i w:val="0"/>
          <w:color w:val="1C3A36"/>
          <w:sz w:val="22"/>
        </w:rPr>
        <w:t>Primary documents relied upon</w:t>
      </w:r>
    </w:p>
    <w:tbl>
      <w:tblPr>
        <w:tblW w:type="auto" w:w="0"/>
        <w:jc w:val="center"/>
        <w:tblLook w:firstColumn="1" w:firstRow="1" w:lastColumn="0" w:lastRow="0" w:noHBand="0" w:noVBand="1" w:val="04A0"/>
        <w:tblLayout w:type="fixed"/>
        <w:tblCellMar>
          <w:top w:w="36" w:type="dxa"/>
          <w:left w:w="80" w:type="dxa"/>
          <w:bottom w:w="36"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232"/>
        <w:gridCol w:w="1800"/>
        <w:gridCol w:w="1368"/>
        <w:gridCol w:w="4680"/>
      </w:tblGrid>
      <w:tr>
        <w:tc>
          <w:tcPr>
            <w:tcW w:type="dxa" w:w="2232"/>
            <w:shd w:val="clear" w:color="auto" w:fill="EAF0EE"/>
          </w:tcPr>
          <w:p>
            <w:pPr>
              <w:spacing w:after="20"/>
            </w:pPr>
            <w:r>
              <w:rPr>
                <w:b/>
                <w:color w:val="1C3A36"/>
                <w:sz w:val="16"/>
              </w:rPr>
              <w:t>Document</w:t>
            </w:r>
          </w:p>
        </w:tc>
        <w:tc>
          <w:tcPr>
            <w:tcW w:type="dxa" w:w="1800"/>
            <w:shd w:val="clear" w:color="auto" w:fill="EAF0EE"/>
          </w:tcPr>
          <w:p>
            <w:pPr>
              <w:spacing w:after="20"/>
            </w:pPr>
            <w:r>
              <w:rPr>
                <w:b/>
                <w:color w:val="1C3A36"/>
                <w:sz w:val="16"/>
              </w:rPr>
              <w:t>Publisher</w:t>
            </w:r>
          </w:p>
        </w:tc>
        <w:tc>
          <w:tcPr>
            <w:tcW w:type="dxa" w:w="1368"/>
            <w:shd w:val="clear" w:color="auto" w:fill="EAF0EE"/>
          </w:tcPr>
          <w:p>
            <w:pPr>
              <w:spacing w:after="20"/>
            </w:pPr>
            <w:r>
              <w:rPr>
                <w:b/>
                <w:color w:val="1C3A36"/>
                <w:sz w:val="16"/>
              </w:rPr>
              <w:t>Date</w:t>
            </w:r>
          </w:p>
        </w:tc>
        <w:tc>
          <w:tcPr>
            <w:tcW w:type="dxa" w:w="4680"/>
            <w:shd w:val="clear" w:color="auto" w:fill="EAF0EE"/>
          </w:tcPr>
          <w:p>
            <w:pPr>
              <w:spacing w:after="20"/>
            </w:pPr>
            <w:r>
              <w:rPr>
                <w:b/>
                <w:color w:val="1C3A36"/>
                <w:sz w:val="16"/>
              </w:rPr>
              <w:t>What was taken from it</w:t>
            </w:r>
          </w:p>
        </w:tc>
      </w:tr>
      <w:tr>
        <w:tc>
          <w:tcPr>
            <w:tcW w:type="dxa" w:w="2232"/>
          </w:tcPr>
          <w:p>
            <w:pPr>
              <w:spacing w:after="20"/>
            </w:pPr>
            <w:r>
              <w:rPr>
                <w:color w:val="1C3A36"/>
                <w:sz w:val="16"/>
              </w:rPr>
              <w:t>Consolidated financial statements for the year ended 31 December 2024 (audited, translated from Arabic)</w:t>
            </w:r>
          </w:p>
        </w:tc>
        <w:tc>
          <w:tcPr>
            <w:tcW w:type="dxa" w:w="1800"/>
          </w:tcPr>
          <w:p>
            <w:pPr>
              <w:spacing w:after="20"/>
            </w:pPr>
            <w:r>
              <w:rPr>
                <w:color w:val="1C3A36"/>
                <w:sz w:val="16"/>
              </w:rPr>
              <w:t>Elsewedy Electric Company</w:t>
            </w:r>
          </w:p>
        </w:tc>
        <w:tc>
          <w:tcPr>
            <w:tcW w:type="dxa" w:w="1368"/>
          </w:tcPr>
          <w:p>
            <w:pPr>
              <w:spacing w:after="20"/>
            </w:pPr>
            <w:r>
              <w:rPr>
                <w:color w:val="1C3A36"/>
                <w:sz w:val="16"/>
              </w:rPr>
              <w:t>12 March 2025</w:t>
            </w:r>
          </w:p>
        </w:tc>
        <w:tc>
          <w:tcPr>
            <w:tcW w:type="dxa" w:w="4680"/>
          </w:tcPr>
          <w:p>
            <w:pPr>
              <w:spacing w:after="20"/>
            </w:pPr>
            <w:r>
              <w:rPr>
                <w:color w:val="1C3A36"/>
                <w:sz w:val="16"/>
              </w:rPr>
              <w:t>Full consolidated statement of cash flows; loans and borrowings note including the financing-liability reconciliation; interest-rate risk note with average rates by currency; currency risk note; goodwill impairment note</w:t>
            </w:r>
          </w:p>
        </w:tc>
      </w:tr>
      <w:tr>
        <w:tc>
          <w:tcPr>
            <w:tcW w:type="dxa" w:w="2232"/>
          </w:tcPr>
          <w:p>
            <w:pPr>
              <w:spacing w:after="20"/>
            </w:pPr>
            <w:r>
              <w:rPr>
                <w:color w:val="1C3A36"/>
                <w:sz w:val="16"/>
              </w:rPr>
              <w:t>Q4 2024 earnings release (FY 2024 results)</w:t>
            </w:r>
          </w:p>
        </w:tc>
        <w:tc>
          <w:tcPr>
            <w:tcW w:type="dxa" w:w="1800"/>
          </w:tcPr>
          <w:p>
            <w:pPr>
              <w:spacing w:after="20"/>
            </w:pPr>
            <w:r>
              <w:rPr>
                <w:color w:val="1C3A36"/>
                <w:sz w:val="16"/>
              </w:rPr>
              <w:t>Elsewedy Electric Company</w:t>
            </w:r>
          </w:p>
        </w:tc>
        <w:tc>
          <w:tcPr>
            <w:tcW w:type="dxa" w:w="1368"/>
          </w:tcPr>
          <w:p>
            <w:pPr>
              <w:spacing w:after="20"/>
            </w:pPr>
            <w:r>
              <w:rPr>
                <w:color w:val="1C3A36"/>
                <w:sz w:val="16"/>
              </w:rPr>
              <w:t>13 March 2025</w:t>
            </w:r>
          </w:p>
        </w:tc>
        <w:tc>
          <w:tcPr>
            <w:tcW w:type="dxa" w:w="4680"/>
          </w:tcPr>
          <w:p>
            <w:pPr>
              <w:spacing w:after="20"/>
            </w:pPr>
            <w:r>
              <w:rPr>
                <w:color w:val="1C3A36"/>
                <w:sz w:val="16"/>
              </w:rPr>
              <w:t>Consolidated income statement FY2024 with FY2023 comparatives; consolidated balance sheet at 31 December 2024 and 2023; segment revenue and gross profit table; net debt; share count; shareholder structure; proposed dividend</w:t>
            </w:r>
          </w:p>
        </w:tc>
      </w:tr>
      <w:tr>
        <w:tc>
          <w:tcPr>
            <w:tcW w:type="dxa" w:w="2232"/>
          </w:tcPr>
          <w:p>
            <w:pPr>
              <w:spacing w:after="20"/>
            </w:pPr>
            <w:r>
              <w:rPr>
                <w:color w:val="1C3A36"/>
                <w:sz w:val="16"/>
              </w:rPr>
              <w:t>Q2 2024 earnings release (H1 2024 results)</w:t>
            </w:r>
          </w:p>
        </w:tc>
        <w:tc>
          <w:tcPr>
            <w:tcW w:type="dxa" w:w="1800"/>
          </w:tcPr>
          <w:p>
            <w:pPr>
              <w:spacing w:after="20"/>
            </w:pPr>
            <w:r>
              <w:rPr>
                <w:color w:val="1C3A36"/>
                <w:sz w:val="16"/>
              </w:rPr>
              <w:t>Elsewedy Electric Company</w:t>
            </w:r>
          </w:p>
        </w:tc>
        <w:tc>
          <w:tcPr>
            <w:tcW w:type="dxa" w:w="1368"/>
          </w:tcPr>
          <w:p>
            <w:pPr>
              <w:spacing w:after="20"/>
            </w:pPr>
            <w:r>
              <w:rPr>
                <w:color w:val="1C3A36"/>
                <w:sz w:val="16"/>
              </w:rPr>
              <w:t>15 August 2024</w:t>
            </w:r>
          </w:p>
        </w:tc>
        <w:tc>
          <w:tcPr>
            <w:tcW w:type="dxa" w:w="4680"/>
          </w:tcPr>
          <w:p>
            <w:pPr>
              <w:spacing w:after="20"/>
            </w:pPr>
            <w:r>
              <w:rPr>
                <w:color w:val="1C3A36"/>
                <w:sz w:val="16"/>
              </w:rPr>
              <w:t>Segment operating detail including cable sales volumes and gross profit per tonne; turnkey backlog and awards by sector and region; balance sheet at 31 December 2023</w:t>
            </w:r>
          </w:p>
        </w:tc>
      </w:tr>
      <w:tr>
        <w:tc>
          <w:tcPr>
            <w:tcW w:type="dxa" w:w="2232"/>
          </w:tcPr>
          <w:p>
            <w:pPr>
              <w:spacing w:after="20"/>
            </w:pPr>
            <w:r>
              <w:rPr>
                <w:color w:val="1C3A36"/>
                <w:sz w:val="16"/>
              </w:rPr>
              <w:t>Q1 2025 earnings release</w:t>
            </w:r>
          </w:p>
        </w:tc>
        <w:tc>
          <w:tcPr>
            <w:tcW w:type="dxa" w:w="1800"/>
          </w:tcPr>
          <w:p>
            <w:pPr>
              <w:spacing w:after="20"/>
            </w:pPr>
            <w:r>
              <w:rPr>
                <w:color w:val="1C3A36"/>
                <w:sz w:val="16"/>
              </w:rPr>
              <w:t>Elsewedy Electric Company</w:t>
            </w:r>
          </w:p>
        </w:tc>
        <w:tc>
          <w:tcPr>
            <w:tcW w:type="dxa" w:w="1368"/>
          </w:tcPr>
          <w:p>
            <w:pPr>
              <w:spacing w:after="20"/>
            </w:pPr>
            <w:r>
              <w:rPr>
                <w:color w:val="1C3A36"/>
                <w:sz w:val="16"/>
              </w:rPr>
              <w:t>26 May 2025</w:t>
            </w:r>
          </w:p>
        </w:tc>
        <w:tc>
          <w:tcPr>
            <w:tcW w:type="dxa" w:w="4680"/>
          </w:tcPr>
          <w:p>
            <w:pPr>
              <w:spacing w:after="20"/>
            </w:pPr>
            <w:r>
              <w:rPr>
                <w:color w:val="1C3A36"/>
                <w:sz w:val="16"/>
              </w:rPr>
              <w:t>Q1-2025 income statement, EBITDA and net bank debt; the restated five-segment reporting structure; shareholder structure at 31 March 2025</w:t>
            </w:r>
          </w:p>
        </w:tc>
      </w:tr>
      <w:tr>
        <w:tc>
          <w:tcPr>
            <w:tcW w:type="dxa" w:w="2232"/>
          </w:tcPr>
          <w:p>
            <w:pPr>
              <w:spacing w:after="20"/>
            </w:pPr>
            <w:r>
              <w:rPr>
                <w:color w:val="1C3A36"/>
                <w:sz w:val="16"/>
              </w:rPr>
              <w:t>Condensed consolidated interim financial statements, three months ended 31 March 2025</w:t>
            </w:r>
          </w:p>
        </w:tc>
        <w:tc>
          <w:tcPr>
            <w:tcW w:type="dxa" w:w="1800"/>
          </w:tcPr>
          <w:p>
            <w:pPr>
              <w:spacing w:after="20"/>
            </w:pPr>
            <w:r>
              <w:rPr>
                <w:color w:val="1C3A36"/>
                <w:sz w:val="16"/>
              </w:rPr>
              <w:t>Elsewedy Electric Company</w:t>
            </w:r>
          </w:p>
        </w:tc>
        <w:tc>
          <w:tcPr>
            <w:tcW w:type="dxa" w:w="1368"/>
          </w:tcPr>
          <w:p>
            <w:pPr>
              <w:spacing w:after="20"/>
            </w:pPr>
            <w:r>
              <w:rPr>
                <w:color w:val="1C3A36"/>
                <w:sz w:val="16"/>
              </w:rPr>
              <w:t>26 May 2025</w:t>
            </w:r>
          </w:p>
        </w:tc>
        <w:tc>
          <w:tcPr>
            <w:tcW w:type="dxa" w:w="4680"/>
          </w:tcPr>
          <w:p>
            <w:pPr>
              <w:spacing w:after="20"/>
            </w:pPr>
            <w:r>
              <w:rPr>
                <w:color w:val="1C3A36"/>
                <w:sz w:val="16"/>
              </w:rPr>
              <w:t>Q1-2025 statement of profit or loss; interim statement of cash flows including depreciation, capital expenditure, interest paid and net movement in borrowings</w:t>
            </w:r>
          </w:p>
        </w:tc>
      </w:tr>
      <w:tr>
        <w:tc>
          <w:tcPr>
            <w:tcW w:type="dxa" w:w="2232"/>
          </w:tcPr>
          <w:p>
            <w:pPr>
              <w:spacing w:after="20"/>
            </w:pPr>
            <w:r>
              <w:rPr>
                <w:color w:val="1C3A36"/>
                <w:sz w:val="16"/>
              </w:rPr>
              <w:t>Segment analysis workbooks, Q4 2024 and Q1 2025</w:t>
            </w:r>
          </w:p>
        </w:tc>
        <w:tc>
          <w:tcPr>
            <w:tcW w:type="dxa" w:w="1800"/>
          </w:tcPr>
          <w:p>
            <w:pPr>
              <w:spacing w:after="20"/>
            </w:pPr>
            <w:r>
              <w:rPr>
                <w:color w:val="1C3A36"/>
                <w:sz w:val="16"/>
              </w:rPr>
              <w:t>Elsewedy Electric Company</w:t>
            </w:r>
          </w:p>
        </w:tc>
        <w:tc>
          <w:tcPr>
            <w:tcW w:type="dxa" w:w="1368"/>
          </w:tcPr>
          <w:p>
            <w:pPr>
              <w:spacing w:after="20"/>
            </w:pPr>
            <w:r>
              <w:rPr>
                <w:color w:val="1C3A36"/>
                <w:sz w:val="16"/>
              </w:rPr>
              <w:t>13 March 2025 / 26 May 2025</w:t>
            </w:r>
          </w:p>
        </w:tc>
        <w:tc>
          <w:tcPr>
            <w:tcW w:type="dxa" w:w="4680"/>
          </w:tcPr>
          <w:p>
            <w:pPr>
              <w:spacing w:after="20"/>
            </w:pPr>
            <w:r>
              <w:rPr>
                <w:color w:val="1C3A36"/>
                <w:sz w:val="16"/>
              </w:rPr>
              <w:t>Segment revenue, gross profit, selling expense and depreciation by segment on both the old and the restated segment taxonomy</w:t>
            </w:r>
          </w:p>
        </w:tc>
      </w:tr>
      <w:tr>
        <w:tc>
          <w:tcPr>
            <w:tcW w:type="dxa" w:w="2232"/>
          </w:tcPr>
          <w:p>
            <w:pPr>
              <w:spacing w:after="20"/>
            </w:pPr>
            <w:r>
              <w:rPr>
                <w:color w:val="1C3A36"/>
                <w:sz w:val="16"/>
              </w:rPr>
              <w:t>Q4 2025 earnings release (FY 2025 results) — reported figures</w:t>
            </w:r>
          </w:p>
        </w:tc>
        <w:tc>
          <w:tcPr>
            <w:tcW w:type="dxa" w:w="1800"/>
          </w:tcPr>
          <w:p>
            <w:pPr>
              <w:spacing w:after="20"/>
            </w:pPr>
            <w:r>
              <w:rPr>
                <w:color w:val="1C3A36"/>
                <w:sz w:val="16"/>
              </w:rPr>
              <w:t>Elsewedy Electric Company, via financial press covering the exchange filing</w:t>
            </w:r>
          </w:p>
        </w:tc>
        <w:tc>
          <w:tcPr>
            <w:tcW w:type="dxa" w:w="1368"/>
          </w:tcPr>
          <w:p>
            <w:pPr>
              <w:spacing w:after="20"/>
            </w:pPr>
            <w:r>
              <w:rPr>
                <w:color w:val="1C3A36"/>
                <w:sz w:val="16"/>
              </w:rPr>
              <w:t>March 2026</w:t>
            </w:r>
          </w:p>
        </w:tc>
        <w:tc>
          <w:tcPr>
            <w:tcW w:type="dxa" w:w="4680"/>
          </w:tcPr>
          <w:p>
            <w:pPr>
              <w:spacing w:after="20"/>
            </w:pPr>
            <w:r>
              <w:rPr>
                <w:color w:val="1C3A36"/>
                <w:sz w:val="16"/>
              </w:rPr>
              <w:t>FY2025 revenue, profit after tax, profit after minority interests, total assets, net bank debt, fourth-quarter gross profit and EBITDA. The release itself was not directly reachable — see the negative results below</w:t>
            </w:r>
          </w:p>
        </w:tc>
      </w:tr>
      <w:tr>
        <w:tc>
          <w:tcPr>
            <w:tcW w:type="dxa" w:w="2232"/>
          </w:tcPr>
          <w:p>
            <w:pPr>
              <w:spacing w:after="20"/>
            </w:pPr>
            <w:r>
              <w:rPr>
                <w:color w:val="1C3A36"/>
                <w:sz w:val="16"/>
              </w:rPr>
              <w:t>Q1 2026 exchange filing — reported figures</w:t>
            </w:r>
          </w:p>
        </w:tc>
        <w:tc>
          <w:tcPr>
            <w:tcW w:type="dxa" w:w="1800"/>
          </w:tcPr>
          <w:p>
            <w:pPr>
              <w:spacing w:after="20"/>
            </w:pPr>
            <w:r>
              <w:rPr>
                <w:color w:val="1C3A36"/>
                <w:sz w:val="16"/>
              </w:rPr>
              <w:t>Elsewedy Electric Company, via financial press covering the exchange filing</w:t>
            </w:r>
          </w:p>
        </w:tc>
        <w:tc>
          <w:tcPr>
            <w:tcW w:type="dxa" w:w="1368"/>
          </w:tcPr>
          <w:p>
            <w:pPr>
              <w:spacing w:after="20"/>
            </w:pPr>
            <w:r>
              <w:rPr>
                <w:color w:val="1C3A36"/>
                <w:sz w:val="16"/>
              </w:rPr>
              <w:t>13 May 2026</w:t>
            </w:r>
          </w:p>
        </w:tc>
        <w:tc>
          <w:tcPr>
            <w:tcW w:type="dxa" w:w="4680"/>
          </w:tcPr>
          <w:p>
            <w:pPr>
              <w:spacing w:after="20"/>
            </w:pPr>
            <w:r>
              <w:rPr>
                <w:color w:val="1C3A36"/>
                <w:sz w:val="16"/>
              </w:rPr>
              <w:t>Q1-2026 revenue and profit attributable to the parent</w:t>
            </w:r>
          </w:p>
        </w:tc>
      </w:tr>
      <w:tr>
        <w:tc>
          <w:tcPr>
            <w:tcW w:type="dxa" w:w="2232"/>
          </w:tcPr>
          <w:p>
            <w:pPr>
              <w:spacing w:after="20"/>
            </w:pPr>
            <w:r>
              <w:rPr>
                <w:color w:val="1C3A36"/>
                <w:sz w:val="16"/>
              </w:rPr>
              <w:t>Country risk premium and default spread file</w:t>
            </w:r>
          </w:p>
        </w:tc>
        <w:tc>
          <w:tcPr>
            <w:tcW w:type="dxa" w:w="1800"/>
          </w:tcPr>
          <w:p>
            <w:pPr>
              <w:spacing w:after="20"/>
            </w:pPr>
            <w:r>
              <w:rPr>
                <w:color w:val="1C3A36"/>
                <w:sz w:val="16"/>
              </w:rPr>
              <w:t>Damodaran, NYU Stern</w:t>
            </w:r>
          </w:p>
        </w:tc>
        <w:tc>
          <w:tcPr>
            <w:tcW w:type="dxa" w:w="1368"/>
          </w:tcPr>
          <w:p>
            <w:pPr>
              <w:spacing w:after="20"/>
            </w:pPr>
            <w:r>
              <w:rPr>
                <w:color w:val="1C3A36"/>
                <w:sz w:val="16"/>
              </w:rPr>
              <w:t>5 January 2026</w:t>
            </w:r>
          </w:p>
        </w:tc>
        <w:tc>
          <w:tcPr>
            <w:tcW w:type="dxa" w:w="4680"/>
          </w:tcPr>
          <w:p>
            <w:pPr>
              <w:spacing w:after="20"/>
            </w:pPr>
            <w:r>
              <w:rPr>
                <w:color w:val="1C3A36"/>
                <w:sz w:val="16"/>
              </w:rPr>
              <w:t>Egypt equity risk premium and sovereign default spread, credit-default-swap basis and rating basis</w:t>
            </w:r>
          </w:p>
        </w:tc>
      </w:tr>
      <w:tr>
        <w:tc>
          <w:tcPr>
            <w:tcW w:type="dxa" w:w="2232"/>
          </w:tcPr>
          <w:p>
            <w:pPr>
              <w:spacing w:after="20"/>
            </w:pPr>
            <w:r>
              <w:rPr>
                <w:color w:val="1C3A36"/>
                <w:sz w:val="16"/>
              </w:rPr>
              <w:t>Egypt 10-year local-currency government bond yield</w:t>
            </w:r>
          </w:p>
        </w:tc>
        <w:tc>
          <w:tcPr>
            <w:tcW w:type="dxa" w:w="1800"/>
          </w:tcPr>
          <w:p>
            <w:pPr>
              <w:spacing w:after="20"/>
            </w:pPr>
            <w:r>
              <w:rPr>
                <w:color w:val="1C3A36"/>
                <w:sz w:val="16"/>
              </w:rPr>
              <w:t>Market data, house cost-of-capital reference</w:t>
            </w:r>
          </w:p>
        </w:tc>
        <w:tc>
          <w:tcPr>
            <w:tcW w:type="dxa" w:w="1368"/>
          </w:tcPr>
          <w:p>
            <w:pPr>
              <w:spacing w:after="20"/>
            </w:pPr>
            <w:r>
              <w:rPr>
                <w:color w:val="1C3A36"/>
                <w:sz w:val="16"/>
              </w:rPr>
              <w:t>21 July 2026, re-verified 5 August 2026</w:t>
            </w:r>
          </w:p>
        </w:tc>
        <w:tc>
          <w:tcPr>
            <w:tcW w:type="dxa" w:w="4680"/>
          </w:tcPr>
          <w:p>
            <w:pPr>
              <w:spacing w:after="20"/>
            </w:pPr>
            <w:r>
              <w:rPr>
                <w:color w:val="1C3A36"/>
                <w:sz w:val="16"/>
              </w:rPr>
              <w:t>The risk-free rate anchor</w:t>
            </w:r>
          </w:p>
        </w:tc>
      </w:tr>
      <w:tr>
        <w:tc>
          <w:tcPr>
            <w:tcW w:type="dxa" w:w="2232"/>
          </w:tcPr>
          <w:p>
            <w:pPr>
              <w:spacing w:after="20"/>
            </w:pPr>
            <w:r>
              <w:rPr>
                <w:color w:val="1C3A36"/>
                <w:sz w:val="16"/>
              </w:rPr>
              <w:t>Worldwide Tax Summaries — Egypt</w:t>
            </w:r>
          </w:p>
        </w:tc>
        <w:tc>
          <w:tcPr>
            <w:tcW w:type="dxa" w:w="1800"/>
          </w:tcPr>
          <w:p>
            <w:pPr>
              <w:spacing w:after="20"/>
            </w:pPr>
            <w:r>
              <w:rPr>
                <w:color w:val="1C3A36"/>
                <w:sz w:val="16"/>
              </w:rPr>
              <w:t>PwC</w:t>
            </w:r>
          </w:p>
        </w:tc>
        <w:tc>
          <w:tcPr>
            <w:tcW w:type="dxa" w:w="1368"/>
          </w:tcPr>
          <w:p>
            <w:pPr>
              <w:spacing w:after="20"/>
            </w:pPr>
            <w:r>
              <w:rPr>
                <w:color w:val="1C3A36"/>
                <w:sz w:val="16"/>
              </w:rPr>
              <w:t>2026</w:t>
            </w:r>
          </w:p>
        </w:tc>
        <w:tc>
          <w:tcPr>
            <w:tcW w:type="dxa" w:w="4680"/>
          </w:tcPr>
          <w:p>
            <w:pPr>
              <w:spacing w:after="20"/>
            </w:pPr>
            <w:r>
              <w:rPr>
                <w:color w:val="1C3A36"/>
                <w:sz w:val="16"/>
              </w:rPr>
              <w:t>Corporate income tax rate</w:t>
            </w:r>
          </w:p>
        </w:tc>
      </w:tr>
      <w:tr>
        <w:tc>
          <w:tcPr>
            <w:tcW w:type="dxa" w:w="2232"/>
          </w:tcPr>
          <w:p>
            <w:pPr>
              <w:spacing w:after="20"/>
            </w:pPr>
            <w:r>
              <w:rPr>
                <w:color w:val="1C3A36"/>
                <w:sz w:val="16"/>
              </w:rPr>
              <w:t>Daily price history for SWDY on the Egyptian Exchange</w:t>
            </w:r>
          </w:p>
        </w:tc>
        <w:tc>
          <w:tcPr>
            <w:tcW w:type="dxa" w:w="1800"/>
          </w:tcPr>
          <w:p>
            <w:pPr>
              <w:spacing w:after="20"/>
            </w:pPr>
            <w:r>
              <w:rPr>
                <w:color w:val="1C3A36"/>
                <w:sz w:val="16"/>
              </w:rPr>
              <w:t>Supplied price series</w:t>
            </w:r>
          </w:p>
        </w:tc>
        <w:tc>
          <w:tcPr>
            <w:tcW w:type="dxa" w:w="1368"/>
          </w:tcPr>
          <w:p>
            <w:pPr>
              <w:spacing w:after="20"/>
            </w:pPr>
            <w:r>
              <w:rPr>
                <w:color w:val="1C3A36"/>
                <w:sz w:val="16"/>
              </w:rPr>
              <w:t>to 5 August 2026</w:t>
            </w:r>
          </w:p>
        </w:tc>
        <w:tc>
          <w:tcPr>
            <w:tcW w:type="dxa" w:w="4680"/>
          </w:tcPr>
          <w:p>
            <w:pPr>
              <w:spacing w:after="20"/>
            </w:pPr>
            <w:r>
              <w:rPr>
                <w:color w:val="1C3A36"/>
                <w:sz w:val="16"/>
              </w:rPr>
              <w:t>The anchor price, the volatility estimate, the moving-average structure, the beta regression and the price distributions</w:t>
            </w:r>
          </w:p>
        </w:tc>
      </w:tr>
      <w:tr>
        <w:tc>
          <w:tcPr>
            <w:tcW w:type="dxa" w:w="2232"/>
          </w:tcPr>
          <w:p>
            <w:pPr>
              <w:spacing w:after="20"/>
            </w:pPr>
            <w:r>
              <w:rPr>
                <w:color w:val="1C3A36"/>
                <w:sz w:val="16"/>
              </w:rPr>
              <w:t>Daily price history for the covered Egyptian equity library</w:t>
            </w:r>
          </w:p>
        </w:tc>
        <w:tc>
          <w:tcPr>
            <w:tcW w:type="dxa" w:w="1800"/>
          </w:tcPr>
          <w:p>
            <w:pPr>
              <w:spacing w:after="20"/>
            </w:pPr>
            <w:r>
              <w:rPr>
                <w:color w:val="1C3A36"/>
                <w:sz w:val="16"/>
              </w:rPr>
              <w:t>House data library</w:t>
            </w:r>
          </w:p>
        </w:tc>
        <w:tc>
          <w:tcPr>
            <w:tcW w:type="dxa" w:w="1368"/>
          </w:tcPr>
          <w:p>
            <w:pPr>
              <w:spacing w:after="20"/>
            </w:pPr>
            <w:r>
              <w:rPr>
                <w:color w:val="1C3A36"/>
                <w:sz w:val="16"/>
              </w:rPr>
              <w:t>to August 2026</w:t>
            </w:r>
          </w:p>
        </w:tc>
        <w:tc>
          <w:tcPr>
            <w:tcW w:type="dxa" w:w="4680"/>
          </w:tcPr>
          <w:p>
            <w:pPr>
              <w:spacing w:after="20"/>
            </w:pPr>
            <w:r>
              <w:rPr>
                <w:color w:val="1C3A36"/>
                <w:sz w:val="16"/>
              </w:rPr>
              <w:t>The 31-name equal-weight composite used as the market proxy in the beta regression</w:t>
            </w:r>
          </w:p>
        </w:tc>
      </w:tr>
    </w:tbl>
    <w:p>
      <w:pPr>
        <w:spacing w:after="40"/>
      </w:pPr>
    </w:p>
    <w:p>
      <w:pPr>
        <w:spacing w:after="80" w:before="240"/>
      </w:pPr>
      <w:r>
        <w:rPr>
          <w:b/>
          <w:i w:val="0"/>
          <w:color w:val="1C3A36"/>
          <w:sz w:val="26"/>
        </w:rPr>
        <w:t>The full input register</w:t>
      </w:r>
    </w:p>
    <w:p>
      <w:pPr>
        <w:spacing w:after="100" w:before="0"/>
      </w:pPr>
      <w:r>
        <w:rPr>
          <w:b w:val="0"/>
          <w:i w:val="0"/>
          <w:color w:val="6E7B77"/>
          <w:sz w:val="19"/>
        </w:rPr>
        <w:t>Every input to the valuation model, in the order the model declares them. The "Layer" column is the research layer defined above. Values are shown as the model holds them: EGP millions for financial-statement lines, decimals for rates and shares.</w:t>
      </w:r>
    </w:p>
    <w:p>
      <w:pPr>
        <w:spacing w:after="60" w:before="160"/>
      </w:pPr>
      <w:r>
        <w:rPr>
          <w:b/>
          <w:i w:val="0"/>
          <w:color w:val="1C3A36"/>
          <w:sz w:val="22"/>
        </w:rPr>
        <w:t>Market layer — 2 inputs</w:t>
      </w:r>
    </w:p>
    <w:tbl>
      <w:tblPr>
        <w:tblW w:type="auto" w:w="0"/>
        <w:jc w:val="center"/>
        <w:tblLook w:firstColumn="1" w:firstRow="1" w:lastColumn="0" w:lastRow="0" w:noHBand="0" w:noVBand="1" w:val="04A0"/>
        <w:tblLayout w:type="fixed"/>
        <w:tblCellMar>
          <w:top w:w="36" w:type="dxa"/>
          <w:left w:w="80" w:type="dxa"/>
          <w:bottom w:w="36"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656"/>
        <w:gridCol w:w="1368"/>
        <w:gridCol w:w="1037"/>
        <w:gridCol w:w="6019"/>
      </w:tblGrid>
      <w:tr>
        <w:tc>
          <w:tcPr>
            <w:tcW w:type="dxa" w:w="1656"/>
            <w:shd w:val="clear" w:color="auto" w:fill="EAF0EE"/>
          </w:tcPr>
          <w:p>
            <w:pPr>
              <w:spacing w:after="20"/>
            </w:pPr>
            <w:r>
              <w:rPr>
                <w:b/>
                <w:color w:val="1C3A36"/>
                <w:sz w:val="15"/>
              </w:rPr>
              <w:t>Input</w:t>
            </w:r>
          </w:p>
        </w:tc>
        <w:tc>
          <w:tcPr>
            <w:tcW w:type="dxa" w:w="1368"/>
            <w:shd w:val="clear" w:color="auto" w:fill="EAF0EE"/>
          </w:tcPr>
          <w:p>
            <w:pPr>
              <w:spacing w:after="20"/>
            </w:pPr>
            <w:r>
              <w:rPr>
                <w:b/>
                <w:color w:val="1C3A36"/>
                <w:sz w:val="15"/>
              </w:rPr>
              <w:t>Value</w:t>
            </w:r>
          </w:p>
        </w:tc>
        <w:tc>
          <w:tcPr>
            <w:tcW w:type="dxa" w:w="1037"/>
            <w:shd w:val="clear" w:color="auto" w:fill="EAF0EE"/>
          </w:tcPr>
          <w:p>
            <w:pPr>
              <w:spacing w:after="20"/>
            </w:pPr>
            <w:r>
              <w:rPr>
                <w:b/>
                <w:color w:val="1C3A36"/>
                <w:sz w:val="15"/>
              </w:rPr>
              <w:t>Date</w:t>
            </w:r>
          </w:p>
        </w:tc>
        <w:tc>
          <w:tcPr>
            <w:tcW w:type="dxa" w:w="6019"/>
            <w:shd w:val="clear" w:color="auto" w:fill="EAF0EE"/>
          </w:tcPr>
          <w:p>
            <w:pPr>
              <w:spacing w:after="20"/>
            </w:pPr>
            <w:r>
              <w:rPr>
                <w:b/>
                <w:color w:val="1C3A36"/>
                <w:sz w:val="15"/>
              </w:rPr>
              <w:t>Source and construction</w:t>
            </w:r>
          </w:p>
        </w:tc>
      </w:tr>
      <w:tr>
        <w:tc>
          <w:tcPr>
            <w:tcW w:type="dxa" w:w="1656"/>
          </w:tcPr>
          <w:p>
            <w:pPr>
              <w:spacing w:after="20"/>
            </w:pPr>
            <w:r>
              <w:rPr>
                <w:color w:val="1C3A36"/>
                <w:sz w:val="15"/>
              </w:rPr>
              <w:t>spot</w:t>
            </w:r>
          </w:p>
        </w:tc>
        <w:tc>
          <w:tcPr>
            <w:tcW w:type="dxa" w:w="1368"/>
          </w:tcPr>
          <w:p>
            <w:pPr>
              <w:spacing w:after="20"/>
            </w:pPr>
            <w:r>
              <w:rPr>
                <w:color w:val="1C3A36"/>
                <w:sz w:val="15"/>
              </w:rPr>
              <w:t>105.2</w:t>
            </w:r>
          </w:p>
        </w:tc>
        <w:tc>
          <w:tcPr>
            <w:tcW w:type="dxa" w:w="1037"/>
          </w:tcPr>
          <w:p>
            <w:pPr>
              <w:spacing w:after="20"/>
            </w:pPr>
            <w:r>
              <w:rPr>
                <w:color w:val="1C3A36"/>
                <w:sz w:val="15"/>
              </w:rPr>
              <w:t>2026-08-05</w:t>
            </w:r>
          </w:p>
        </w:tc>
        <w:tc>
          <w:tcPr>
            <w:tcW w:type="dxa" w:w="6019"/>
          </w:tcPr>
          <w:p>
            <w:pPr>
              <w:spacing w:after="20"/>
            </w:pPr>
            <w:r>
              <w:rPr>
                <w:color w:val="1C3A36"/>
                <w:sz w:val="15"/>
              </w:rPr>
              <w:t>Uploaded EGX daily price history, last close</w:t>
            </w:r>
          </w:p>
        </w:tc>
      </w:tr>
      <w:tr>
        <w:tc>
          <w:tcPr>
            <w:tcW w:type="dxa" w:w="1656"/>
          </w:tcPr>
          <w:p>
            <w:pPr>
              <w:spacing w:after="20"/>
            </w:pPr>
            <w:r>
              <w:rPr>
                <w:color w:val="1C3A36"/>
                <w:sz w:val="15"/>
              </w:rPr>
              <w:t>electra mto</w:t>
            </w:r>
          </w:p>
        </w:tc>
        <w:tc>
          <w:tcPr>
            <w:tcW w:type="dxa" w:w="1368"/>
          </w:tcPr>
          <w:p>
            <w:pPr>
              <w:spacing w:after="20"/>
            </w:pPr>
            <w:r>
              <w:rPr>
                <w:color w:val="1C3A36"/>
                <w:sz w:val="15"/>
              </w:rPr>
              <w:t>price_usd: 1.05; shares_mn: 427.7; value_usdmn: 449.1; date: 2024-07; stake: 0.1998</w:t>
            </w:r>
          </w:p>
        </w:tc>
        <w:tc>
          <w:tcPr>
            <w:tcW w:type="dxa" w:w="1037"/>
          </w:tcPr>
          <w:p>
            <w:pPr>
              <w:spacing w:after="20"/>
            </w:pPr>
            <w:r>
              <w:rPr>
                <w:color w:val="1C3A36"/>
                <w:sz w:val="15"/>
              </w:rPr>
              <w:t>2024-07</w:t>
            </w:r>
          </w:p>
        </w:tc>
        <w:tc>
          <w:tcPr>
            <w:tcW w:type="dxa" w:w="6019"/>
          </w:tcPr>
          <w:p>
            <w:pPr>
              <w:spacing w:after="20"/>
            </w:pPr>
            <w:r>
              <w:rPr>
                <w:color w:val="1C3A36"/>
                <w:sz w:val="15"/>
              </w:rPr>
              <w:t>Electra Investment Holding's mandatory tender offer, concluded July 2024: ~427.7mn shares (19.98%) at USD 1.05/share, ~USD 449mn, advised by EFG Hermes. Roughly EGP 50/share at the exchange rate then prevailing. Recorded as the last known price at which a strategic buyer cleared a fifth of the company. NOT used as a valuation anchor: it is two years stale, struck before the earnings base grew by roughly half, and at less than half today's price</w:t>
            </w:r>
          </w:p>
        </w:tc>
      </w:tr>
    </w:tbl>
    <w:p>
      <w:pPr>
        <w:spacing w:after="40"/>
      </w:pPr>
    </w:p>
    <w:p>
      <w:pPr>
        <w:spacing w:after="60" w:before="160"/>
      </w:pPr>
      <w:r>
        <w:rPr>
          <w:b/>
          <w:i w:val="0"/>
          <w:color w:val="1C3A36"/>
          <w:sz w:val="22"/>
        </w:rPr>
        <w:t>Company layer — 83 inputs</w:t>
      </w:r>
    </w:p>
    <w:tbl>
      <w:tblPr>
        <w:tblW w:type="auto" w:w="0"/>
        <w:jc w:val="center"/>
        <w:tblLook w:firstColumn="1" w:firstRow="1" w:lastColumn="0" w:lastRow="0" w:noHBand="0" w:noVBand="1" w:val="04A0"/>
        <w:tblLayout w:type="fixed"/>
        <w:tblCellMar>
          <w:top w:w="36" w:type="dxa"/>
          <w:left w:w="80" w:type="dxa"/>
          <w:bottom w:w="36"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656"/>
        <w:gridCol w:w="1368"/>
        <w:gridCol w:w="1037"/>
        <w:gridCol w:w="6019"/>
      </w:tblGrid>
      <w:tr>
        <w:tc>
          <w:tcPr>
            <w:tcW w:type="dxa" w:w="1656"/>
            <w:shd w:val="clear" w:color="auto" w:fill="EAF0EE"/>
          </w:tcPr>
          <w:p>
            <w:pPr>
              <w:spacing w:after="20"/>
            </w:pPr>
            <w:r>
              <w:rPr>
                <w:b/>
                <w:color w:val="1C3A36"/>
                <w:sz w:val="15"/>
              </w:rPr>
              <w:t>Input</w:t>
            </w:r>
          </w:p>
        </w:tc>
        <w:tc>
          <w:tcPr>
            <w:tcW w:type="dxa" w:w="1368"/>
            <w:shd w:val="clear" w:color="auto" w:fill="EAF0EE"/>
          </w:tcPr>
          <w:p>
            <w:pPr>
              <w:spacing w:after="20"/>
            </w:pPr>
            <w:r>
              <w:rPr>
                <w:b/>
                <w:color w:val="1C3A36"/>
                <w:sz w:val="15"/>
              </w:rPr>
              <w:t>Value</w:t>
            </w:r>
          </w:p>
        </w:tc>
        <w:tc>
          <w:tcPr>
            <w:tcW w:type="dxa" w:w="1037"/>
            <w:shd w:val="clear" w:color="auto" w:fill="EAF0EE"/>
          </w:tcPr>
          <w:p>
            <w:pPr>
              <w:spacing w:after="20"/>
            </w:pPr>
            <w:r>
              <w:rPr>
                <w:b/>
                <w:color w:val="1C3A36"/>
                <w:sz w:val="15"/>
              </w:rPr>
              <w:t>Date</w:t>
            </w:r>
          </w:p>
        </w:tc>
        <w:tc>
          <w:tcPr>
            <w:tcW w:type="dxa" w:w="6019"/>
            <w:shd w:val="clear" w:color="auto" w:fill="EAF0EE"/>
          </w:tcPr>
          <w:p>
            <w:pPr>
              <w:spacing w:after="20"/>
            </w:pPr>
            <w:r>
              <w:rPr>
                <w:b/>
                <w:color w:val="1C3A36"/>
                <w:sz w:val="15"/>
              </w:rPr>
              <w:t>Source and construction</w:t>
            </w:r>
          </w:p>
        </w:tc>
      </w:tr>
      <w:tr>
        <w:tc>
          <w:tcPr>
            <w:tcW w:type="dxa" w:w="1656"/>
          </w:tcPr>
          <w:p>
            <w:pPr>
              <w:spacing w:after="20"/>
            </w:pPr>
            <w:r>
              <w:rPr>
                <w:color w:val="1C3A36"/>
                <w:sz w:val="15"/>
              </w:rPr>
              <w:t>shares mn</w:t>
            </w:r>
          </w:p>
        </w:tc>
        <w:tc>
          <w:tcPr>
            <w:tcW w:type="dxa" w:w="1368"/>
          </w:tcPr>
          <w:p>
            <w:pPr>
              <w:spacing w:after="20"/>
            </w:pPr>
            <w:r>
              <w:rPr>
                <w:color w:val="1C3A36"/>
                <w:sz w:val="15"/>
              </w:rPr>
              <w:t>2,140.8</w:t>
            </w:r>
          </w:p>
        </w:tc>
        <w:tc>
          <w:tcPr>
            <w:tcW w:type="dxa" w:w="1037"/>
          </w:tcPr>
          <w:p>
            <w:pPr>
              <w:spacing w:after="20"/>
            </w:pPr>
            <w:r>
              <w:rPr>
                <w:color w:val="1C3A36"/>
                <w:sz w:val="15"/>
              </w:rPr>
              <w:t>2025-05-26</w:t>
            </w:r>
          </w:p>
        </w:tc>
        <w:tc>
          <w:tcPr>
            <w:tcW w:type="dxa" w:w="6019"/>
          </w:tcPr>
          <w:p>
            <w:pPr>
              <w:spacing w:after="20"/>
            </w:pPr>
            <w:r>
              <w:rPr>
                <w:color w:val="1C3A36"/>
                <w:sz w:val="15"/>
              </w:rPr>
              <w:t>Number of shares 2,140,777,876 — company earnings release, Share Information panel (unchanged across FY2024 and Q1-2025 releases). An EGM-approved capital cut writes off 1.422mn expired ESOP shares, taking issued capital to EGP 2.139bn; immaterial (0.07%) and not yet listed, so the disclosed count is used</w:t>
            </w:r>
          </w:p>
        </w:tc>
      </w:tr>
      <w:tr>
        <w:tc>
          <w:tcPr>
            <w:tcW w:type="dxa" w:w="1656"/>
          </w:tcPr>
          <w:p>
            <w:pPr>
              <w:spacing w:after="20"/>
            </w:pPr>
            <w:r>
              <w:rPr>
                <w:color w:val="1C3A36"/>
                <w:sz w:val="15"/>
              </w:rPr>
              <w:t>rev fy23</w:t>
            </w:r>
          </w:p>
        </w:tc>
        <w:tc>
          <w:tcPr>
            <w:tcW w:type="dxa" w:w="1368"/>
          </w:tcPr>
          <w:p>
            <w:pPr>
              <w:spacing w:after="20"/>
            </w:pPr>
            <w:r>
              <w:rPr>
                <w:color w:val="1C3A36"/>
                <w:sz w:val="15"/>
              </w:rPr>
              <w:t>152,186.2</w:t>
            </w:r>
          </w:p>
        </w:tc>
        <w:tc>
          <w:tcPr>
            <w:tcW w:type="dxa" w:w="1037"/>
          </w:tcPr>
          <w:p>
            <w:pPr>
              <w:spacing w:after="20"/>
            </w:pPr>
            <w:r>
              <w:rPr>
                <w:color w:val="1C3A36"/>
                <w:sz w:val="15"/>
              </w:rPr>
              <w:t>2025-03-13</w:t>
            </w:r>
          </w:p>
        </w:tc>
        <w:tc>
          <w:tcPr>
            <w:tcW w:type="dxa" w:w="6019"/>
          </w:tcPr>
          <w:p>
            <w:pPr>
              <w:spacing w:after="20"/>
            </w:pPr>
            <w:r>
              <w:rPr>
                <w:color w:val="1C3A36"/>
                <w:sz w:val="15"/>
              </w:rPr>
              <w:t>Consolidated Income Statement, FY2024 earnings release (FY-2023 comparative)</w:t>
            </w:r>
          </w:p>
        </w:tc>
      </w:tr>
      <w:tr>
        <w:tc>
          <w:tcPr>
            <w:tcW w:type="dxa" w:w="1656"/>
          </w:tcPr>
          <w:p>
            <w:pPr>
              <w:spacing w:after="20"/>
            </w:pPr>
            <w:r>
              <w:rPr>
                <w:color w:val="1C3A36"/>
                <w:sz w:val="15"/>
              </w:rPr>
              <w:t>rev fy24</w:t>
            </w:r>
          </w:p>
        </w:tc>
        <w:tc>
          <w:tcPr>
            <w:tcW w:type="dxa" w:w="1368"/>
          </w:tcPr>
          <w:p>
            <w:pPr>
              <w:spacing w:after="20"/>
            </w:pPr>
            <w:r>
              <w:rPr>
                <w:color w:val="1C3A36"/>
                <w:sz w:val="15"/>
              </w:rPr>
              <w:t>231,981.8</w:t>
            </w:r>
          </w:p>
        </w:tc>
        <w:tc>
          <w:tcPr>
            <w:tcW w:type="dxa" w:w="1037"/>
          </w:tcPr>
          <w:p>
            <w:pPr>
              <w:spacing w:after="20"/>
            </w:pPr>
            <w:r>
              <w:rPr>
                <w:color w:val="1C3A36"/>
                <w:sz w:val="15"/>
              </w:rPr>
              <w:t>2025-03-13</w:t>
            </w:r>
          </w:p>
        </w:tc>
        <w:tc>
          <w:tcPr>
            <w:tcW w:type="dxa" w:w="6019"/>
          </w:tcPr>
          <w:p>
            <w:pPr>
              <w:spacing w:after="20"/>
            </w:pPr>
            <w:r>
              <w:rPr>
                <w:color w:val="1C3A36"/>
                <w:sz w:val="15"/>
              </w:rPr>
              <w:t>Consolidated Income Statement, FY2024 earnings release</w:t>
            </w:r>
          </w:p>
        </w:tc>
      </w:tr>
      <w:tr>
        <w:tc>
          <w:tcPr>
            <w:tcW w:type="dxa" w:w="1656"/>
          </w:tcPr>
          <w:p>
            <w:pPr>
              <w:spacing w:after="20"/>
            </w:pPr>
            <w:r>
              <w:rPr>
                <w:color w:val="1C3A36"/>
                <w:sz w:val="15"/>
              </w:rPr>
              <w:t>rev fy25</w:t>
            </w:r>
          </w:p>
        </w:tc>
        <w:tc>
          <w:tcPr>
            <w:tcW w:type="dxa" w:w="1368"/>
          </w:tcPr>
          <w:p>
            <w:pPr>
              <w:spacing w:after="20"/>
            </w:pPr>
            <w:r>
              <w:rPr>
                <w:color w:val="1C3A36"/>
                <w:sz w:val="15"/>
              </w:rPr>
              <w:t>281,049.0</w:t>
            </w:r>
          </w:p>
        </w:tc>
        <w:tc>
          <w:tcPr>
            <w:tcW w:type="dxa" w:w="1037"/>
          </w:tcPr>
          <w:p>
            <w:pPr>
              <w:spacing w:after="20"/>
            </w:pPr>
            <w:r>
              <w:rPr>
                <w:color w:val="1C3A36"/>
                <w:sz w:val="15"/>
              </w:rPr>
              <w:t>2026-03</w:t>
            </w:r>
          </w:p>
        </w:tc>
        <w:tc>
          <w:tcPr>
            <w:tcW w:type="dxa" w:w="6019"/>
          </w:tcPr>
          <w:p>
            <w:pPr>
              <w:spacing w:after="20"/>
            </w:pPr>
            <w:r>
              <w:rPr>
                <w:color w:val="1C3A36"/>
                <w:sz w:val="15"/>
              </w:rPr>
              <w:t>FY2025 consolidated revenues EGP 281.04bn (EGX filing, reported by Arab Finance / Mubasher; +21.15% on FY2024)</w:t>
            </w:r>
          </w:p>
        </w:tc>
      </w:tr>
      <w:tr>
        <w:tc>
          <w:tcPr>
            <w:tcW w:type="dxa" w:w="1656"/>
          </w:tcPr>
          <w:p>
            <w:pPr>
              <w:spacing w:after="20"/>
            </w:pPr>
            <w:r>
              <w:rPr>
                <w:color w:val="1C3A36"/>
                <w:sz w:val="15"/>
              </w:rPr>
              <w:t>gp fy23</w:t>
            </w:r>
          </w:p>
        </w:tc>
        <w:tc>
          <w:tcPr>
            <w:tcW w:type="dxa" w:w="1368"/>
          </w:tcPr>
          <w:p>
            <w:pPr>
              <w:spacing w:after="20"/>
            </w:pPr>
            <w:r>
              <w:rPr>
                <w:color w:val="1C3A36"/>
                <w:sz w:val="15"/>
              </w:rPr>
              <w:t>29,077.3</w:t>
            </w:r>
          </w:p>
        </w:tc>
        <w:tc>
          <w:tcPr>
            <w:tcW w:type="dxa" w:w="1037"/>
          </w:tcPr>
          <w:p>
            <w:pPr>
              <w:spacing w:after="20"/>
            </w:pPr>
            <w:r>
              <w:rPr>
                <w:color w:val="1C3A36"/>
                <w:sz w:val="15"/>
              </w:rPr>
              <w:t>2025-03-13</w:t>
            </w:r>
          </w:p>
        </w:tc>
        <w:tc>
          <w:tcPr>
            <w:tcW w:type="dxa" w:w="6019"/>
          </w:tcPr>
          <w:p>
            <w:pPr>
              <w:spacing w:after="20"/>
            </w:pPr>
            <w:r>
              <w:rPr>
                <w:color w:val="1C3A36"/>
                <w:sz w:val="15"/>
              </w:rPr>
              <w:t>Consolidated Income Statement, FY2024 earnings release (comparative)</w:t>
            </w:r>
          </w:p>
        </w:tc>
      </w:tr>
      <w:tr>
        <w:tc>
          <w:tcPr>
            <w:tcW w:type="dxa" w:w="1656"/>
          </w:tcPr>
          <w:p>
            <w:pPr>
              <w:spacing w:after="20"/>
            </w:pPr>
            <w:r>
              <w:rPr>
                <w:color w:val="1C3A36"/>
                <w:sz w:val="15"/>
              </w:rPr>
              <w:t>gp fy24</w:t>
            </w:r>
          </w:p>
        </w:tc>
        <w:tc>
          <w:tcPr>
            <w:tcW w:type="dxa" w:w="1368"/>
          </w:tcPr>
          <w:p>
            <w:pPr>
              <w:spacing w:after="20"/>
            </w:pPr>
            <w:r>
              <w:rPr>
                <w:color w:val="1C3A36"/>
                <w:sz w:val="15"/>
              </w:rPr>
              <w:t>43,898.5</w:t>
            </w:r>
          </w:p>
        </w:tc>
        <w:tc>
          <w:tcPr>
            <w:tcW w:type="dxa" w:w="1037"/>
          </w:tcPr>
          <w:p>
            <w:pPr>
              <w:spacing w:after="20"/>
            </w:pPr>
            <w:r>
              <w:rPr>
                <w:color w:val="1C3A36"/>
                <w:sz w:val="15"/>
              </w:rPr>
              <w:t>2025-03-13</w:t>
            </w:r>
          </w:p>
        </w:tc>
        <w:tc>
          <w:tcPr>
            <w:tcW w:type="dxa" w:w="6019"/>
          </w:tcPr>
          <w:p>
            <w:pPr>
              <w:spacing w:after="20"/>
            </w:pPr>
            <w:r>
              <w:rPr>
                <w:color w:val="1C3A36"/>
                <w:sz w:val="15"/>
              </w:rPr>
              <w:t>Consolidated Income Statement, FY2024 earnings release</w:t>
            </w:r>
          </w:p>
        </w:tc>
      </w:tr>
      <w:tr>
        <w:tc>
          <w:tcPr>
            <w:tcW w:type="dxa" w:w="1656"/>
          </w:tcPr>
          <w:p>
            <w:pPr>
              <w:spacing w:after="20"/>
            </w:pPr>
            <w:r>
              <w:rPr>
                <w:color w:val="1C3A36"/>
                <w:sz w:val="15"/>
              </w:rPr>
              <w:t>op fy23</w:t>
            </w:r>
          </w:p>
        </w:tc>
        <w:tc>
          <w:tcPr>
            <w:tcW w:type="dxa" w:w="1368"/>
          </w:tcPr>
          <w:p>
            <w:pPr>
              <w:spacing w:after="20"/>
            </w:pPr>
            <w:r>
              <w:rPr>
                <w:color w:val="1C3A36"/>
                <w:sz w:val="15"/>
              </w:rPr>
              <w:t>17,739.1</w:t>
            </w:r>
          </w:p>
        </w:tc>
        <w:tc>
          <w:tcPr>
            <w:tcW w:type="dxa" w:w="1037"/>
          </w:tcPr>
          <w:p>
            <w:pPr>
              <w:spacing w:after="20"/>
            </w:pPr>
            <w:r>
              <w:rPr>
                <w:color w:val="1C3A36"/>
                <w:sz w:val="15"/>
              </w:rPr>
              <w:t>2025-03-13</w:t>
            </w:r>
          </w:p>
        </w:tc>
        <w:tc>
          <w:tcPr>
            <w:tcW w:type="dxa" w:w="6019"/>
          </w:tcPr>
          <w:p>
            <w:pPr>
              <w:spacing w:after="20"/>
            </w:pPr>
            <w:r>
              <w:rPr>
                <w:color w:val="1C3A36"/>
                <w:sz w:val="15"/>
              </w:rPr>
              <w:t>Operating profit, FY2024 earnings release (comparative)</w:t>
            </w:r>
          </w:p>
        </w:tc>
      </w:tr>
      <w:tr>
        <w:tc>
          <w:tcPr>
            <w:tcW w:type="dxa" w:w="1656"/>
          </w:tcPr>
          <w:p>
            <w:pPr>
              <w:spacing w:after="20"/>
            </w:pPr>
            <w:r>
              <w:rPr>
                <w:color w:val="1C3A36"/>
                <w:sz w:val="15"/>
              </w:rPr>
              <w:t>op fy24</w:t>
            </w:r>
          </w:p>
        </w:tc>
        <w:tc>
          <w:tcPr>
            <w:tcW w:type="dxa" w:w="1368"/>
          </w:tcPr>
          <w:p>
            <w:pPr>
              <w:spacing w:after="20"/>
            </w:pPr>
            <w:r>
              <w:rPr>
                <w:color w:val="1C3A36"/>
                <w:sz w:val="15"/>
              </w:rPr>
              <w:t>29,341.7</w:t>
            </w:r>
          </w:p>
        </w:tc>
        <w:tc>
          <w:tcPr>
            <w:tcW w:type="dxa" w:w="1037"/>
          </w:tcPr>
          <w:p>
            <w:pPr>
              <w:spacing w:after="20"/>
            </w:pPr>
            <w:r>
              <w:rPr>
                <w:color w:val="1C3A36"/>
                <w:sz w:val="15"/>
              </w:rPr>
              <w:t>2025-03-13</w:t>
            </w:r>
          </w:p>
        </w:tc>
        <w:tc>
          <w:tcPr>
            <w:tcW w:type="dxa" w:w="6019"/>
          </w:tcPr>
          <w:p>
            <w:pPr>
              <w:spacing w:after="20"/>
            </w:pPr>
            <w:r>
              <w:rPr>
                <w:color w:val="1C3A36"/>
                <w:sz w:val="15"/>
              </w:rPr>
              <w:t>Operating profit, FY2024 earnings release</w:t>
            </w:r>
          </w:p>
        </w:tc>
      </w:tr>
      <w:tr>
        <w:tc>
          <w:tcPr>
            <w:tcW w:type="dxa" w:w="1656"/>
          </w:tcPr>
          <w:p>
            <w:pPr>
              <w:spacing w:after="20"/>
            </w:pPr>
            <w:r>
              <w:rPr>
                <w:color w:val="1C3A36"/>
                <w:sz w:val="15"/>
              </w:rPr>
              <w:t>dna fy23</w:t>
            </w:r>
          </w:p>
        </w:tc>
        <w:tc>
          <w:tcPr>
            <w:tcW w:type="dxa" w:w="1368"/>
          </w:tcPr>
          <w:p>
            <w:pPr>
              <w:spacing w:after="20"/>
            </w:pPr>
            <w:r>
              <w:rPr>
                <w:color w:val="1C3A36"/>
                <w:sz w:val="15"/>
              </w:rPr>
              <w:t>2,296.0</w:t>
            </w:r>
          </w:p>
        </w:tc>
        <w:tc>
          <w:tcPr>
            <w:tcW w:type="dxa" w:w="1037"/>
          </w:tcPr>
          <w:p>
            <w:pPr>
              <w:spacing w:after="20"/>
            </w:pPr>
            <w:r>
              <w:rPr>
                <w:color w:val="1C3A36"/>
                <w:sz w:val="15"/>
              </w:rPr>
              <w:t>2025-03-12</w:t>
            </w:r>
          </w:p>
        </w:tc>
        <w:tc>
          <w:tcPr>
            <w:tcW w:type="dxa" w:w="6019"/>
          </w:tcPr>
          <w:p>
            <w:pPr>
              <w:spacing w:after="20"/>
            </w:pPr>
            <w:r>
              <w:rPr>
                <w:color w:val="1C3A36"/>
                <w:sz w:val="15"/>
              </w:rPr>
              <w:t>Audited consolidated statement of cash flows FY2024 (2023 column): PP&amp;E depreciation 2,120.8 + investment property 6.4 + intangibles amortisation 53.9 + right-of-use 114.9</w:t>
            </w:r>
          </w:p>
        </w:tc>
      </w:tr>
      <w:tr>
        <w:tc>
          <w:tcPr>
            <w:tcW w:type="dxa" w:w="1656"/>
          </w:tcPr>
          <w:p>
            <w:pPr>
              <w:spacing w:after="20"/>
            </w:pPr>
            <w:r>
              <w:rPr>
                <w:color w:val="1C3A36"/>
                <w:sz w:val="15"/>
              </w:rPr>
              <w:t>dna fy24</w:t>
            </w:r>
          </w:p>
        </w:tc>
        <w:tc>
          <w:tcPr>
            <w:tcW w:type="dxa" w:w="1368"/>
          </w:tcPr>
          <w:p>
            <w:pPr>
              <w:spacing w:after="20"/>
            </w:pPr>
            <w:r>
              <w:rPr>
                <w:color w:val="1C3A36"/>
                <w:sz w:val="15"/>
              </w:rPr>
              <w:t>2,259.9</w:t>
            </w:r>
          </w:p>
        </w:tc>
        <w:tc>
          <w:tcPr>
            <w:tcW w:type="dxa" w:w="1037"/>
          </w:tcPr>
          <w:p>
            <w:pPr>
              <w:spacing w:after="20"/>
            </w:pPr>
            <w:r>
              <w:rPr>
                <w:color w:val="1C3A36"/>
                <w:sz w:val="15"/>
              </w:rPr>
              <w:t>2025-03-12</w:t>
            </w:r>
          </w:p>
        </w:tc>
        <w:tc>
          <w:tcPr>
            <w:tcW w:type="dxa" w:w="6019"/>
          </w:tcPr>
          <w:p>
            <w:pPr>
              <w:spacing w:after="20"/>
            </w:pPr>
            <w:r>
              <w:rPr>
                <w:color w:val="1C3A36"/>
                <w:sz w:val="15"/>
              </w:rPr>
              <w:t>Audited consolidated statement of cash flows FY2024: PP&amp;E depreciation 2,019.6 + investment property 1.5 + intangibles amortisation 80.7 + right-of-use 157.9</w:t>
            </w:r>
          </w:p>
        </w:tc>
      </w:tr>
      <w:tr>
        <w:tc>
          <w:tcPr>
            <w:tcW w:type="dxa" w:w="1656"/>
          </w:tcPr>
          <w:p>
            <w:pPr>
              <w:spacing w:after="20"/>
            </w:pPr>
            <w:r>
              <w:rPr>
                <w:color w:val="1C3A36"/>
                <w:sz w:val="15"/>
              </w:rPr>
              <w:t>netfin fy23</w:t>
            </w:r>
          </w:p>
        </w:tc>
        <w:tc>
          <w:tcPr>
            <w:tcW w:type="dxa" w:w="1368"/>
          </w:tcPr>
          <w:p>
            <w:pPr>
              <w:spacing w:after="20"/>
            </w:pPr>
            <w:r>
              <w:rPr>
                <w:color w:val="1C3A36"/>
                <w:sz w:val="15"/>
              </w:rPr>
              <w:t>-2,124.4</w:t>
            </w:r>
          </w:p>
        </w:tc>
        <w:tc>
          <w:tcPr>
            <w:tcW w:type="dxa" w:w="1037"/>
          </w:tcPr>
          <w:p>
            <w:pPr>
              <w:spacing w:after="20"/>
            </w:pPr>
            <w:r>
              <w:rPr>
                <w:color w:val="1C3A36"/>
                <w:sz w:val="15"/>
              </w:rPr>
              <w:t>2025-03-13</w:t>
            </w:r>
          </w:p>
        </w:tc>
        <w:tc>
          <w:tcPr>
            <w:tcW w:type="dxa" w:w="6019"/>
          </w:tcPr>
          <w:p>
            <w:pPr>
              <w:spacing w:after="20"/>
            </w:pPr>
            <w:r>
              <w:rPr>
                <w:color w:val="1C3A36"/>
                <w:sz w:val="15"/>
              </w:rPr>
              <w:t>Net finance costs, FY2024 earnings release (comparative)</w:t>
            </w:r>
          </w:p>
        </w:tc>
      </w:tr>
      <w:tr>
        <w:tc>
          <w:tcPr>
            <w:tcW w:type="dxa" w:w="1656"/>
          </w:tcPr>
          <w:p>
            <w:pPr>
              <w:spacing w:after="20"/>
            </w:pPr>
            <w:r>
              <w:rPr>
                <w:color w:val="1C3A36"/>
                <w:sz w:val="15"/>
              </w:rPr>
              <w:t>netfin fy24</w:t>
            </w:r>
          </w:p>
        </w:tc>
        <w:tc>
          <w:tcPr>
            <w:tcW w:type="dxa" w:w="1368"/>
          </w:tcPr>
          <w:p>
            <w:pPr>
              <w:spacing w:after="20"/>
            </w:pPr>
            <w:r>
              <w:rPr>
                <w:color w:val="1C3A36"/>
                <w:sz w:val="15"/>
              </w:rPr>
              <w:t>-3,515.4</w:t>
            </w:r>
          </w:p>
        </w:tc>
        <w:tc>
          <w:tcPr>
            <w:tcW w:type="dxa" w:w="1037"/>
          </w:tcPr>
          <w:p>
            <w:pPr>
              <w:spacing w:after="20"/>
            </w:pPr>
            <w:r>
              <w:rPr>
                <w:color w:val="1C3A36"/>
                <w:sz w:val="15"/>
              </w:rPr>
              <w:t>2025-03-13</w:t>
            </w:r>
          </w:p>
        </w:tc>
        <w:tc>
          <w:tcPr>
            <w:tcW w:type="dxa" w:w="6019"/>
          </w:tcPr>
          <w:p>
            <w:pPr>
              <w:spacing w:after="20"/>
            </w:pPr>
            <w:r>
              <w:rPr>
                <w:color w:val="1C3A36"/>
                <w:sz w:val="15"/>
              </w:rPr>
              <w:t>Net finance costs, FY2024 earnings release</w:t>
            </w:r>
          </w:p>
        </w:tc>
      </w:tr>
      <w:tr>
        <w:tc>
          <w:tcPr>
            <w:tcW w:type="dxa" w:w="1656"/>
          </w:tcPr>
          <w:p>
            <w:pPr>
              <w:spacing w:after="20"/>
            </w:pPr>
            <w:r>
              <w:rPr>
                <w:color w:val="1C3A36"/>
                <w:sz w:val="15"/>
              </w:rPr>
              <w:t>assoc fy23</w:t>
            </w:r>
          </w:p>
        </w:tc>
        <w:tc>
          <w:tcPr>
            <w:tcW w:type="dxa" w:w="1368"/>
          </w:tcPr>
          <w:p>
            <w:pPr>
              <w:spacing w:after="20"/>
            </w:pPr>
            <w:r>
              <w:rPr>
                <w:color w:val="1C3A36"/>
                <w:sz w:val="15"/>
              </w:rPr>
              <w:t>603.6</w:t>
            </w:r>
          </w:p>
        </w:tc>
        <w:tc>
          <w:tcPr>
            <w:tcW w:type="dxa" w:w="1037"/>
          </w:tcPr>
          <w:p>
            <w:pPr>
              <w:spacing w:after="20"/>
            </w:pPr>
            <w:r>
              <w:rPr>
                <w:color w:val="1C3A36"/>
                <w:sz w:val="15"/>
              </w:rPr>
              <w:t>2025-03-13</w:t>
            </w:r>
          </w:p>
        </w:tc>
        <w:tc>
          <w:tcPr>
            <w:tcW w:type="dxa" w:w="6019"/>
          </w:tcPr>
          <w:p>
            <w:pPr>
              <w:spacing w:after="20"/>
            </w:pPr>
            <w:r>
              <w:rPr>
                <w:color w:val="1C3A36"/>
                <w:sz w:val="15"/>
              </w:rPr>
              <w:t>Share of profit of equity-accounted investees, FY2024 release (comparative)</w:t>
            </w:r>
          </w:p>
        </w:tc>
      </w:tr>
      <w:tr>
        <w:tc>
          <w:tcPr>
            <w:tcW w:type="dxa" w:w="1656"/>
          </w:tcPr>
          <w:p>
            <w:pPr>
              <w:spacing w:after="20"/>
            </w:pPr>
            <w:r>
              <w:rPr>
                <w:color w:val="1C3A36"/>
                <w:sz w:val="15"/>
              </w:rPr>
              <w:t>assoc fy24</w:t>
            </w:r>
          </w:p>
        </w:tc>
        <w:tc>
          <w:tcPr>
            <w:tcW w:type="dxa" w:w="1368"/>
          </w:tcPr>
          <w:p>
            <w:pPr>
              <w:spacing w:after="20"/>
            </w:pPr>
            <w:r>
              <w:rPr>
                <w:color w:val="1C3A36"/>
                <w:sz w:val="15"/>
              </w:rPr>
              <w:t>1,132.4</w:t>
            </w:r>
          </w:p>
        </w:tc>
        <w:tc>
          <w:tcPr>
            <w:tcW w:type="dxa" w:w="1037"/>
          </w:tcPr>
          <w:p>
            <w:pPr>
              <w:spacing w:after="20"/>
            </w:pPr>
            <w:r>
              <w:rPr>
                <w:color w:val="1C3A36"/>
                <w:sz w:val="15"/>
              </w:rPr>
              <w:t>2025-03-13</w:t>
            </w:r>
          </w:p>
        </w:tc>
        <w:tc>
          <w:tcPr>
            <w:tcW w:type="dxa" w:w="6019"/>
          </w:tcPr>
          <w:p>
            <w:pPr>
              <w:spacing w:after="20"/>
            </w:pPr>
            <w:r>
              <w:rPr>
                <w:color w:val="1C3A36"/>
                <w:sz w:val="15"/>
              </w:rPr>
              <w:t>Share of profit of equity-accounted investees, FY2024 release</w:t>
            </w:r>
          </w:p>
        </w:tc>
      </w:tr>
      <w:tr>
        <w:tc>
          <w:tcPr>
            <w:tcW w:type="dxa" w:w="1656"/>
          </w:tcPr>
          <w:p>
            <w:pPr>
              <w:spacing w:after="20"/>
            </w:pPr>
            <w:r>
              <w:rPr>
                <w:color w:val="1C3A36"/>
                <w:sz w:val="15"/>
              </w:rPr>
              <w:t>tax fy23</w:t>
            </w:r>
          </w:p>
        </w:tc>
        <w:tc>
          <w:tcPr>
            <w:tcW w:type="dxa" w:w="1368"/>
          </w:tcPr>
          <w:p>
            <w:pPr>
              <w:spacing w:after="20"/>
            </w:pPr>
            <w:r>
              <w:rPr>
                <w:color w:val="1C3A36"/>
                <w:sz w:val="15"/>
              </w:rPr>
              <w:t>-5,080.4</w:t>
            </w:r>
          </w:p>
        </w:tc>
        <w:tc>
          <w:tcPr>
            <w:tcW w:type="dxa" w:w="1037"/>
          </w:tcPr>
          <w:p>
            <w:pPr>
              <w:spacing w:after="20"/>
            </w:pPr>
            <w:r>
              <w:rPr>
                <w:color w:val="1C3A36"/>
                <w:sz w:val="15"/>
              </w:rPr>
              <w:t>2025-03-13</w:t>
            </w:r>
          </w:p>
        </w:tc>
        <w:tc>
          <w:tcPr>
            <w:tcW w:type="dxa" w:w="6019"/>
          </w:tcPr>
          <w:p>
            <w:pPr>
              <w:spacing w:after="20"/>
            </w:pPr>
            <w:r>
              <w:rPr>
                <w:color w:val="1C3A36"/>
                <w:sz w:val="15"/>
              </w:rPr>
              <w:t>Income tax expense, FY2024 earnings release (comparative)</w:t>
            </w:r>
          </w:p>
        </w:tc>
      </w:tr>
      <w:tr>
        <w:tc>
          <w:tcPr>
            <w:tcW w:type="dxa" w:w="1656"/>
          </w:tcPr>
          <w:p>
            <w:pPr>
              <w:spacing w:after="20"/>
            </w:pPr>
            <w:r>
              <w:rPr>
                <w:color w:val="1C3A36"/>
                <w:sz w:val="15"/>
              </w:rPr>
              <w:t>tax fy24</w:t>
            </w:r>
          </w:p>
        </w:tc>
        <w:tc>
          <w:tcPr>
            <w:tcW w:type="dxa" w:w="1368"/>
          </w:tcPr>
          <w:p>
            <w:pPr>
              <w:spacing w:after="20"/>
            </w:pPr>
            <w:r>
              <w:rPr>
                <w:color w:val="1C3A36"/>
                <w:sz w:val="15"/>
              </w:rPr>
              <w:t>-8,121.5</w:t>
            </w:r>
          </w:p>
        </w:tc>
        <w:tc>
          <w:tcPr>
            <w:tcW w:type="dxa" w:w="1037"/>
          </w:tcPr>
          <w:p>
            <w:pPr>
              <w:spacing w:after="20"/>
            </w:pPr>
            <w:r>
              <w:rPr>
                <w:color w:val="1C3A36"/>
                <w:sz w:val="15"/>
              </w:rPr>
              <w:t>2025-03-13</w:t>
            </w:r>
          </w:p>
        </w:tc>
        <w:tc>
          <w:tcPr>
            <w:tcW w:type="dxa" w:w="6019"/>
          </w:tcPr>
          <w:p>
            <w:pPr>
              <w:spacing w:after="20"/>
            </w:pPr>
            <w:r>
              <w:rPr>
                <w:color w:val="1C3A36"/>
                <w:sz w:val="15"/>
              </w:rPr>
              <w:t>Income tax expense, FY2024 earnings release</w:t>
            </w:r>
          </w:p>
        </w:tc>
      </w:tr>
      <w:tr>
        <w:tc>
          <w:tcPr>
            <w:tcW w:type="dxa" w:w="1656"/>
          </w:tcPr>
          <w:p>
            <w:pPr>
              <w:spacing w:after="20"/>
            </w:pPr>
            <w:r>
              <w:rPr>
                <w:color w:val="1C3A36"/>
                <w:sz w:val="15"/>
              </w:rPr>
              <w:t>pat fy23</w:t>
            </w:r>
          </w:p>
        </w:tc>
        <w:tc>
          <w:tcPr>
            <w:tcW w:type="dxa" w:w="1368"/>
          </w:tcPr>
          <w:p>
            <w:pPr>
              <w:spacing w:after="20"/>
            </w:pPr>
            <w:r>
              <w:rPr>
                <w:color w:val="1C3A36"/>
                <w:sz w:val="15"/>
              </w:rPr>
              <w:t>11,138.0</w:t>
            </w:r>
          </w:p>
        </w:tc>
        <w:tc>
          <w:tcPr>
            <w:tcW w:type="dxa" w:w="1037"/>
          </w:tcPr>
          <w:p>
            <w:pPr>
              <w:spacing w:after="20"/>
            </w:pPr>
            <w:r>
              <w:rPr>
                <w:color w:val="1C3A36"/>
                <w:sz w:val="15"/>
              </w:rPr>
              <w:t>2025-03-13</w:t>
            </w:r>
          </w:p>
        </w:tc>
        <w:tc>
          <w:tcPr>
            <w:tcW w:type="dxa" w:w="6019"/>
          </w:tcPr>
          <w:p>
            <w:pPr>
              <w:spacing w:after="20"/>
            </w:pPr>
            <w:r>
              <w:rPr>
                <w:color w:val="1C3A36"/>
                <w:sz w:val="15"/>
              </w:rPr>
              <w:t>Profit for the period, FY2024 earnings release (comparative)</w:t>
            </w:r>
          </w:p>
        </w:tc>
      </w:tr>
      <w:tr>
        <w:tc>
          <w:tcPr>
            <w:tcW w:type="dxa" w:w="1656"/>
          </w:tcPr>
          <w:p>
            <w:pPr>
              <w:spacing w:after="20"/>
            </w:pPr>
            <w:r>
              <w:rPr>
                <w:color w:val="1C3A36"/>
                <w:sz w:val="15"/>
              </w:rPr>
              <w:t>pat fy24</w:t>
            </w:r>
          </w:p>
        </w:tc>
        <w:tc>
          <w:tcPr>
            <w:tcW w:type="dxa" w:w="1368"/>
          </w:tcPr>
          <w:p>
            <w:pPr>
              <w:spacing w:after="20"/>
            </w:pPr>
            <w:r>
              <w:rPr>
                <w:color w:val="1C3A36"/>
                <w:sz w:val="15"/>
              </w:rPr>
              <w:t>18,837.2</w:t>
            </w:r>
          </w:p>
        </w:tc>
        <w:tc>
          <w:tcPr>
            <w:tcW w:type="dxa" w:w="1037"/>
          </w:tcPr>
          <w:p>
            <w:pPr>
              <w:spacing w:after="20"/>
            </w:pPr>
            <w:r>
              <w:rPr>
                <w:color w:val="1C3A36"/>
                <w:sz w:val="15"/>
              </w:rPr>
              <w:t>2025-03-13</w:t>
            </w:r>
          </w:p>
        </w:tc>
        <w:tc>
          <w:tcPr>
            <w:tcW w:type="dxa" w:w="6019"/>
          </w:tcPr>
          <w:p>
            <w:pPr>
              <w:spacing w:after="20"/>
            </w:pPr>
            <w:r>
              <w:rPr>
                <w:color w:val="1C3A36"/>
                <w:sz w:val="15"/>
              </w:rPr>
              <w:t>Profit for the period, FY2024 earnings release</w:t>
            </w:r>
          </w:p>
        </w:tc>
      </w:tr>
      <w:tr>
        <w:tc>
          <w:tcPr>
            <w:tcW w:type="dxa" w:w="1656"/>
          </w:tcPr>
          <w:p>
            <w:pPr>
              <w:spacing w:after="20"/>
            </w:pPr>
            <w:r>
              <w:rPr>
                <w:color w:val="1C3A36"/>
                <w:sz w:val="15"/>
              </w:rPr>
              <w:t>pat fy25</w:t>
            </w:r>
          </w:p>
        </w:tc>
        <w:tc>
          <w:tcPr>
            <w:tcW w:type="dxa" w:w="1368"/>
          </w:tcPr>
          <w:p>
            <w:pPr>
              <w:spacing w:after="20"/>
            </w:pPr>
            <w:r>
              <w:rPr>
                <w:color w:val="1C3A36"/>
                <w:sz w:val="15"/>
              </w:rPr>
              <w:t>19,180.0</w:t>
            </w:r>
          </w:p>
        </w:tc>
        <w:tc>
          <w:tcPr>
            <w:tcW w:type="dxa" w:w="1037"/>
          </w:tcPr>
          <w:p>
            <w:pPr>
              <w:spacing w:after="20"/>
            </w:pPr>
            <w:r>
              <w:rPr>
                <w:color w:val="1C3A36"/>
                <w:sz w:val="15"/>
              </w:rPr>
              <w:t>2026-03</w:t>
            </w:r>
          </w:p>
        </w:tc>
        <w:tc>
          <w:tcPr>
            <w:tcW w:type="dxa" w:w="6019"/>
          </w:tcPr>
          <w:p>
            <w:pPr>
              <w:spacing w:after="20"/>
            </w:pPr>
            <w:r>
              <w:rPr>
                <w:color w:val="1C3A36"/>
                <w:sz w:val="15"/>
              </w:rPr>
              <w:t>FY2025 consolidated net profit after tax EGP 19.18bn vs EGP 18.83bn FY2024 (EGX filing via Mubasher). The FY2024 comparative reconciles exactly to the audited 'Profit for the period' of 18,837.2, confirming this is the pre-minority line</w:t>
            </w:r>
          </w:p>
        </w:tc>
      </w:tr>
      <w:tr>
        <w:tc>
          <w:tcPr>
            <w:tcW w:type="dxa" w:w="1656"/>
          </w:tcPr>
          <w:p>
            <w:pPr>
              <w:spacing w:after="20"/>
            </w:pPr>
            <w:r>
              <w:rPr>
                <w:color w:val="1C3A36"/>
                <w:sz w:val="15"/>
              </w:rPr>
              <w:t>npa fy23</w:t>
            </w:r>
          </w:p>
        </w:tc>
        <w:tc>
          <w:tcPr>
            <w:tcW w:type="dxa" w:w="1368"/>
          </w:tcPr>
          <w:p>
            <w:pPr>
              <w:spacing w:after="20"/>
            </w:pPr>
            <w:r>
              <w:rPr>
                <w:color w:val="1C3A36"/>
                <w:sz w:val="15"/>
              </w:rPr>
              <w:t>10,115.7</w:t>
            </w:r>
          </w:p>
        </w:tc>
        <w:tc>
          <w:tcPr>
            <w:tcW w:type="dxa" w:w="1037"/>
          </w:tcPr>
          <w:p>
            <w:pPr>
              <w:spacing w:after="20"/>
            </w:pPr>
            <w:r>
              <w:rPr>
                <w:color w:val="1C3A36"/>
                <w:sz w:val="15"/>
              </w:rPr>
              <w:t>2025-03-13</w:t>
            </w:r>
          </w:p>
        </w:tc>
        <w:tc>
          <w:tcPr>
            <w:tcW w:type="dxa" w:w="6019"/>
          </w:tcPr>
          <w:p>
            <w:pPr>
              <w:spacing w:after="20"/>
            </w:pPr>
            <w:r>
              <w:rPr>
                <w:color w:val="1C3A36"/>
                <w:sz w:val="15"/>
              </w:rPr>
              <w:t>Profit attributable to owners of the company, FY2024 release (comparative)</w:t>
            </w:r>
          </w:p>
        </w:tc>
      </w:tr>
      <w:tr>
        <w:tc>
          <w:tcPr>
            <w:tcW w:type="dxa" w:w="1656"/>
          </w:tcPr>
          <w:p>
            <w:pPr>
              <w:spacing w:after="20"/>
            </w:pPr>
            <w:r>
              <w:rPr>
                <w:color w:val="1C3A36"/>
                <w:sz w:val="15"/>
              </w:rPr>
              <w:t>npa fy24</w:t>
            </w:r>
          </w:p>
        </w:tc>
        <w:tc>
          <w:tcPr>
            <w:tcW w:type="dxa" w:w="1368"/>
          </w:tcPr>
          <w:p>
            <w:pPr>
              <w:spacing w:after="20"/>
            </w:pPr>
            <w:r>
              <w:rPr>
                <w:color w:val="1C3A36"/>
                <w:sz w:val="15"/>
              </w:rPr>
              <w:t>17,461.4</w:t>
            </w:r>
          </w:p>
        </w:tc>
        <w:tc>
          <w:tcPr>
            <w:tcW w:type="dxa" w:w="1037"/>
          </w:tcPr>
          <w:p>
            <w:pPr>
              <w:spacing w:after="20"/>
            </w:pPr>
            <w:r>
              <w:rPr>
                <w:color w:val="1C3A36"/>
                <w:sz w:val="15"/>
              </w:rPr>
              <w:t>2025-03-13</w:t>
            </w:r>
          </w:p>
        </w:tc>
        <w:tc>
          <w:tcPr>
            <w:tcW w:type="dxa" w:w="6019"/>
          </w:tcPr>
          <w:p>
            <w:pPr>
              <w:spacing w:after="20"/>
            </w:pPr>
            <w:r>
              <w:rPr>
                <w:color w:val="1C3A36"/>
                <w:sz w:val="15"/>
              </w:rPr>
              <w:t>Profit attributable to owners of the company, FY2024 release</w:t>
            </w:r>
          </w:p>
        </w:tc>
      </w:tr>
      <w:tr>
        <w:tc>
          <w:tcPr>
            <w:tcW w:type="dxa" w:w="1656"/>
          </w:tcPr>
          <w:p>
            <w:pPr>
              <w:spacing w:after="20"/>
            </w:pPr>
            <w:r>
              <w:rPr>
                <w:color w:val="1C3A36"/>
                <w:sz w:val="15"/>
              </w:rPr>
              <w:t>npa fy25</w:t>
            </w:r>
          </w:p>
        </w:tc>
        <w:tc>
          <w:tcPr>
            <w:tcW w:type="dxa" w:w="1368"/>
          </w:tcPr>
          <w:p>
            <w:pPr>
              <w:spacing w:after="20"/>
            </w:pPr>
            <w:r>
              <w:rPr>
                <w:color w:val="1C3A36"/>
                <w:sz w:val="15"/>
              </w:rPr>
              <w:t>17,330.0</w:t>
            </w:r>
          </w:p>
        </w:tc>
        <w:tc>
          <w:tcPr>
            <w:tcW w:type="dxa" w:w="1037"/>
          </w:tcPr>
          <w:p>
            <w:pPr>
              <w:spacing w:after="20"/>
            </w:pPr>
            <w:r>
              <w:rPr>
                <w:color w:val="1C3A36"/>
                <w:sz w:val="15"/>
              </w:rPr>
              <w:t>2026-03</w:t>
            </w:r>
          </w:p>
        </w:tc>
        <w:tc>
          <w:tcPr>
            <w:tcW w:type="dxa" w:w="6019"/>
          </w:tcPr>
          <w:p>
            <w:pPr>
              <w:spacing w:after="20"/>
            </w:pPr>
            <w:r>
              <w:rPr>
                <w:color w:val="1C3A36"/>
                <w:sz w:val="15"/>
              </w:rPr>
              <w:t>FY2025 net profit after minority: FY2024's 17,461.4 less the disclosed -0.75% y/y move (Arab Finance headline on the FY2025 filing). Cross-checks to the quarterly build: 9M-2025 12,670 + Q4-2025 4,660 (Q4 release: +10.6% y/y on Q4-2024's 4,209)</w:t>
            </w:r>
          </w:p>
        </w:tc>
      </w:tr>
      <w:tr>
        <w:tc>
          <w:tcPr>
            <w:tcW w:type="dxa" w:w="1656"/>
          </w:tcPr>
          <w:p>
            <w:pPr>
              <w:spacing w:after="20"/>
            </w:pPr>
            <w:r>
              <w:rPr>
                <w:color w:val="1C3A36"/>
                <w:sz w:val="15"/>
              </w:rPr>
              <w:t>ppe fy23</w:t>
            </w:r>
          </w:p>
        </w:tc>
        <w:tc>
          <w:tcPr>
            <w:tcW w:type="dxa" w:w="1368"/>
          </w:tcPr>
          <w:p>
            <w:pPr>
              <w:spacing w:after="20"/>
            </w:pPr>
            <w:r>
              <w:rPr>
                <w:color w:val="1C3A36"/>
                <w:sz w:val="15"/>
              </w:rPr>
              <w:t>18,009.2</w:t>
            </w:r>
          </w:p>
        </w:tc>
        <w:tc>
          <w:tcPr>
            <w:tcW w:type="dxa" w:w="1037"/>
          </w:tcPr>
          <w:p>
            <w:pPr>
              <w:spacing w:after="20"/>
            </w:pPr>
            <w:r>
              <w:rPr>
                <w:color w:val="1C3A36"/>
                <w:sz w:val="15"/>
              </w:rPr>
              <w:t>2025-03-13</w:t>
            </w:r>
          </w:p>
        </w:tc>
        <w:tc>
          <w:tcPr>
            <w:tcW w:type="dxa" w:w="6019"/>
          </w:tcPr>
          <w:p>
            <w:pPr>
              <w:spacing w:after="20"/>
            </w:pPr>
            <w:r>
              <w:rPr>
                <w:color w:val="1C3A36"/>
                <w:sz w:val="15"/>
              </w:rPr>
              <w:t>Consolidated Balance Sheet 31/12/2023, FY2024 earnings release</w:t>
            </w:r>
          </w:p>
        </w:tc>
      </w:tr>
      <w:tr>
        <w:tc>
          <w:tcPr>
            <w:tcW w:type="dxa" w:w="1656"/>
          </w:tcPr>
          <w:p>
            <w:pPr>
              <w:spacing w:after="20"/>
            </w:pPr>
            <w:r>
              <w:rPr>
                <w:color w:val="1C3A36"/>
                <w:sz w:val="15"/>
              </w:rPr>
              <w:t>ppe fy24</w:t>
            </w:r>
          </w:p>
        </w:tc>
        <w:tc>
          <w:tcPr>
            <w:tcW w:type="dxa" w:w="1368"/>
          </w:tcPr>
          <w:p>
            <w:pPr>
              <w:spacing w:after="20"/>
            </w:pPr>
            <w:r>
              <w:rPr>
                <w:color w:val="1C3A36"/>
                <w:sz w:val="15"/>
              </w:rPr>
              <w:t>27,543.8</w:t>
            </w:r>
          </w:p>
        </w:tc>
        <w:tc>
          <w:tcPr>
            <w:tcW w:type="dxa" w:w="1037"/>
          </w:tcPr>
          <w:p>
            <w:pPr>
              <w:spacing w:after="20"/>
            </w:pPr>
            <w:r>
              <w:rPr>
                <w:color w:val="1C3A36"/>
                <w:sz w:val="15"/>
              </w:rPr>
              <w:t>2025-03-13</w:t>
            </w:r>
          </w:p>
        </w:tc>
        <w:tc>
          <w:tcPr>
            <w:tcW w:type="dxa" w:w="6019"/>
          </w:tcPr>
          <w:p>
            <w:pPr>
              <w:spacing w:after="20"/>
            </w:pPr>
            <w:r>
              <w:rPr>
                <w:color w:val="1C3A36"/>
                <w:sz w:val="15"/>
              </w:rPr>
              <w:t>Consolidated Balance Sheet 31/12/2024, FY2024 earnings release</w:t>
            </w:r>
          </w:p>
        </w:tc>
      </w:tr>
      <w:tr>
        <w:tc>
          <w:tcPr>
            <w:tcW w:type="dxa" w:w="1656"/>
          </w:tcPr>
          <w:p>
            <w:pPr>
              <w:spacing w:after="20"/>
            </w:pPr>
            <w:r>
              <w:rPr>
                <w:color w:val="1C3A36"/>
                <w:sz w:val="15"/>
              </w:rPr>
              <w:t>inv fy23</w:t>
            </w:r>
          </w:p>
        </w:tc>
        <w:tc>
          <w:tcPr>
            <w:tcW w:type="dxa" w:w="1368"/>
          </w:tcPr>
          <w:p>
            <w:pPr>
              <w:spacing w:after="20"/>
            </w:pPr>
            <w:r>
              <w:rPr>
                <w:color w:val="1C3A36"/>
                <w:sz w:val="15"/>
              </w:rPr>
              <w:t>30,881.8</w:t>
            </w:r>
          </w:p>
        </w:tc>
        <w:tc>
          <w:tcPr>
            <w:tcW w:type="dxa" w:w="1037"/>
          </w:tcPr>
          <w:p>
            <w:pPr>
              <w:spacing w:after="20"/>
            </w:pPr>
            <w:r>
              <w:rPr>
                <w:color w:val="1C3A36"/>
                <w:sz w:val="15"/>
              </w:rPr>
              <w:t>2025-03-13</w:t>
            </w:r>
          </w:p>
        </w:tc>
        <w:tc>
          <w:tcPr>
            <w:tcW w:type="dxa" w:w="6019"/>
          </w:tcPr>
          <w:p>
            <w:pPr>
              <w:spacing w:after="20"/>
            </w:pPr>
            <w:r>
              <w:rPr>
                <w:color w:val="1C3A36"/>
                <w:sz w:val="15"/>
              </w:rPr>
              <w:t>Inventories 31/12/2023</w:t>
            </w:r>
          </w:p>
        </w:tc>
      </w:tr>
      <w:tr>
        <w:tc>
          <w:tcPr>
            <w:tcW w:type="dxa" w:w="1656"/>
          </w:tcPr>
          <w:p>
            <w:pPr>
              <w:spacing w:after="20"/>
            </w:pPr>
            <w:r>
              <w:rPr>
                <w:color w:val="1C3A36"/>
                <w:sz w:val="15"/>
              </w:rPr>
              <w:t>inv fy24</w:t>
            </w:r>
          </w:p>
        </w:tc>
        <w:tc>
          <w:tcPr>
            <w:tcW w:type="dxa" w:w="1368"/>
          </w:tcPr>
          <w:p>
            <w:pPr>
              <w:spacing w:after="20"/>
            </w:pPr>
            <w:r>
              <w:rPr>
                <w:color w:val="1C3A36"/>
                <w:sz w:val="15"/>
              </w:rPr>
              <w:t>56,795.9</w:t>
            </w:r>
          </w:p>
        </w:tc>
        <w:tc>
          <w:tcPr>
            <w:tcW w:type="dxa" w:w="1037"/>
          </w:tcPr>
          <w:p>
            <w:pPr>
              <w:spacing w:after="20"/>
            </w:pPr>
            <w:r>
              <w:rPr>
                <w:color w:val="1C3A36"/>
                <w:sz w:val="15"/>
              </w:rPr>
              <w:t>2025-03-13</w:t>
            </w:r>
          </w:p>
        </w:tc>
        <w:tc>
          <w:tcPr>
            <w:tcW w:type="dxa" w:w="6019"/>
          </w:tcPr>
          <w:p>
            <w:pPr>
              <w:spacing w:after="20"/>
            </w:pPr>
            <w:r>
              <w:rPr>
                <w:color w:val="1C3A36"/>
                <w:sz w:val="15"/>
              </w:rPr>
              <w:t>Inventories 31/12/2024</w:t>
            </w:r>
          </w:p>
        </w:tc>
      </w:tr>
      <w:tr>
        <w:tc>
          <w:tcPr>
            <w:tcW w:type="dxa" w:w="1656"/>
          </w:tcPr>
          <w:p>
            <w:pPr>
              <w:spacing w:after="20"/>
            </w:pPr>
            <w:r>
              <w:rPr>
                <w:color w:val="1C3A36"/>
                <w:sz w:val="15"/>
              </w:rPr>
              <w:t>ca fy23</w:t>
            </w:r>
          </w:p>
        </w:tc>
        <w:tc>
          <w:tcPr>
            <w:tcW w:type="dxa" w:w="1368"/>
          </w:tcPr>
          <w:p>
            <w:pPr>
              <w:spacing w:after="20"/>
            </w:pPr>
            <w:r>
              <w:rPr>
                <w:color w:val="1C3A36"/>
                <w:sz w:val="15"/>
              </w:rPr>
              <w:t>16,179.6</w:t>
            </w:r>
          </w:p>
        </w:tc>
        <w:tc>
          <w:tcPr>
            <w:tcW w:type="dxa" w:w="1037"/>
          </w:tcPr>
          <w:p>
            <w:pPr>
              <w:spacing w:after="20"/>
            </w:pPr>
            <w:r>
              <w:rPr>
                <w:color w:val="1C3A36"/>
                <w:sz w:val="15"/>
              </w:rPr>
              <w:t>2025-03-13</w:t>
            </w:r>
          </w:p>
        </w:tc>
        <w:tc>
          <w:tcPr>
            <w:tcW w:type="dxa" w:w="6019"/>
          </w:tcPr>
          <w:p>
            <w:pPr>
              <w:spacing w:after="20"/>
            </w:pPr>
            <w:r>
              <w:rPr>
                <w:color w:val="1C3A36"/>
                <w:sz w:val="15"/>
              </w:rPr>
              <w:t>Contract assets 31/12/2023</w:t>
            </w:r>
          </w:p>
        </w:tc>
      </w:tr>
      <w:tr>
        <w:tc>
          <w:tcPr>
            <w:tcW w:type="dxa" w:w="1656"/>
          </w:tcPr>
          <w:p>
            <w:pPr>
              <w:spacing w:after="20"/>
            </w:pPr>
            <w:r>
              <w:rPr>
                <w:color w:val="1C3A36"/>
                <w:sz w:val="15"/>
              </w:rPr>
              <w:t>ca fy24</w:t>
            </w:r>
          </w:p>
        </w:tc>
        <w:tc>
          <w:tcPr>
            <w:tcW w:type="dxa" w:w="1368"/>
          </w:tcPr>
          <w:p>
            <w:pPr>
              <w:spacing w:after="20"/>
            </w:pPr>
            <w:r>
              <w:rPr>
                <w:color w:val="1C3A36"/>
                <w:sz w:val="15"/>
              </w:rPr>
              <w:t>18,052.0</w:t>
            </w:r>
          </w:p>
        </w:tc>
        <w:tc>
          <w:tcPr>
            <w:tcW w:type="dxa" w:w="1037"/>
          </w:tcPr>
          <w:p>
            <w:pPr>
              <w:spacing w:after="20"/>
            </w:pPr>
            <w:r>
              <w:rPr>
                <w:color w:val="1C3A36"/>
                <w:sz w:val="15"/>
              </w:rPr>
              <w:t>2025-03-13</w:t>
            </w:r>
          </w:p>
        </w:tc>
        <w:tc>
          <w:tcPr>
            <w:tcW w:type="dxa" w:w="6019"/>
          </w:tcPr>
          <w:p>
            <w:pPr>
              <w:spacing w:after="20"/>
            </w:pPr>
            <w:r>
              <w:rPr>
                <w:color w:val="1C3A36"/>
                <w:sz w:val="15"/>
              </w:rPr>
              <w:t>Contract assets 31/12/2024</w:t>
            </w:r>
          </w:p>
        </w:tc>
      </w:tr>
      <w:tr>
        <w:tc>
          <w:tcPr>
            <w:tcW w:type="dxa" w:w="1656"/>
          </w:tcPr>
          <w:p>
            <w:pPr>
              <w:spacing w:after="20"/>
            </w:pPr>
            <w:r>
              <w:rPr>
                <w:color w:val="1C3A36"/>
                <w:sz w:val="15"/>
              </w:rPr>
              <w:t>recv fy23</w:t>
            </w:r>
          </w:p>
        </w:tc>
        <w:tc>
          <w:tcPr>
            <w:tcW w:type="dxa" w:w="1368"/>
          </w:tcPr>
          <w:p>
            <w:pPr>
              <w:spacing w:after="20"/>
            </w:pPr>
            <w:r>
              <w:rPr>
                <w:color w:val="1C3A36"/>
                <w:sz w:val="15"/>
              </w:rPr>
              <w:t>46,591.9</w:t>
            </w:r>
          </w:p>
        </w:tc>
        <w:tc>
          <w:tcPr>
            <w:tcW w:type="dxa" w:w="1037"/>
          </w:tcPr>
          <w:p>
            <w:pPr>
              <w:spacing w:after="20"/>
            </w:pPr>
            <w:r>
              <w:rPr>
                <w:color w:val="1C3A36"/>
                <w:sz w:val="15"/>
              </w:rPr>
              <w:t>2025-03-13</w:t>
            </w:r>
          </w:p>
        </w:tc>
        <w:tc>
          <w:tcPr>
            <w:tcW w:type="dxa" w:w="6019"/>
          </w:tcPr>
          <w:p>
            <w:pPr>
              <w:spacing w:after="20"/>
            </w:pPr>
            <w:r>
              <w:rPr>
                <w:color w:val="1C3A36"/>
                <w:sz w:val="15"/>
              </w:rPr>
              <w:t>Trade, notes and other receivables (current) 31/12/2023</w:t>
            </w:r>
          </w:p>
        </w:tc>
      </w:tr>
      <w:tr>
        <w:tc>
          <w:tcPr>
            <w:tcW w:type="dxa" w:w="1656"/>
          </w:tcPr>
          <w:p>
            <w:pPr>
              <w:spacing w:after="20"/>
            </w:pPr>
            <w:r>
              <w:rPr>
                <w:color w:val="1C3A36"/>
                <w:sz w:val="15"/>
              </w:rPr>
              <w:t>recv fy24</w:t>
            </w:r>
          </w:p>
        </w:tc>
        <w:tc>
          <w:tcPr>
            <w:tcW w:type="dxa" w:w="1368"/>
          </w:tcPr>
          <w:p>
            <w:pPr>
              <w:spacing w:after="20"/>
            </w:pPr>
            <w:r>
              <w:rPr>
                <w:color w:val="1C3A36"/>
                <w:sz w:val="15"/>
              </w:rPr>
              <w:t>86,736.3</w:t>
            </w:r>
          </w:p>
        </w:tc>
        <w:tc>
          <w:tcPr>
            <w:tcW w:type="dxa" w:w="1037"/>
          </w:tcPr>
          <w:p>
            <w:pPr>
              <w:spacing w:after="20"/>
            </w:pPr>
            <w:r>
              <w:rPr>
                <w:color w:val="1C3A36"/>
                <w:sz w:val="15"/>
              </w:rPr>
              <w:t>2025-03-13</w:t>
            </w:r>
          </w:p>
        </w:tc>
        <w:tc>
          <w:tcPr>
            <w:tcW w:type="dxa" w:w="6019"/>
          </w:tcPr>
          <w:p>
            <w:pPr>
              <w:spacing w:after="20"/>
            </w:pPr>
            <w:r>
              <w:rPr>
                <w:color w:val="1C3A36"/>
                <w:sz w:val="15"/>
              </w:rPr>
              <w:t>Trade, notes and other receivables (current) 31/12/2024</w:t>
            </w:r>
          </w:p>
        </w:tc>
      </w:tr>
      <w:tr>
        <w:tc>
          <w:tcPr>
            <w:tcW w:type="dxa" w:w="1656"/>
          </w:tcPr>
          <w:p>
            <w:pPr>
              <w:spacing w:after="20"/>
            </w:pPr>
            <w:r>
              <w:rPr>
                <w:color w:val="1C3A36"/>
                <w:sz w:val="15"/>
              </w:rPr>
              <w:t>pay fy23</w:t>
            </w:r>
          </w:p>
        </w:tc>
        <w:tc>
          <w:tcPr>
            <w:tcW w:type="dxa" w:w="1368"/>
          </w:tcPr>
          <w:p>
            <w:pPr>
              <w:spacing w:after="20"/>
            </w:pPr>
            <w:r>
              <w:rPr>
                <w:color w:val="1C3A36"/>
                <w:sz w:val="15"/>
              </w:rPr>
              <w:t>31,938.1</w:t>
            </w:r>
          </w:p>
        </w:tc>
        <w:tc>
          <w:tcPr>
            <w:tcW w:type="dxa" w:w="1037"/>
          </w:tcPr>
          <w:p>
            <w:pPr>
              <w:spacing w:after="20"/>
            </w:pPr>
            <w:r>
              <w:rPr>
                <w:color w:val="1C3A36"/>
                <w:sz w:val="15"/>
              </w:rPr>
              <w:t>2025-03-13</w:t>
            </w:r>
          </w:p>
        </w:tc>
        <w:tc>
          <w:tcPr>
            <w:tcW w:type="dxa" w:w="6019"/>
          </w:tcPr>
          <w:p>
            <w:pPr>
              <w:spacing w:after="20"/>
            </w:pPr>
            <w:r>
              <w:rPr>
                <w:color w:val="1C3A36"/>
                <w:sz w:val="15"/>
              </w:rPr>
              <w:t>Trade, notes and other payables 31/12/2023</w:t>
            </w:r>
          </w:p>
        </w:tc>
      </w:tr>
      <w:tr>
        <w:tc>
          <w:tcPr>
            <w:tcW w:type="dxa" w:w="1656"/>
          </w:tcPr>
          <w:p>
            <w:pPr>
              <w:spacing w:after="20"/>
            </w:pPr>
            <w:r>
              <w:rPr>
                <w:color w:val="1C3A36"/>
                <w:sz w:val="15"/>
              </w:rPr>
              <w:t>pay fy24</w:t>
            </w:r>
          </w:p>
        </w:tc>
        <w:tc>
          <w:tcPr>
            <w:tcW w:type="dxa" w:w="1368"/>
          </w:tcPr>
          <w:p>
            <w:pPr>
              <w:spacing w:after="20"/>
            </w:pPr>
            <w:r>
              <w:rPr>
                <w:color w:val="1C3A36"/>
                <w:sz w:val="15"/>
              </w:rPr>
              <w:t>54,808.2</w:t>
            </w:r>
          </w:p>
        </w:tc>
        <w:tc>
          <w:tcPr>
            <w:tcW w:type="dxa" w:w="1037"/>
          </w:tcPr>
          <w:p>
            <w:pPr>
              <w:spacing w:after="20"/>
            </w:pPr>
            <w:r>
              <w:rPr>
                <w:color w:val="1C3A36"/>
                <w:sz w:val="15"/>
              </w:rPr>
              <w:t>2025-03-13</w:t>
            </w:r>
          </w:p>
        </w:tc>
        <w:tc>
          <w:tcPr>
            <w:tcW w:type="dxa" w:w="6019"/>
          </w:tcPr>
          <w:p>
            <w:pPr>
              <w:spacing w:after="20"/>
            </w:pPr>
            <w:r>
              <w:rPr>
                <w:color w:val="1C3A36"/>
                <w:sz w:val="15"/>
              </w:rPr>
              <w:t>Trade, notes and other payables 31/12/2024</w:t>
            </w:r>
          </w:p>
        </w:tc>
      </w:tr>
      <w:tr>
        <w:tc>
          <w:tcPr>
            <w:tcW w:type="dxa" w:w="1656"/>
          </w:tcPr>
          <w:p>
            <w:pPr>
              <w:spacing w:after="20"/>
            </w:pPr>
            <w:r>
              <w:rPr>
                <w:color w:val="1C3A36"/>
                <w:sz w:val="15"/>
              </w:rPr>
              <w:t>cl fy23</w:t>
            </w:r>
          </w:p>
        </w:tc>
        <w:tc>
          <w:tcPr>
            <w:tcW w:type="dxa" w:w="1368"/>
          </w:tcPr>
          <w:p>
            <w:pPr>
              <w:spacing w:after="20"/>
            </w:pPr>
            <w:r>
              <w:rPr>
                <w:color w:val="1C3A36"/>
                <w:sz w:val="15"/>
              </w:rPr>
              <w:t>25,060.3</w:t>
            </w:r>
          </w:p>
        </w:tc>
        <w:tc>
          <w:tcPr>
            <w:tcW w:type="dxa" w:w="1037"/>
          </w:tcPr>
          <w:p>
            <w:pPr>
              <w:spacing w:after="20"/>
            </w:pPr>
            <w:r>
              <w:rPr>
                <w:color w:val="1C3A36"/>
                <w:sz w:val="15"/>
              </w:rPr>
              <w:t>2025-03-13</w:t>
            </w:r>
          </w:p>
        </w:tc>
        <w:tc>
          <w:tcPr>
            <w:tcW w:type="dxa" w:w="6019"/>
          </w:tcPr>
          <w:p>
            <w:pPr>
              <w:spacing w:after="20"/>
            </w:pPr>
            <w:r>
              <w:rPr>
                <w:color w:val="1C3A36"/>
                <w:sz w:val="15"/>
              </w:rPr>
              <w:t>Contract liabilities 31/12/2023</w:t>
            </w:r>
          </w:p>
        </w:tc>
      </w:tr>
      <w:tr>
        <w:tc>
          <w:tcPr>
            <w:tcW w:type="dxa" w:w="1656"/>
          </w:tcPr>
          <w:p>
            <w:pPr>
              <w:spacing w:after="20"/>
            </w:pPr>
            <w:r>
              <w:rPr>
                <w:color w:val="1C3A36"/>
                <w:sz w:val="15"/>
              </w:rPr>
              <w:t>cl fy24</w:t>
            </w:r>
          </w:p>
        </w:tc>
        <w:tc>
          <w:tcPr>
            <w:tcW w:type="dxa" w:w="1368"/>
          </w:tcPr>
          <w:p>
            <w:pPr>
              <w:spacing w:after="20"/>
            </w:pPr>
            <w:r>
              <w:rPr>
                <w:color w:val="1C3A36"/>
                <w:sz w:val="15"/>
              </w:rPr>
              <w:t>53,281.1</w:t>
            </w:r>
          </w:p>
        </w:tc>
        <w:tc>
          <w:tcPr>
            <w:tcW w:type="dxa" w:w="1037"/>
          </w:tcPr>
          <w:p>
            <w:pPr>
              <w:spacing w:after="20"/>
            </w:pPr>
            <w:r>
              <w:rPr>
                <w:color w:val="1C3A36"/>
                <w:sz w:val="15"/>
              </w:rPr>
              <w:t>2025-03-13</w:t>
            </w:r>
          </w:p>
        </w:tc>
        <w:tc>
          <w:tcPr>
            <w:tcW w:type="dxa" w:w="6019"/>
          </w:tcPr>
          <w:p>
            <w:pPr>
              <w:spacing w:after="20"/>
            </w:pPr>
            <w:r>
              <w:rPr>
                <w:color w:val="1C3A36"/>
                <w:sz w:val="15"/>
              </w:rPr>
              <w:t>Contract liabilities 31/12/2024</w:t>
            </w:r>
          </w:p>
        </w:tc>
      </w:tr>
      <w:tr>
        <w:tc>
          <w:tcPr>
            <w:tcW w:type="dxa" w:w="1656"/>
          </w:tcPr>
          <w:p>
            <w:pPr>
              <w:spacing w:after="20"/>
            </w:pPr>
            <w:r>
              <w:rPr>
                <w:color w:val="1C3A36"/>
                <w:sz w:val="15"/>
              </w:rPr>
              <w:t>cash fy23</w:t>
            </w:r>
          </w:p>
        </w:tc>
        <w:tc>
          <w:tcPr>
            <w:tcW w:type="dxa" w:w="1368"/>
          </w:tcPr>
          <w:p>
            <w:pPr>
              <w:spacing w:after="20"/>
            </w:pPr>
            <w:r>
              <w:rPr>
                <w:color w:val="1C3A36"/>
                <w:sz w:val="15"/>
              </w:rPr>
              <w:t>25,552.0</w:t>
            </w:r>
          </w:p>
        </w:tc>
        <w:tc>
          <w:tcPr>
            <w:tcW w:type="dxa" w:w="1037"/>
          </w:tcPr>
          <w:p>
            <w:pPr>
              <w:spacing w:after="20"/>
            </w:pPr>
            <w:r>
              <w:rPr>
                <w:color w:val="1C3A36"/>
                <w:sz w:val="15"/>
              </w:rPr>
              <w:t>2025-03-13</w:t>
            </w:r>
          </w:p>
        </w:tc>
        <w:tc>
          <w:tcPr>
            <w:tcW w:type="dxa" w:w="6019"/>
          </w:tcPr>
          <w:p>
            <w:pPr>
              <w:spacing w:after="20"/>
            </w:pPr>
            <w:r>
              <w:rPr>
                <w:color w:val="1C3A36"/>
                <w:sz w:val="15"/>
              </w:rPr>
              <w:t>Cash and cash equivalents 31/12/2023</w:t>
            </w:r>
          </w:p>
        </w:tc>
      </w:tr>
      <w:tr>
        <w:tc>
          <w:tcPr>
            <w:tcW w:type="dxa" w:w="1656"/>
          </w:tcPr>
          <w:p>
            <w:pPr>
              <w:spacing w:after="20"/>
            </w:pPr>
            <w:r>
              <w:rPr>
                <w:color w:val="1C3A36"/>
                <w:sz w:val="15"/>
              </w:rPr>
              <w:t>cash fy24</w:t>
            </w:r>
          </w:p>
        </w:tc>
        <w:tc>
          <w:tcPr>
            <w:tcW w:type="dxa" w:w="1368"/>
          </w:tcPr>
          <w:p>
            <w:pPr>
              <w:spacing w:after="20"/>
            </w:pPr>
            <w:r>
              <w:rPr>
                <w:color w:val="1C3A36"/>
                <w:sz w:val="15"/>
              </w:rPr>
              <w:t>38,180.0</w:t>
            </w:r>
          </w:p>
        </w:tc>
        <w:tc>
          <w:tcPr>
            <w:tcW w:type="dxa" w:w="1037"/>
          </w:tcPr>
          <w:p>
            <w:pPr>
              <w:spacing w:after="20"/>
            </w:pPr>
            <w:r>
              <w:rPr>
                <w:color w:val="1C3A36"/>
                <w:sz w:val="15"/>
              </w:rPr>
              <w:t>2025-03-13</w:t>
            </w:r>
          </w:p>
        </w:tc>
        <w:tc>
          <w:tcPr>
            <w:tcW w:type="dxa" w:w="6019"/>
          </w:tcPr>
          <w:p>
            <w:pPr>
              <w:spacing w:after="20"/>
            </w:pPr>
            <w:r>
              <w:rPr>
                <w:color w:val="1C3A36"/>
                <w:sz w:val="15"/>
              </w:rPr>
              <w:t>Cash and cash equivalents 31/12/2024</w:t>
            </w:r>
          </w:p>
        </w:tc>
      </w:tr>
      <w:tr>
        <w:tc>
          <w:tcPr>
            <w:tcW w:type="dxa" w:w="1656"/>
          </w:tcPr>
          <w:p>
            <w:pPr>
              <w:spacing w:after="20"/>
            </w:pPr>
            <w:r>
              <w:rPr>
                <w:color w:val="1C3A36"/>
                <w:sz w:val="15"/>
              </w:rPr>
              <w:t>assets fy23</w:t>
            </w:r>
          </w:p>
        </w:tc>
        <w:tc>
          <w:tcPr>
            <w:tcW w:type="dxa" w:w="1368"/>
          </w:tcPr>
          <w:p>
            <w:pPr>
              <w:spacing w:after="20"/>
            </w:pPr>
            <w:r>
              <w:rPr>
                <w:color w:val="1C3A36"/>
                <w:sz w:val="15"/>
              </w:rPr>
              <w:t>151,448.7</w:t>
            </w:r>
          </w:p>
        </w:tc>
        <w:tc>
          <w:tcPr>
            <w:tcW w:type="dxa" w:w="1037"/>
          </w:tcPr>
          <w:p>
            <w:pPr>
              <w:spacing w:after="20"/>
            </w:pPr>
            <w:r>
              <w:rPr>
                <w:color w:val="1C3A36"/>
                <w:sz w:val="15"/>
              </w:rPr>
              <w:t>2025-03-13</w:t>
            </w:r>
          </w:p>
        </w:tc>
        <w:tc>
          <w:tcPr>
            <w:tcW w:type="dxa" w:w="6019"/>
          </w:tcPr>
          <w:p>
            <w:pPr>
              <w:spacing w:after="20"/>
            </w:pPr>
            <w:r>
              <w:rPr>
                <w:color w:val="1C3A36"/>
                <w:sz w:val="15"/>
              </w:rPr>
              <w:t>Total assets 31/12/2023</w:t>
            </w:r>
          </w:p>
        </w:tc>
      </w:tr>
      <w:tr>
        <w:tc>
          <w:tcPr>
            <w:tcW w:type="dxa" w:w="1656"/>
          </w:tcPr>
          <w:p>
            <w:pPr>
              <w:spacing w:after="20"/>
            </w:pPr>
            <w:r>
              <w:rPr>
                <w:color w:val="1C3A36"/>
                <w:sz w:val="15"/>
              </w:rPr>
              <w:t>assets fy24</w:t>
            </w:r>
          </w:p>
        </w:tc>
        <w:tc>
          <w:tcPr>
            <w:tcW w:type="dxa" w:w="1368"/>
          </w:tcPr>
          <w:p>
            <w:pPr>
              <w:spacing w:after="20"/>
            </w:pPr>
            <w:r>
              <w:rPr>
                <w:color w:val="1C3A36"/>
                <w:sz w:val="15"/>
              </w:rPr>
              <w:t>249,527.1</w:t>
            </w:r>
          </w:p>
        </w:tc>
        <w:tc>
          <w:tcPr>
            <w:tcW w:type="dxa" w:w="1037"/>
          </w:tcPr>
          <w:p>
            <w:pPr>
              <w:spacing w:after="20"/>
            </w:pPr>
            <w:r>
              <w:rPr>
                <w:color w:val="1C3A36"/>
                <w:sz w:val="15"/>
              </w:rPr>
              <w:t>2025-03-13</w:t>
            </w:r>
          </w:p>
        </w:tc>
        <w:tc>
          <w:tcPr>
            <w:tcW w:type="dxa" w:w="6019"/>
          </w:tcPr>
          <w:p>
            <w:pPr>
              <w:spacing w:after="20"/>
            </w:pPr>
            <w:r>
              <w:rPr>
                <w:color w:val="1C3A36"/>
                <w:sz w:val="15"/>
              </w:rPr>
              <w:t>Total assets 31/12/2024</w:t>
            </w:r>
          </w:p>
        </w:tc>
      </w:tr>
      <w:tr>
        <w:tc>
          <w:tcPr>
            <w:tcW w:type="dxa" w:w="1656"/>
          </w:tcPr>
          <w:p>
            <w:pPr>
              <w:spacing w:after="20"/>
            </w:pPr>
            <w:r>
              <w:rPr>
                <w:color w:val="1C3A36"/>
                <w:sz w:val="15"/>
              </w:rPr>
              <w:t>assets fy25</w:t>
            </w:r>
          </w:p>
        </w:tc>
        <w:tc>
          <w:tcPr>
            <w:tcW w:type="dxa" w:w="1368"/>
          </w:tcPr>
          <w:p>
            <w:pPr>
              <w:spacing w:after="20"/>
            </w:pPr>
            <w:r>
              <w:rPr>
                <w:color w:val="1C3A36"/>
                <w:sz w:val="15"/>
              </w:rPr>
              <w:t>311,090.0</w:t>
            </w:r>
          </w:p>
        </w:tc>
        <w:tc>
          <w:tcPr>
            <w:tcW w:type="dxa" w:w="1037"/>
          </w:tcPr>
          <w:p>
            <w:pPr>
              <w:spacing w:after="20"/>
            </w:pPr>
            <w:r>
              <w:rPr>
                <w:color w:val="1C3A36"/>
                <w:sz w:val="15"/>
              </w:rPr>
              <w:t>2026-03</w:t>
            </w:r>
          </w:p>
        </w:tc>
        <w:tc>
          <w:tcPr>
            <w:tcW w:type="dxa" w:w="6019"/>
          </w:tcPr>
          <w:p>
            <w:pPr>
              <w:spacing w:after="20"/>
            </w:pPr>
            <w:r>
              <w:rPr>
                <w:color w:val="1C3A36"/>
                <w:sz w:val="15"/>
              </w:rPr>
              <w:t>Total assets EGP 311.09bn at 31 December 2025 (EGX filing coverage)</w:t>
            </w:r>
          </w:p>
        </w:tc>
      </w:tr>
      <w:tr>
        <w:tc>
          <w:tcPr>
            <w:tcW w:type="dxa" w:w="1656"/>
          </w:tcPr>
          <w:p>
            <w:pPr>
              <w:spacing w:after="20"/>
            </w:pPr>
            <w:r>
              <w:rPr>
                <w:color w:val="1C3A36"/>
                <w:sz w:val="15"/>
              </w:rPr>
              <w:t>debt fy23</w:t>
            </w:r>
          </w:p>
        </w:tc>
        <w:tc>
          <w:tcPr>
            <w:tcW w:type="dxa" w:w="1368"/>
          </w:tcPr>
          <w:p>
            <w:pPr>
              <w:spacing w:after="20"/>
            </w:pPr>
            <w:r>
              <w:rPr>
                <w:color w:val="1C3A36"/>
                <w:sz w:val="15"/>
              </w:rPr>
              <w:t>41,766.5</w:t>
            </w:r>
          </w:p>
        </w:tc>
        <w:tc>
          <w:tcPr>
            <w:tcW w:type="dxa" w:w="1037"/>
          </w:tcPr>
          <w:p>
            <w:pPr>
              <w:spacing w:after="20"/>
            </w:pPr>
            <w:r>
              <w:rPr>
                <w:color w:val="1C3A36"/>
                <w:sz w:val="15"/>
              </w:rPr>
              <w:t>2025-03-13</w:t>
            </w:r>
          </w:p>
        </w:tc>
        <w:tc>
          <w:tcPr>
            <w:tcW w:type="dxa" w:w="6019"/>
          </w:tcPr>
          <w:p>
            <w:pPr>
              <w:spacing w:after="20"/>
            </w:pPr>
            <w:r>
              <w:rPr>
                <w:color w:val="1C3A36"/>
                <w:sz w:val="15"/>
              </w:rPr>
              <w:t>Loans and borrowings, current 34,950.8 + non-current 6,815.7 (31/12/2023)</w:t>
            </w:r>
          </w:p>
        </w:tc>
      </w:tr>
      <w:tr>
        <w:tc>
          <w:tcPr>
            <w:tcW w:type="dxa" w:w="1656"/>
          </w:tcPr>
          <w:p>
            <w:pPr>
              <w:spacing w:after="20"/>
            </w:pPr>
            <w:r>
              <w:rPr>
                <w:color w:val="1C3A36"/>
                <w:sz w:val="15"/>
              </w:rPr>
              <w:t>debt fy24</w:t>
            </w:r>
          </w:p>
        </w:tc>
        <w:tc>
          <w:tcPr>
            <w:tcW w:type="dxa" w:w="1368"/>
          </w:tcPr>
          <w:p>
            <w:pPr>
              <w:spacing w:after="20"/>
            </w:pPr>
            <w:r>
              <w:rPr>
                <w:color w:val="1C3A36"/>
                <w:sz w:val="15"/>
              </w:rPr>
              <w:t>59,082.9</w:t>
            </w:r>
          </w:p>
        </w:tc>
        <w:tc>
          <w:tcPr>
            <w:tcW w:type="dxa" w:w="1037"/>
          </w:tcPr>
          <w:p>
            <w:pPr>
              <w:spacing w:after="20"/>
            </w:pPr>
            <w:r>
              <w:rPr>
                <w:color w:val="1C3A36"/>
                <w:sz w:val="15"/>
              </w:rPr>
              <w:t>2025-03-12</w:t>
            </w:r>
          </w:p>
        </w:tc>
        <w:tc>
          <w:tcPr>
            <w:tcW w:type="dxa" w:w="6019"/>
          </w:tcPr>
          <w:p>
            <w:pPr>
              <w:spacing w:after="20"/>
            </w:pPr>
            <w:r>
              <w:rPr>
                <w:color w:val="1C3A36"/>
                <w:sz w:val="15"/>
              </w:rPr>
              <w:t>Loans and borrowings, current 52,733.9 + non-current 6,349.0 (31/12/2024). Note 32 splits this into loans 18,747.3, bank credit facilities 40,049.5 and lease liabilities 286.1</w:t>
            </w:r>
          </w:p>
        </w:tc>
      </w:tr>
      <w:tr>
        <w:tc>
          <w:tcPr>
            <w:tcW w:type="dxa" w:w="1656"/>
          </w:tcPr>
          <w:p>
            <w:pPr>
              <w:spacing w:after="20"/>
            </w:pPr>
            <w:r>
              <w:rPr>
                <w:color w:val="1C3A36"/>
                <w:sz w:val="15"/>
              </w:rPr>
              <w:t>nd fy23</w:t>
            </w:r>
          </w:p>
        </w:tc>
        <w:tc>
          <w:tcPr>
            <w:tcW w:type="dxa" w:w="1368"/>
          </w:tcPr>
          <w:p>
            <w:pPr>
              <w:spacing w:after="20"/>
            </w:pPr>
            <w:r>
              <w:rPr>
                <w:color w:val="1C3A36"/>
                <w:sz w:val="15"/>
              </w:rPr>
              <w:t>14,768.0</w:t>
            </w:r>
          </w:p>
        </w:tc>
        <w:tc>
          <w:tcPr>
            <w:tcW w:type="dxa" w:w="1037"/>
          </w:tcPr>
          <w:p>
            <w:pPr>
              <w:spacing w:after="20"/>
            </w:pPr>
            <w:r>
              <w:rPr>
                <w:color w:val="1C3A36"/>
                <w:sz w:val="15"/>
              </w:rPr>
              <w:t>2025-03-13</w:t>
            </w:r>
          </w:p>
        </w:tc>
        <w:tc>
          <w:tcPr>
            <w:tcW w:type="dxa" w:w="6019"/>
          </w:tcPr>
          <w:p>
            <w:pPr>
              <w:spacing w:after="20"/>
            </w:pPr>
            <w:r>
              <w:rPr>
                <w:color w:val="1C3A36"/>
                <w:sz w:val="15"/>
              </w:rPr>
              <w:t>Net debt at 31 December 2023, stated in the FY2024 earnings release</w:t>
            </w:r>
          </w:p>
        </w:tc>
      </w:tr>
      <w:tr>
        <w:tc>
          <w:tcPr>
            <w:tcW w:type="dxa" w:w="1656"/>
          </w:tcPr>
          <w:p>
            <w:pPr>
              <w:spacing w:after="20"/>
            </w:pPr>
            <w:r>
              <w:rPr>
                <w:color w:val="1C3A36"/>
                <w:sz w:val="15"/>
              </w:rPr>
              <w:t>nd fy24</w:t>
            </w:r>
          </w:p>
        </w:tc>
        <w:tc>
          <w:tcPr>
            <w:tcW w:type="dxa" w:w="1368"/>
          </w:tcPr>
          <w:p>
            <w:pPr>
              <w:spacing w:after="20"/>
            </w:pPr>
            <w:r>
              <w:rPr>
                <w:color w:val="1C3A36"/>
                <w:sz w:val="15"/>
              </w:rPr>
              <w:t>20,028.0</w:t>
            </w:r>
          </w:p>
        </w:tc>
        <w:tc>
          <w:tcPr>
            <w:tcW w:type="dxa" w:w="1037"/>
          </w:tcPr>
          <w:p>
            <w:pPr>
              <w:spacing w:after="20"/>
            </w:pPr>
            <w:r>
              <w:rPr>
                <w:color w:val="1C3A36"/>
                <w:sz w:val="15"/>
              </w:rPr>
              <w:t>2025-03-13</w:t>
            </w:r>
          </w:p>
        </w:tc>
        <w:tc>
          <w:tcPr>
            <w:tcW w:type="dxa" w:w="6019"/>
          </w:tcPr>
          <w:p>
            <w:pPr>
              <w:spacing w:after="20"/>
            </w:pPr>
            <w:r>
              <w:rPr>
                <w:color w:val="1C3A36"/>
                <w:sz w:val="15"/>
              </w:rPr>
              <w:t>Net debt at 31 December 2024, stated in the FY2024 earnings release. The Q1-2025 release restates the same date as net BANK debt of 19,727 (leases excluded); the 301 difference is immaterial and the larger figure is carried</w:t>
            </w:r>
          </w:p>
        </w:tc>
      </w:tr>
      <w:tr>
        <w:tc>
          <w:tcPr>
            <w:tcW w:type="dxa" w:w="1656"/>
          </w:tcPr>
          <w:p>
            <w:pPr>
              <w:spacing w:after="20"/>
            </w:pPr>
            <w:r>
              <w:rPr>
                <w:color w:val="1C3A36"/>
                <w:sz w:val="15"/>
              </w:rPr>
              <w:t>nd fy25</w:t>
            </w:r>
          </w:p>
        </w:tc>
        <w:tc>
          <w:tcPr>
            <w:tcW w:type="dxa" w:w="1368"/>
          </w:tcPr>
          <w:p>
            <w:pPr>
              <w:spacing w:after="20"/>
            </w:pPr>
            <w:r>
              <w:rPr>
                <w:color w:val="1C3A36"/>
                <w:sz w:val="15"/>
              </w:rPr>
              <w:t>19,789.0</w:t>
            </w:r>
          </w:p>
        </w:tc>
        <w:tc>
          <w:tcPr>
            <w:tcW w:type="dxa" w:w="1037"/>
          </w:tcPr>
          <w:p>
            <w:pPr>
              <w:spacing w:after="20"/>
            </w:pPr>
            <w:r>
              <w:rPr>
                <w:color w:val="1C3A36"/>
                <w:sz w:val="15"/>
              </w:rPr>
              <w:t>2026-03</w:t>
            </w:r>
          </w:p>
        </w:tc>
        <w:tc>
          <w:tcPr>
            <w:tcW w:type="dxa" w:w="6019"/>
          </w:tcPr>
          <w:p>
            <w:pPr>
              <w:spacing w:after="20"/>
            </w:pPr>
            <w:r>
              <w:rPr>
                <w:color w:val="1C3A36"/>
                <w:sz w:val="15"/>
              </w:rPr>
              <w:t>Net bank debt EGP 19,789mn at 31 December 2025, stated in the Q4-2025 earnings release ('remained almost flat')</w:t>
            </w:r>
          </w:p>
        </w:tc>
      </w:tr>
      <w:tr>
        <w:tc>
          <w:tcPr>
            <w:tcW w:type="dxa" w:w="1656"/>
          </w:tcPr>
          <w:p>
            <w:pPr>
              <w:spacing w:after="20"/>
            </w:pPr>
            <w:r>
              <w:rPr>
                <w:color w:val="1C3A36"/>
                <w:sz w:val="15"/>
              </w:rPr>
              <w:t>eqp fy23</w:t>
            </w:r>
          </w:p>
        </w:tc>
        <w:tc>
          <w:tcPr>
            <w:tcW w:type="dxa" w:w="1368"/>
          </w:tcPr>
          <w:p>
            <w:pPr>
              <w:spacing w:after="20"/>
            </w:pPr>
            <w:r>
              <w:rPr>
                <w:color w:val="1C3A36"/>
                <w:sz w:val="15"/>
              </w:rPr>
              <w:t>35,724.5</w:t>
            </w:r>
          </w:p>
        </w:tc>
        <w:tc>
          <w:tcPr>
            <w:tcW w:type="dxa" w:w="1037"/>
          </w:tcPr>
          <w:p>
            <w:pPr>
              <w:spacing w:after="20"/>
            </w:pPr>
            <w:r>
              <w:rPr>
                <w:color w:val="1C3A36"/>
                <w:sz w:val="15"/>
              </w:rPr>
              <w:t>2025-03-13</w:t>
            </w:r>
          </w:p>
        </w:tc>
        <w:tc>
          <w:tcPr>
            <w:tcW w:type="dxa" w:w="6019"/>
          </w:tcPr>
          <w:p>
            <w:pPr>
              <w:spacing w:after="20"/>
            </w:pPr>
            <w:r>
              <w:rPr>
                <w:color w:val="1C3A36"/>
                <w:sz w:val="15"/>
              </w:rPr>
              <w:t>Equity attributable to owners of the parent 31/12/2023</w:t>
            </w:r>
          </w:p>
        </w:tc>
      </w:tr>
      <w:tr>
        <w:tc>
          <w:tcPr>
            <w:tcW w:type="dxa" w:w="1656"/>
          </w:tcPr>
          <w:p>
            <w:pPr>
              <w:spacing w:after="20"/>
            </w:pPr>
            <w:r>
              <w:rPr>
                <w:color w:val="1C3A36"/>
                <w:sz w:val="15"/>
              </w:rPr>
              <w:t>eqp fy24</w:t>
            </w:r>
          </w:p>
        </w:tc>
        <w:tc>
          <w:tcPr>
            <w:tcW w:type="dxa" w:w="1368"/>
          </w:tcPr>
          <w:p>
            <w:pPr>
              <w:spacing w:after="20"/>
            </w:pPr>
            <w:r>
              <w:rPr>
                <w:color w:val="1C3A36"/>
                <w:sz w:val="15"/>
              </w:rPr>
              <w:t>55,274.9</w:t>
            </w:r>
          </w:p>
        </w:tc>
        <w:tc>
          <w:tcPr>
            <w:tcW w:type="dxa" w:w="1037"/>
          </w:tcPr>
          <w:p>
            <w:pPr>
              <w:spacing w:after="20"/>
            </w:pPr>
            <w:r>
              <w:rPr>
                <w:color w:val="1C3A36"/>
                <w:sz w:val="15"/>
              </w:rPr>
              <w:t>2025-03-13</w:t>
            </w:r>
          </w:p>
        </w:tc>
        <w:tc>
          <w:tcPr>
            <w:tcW w:type="dxa" w:w="6019"/>
          </w:tcPr>
          <w:p>
            <w:pPr>
              <w:spacing w:after="20"/>
            </w:pPr>
            <w:r>
              <w:rPr>
                <w:color w:val="1C3A36"/>
                <w:sz w:val="15"/>
              </w:rPr>
              <w:t>Equity attributable to owners of the parent 31/12/2024</w:t>
            </w:r>
          </w:p>
        </w:tc>
      </w:tr>
      <w:tr>
        <w:tc>
          <w:tcPr>
            <w:tcW w:type="dxa" w:w="1656"/>
          </w:tcPr>
          <w:p>
            <w:pPr>
              <w:spacing w:after="20"/>
            </w:pPr>
            <w:r>
              <w:rPr>
                <w:color w:val="1C3A36"/>
                <w:sz w:val="15"/>
              </w:rPr>
              <w:t>nci fy23</w:t>
            </w:r>
          </w:p>
        </w:tc>
        <w:tc>
          <w:tcPr>
            <w:tcW w:type="dxa" w:w="1368"/>
          </w:tcPr>
          <w:p>
            <w:pPr>
              <w:spacing w:after="20"/>
            </w:pPr>
            <w:r>
              <w:rPr>
                <w:color w:val="1C3A36"/>
                <w:sz w:val="15"/>
              </w:rPr>
              <w:t>2,384.0</w:t>
            </w:r>
          </w:p>
        </w:tc>
        <w:tc>
          <w:tcPr>
            <w:tcW w:type="dxa" w:w="1037"/>
          </w:tcPr>
          <w:p>
            <w:pPr>
              <w:spacing w:after="20"/>
            </w:pPr>
            <w:r>
              <w:rPr>
                <w:color w:val="1C3A36"/>
                <w:sz w:val="15"/>
              </w:rPr>
              <w:t>2025-03-13</w:t>
            </w:r>
          </w:p>
        </w:tc>
        <w:tc>
          <w:tcPr>
            <w:tcW w:type="dxa" w:w="6019"/>
          </w:tcPr>
          <w:p>
            <w:pPr>
              <w:spacing w:after="20"/>
            </w:pPr>
            <w:r>
              <w:rPr>
                <w:color w:val="1C3A36"/>
                <w:sz w:val="15"/>
              </w:rPr>
              <w:t>Non-controlling interests 31/12/2023</w:t>
            </w:r>
          </w:p>
        </w:tc>
      </w:tr>
      <w:tr>
        <w:tc>
          <w:tcPr>
            <w:tcW w:type="dxa" w:w="1656"/>
          </w:tcPr>
          <w:p>
            <w:pPr>
              <w:spacing w:after="20"/>
            </w:pPr>
            <w:r>
              <w:rPr>
                <w:color w:val="1C3A36"/>
                <w:sz w:val="15"/>
              </w:rPr>
              <w:t>nci fy24</w:t>
            </w:r>
          </w:p>
        </w:tc>
        <w:tc>
          <w:tcPr>
            <w:tcW w:type="dxa" w:w="1368"/>
          </w:tcPr>
          <w:p>
            <w:pPr>
              <w:spacing w:after="20"/>
            </w:pPr>
            <w:r>
              <w:rPr>
                <w:color w:val="1C3A36"/>
                <w:sz w:val="15"/>
              </w:rPr>
              <w:t>4,251.8</w:t>
            </w:r>
          </w:p>
        </w:tc>
        <w:tc>
          <w:tcPr>
            <w:tcW w:type="dxa" w:w="1037"/>
          </w:tcPr>
          <w:p>
            <w:pPr>
              <w:spacing w:after="20"/>
            </w:pPr>
            <w:r>
              <w:rPr>
                <w:color w:val="1C3A36"/>
                <w:sz w:val="15"/>
              </w:rPr>
              <w:t>2025-03-13</w:t>
            </w:r>
          </w:p>
        </w:tc>
        <w:tc>
          <w:tcPr>
            <w:tcW w:type="dxa" w:w="6019"/>
          </w:tcPr>
          <w:p>
            <w:pPr>
              <w:spacing w:after="20"/>
            </w:pPr>
            <w:r>
              <w:rPr>
                <w:color w:val="1C3A36"/>
                <w:sz w:val="15"/>
              </w:rPr>
              <w:t>Non-controlling interests 31/12/2024</w:t>
            </w:r>
          </w:p>
        </w:tc>
      </w:tr>
      <w:tr>
        <w:tc>
          <w:tcPr>
            <w:tcW w:type="dxa" w:w="1656"/>
          </w:tcPr>
          <w:p>
            <w:pPr>
              <w:spacing w:after="20"/>
            </w:pPr>
            <w:r>
              <w:rPr>
                <w:color w:val="1C3A36"/>
                <w:sz w:val="15"/>
              </w:rPr>
              <w:t>assoc bv fy24</w:t>
            </w:r>
          </w:p>
        </w:tc>
        <w:tc>
          <w:tcPr>
            <w:tcW w:type="dxa" w:w="1368"/>
          </w:tcPr>
          <w:p>
            <w:pPr>
              <w:spacing w:after="20"/>
            </w:pPr>
            <w:r>
              <w:rPr>
                <w:color w:val="1C3A36"/>
                <w:sz w:val="15"/>
              </w:rPr>
              <w:t>6,474.0</w:t>
            </w:r>
          </w:p>
        </w:tc>
        <w:tc>
          <w:tcPr>
            <w:tcW w:type="dxa" w:w="1037"/>
          </w:tcPr>
          <w:p>
            <w:pPr>
              <w:spacing w:after="20"/>
            </w:pPr>
            <w:r>
              <w:rPr>
                <w:color w:val="1C3A36"/>
                <w:sz w:val="15"/>
              </w:rPr>
              <w:t>2025-03-13</w:t>
            </w:r>
          </w:p>
        </w:tc>
        <w:tc>
          <w:tcPr>
            <w:tcW w:type="dxa" w:w="6019"/>
          </w:tcPr>
          <w:p>
            <w:pPr>
              <w:spacing w:after="20"/>
            </w:pPr>
            <w:r>
              <w:rPr>
                <w:color w:val="1C3A36"/>
                <w:sz w:val="15"/>
              </w:rPr>
              <w:t>Equity-accounted investees (carrying value) 31/12/2024</w:t>
            </w:r>
          </w:p>
        </w:tc>
      </w:tr>
      <w:tr>
        <w:tc>
          <w:tcPr>
            <w:tcW w:type="dxa" w:w="1656"/>
          </w:tcPr>
          <w:p>
            <w:pPr>
              <w:spacing w:after="20"/>
            </w:pPr>
            <w:r>
              <w:rPr>
                <w:color w:val="1C3A36"/>
                <w:sz w:val="15"/>
              </w:rPr>
              <w:t>intang fy24</w:t>
            </w:r>
          </w:p>
        </w:tc>
        <w:tc>
          <w:tcPr>
            <w:tcW w:type="dxa" w:w="1368"/>
          </w:tcPr>
          <w:p>
            <w:pPr>
              <w:spacing w:after="20"/>
            </w:pPr>
            <w:r>
              <w:rPr>
                <w:color w:val="1C3A36"/>
                <w:sz w:val="15"/>
              </w:rPr>
              <w:t>1,459.2</w:t>
            </w:r>
          </w:p>
        </w:tc>
        <w:tc>
          <w:tcPr>
            <w:tcW w:type="dxa" w:w="1037"/>
          </w:tcPr>
          <w:p>
            <w:pPr>
              <w:spacing w:after="20"/>
            </w:pPr>
            <w:r>
              <w:rPr>
                <w:color w:val="1C3A36"/>
                <w:sz w:val="15"/>
              </w:rPr>
              <w:t>2025-03-13</w:t>
            </w:r>
          </w:p>
        </w:tc>
        <w:tc>
          <w:tcPr>
            <w:tcW w:type="dxa" w:w="6019"/>
          </w:tcPr>
          <w:p>
            <w:pPr>
              <w:spacing w:after="20"/>
            </w:pPr>
            <w:r>
              <w:rPr>
                <w:color w:val="1C3A36"/>
                <w:sz w:val="15"/>
              </w:rPr>
              <w:t>Intangible assets and goodwill 31/12/2024</w:t>
            </w:r>
          </w:p>
        </w:tc>
      </w:tr>
      <w:tr>
        <w:tc>
          <w:tcPr>
            <w:tcW w:type="dxa" w:w="1656"/>
          </w:tcPr>
          <w:p>
            <w:pPr>
              <w:spacing w:after="20"/>
            </w:pPr>
            <w:r>
              <w:rPr>
                <w:color w:val="1C3A36"/>
                <w:sz w:val="15"/>
              </w:rPr>
              <w:t>dps fy24</w:t>
            </w:r>
          </w:p>
        </w:tc>
        <w:tc>
          <w:tcPr>
            <w:tcW w:type="dxa" w:w="1368"/>
          </w:tcPr>
          <w:p>
            <w:pPr>
              <w:spacing w:after="20"/>
            </w:pPr>
            <w:r>
              <w:rPr>
                <w:color w:val="1C3A36"/>
                <w:sz w:val="15"/>
              </w:rPr>
              <w:t>1</w:t>
            </w:r>
          </w:p>
        </w:tc>
        <w:tc>
          <w:tcPr>
            <w:tcW w:type="dxa" w:w="1037"/>
          </w:tcPr>
          <w:p>
            <w:pPr>
              <w:spacing w:after="20"/>
            </w:pPr>
            <w:r>
              <w:rPr>
                <w:color w:val="1C3A36"/>
                <w:sz w:val="15"/>
              </w:rPr>
              <w:t>2025-03-13</w:t>
            </w:r>
          </w:p>
        </w:tc>
        <w:tc>
          <w:tcPr>
            <w:tcW w:type="dxa" w:w="6019"/>
          </w:tcPr>
          <w:p>
            <w:pPr>
              <w:spacing w:after="20"/>
            </w:pPr>
            <w:r>
              <w:rPr>
                <w:color w:val="1C3A36"/>
                <w:sz w:val="15"/>
              </w:rPr>
              <w:t>Board proposed a dividend of EGP 1.00 per share on the FY2024 result (CEO statement, FY2024 earnings release); shareholder dividends of 2,176.0 were paid in the FY2024 cash flow statement for the prior year</w:t>
            </w:r>
          </w:p>
        </w:tc>
      </w:tr>
      <w:tr>
        <w:tc>
          <w:tcPr>
            <w:tcW w:type="dxa" w:w="1656"/>
          </w:tcPr>
          <w:p>
            <w:pPr>
              <w:spacing w:after="20"/>
            </w:pPr>
            <w:r>
              <w:rPr>
                <w:color w:val="1C3A36"/>
                <w:sz w:val="15"/>
              </w:rPr>
              <w:t>capex fy23</w:t>
            </w:r>
          </w:p>
        </w:tc>
        <w:tc>
          <w:tcPr>
            <w:tcW w:type="dxa" w:w="1368"/>
          </w:tcPr>
          <w:p>
            <w:pPr>
              <w:spacing w:after="20"/>
            </w:pPr>
            <w:r>
              <w:rPr>
                <w:color w:val="1C3A36"/>
                <w:sz w:val="15"/>
              </w:rPr>
              <w:t>4,830.0</w:t>
            </w:r>
          </w:p>
        </w:tc>
        <w:tc>
          <w:tcPr>
            <w:tcW w:type="dxa" w:w="1037"/>
          </w:tcPr>
          <w:p>
            <w:pPr>
              <w:spacing w:after="20"/>
            </w:pPr>
            <w:r>
              <w:rPr>
                <w:color w:val="1C3A36"/>
                <w:sz w:val="15"/>
              </w:rPr>
              <w:t>2025-03-12</w:t>
            </w:r>
          </w:p>
        </w:tc>
        <w:tc>
          <w:tcPr>
            <w:tcW w:type="dxa" w:w="6019"/>
          </w:tcPr>
          <w:p>
            <w:pPr>
              <w:spacing w:after="20"/>
            </w:pPr>
            <w:r>
              <w:rPr>
                <w:color w:val="1C3A36"/>
                <w:sz w:val="15"/>
              </w:rPr>
              <w:t>Audited FY2024 cash flow (2023 column): PP&amp;E and projects under construction 4,748.6 + intangibles 81.4</w:t>
            </w:r>
          </w:p>
        </w:tc>
      </w:tr>
      <w:tr>
        <w:tc>
          <w:tcPr>
            <w:tcW w:type="dxa" w:w="1656"/>
          </w:tcPr>
          <w:p>
            <w:pPr>
              <w:spacing w:after="20"/>
            </w:pPr>
            <w:r>
              <w:rPr>
                <w:color w:val="1C3A36"/>
                <w:sz w:val="15"/>
              </w:rPr>
              <w:t>capex fy24</w:t>
            </w:r>
          </w:p>
        </w:tc>
        <w:tc>
          <w:tcPr>
            <w:tcW w:type="dxa" w:w="1368"/>
          </w:tcPr>
          <w:p>
            <w:pPr>
              <w:spacing w:after="20"/>
            </w:pPr>
            <w:r>
              <w:rPr>
                <w:color w:val="1C3A36"/>
                <w:sz w:val="15"/>
              </w:rPr>
              <w:t>8,765.7</w:t>
            </w:r>
          </w:p>
        </w:tc>
        <w:tc>
          <w:tcPr>
            <w:tcW w:type="dxa" w:w="1037"/>
          </w:tcPr>
          <w:p>
            <w:pPr>
              <w:spacing w:after="20"/>
            </w:pPr>
            <w:r>
              <w:rPr>
                <w:color w:val="1C3A36"/>
                <w:sz w:val="15"/>
              </w:rPr>
              <w:t>2025-03-12</w:t>
            </w:r>
          </w:p>
        </w:tc>
        <w:tc>
          <w:tcPr>
            <w:tcW w:type="dxa" w:w="6019"/>
          </w:tcPr>
          <w:p>
            <w:pPr>
              <w:spacing w:after="20"/>
            </w:pPr>
            <w:r>
              <w:rPr>
                <w:color w:val="1C3A36"/>
                <w:sz w:val="15"/>
              </w:rPr>
              <w:t>Audited FY2024 cash flow: PP&amp;E and projects under construction 8,489.8 + intangibles 275.9</w:t>
            </w:r>
          </w:p>
        </w:tc>
      </w:tr>
      <w:tr>
        <w:tc>
          <w:tcPr>
            <w:tcW w:type="dxa" w:w="1656"/>
          </w:tcPr>
          <w:p>
            <w:pPr>
              <w:spacing w:after="20"/>
            </w:pPr>
            <w:r>
              <w:rPr>
                <w:color w:val="1C3A36"/>
                <w:sz w:val="15"/>
              </w:rPr>
              <w:t>int paid fy24</w:t>
            </w:r>
          </w:p>
        </w:tc>
        <w:tc>
          <w:tcPr>
            <w:tcW w:type="dxa" w:w="1368"/>
          </w:tcPr>
          <w:p>
            <w:pPr>
              <w:spacing w:after="20"/>
            </w:pPr>
            <w:r>
              <w:rPr>
                <w:color w:val="1C3A36"/>
                <w:sz w:val="15"/>
              </w:rPr>
              <w:t>7,706.9</w:t>
            </w:r>
          </w:p>
        </w:tc>
        <w:tc>
          <w:tcPr>
            <w:tcW w:type="dxa" w:w="1037"/>
          </w:tcPr>
          <w:p>
            <w:pPr>
              <w:spacing w:after="20"/>
            </w:pPr>
            <w:r>
              <w:rPr>
                <w:color w:val="1C3A36"/>
                <w:sz w:val="15"/>
              </w:rPr>
              <w:t>2025-03-12</w:t>
            </w:r>
          </w:p>
        </w:tc>
        <w:tc>
          <w:tcPr>
            <w:tcW w:type="dxa" w:w="6019"/>
          </w:tcPr>
          <w:p>
            <w:pPr>
              <w:spacing w:after="20"/>
            </w:pPr>
            <w:r>
              <w:rPr>
                <w:color w:val="1C3A36"/>
                <w:sz w:val="15"/>
              </w:rPr>
              <w:t>Interest paid, audited FY2024 consolidated statement of cash flows</w:t>
            </w:r>
          </w:p>
        </w:tc>
      </w:tr>
      <w:tr>
        <w:tc>
          <w:tcPr>
            <w:tcW w:type="dxa" w:w="1656"/>
          </w:tcPr>
          <w:p>
            <w:pPr>
              <w:spacing w:after="20"/>
            </w:pPr>
            <w:r>
              <w:rPr>
                <w:color w:val="1C3A36"/>
                <w:sz w:val="15"/>
              </w:rPr>
              <w:t>tax paid fy24</w:t>
            </w:r>
          </w:p>
        </w:tc>
        <w:tc>
          <w:tcPr>
            <w:tcW w:type="dxa" w:w="1368"/>
          </w:tcPr>
          <w:p>
            <w:pPr>
              <w:spacing w:after="20"/>
            </w:pPr>
            <w:r>
              <w:rPr>
                <w:color w:val="1C3A36"/>
                <w:sz w:val="15"/>
              </w:rPr>
              <w:t>4,891.0</w:t>
            </w:r>
          </w:p>
        </w:tc>
        <w:tc>
          <w:tcPr>
            <w:tcW w:type="dxa" w:w="1037"/>
          </w:tcPr>
          <w:p>
            <w:pPr>
              <w:spacing w:after="20"/>
            </w:pPr>
            <w:r>
              <w:rPr>
                <w:color w:val="1C3A36"/>
                <w:sz w:val="15"/>
              </w:rPr>
              <w:t>2025-03-12</w:t>
            </w:r>
          </w:p>
        </w:tc>
        <w:tc>
          <w:tcPr>
            <w:tcW w:type="dxa" w:w="6019"/>
          </w:tcPr>
          <w:p>
            <w:pPr>
              <w:spacing w:after="20"/>
            </w:pPr>
            <w:r>
              <w:rPr>
                <w:color w:val="1C3A36"/>
                <w:sz w:val="15"/>
              </w:rPr>
              <w:t>Income tax paid, audited FY2024 consolidated statement of cash flows</w:t>
            </w:r>
          </w:p>
        </w:tc>
      </w:tr>
      <w:tr>
        <w:tc>
          <w:tcPr>
            <w:tcW w:type="dxa" w:w="1656"/>
          </w:tcPr>
          <w:p>
            <w:pPr>
              <w:spacing w:after="20"/>
            </w:pPr>
            <w:r>
              <w:rPr>
                <w:color w:val="1C3A36"/>
                <w:sz w:val="15"/>
              </w:rPr>
              <w:t>ocf fy24</w:t>
            </w:r>
          </w:p>
        </w:tc>
        <w:tc>
          <w:tcPr>
            <w:tcW w:type="dxa" w:w="1368"/>
          </w:tcPr>
          <w:p>
            <w:pPr>
              <w:spacing w:after="20"/>
            </w:pPr>
            <w:r>
              <w:rPr>
                <w:color w:val="1C3A36"/>
                <w:sz w:val="15"/>
              </w:rPr>
              <w:t>3,979.4</w:t>
            </w:r>
          </w:p>
        </w:tc>
        <w:tc>
          <w:tcPr>
            <w:tcW w:type="dxa" w:w="1037"/>
          </w:tcPr>
          <w:p>
            <w:pPr>
              <w:spacing w:after="20"/>
            </w:pPr>
            <w:r>
              <w:rPr>
                <w:color w:val="1C3A36"/>
                <w:sz w:val="15"/>
              </w:rPr>
              <w:t>2025-03-12</w:t>
            </w:r>
          </w:p>
        </w:tc>
        <w:tc>
          <w:tcPr>
            <w:tcW w:type="dxa" w:w="6019"/>
          </w:tcPr>
          <w:p>
            <w:pPr>
              <w:spacing w:after="20"/>
            </w:pPr>
            <w:r>
              <w:rPr>
                <w:color w:val="1C3A36"/>
                <w:sz w:val="15"/>
              </w:rPr>
              <w:t>Net cash flows from operating activities FY2024 (after interest and tax) — only 3,979 against EBITDA of 31,602, the working-capital absorption in one number</w:t>
            </w:r>
          </w:p>
        </w:tc>
      </w:tr>
      <w:tr>
        <w:tc>
          <w:tcPr>
            <w:tcW w:type="dxa" w:w="1656"/>
          </w:tcPr>
          <w:p>
            <w:pPr>
              <w:spacing w:after="20"/>
            </w:pPr>
            <w:r>
              <w:rPr>
                <w:color w:val="1C3A36"/>
                <w:sz w:val="15"/>
              </w:rPr>
              <w:t>q1 25 rev</w:t>
            </w:r>
          </w:p>
        </w:tc>
        <w:tc>
          <w:tcPr>
            <w:tcW w:type="dxa" w:w="1368"/>
          </w:tcPr>
          <w:p>
            <w:pPr>
              <w:spacing w:after="20"/>
            </w:pPr>
            <w:r>
              <w:rPr>
                <w:color w:val="1C3A36"/>
                <w:sz w:val="15"/>
              </w:rPr>
              <w:t>59,391.5</w:t>
            </w:r>
          </w:p>
        </w:tc>
        <w:tc>
          <w:tcPr>
            <w:tcW w:type="dxa" w:w="1037"/>
          </w:tcPr>
          <w:p>
            <w:pPr>
              <w:spacing w:after="20"/>
            </w:pPr>
            <w:r>
              <w:rPr>
                <w:color w:val="1C3A36"/>
                <w:sz w:val="15"/>
              </w:rPr>
              <w:t>2025-05-26</w:t>
            </w:r>
          </w:p>
        </w:tc>
        <w:tc>
          <w:tcPr>
            <w:tcW w:type="dxa" w:w="6019"/>
          </w:tcPr>
          <w:p>
            <w:pPr>
              <w:spacing w:after="20"/>
            </w:pPr>
            <w:r>
              <w:rPr>
                <w:color w:val="1C3A36"/>
                <w:sz w:val="15"/>
              </w:rPr>
              <w:t>Condensed consolidated interim statement of profit or loss, 3M to 31-Mar-2025</w:t>
            </w:r>
          </w:p>
        </w:tc>
      </w:tr>
      <w:tr>
        <w:tc>
          <w:tcPr>
            <w:tcW w:type="dxa" w:w="1656"/>
          </w:tcPr>
          <w:p>
            <w:pPr>
              <w:spacing w:after="20"/>
            </w:pPr>
            <w:r>
              <w:rPr>
                <w:color w:val="1C3A36"/>
                <w:sz w:val="15"/>
              </w:rPr>
              <w:t>q1 25 gp</w:t>
            </w:r>
          </w:p>
        </w:tc>
        <w:tc>
          <w:tcPr>
            <w:tcW w:type="dxa" w:w="1368"/>
          </w:tcPr>
          <w:p>
            <w:pPr>
              <w:spacing w:after="20"/>
            </w:pPr>
            <w:r>
              <w:rPr>
                <w:color w:val="1C3A36"/>
                <w:sz w:val="15"/>
              </w:rPr>
              <w:t>9,973.7</w:t>
            </w:r>
          </w:p>
        </w:tc>
        <w:tc>
          <w:tcPr>
            <w:tcW w:type="dxa" w:w="1037"/>
          </w:tcPr>
          <w:p>
            <w:pPr>
              <w:spacing w:after="20"/>
            </w:pPr>
            <w:r>
              <w:rPr>
                <w:color w:val="1C3A36"/>
                <w:sz w:val="15"/>
              </w:rPr>
              <w:t>2025-05-26</w:t>
            </w:r>
          </w:p>
        </w:tc>
        <w:tc>
          <w:tcPr>
            <w:tcW w:type="dxa" w:w="6019"/>
          </w:tcPr>
          <w:p>
            <w:pPr>
              <w:spacing w:after="20"/>
            </w:pPr>
            <w:r>
              <w:rPr>
                <w:color w:val="1C3A36"/>
                <w:sz w:val="15"/>
              </w:rPr>
              <w:t>Gross profit, Q1-2025 interim statements</w:t>
            </w:r>
          </w:p>
        </w:tc>
      </w:tr>
      <w:tr>
        <w:tc>
          <w:tcPr>
            <w:tcW w:type="dxa" w:w="1656"/>
          </w:tcPr>
          <w:p>
            <w:pPr>
              <w:spacing w:after="20"/>
            </w:pPr>
            <w:r>
              <w:rPr>
                <w:color w:val="1C3A36"/>
                <w:sz w:val="15"/>
              </w:rPr>
              <w:t>q1 25 op</w:t>
            </w:r>
          </w:p>
        </w:tc>
        <w:tc>
          <w:tcPr>
            <w:tcW w:type="dxa" w:w="1368"/>
          </w:tcPr>
          <w:p>
            <w:pPr>
              <w:spacing w:after="20"/>
            </w:pPr>
            <w:r>
              <w:rPr>
                <w:color w:val="1C3A36"/>
                <w:sz w:val="15"/>
              </w:rPr>
              <w:t>6,503.9</w:t>
            </w:r>
          </w:p>
        </w:tc>
        <w:tc>
          <w:tcPr>
            <w:tcW w:type="dxa" w:w="1037"/>
          </w:tcPr>
          <w:p>
            <w:pPr>
              <w:spacing w:after="20"/>
            </w:pPr>
            <w:r>
              <w:rPr>
                <w:color w:val="1C3A36"/>
                <w:sz w:val="15"/>
              </w:rPr>
              <w:t>2025-05-26</w:t>
            </w:r>
          </w:p>
        </w:tc>
        <w:tc>
          <w:tcPr>
            <w:tcW w:type="dxa" w:w="6019"/>
          </w:tcPr>
          <w:p>
            <w:pPr>
              <w:spacing w:after="20"/>
            </w:pPr>
            <w:r>
              <w:rPr>
                <w:color w:val="1C3A36"/>
                <w:sz w:val="15"/>
              </w:rPr>
              <w:t>Operating profit, Q1-2025 interim statements</w:t>
            </w:r>
          </w:p>
        </w:tc>
      </w:tr>
      <w:tr>
        <w:tc>
          <w:tcPr>
            <w:tcW w:type="dxa" w:w="1656"/>
          </w:tcPr>
          <w:p>
            <w:pPr>
              <w:spacing w:after="20"/>
            </w:pPr>
            <w:r>
              <w:rPr>
                <w:color w:val="1C3A36"/>
                <w:sz w:val="15"/>
              </w:rPr>
              <w:t>q1 25 ebitda</w:t>
            </w:r>
          </w:p>
        </w:tc>
        <w:tc>
          <w:tcPr>
            <w:tcW w:type="dxa" w:w="1368"/>
          </w:tcPr>
          <w:p>
            <w:pPr>
              <w:spacing w:after="20"/>
            </w:pPr>
            <w:r>
              <w:rPr>
                <w:color w:val="1C3A36"/>
                <w:sz w:val="15"/>
              </w:rPr>
              <w:t>7,488.8</w:t>
            </w:r>
          </w:p>
        </w:tc>
        <w:tc>
          <w:tcPr>
            <w:tcW w:type="dxa" w:w="1037"/>
          </w:tcPr>
          <w:p>
            <w:pPr>
              <w:spacing w:after="20"/>
            </w:pPr>
            <w:r>
              <w:rPr>
                <w:color w:val="1C3A36"/>
                <w:sz w:val="15"/>
              </w:rPr>
              <w:t>2025-05-26</w:t>
            </w:r>
          </w:p>
        </w:tc>
        <w:tc>
          <w:tcPr>
            <w:tcW w:type="dxa" w:w="6019"/>
          </w:tcPr>
          <w:p>
            <w:pPr>
              <w:spacing w:after="20"/>
            </w:pPr>
            <w:r>
              <w:rPr>
                <w:color w:val="1C3A36"/>
                <w:sz w:val="15"/>
              </w:rPr>
              <w:t>EBITDA, Q1-2025 earnings release (12.6% margin)</w:t>
            </w:r>
          </w:p>
        </w:tc>
      </w:tr>
      <w:tr>
        <w:tc>
          <w:tcPr>
            <w:tcW w:type="dxa" w:w="1656"/>
          </w:tcPr>
          <w:p>
            <w:pPr>
              <w:spacing w:after="20"/>
            </w:pPr>
            <w:r>
              <w:rPr>
                <w:color w:val="1C3A36"/>
                <w:sz w:val="15"/>
              </w:rPr>
              <w:t>q1 25 npa</w:t>
            </w:r>
          </w:p>
        </w:tc>
        <w:tc>
          <w:tcPr>
            <w:tcW w:type="dxa" w:w="1368"/>
          </w:tcPr>
          <w:p>
            <w:pPr>
              <w:spacing w:after="20"/>
            </w:pPr>
            <w:r>
              <w:rPr>
                <w:color w:val="1C3A36"/>
                <w:sz w:val="15"/>
              </w:rPr>
              <w:t>4,146.4</w:t>
            </w:r>
          </w:p>
        </w:tc>
        <w:tc>
          <w:tcPr>
            <w:tcW w:type="dxa" w:w="1037"/>
          </w:tcPr>
          <w:p>
            <w:pPr>
              <w:spacing w:after="20"/>
            </w:pPr>
            <w:r>
              <w:rPr>
                <w:color w:val="1C3A36"/>
                <w:sz w:val="15"/>
              </w:rPr>
              <w:t>2025-05-26</w:t>
            </w:r>
          </w:p>
        </w:tc>
        <w:tc>
          <w:tcPr>
            <w:tcW w:type="dxa" w:w="6019"/>
          </w:tcPr>
          <w:p>
            <w:pPr>
              <w:spacing w:after="20"/>
            </w:pPr>
            <w:r>
              <w:rPr>
                <w:color w:val="1C3A36"/>
                <w:sz w:val="15"/>
              </w:rPr>
              <w:t>Profit attributable to owners of the parent, Q1-2025</w:t>
            </w:r>
          </w:p>
        </w:tc>
      </w:tr>
      <w:tr>
        <w:tc>
          <w:tcPr>
            <w:tcW w:type="dxa" w:w="1656"/>
          </w:tcPr>
          <w:p>
            <w:pPr>
              <w:spacing w:after="20"/>
            </w:pPr>
            <w:r>
              <w:rPr>
                <w:color w:val="1C3A36"/>
                <w:sz w:val="15"/>
              </w:rPr>
              <w:t>q1 25 fincost</w:t>
            </w:r>
          </w:p>
        </w:tc>
        <w:tc>
          <w:tcPr>
            <w:tcW w:type="dxa" w:w="1368"/>
          </w:tcPr>
          <w:p>
            <w:pPr>
              <w:spacing w:after="20"/>
            </w:pPr>
            <w:r>
              <w:rPr>
                <w:color w:val="1C3A36"/>
                <w:sz w:val="15"/>
              </w:rPr>
              <w:t>1,745.6</w:t>
            </w:r>
          </w:p>
        </w:tc>
        <w:tc>
          <w:tcPr>
            <w:tcW w:type="dxa" w:w="1037"/>
          </w:tcPr>
          <w:p>
            <w:pPr>
              <w:spacing w:after="20"/>
            </w:pPr>
            <w:r>
              <w:rPr>
                <w:color w:val="1C3A36"/>
                <w:sz w:val="15"/>
              </w:rPr>
              <w:t>2025-05-26</w:t>
            </w:r>
          </w:p>
        </w:tc>
        <w:tc>
          <w:tcPr>
            <w:tcW w:type="dxa" w:w="6019"/>
          </w:tcPr>
          <w:p>
            <w:pPr>
              <w:spacing w:after="20"/>
            </w:pPr>
            <w:r>
              <w:rPr>
                <w:color w:val="1C3A36"/>
                <w:sz w:val="15"/>
              </w:rPr>
              <w:t>Finance costs (gross), Q1-2025 interim statements</w:t>
            </w:r>
          </w:p>
        </w:tc>
      </w:tr>
      <w:tr>
        <w:tc>
          <w:tcPr>
            <w:tcW w:type="dxa" w:w="1656"/>
          </w:tcPr>
          <w:p>
            <w:pPr>
              <w:spacing w:after="20"/>
            </w:pPr>
            <w:r>
              <w:rPr>
                <w:color w:val="1C3A36"/>
                <w:sz w:val="15"/>
              </w:rPr>
              <w:t>q1 25 netfin</w:t>
            </w:r>
          </w:p>
        </w:tc>
        <w:tc>
          <w:tcPr>
            <w:tcW w:type="dxa" w:w="1368"/>
          </w:tcPr>
          <w:p>
            <w:pPr>
              <w:spacing w:after="20"/>
            </w:pPr>
            <w:r>
              <w:rPr>
                <w:color w:val="1C3A36"/>
                <w:sz w:val="15"/>
              </w:rPr>
              <w:t>-755.7</w:t>
            </w:r>
          </w:p>
        </w:tc>
        <w:tc>
          <w:tcPr>
            <w:tcW w:type="dxa" w:w="1037"/>
          </w:tcPr>
          <w:p>
            <w:pPr>
              <w:spacing w:after="20"/>
            </w:pPr>
            <w:r>
              <w:rPr>
                <w:color w:val="1C3A36"/>
                <w:sz w:val="15"/>
              </w:rPr>
              <w:t>2025-05-26</w:t>
            </w:r>
          </w:p>
        </w:tc>
        <w:tc>
          <w:tcPr>
            <w:tcW w:type="dxa" w:w="6019"/>
          </w:tcPr>
          <w:p>
            <w:pPr>
              <w:spacing w:after="20"/>
            </w:pPr>
            <w:r>
              <w:rPr>
                <w:color w:val="1C3A36"/>
                <w:sz w:val="15"/>
              </w:rPr>
              <w:t>NET finance costs Q1-2025: finance costs 1,745.6 less finance income 989.9. The group carries very large cash and short-term deposits, so gross interest expense materially overstates the net charge</w:t>
            </w:r>
          </w:p>
        </w:tc>
      </w:tr>
      <w:tr>
        <w:tc>
          <w:tcPr>
            <w:tcW w:type="dxa" w:w="1656"/>
          </w:tcPr>
          <w:p>
            <w:pPr>
              <w:spacing w:after="20"/>
            </w:pPr>
            <w:r>
              <w:rPr>
                <w:color w:val="1C3A36"/>
                <w:sz w:val="15"/>
              </w:rPr>
              <w:t>q1 25 dna</w:t>
            </w:r>
          </w:p>
        </w:tc>
        <w:tc>
          <w:tcPr>
            <w:tcW w:type="dxa" w:w="1368"/>
          </w:tcPr>
          <w:p>
            <w:pPr>
              <w:spacing w:after="20"/>
            </w:pPr>
            <w:r>
              <w:rPr>
                <w:color w:val="1C3A36"/>
                <w:sz w:val="15"/>
              </w:rPr>
              <w:t>681.0</w:t>
            </w:r>
          </w:p>
        </w:tc>
        <w:tc>
          <w:tcPr>
            <w:tcW w:type="dxa" w:w="1037"/>
          </w:tcPr>
          <w:p>
            <w:pPr>
              <w:spacing w:after="20"/>
            </w:pPr>
            <w:r>
              <w:rPr>
                <w:color w:val="1C3A36"/>
                <w:sz w:val="15"/>
              </w:rPr>
              <w:t>2025-05-26</w:t>
            </w:r>
          </w:p>
        </w:tc>
        <w:tc>
          <w:tcPr>
            <w:tcW w:type="dxa" w:w="6019"/>
          </w:tcPr>
          <w:p>
            <w:pPr>
              <w:spacing w:after="20"/>
            </w:pPr>
            <w:r>
              <w:rPr>
                <w:color w:val="1C3A36"/>
                <w:sz w:val="15"/>
              </w:rPr>
              <w:t>Q1-2025 interim cash flow: PP&amp;E depreciation 637.5 + investment property 0.4 + intangibles 2.0 + right-of-use 41.2</w:t>
            </w:r>
          </w:p>
        </w:tc>
      </w:tr>
      <w:tr>
        <w:tc>
          <w:tcPr>
            <w:tcW w:type="dxa" w:w="1656"/>
          </w:tcPr>
          <w:p>
            <w:pPr>
              <w:spacing w:after="20"/>
            </w:pPr>
            <w:r>
              <w:rPr>
                <w:color w:val="1C3A36"/>
                <w:sz w:val="15"/>
              </w:rPr>
              <w:t>q1 26 rev</w:t>
            </w:r>
          </w:p>
        </w:tc>
        <w:tc>
          <w:tcPr>
            <w:tcW w:type="dxa" w:w="1368"/>
          </w:tcPr>
          <w:p>
            <w:pPr>
              <w:spacing w:after="20"/>
            </w:pPr>
            <w:r>
              <w:rPr>
                <w:color w:val="1C3A36"/>
                <w:sz w:val="15"/>
              </w:rPr>
              <w:t>75,298.0</w:t>
            </w:r>
          </w:p>
        </w:tc>
        <w:tc>
          <w:tcPr>
            <w:tcW w:type="dxa" w:w="1037"/>
          </w:tcPr>
          <w:p>
            <w:pPr>
              <w:spacing w:after="20"/>
            </w:pPr>
            <w:r>
              <w:rPr>
                <w:color w:val="1C3A36"/>
                <w:sz w:val="15"/>
              </w:rPr>
              <w:t>2026-05-13</w:t>
            </w:r>
          </w:p>
        </w:tc>
        <w:tc>
          <w:tcPr>
            <w:tcW w:type="dxa" w:w="6019"/>
          </w:tcPr>
          <w:p>
            <w:pPr>
              <w:spacing w:after="20"/>
            </w:pPr>
            <w:r>
              <w:rPr>
                <w:color w:val="1C3A36"/>
                <w:sz w:val="15"/>
              </w:rPr>
              <w:t>Q1-2026 consolidated revenues EGP 75.298bn (EGX filing 13-May-2026, via Arab Finance)</w:t>
            </w:r>
          </w:p>
        </w:tc>
      </w:tr>
      <w:tr>
        <w:tc>
          <w:tcPr>
            <w:tcW w:type="dxa" w:w="1656"/>
          </w:tcPr>
          <w:p>
            <w:pPr>
              <w:spacing w:after="20"/>
            </w:pPr>
            <w:r>
              <w:rPr>
                <w:color w:val="1C3A36"/>
                <w:sz w:val="15"/>
              </w:rPr>
              <w:t>q1 26 npa</w:t>
            </w:r>
          </w:p>
        </w:tc>
        <w:tc>
          <w:tcPr>
            <w:tcW w:type="dxa" w:w="1368"/>
          </w:tcPr>
          <w:p>
            <w:pPr>
              <w:spacing w:after="20"/>
            </w:pPr>
            <w:r>
              <w:rPr>
                <w:color w:val="1C3A36"/>
                <w:sz w:val="15"/>
              </w:rPr>
              <w:t>4,845.0</w:t>
            </w:r>
          </w:p>
        </w:tc>
        <w:tc>
          <w:tcPr>
            <w:tcW w:type="dxa" w:w="1037"/>
          </w:tcPr>
          <w:p>
            <w:pPr>
              <w:spacing w:after="20"/>
            </w:pPr>
            <w:r>
              <w:rPr>
                <w:color w:val="1C3A36"/>
                <w:sz w:val="15"/>
              </w:rPr>
              <w:t>2026-05-13</w:t>
            </w:r>
          </w:p>
        </w:tc>
        <w:tc>
          <w:tcPr>
            <w:tcW w:type="dxa" w:w="6019"/>
          </w:tcPr>
          <w:p>
            <w:pPr>
              <w:spacing w:after="20"/>
            </w:pPr>
            <w:r>
              <w:rPr>
                <w:color w:val="1C3A36"/>
                <w:sz w:val="15"/>
              </w:rPr>
              <w:t>Q1-2026 consolidated net profit attributable to the parent EGP 4.845bn, +16.86% y/y (EGX filing 13-May-2026)</w:t>
            </w:r>
          </w:p>
        </w:tc>
      </w:tr>
      <w:tr>
        <w:tc>
          <w:tcPr>
            <w:tcW w:type="dxa" w:w="1656"/>
          </w:tcPr>
          <w:p>
            <w:pPr>
              <w:spacing w:after="20"/>
            </w:pPr>
            <w:r>
              <w:rPr>
                <w:color w:val="1C3A36"/>
                <w:sz w:val="15"/>
              </w:rPr>
              <w:t>seg hist</w:t>
            </w:r>
          </w:p>
        </w:tc>
        <w:tc>
          <w:tcPr>
            <w:tcW w:type="dxa" w:w="1368"/>
          </w:tcPr>
          <w:p>
            <w:pPr>
              <w:spacing w:after="20"/>
            </w:pPr>
            <w:r>
              <w:rPr>
                <w:color w:val="1C3A36"/>
                <w:sz w:val="15"/>
              </w:rPr>
              <w:t>FY23: rawmat: 25,869.7, 3,478.6; cables: 56,551.5, 14,110.5; ec: 52,896.4, 6,130.0; meters: 7,092.9, 1,694.3; transformers: 6,614.1, 1,979.9; elecprod: 2,575.1, 1,386.7; infra: 586.5, 297.5; FY24: rawmat: 49,608.2, 7,647.2; cables: 87,581.6, 19,959.3; ec: 70,042.4, 7,831.1; meters: 9,996.7, 2,722.5; transformers: 11,308.7, 3,895.0; elecprod: 2,565.2, 1,300.4; infra: 879.1, 542.9</w:t>
            </w:r>
          </w:p>
        </w:tc>
        <w:tc>
          <w:tcPr>
            <w:tcW w:type="dxa" w:w="1037"/>
          </w:tcPr>
          <w:p>
            <w:pPr>
              <w:spacing w:after="20"/>
            </w:pPr>
            <w:r>
              <w:rPr>
                <w:color w:val="1C3A36"/>
                <w:sz w:val="15"/>
              </w:rPr>
              <w:t>2025-03-13</w:t>
            </w:r>
          </w:p>
        </w:tc>
        <w:tc>
          <w:tcPr>
            <w:tcW w:type="dxa" w:w="6019"/>
          </w:tcPr>
          <w:p>
            <w:pPr>
              <w:spacing w:after="20"/>
            </w:pPr>
            <w:r>
              <w:rPr>
                <w:color w:val="1C3A36"/>
                <w:sz w:val="15"/>
              </w:rPr>
              <w:t>Sub-segment revenue and gross profit (EGP mn) from the company's own published segment analysis workbooks for FY2024 (with FY2023 comparatives). The reported 'Wires &amp; Cables' segment splits into Cables and Raw Material (the copper-rod pass-through arm) and the two sum exactly to it. Turnkey gross profit is taken from the income statement where it differs marginally from the workbook</w:t>
            </w:r>
          </w:p>
        </w:tc>
      </w:tr>
      <w:tr>
        <w:tc>
          <w:tcPr>
            <w:tcW w:type="dxa" w:w="1656"/>
          </w:tcPr>
          <w:p>
            <w:pPr>
              <w:spacing w:after="20"/>
            </w:pPr>
            <w:r>
              <w:rPr>
                <w:color w:val="1C3A36"/>
                <w:sz w:val="15"/>
              </w:rPr>
              <w:t>vol hist</w:t>
            </w:r>
          </w:p>
        </w:tc>
        <w:tc>
          <w:tcPr>
            <w:tcW w:type="dxa" w:w="1368"/>
          </w:tcPr>
          <w:p>
            <w:pPr>
              <w:spacing w:after="20"/>
            </w:pPr>
            <w:r>
              <w:rPr>
                <w:color w:val="1C3A36"/>
                <w:sz w:val="15"/>
              </w:rPr>
              <w:t>cables: FY23: 156,748.0; FY24: 167,665.0; meters: FY23: 4,057,065.0; FY24: 3,850,726.0; transformers: FY23: 14,521.0; FY24: 17,619.0</w:t>
            </w:r>
          </w:p>
        </w:tc>
        <w:tc>
          <w:tcPr>
            <w:tcW w:type="dxa" w:w="1037"/>
          </w:tcPr>
          <w:p>
            <w:pPr>
              <w:spacing w:after="20"/>
            </w:pPr>
            <w:r>
              <w:rPr>
                <w:color w:val="1C3A36"/>
                <w:sz w:val="15"/>
              </w:rPr>
              <w:t>2025-03-13</w:t>
            </w:r>
          </w:p>
        </w:tc>
        <w:tc>
          <w:tcPr>
            <w:tcW w:type="dxa" w:w="6019"/>
          </w:tcPr>
          <w:p>
            <w:pPr>
              <w:spacing w:after="20"/>
            </w:pPr>
            <w:r>
              <w:rPr>
                <w:color w:val="1C3A36"/>
                <w:sz w:val="15"/>
              </w:rPr>
              <w:t>Disclosed sales volumes: cables in tonnes, meters in units, transformers in MVA (company earnings releases, FY2024 with FY2023 comparatives). These reproduce the disclosed gross profit per tonne (90,020 / 119,043), per meter (418 / 707) and per MVA (136,345 / 221,065) exactly</w:t>
            </w:r>
          </w:p>
        </w:tc>
      </w:tr>
      <w:tr>
        <w:tc>
          <w:tcPr>
            <w:tcW w:type="dxa" w:w="1656"/>
          </w:tcPr>
          <w:p>
            <w:pPr>
              <w:spacing w:after="20"/>
            </w:pPr>
            <w:r>
              <w:rPr>
                <w:color w:val="1C3A36"/>
                <w:sz w:val="15"/>
              </w:rPr>
              <w:t>q1 units</w:t>
            </w:r>
          </w:p>
        </w:tc>
        <w:tc>
          <w:tcPr>
            <w:tcW w:type="dxa" w:w="1368"/>
          </w:tcPr>
          <w:p>
            <w:pPr>
              <w:spacing w:after="20"/>
            </w:pPr>
            <w:r>
              <w:rPr>
                <w:color w:val="1C3A36"/>
                <w:sz w:val="15"/>
              </w:rPr>
              <w:t>cables_q1_25: 41,476.0; cables_q1_24: 44,975.0; meters_q1_25: 1,169,502.0; meters_q1_24: 811,357.0; transformers_q1_25: 5,112.0; transformers_q1_24: 5,142.0</w:t>
            </w:r>
          </w:p>
        </w:tc>
        <w:tc>
          <w:tcPr>
            <w:tcW w:type="dxa" w:w="1037"/>
          </w:tcPr>
          <w:p>
            <w:pPr>
              <w:spacing w:after="20"/>
            </w:pPr>
            <w:r>
              <w:rPr>
                <w:color w:val="1C3A36"/>
                <w:sz w:val="15"/>
              </w:rPr>
              <w:t>2025-05-26</w:t>
            </w:r>
          </w:p>
        </w:tc>
        <w:tc>
          <w:tcPr>
            <w:tcW w:type="dxa" w:w="6019"/>
          </w:tcPr>
          <w:p>
            <w:pPr>
              <w:spacing w:after="20"/>
            </w:pPr>
            <w:r>
              <w:rPr>
                <w:color w:val="1C3A36"/>
                <w:sz w:val="15"/>
              </w:rPr>
              <w:t>Q1-2025 disclosed volumes with Q1-2024 comparatives (Q1-2025 earnings release): cables 41,476t (-7.8%), meters 1,169,502 (+44.1%), transformers 5,112 MVA (-0.6%). Used with the FY2024 seasonal share to estimate the FY2025 volume base, which is not itself disclosed</w:t>
            </w:r>
          </w:p>
        </w:tc>
      </w:tr>
      <w:tr>
        <w:tc>
          <w:tcPr>
            <w:tcW w:type="dxa" w:w="1656"/>
          </w:tcPr>
          <w:p>
            <w:pPr>
              <w:spacing w:after="20"/>
            </w:pPr>
            <w:r>
              <w:rPr>
                <w:color w:val="1C3A36"/>
                <w:sz w:val="15"/>
              </w:rPr>
              <w:t>cables gp t fy25</w:t>
            </w:r>
          </w:p>
        </w:tc>
        <w:tc>
          <w:tcPr>
            <w:tcW w:type="dxa" w:w="1368"/>
          </w:tcPr>
          <w:p>
            <w:pPr>
              <w:spacing w:after="20"/>
            </w:pPr>
            <w:r>
              <w:rPr>
                <w:color w:val="1C3A36"/>
                <w:sz w:val="15"/>
              </w:rPr>
              <w:t>88,173.0</w:t>
            </w:r>
          </w:p>
        </w:tc>
        <w:tc>
          <w:tcPr>
            <w:tcW w:type="dxa" w:w="1037"/>
          </w:tcPr>
          <w:p>
            <w:pPr>
              <w:spacing w:after="20"/>
            </w:pPr>
            <w:r>
              <w:rPr>
                <w:color w:val="1C3A36"/>
                <w:sz w:val="15"/>
              </w:rPr>
              <w:t>2025-05-26</w:t>
            </w:r>
          </w:p>
        </w:tc>
        <w:tc>
          <w:tcPr>
            <w:tcW w:type="dxa" w:w="6019"/>
          </w:tcPr>
          <w:p>
            <w:pPr>
              <w:spacing w:after="20"/>
            </w:pPr>
            <w:r>
              <w:rPr>
                <w:color w:val="1C3A36"/>
                <w:sz w:val="15"/>
              </w:rPr>
              <w:t>Cable gross profit per tonne, Q1-2025 as disclosed (against 93,672 in Q1-2024 on the restated basis). Taken as the FY2025 run-rate: it is the hard evidence for how far cable conversion margins actually compressed, and it is what pins the FY2025 unit build to reality rather than to an assumption</w:t>
            </w:r>
          </w:p>
        </w:tc>
      </w:tr>
      <w:tr>
        <w:tc>
          <w:tcPr>
            <w:tcW w:type="dxa" w:w="1656"/>
          </w:tcPr>
          <w:p>
            <w:pPr>
              <w:spacing w:after="20"/>
            </w:pPr>
            <w:r>
              <w:rPr>
                <w:color w:val="1C3A36"/>
                <w:sz w:val="15"/>
              </w:rPr>
              <w:t>ec backlog</w:t>
            </w:r>
          </w:p>
        </w:tc>
        <w:tc>
          <w:tcPr>
            <w:tcW w:type="dxa" w:w="1368"/>
          </w:tcPr>
          <w:p>
            <w:pPr>
              <w:spacing w:after="20"/>
            </w:pPr>
            <w:r>
              <w:rPr>
                <w:color w:val="1C3A36"/>
                <w:sz w:val="15"/>
              </w:rPr>
              <w:t>323,700.0</w:t>
            </w:r>
          </w:p>
        </w:tc>
        <w:tc>
          <w:tcPr>
            <w:tcW w:type="dxa" w:w="1037"/>
          </w:tcPr>
          <w:p>
            <w:pPr>
              <w:spacing w:after="20"/>
            </w:pPr>
            <w:r>
              <w:rPr>
                <w:color w:val="1C3A36"/>
                <w:sz w:val="15"/>
              </w:rPr>
              <w:t>2026-03</w:t>
            </w:r>
          </w:p>
        </w:tc>
        <w:tc>
          <w:tcPr>
            <w:tcW w:type="dxa" w:w="6019"/>
          </w:tcPr>
          <w:p>
            <w:pPr>
              <w:spacing w:after="20"/>
            </w:pPr>
            <w:r>
              <w:rPr>
                <w:color w:val="1C3A36"/>
                <w:sz w:val="15"/>
              </w:rPr>
              <w:t>Engineering and construction order book: USD 6.5bn translated at the spot rate. Disclosed as 'approximately USD 6.5bn, above the group's typical historical range'. The reported turnkey backlog was EGP 165bn (Mar-2024), 239bn (Jun-2024) and 196bn (Dec-2024), so the current book is a genuine step up</w:t>
            </w:r>
          </w:p>
        </w:tc>
      </w:tr>
      <w:tr>
        <w:tc>
          <w:tcPr>
            <w:tcW w:type="dxa" w:w="1656"/>
          </w:tcPr>
          <w:p>
            <w:pPr>
              <w:spacing w:after="20"/>
            </w:pPr>
            <w:r>
              <w:rPr>
                <w:color w:val="1C3A36"/>
                <w:sz w:val="15"/>
              </w:rPr>
              <w:t>seg rev fy25 disclosed</w:t>
            </w:r>
          </w:p>
        </w:tc>
        <w:tc>
          <w:tcPr>
            <w:tcW w:type="dxa" w:w="1368"/>
          </w:tcPr>
          <w:p>
            <w:pPr>
              <w:spacing w:after="20"/>
            </w:pPr>
            <w:r>
              <w:rPr>
                <w:color w:val="1C3A36"/>
                <w:sz w:val="15"/>
              </w:rPr>
              <w:t>ec: 87,100.7; transformers: 17,703.5; meters: 16,594.1; infra: 3,857.9</w:t>
            </w:r>
          </w:p>
        </w:tc>
        <w:tc>
          <w:tcPr>
            <w:tcW w:type="dxa" w:w="1037"/>
          </w:tcPr>
          <w:p>
            <w:pPr>
              <w:spacing w:after="20"/>
            </w:pPr>
            <w:r>
              <w:rPr>
                <w:color w:val="1C3A36"/>
                <w:sz w:val="15"/>
              </w:rPr>
              <w:t>2026-03</w:t>
            </w:r>
          </w:p>
        </w:tc>
        <w:tc>
          <w:tcPr>
            <w:tcW w:type="dxa" w:w="6019"/>
          </w:tcPr>
          <w:p>
            <w:pPr>
              <w:spacing w:after="20"/>
            </w:pPr>
            <w:r>
              <w:rPr>
                <w:color w:val="1C3A36"/>
                <w:sz w:val="15"/>
              </w:rPr>
              <w:t>FY2025 segment revenue on the restated five-segment taxonomy: engineering &amp; construction 87,100.7, electrical products 17,703.5, digital solutions 16,594.1, infrastructure investment 3,857.9, with wires, cables &amp; accessories 155,792.9 - summing to the reported 281,049. REPLACES the earlier assumption that the FY2024 mix carried forward, which an external audit correctly identified as the prior year's mix relabelled. TWO competing external claims were tested against each other: press coverage of the release reports E&amp;C growth of +51%, which would put the segment at 105,764. That figure is REJECTED because it fails an independent coherence test - it leaves so little revenue for cables that the implied fabrication uplift over copper falls to 1.077, below anything in the company's own history (1.386 in FY2023, 1.261 in FY2024). The 87,100.7 figure (+24.4%) passes that test, and is adopted on that basis rather than on the authority of either source</w:t>
            </w:r>
          </w:p>
        </w:tc>
      </w:tr>
      <w:tr>
        <w:tc>
          <w:tcPr>
            <w:tcW w:type="dxa" w:w="1656"/>
          </w:tcPr>
          <w:p>
            <w:pPr>
              <w:spacing w:after="20"/>
            </w:pPr>
            <w:r>
              <w:rPr>
                <w:color w:val="1C3A36"/>
                <w:sz w:val="15"/>
              </w:rPr>
              <w:t>foreign share fy25</w:t>
            </w:r>
          </w:p>
        </w:tc>
        <w:tc>
          <w:tcPr>
            <w:tcW w:type="dxa" w:w="1368"/>
          </w:tcPr>
          <w:p>
            <w:pPr>
              <w:spacing w:after="20"/>
            </w:pPr>
            <w:r>
              <w:rPr>
                <w:color w:val="1C3A36"/>
                <w:sz w:val="15"/>
              </w:rPr>
              <w:t>0.7</w:t>
            </w:r>
          </w:p>
        </w:tc>
        <w:tc>
          <w:tcPr>
            <w:tcW w:type="dxa" w:w="1037"/>
          </w:tcPr>
          <w:p>
            <w:pPr>
              <w:spacing w:after="20"/>
            </w:pPr>
            <w:r>
              <w:rPr>
                <w:color w:val="1C3A36"/>
                <w:sz w:val="15"/>
              </w:rPr>
              <w:t>2026-03</w:t>
            </w:r>
          </w:p>
        </w:tc>
        <w:tc>
          <w:tcPr>
            <w:tcW w:type="dxa" w:w="6019"/>
          </w:tcPr>
          <w:p>
            <w:pPr>
              <w:spacing w:after="20"/>
            </w:pPr>
            <w:r>
              <w:rPr>
                <w:color w:val="1C3A36"/>
                <w:sz w:val="15"/>
              </w:rPr>
              <w:t>'Over 70% of revenues generated abroad' (company 2025 commentary). Used to report the currency split of the bottom-up revenue build, and to translate the copper-linked lines, which are dollar-priced by construction</w:t>
            </w:r>
          </w:p>
        </w:tc>
      </w:tr>
      <w:tr>
        <w:tc>
          <w:tcPr>
            <w:tcW w:type="dxa" w:w="1656"/>
          </w:tcPr>
          <w:p>
            <w:pPr>
              <w:spacing w:after="20"/>
            </w:pPr>
            <w:r>
              <w:rPr>
                <w:color w:val="1C3A36"/>
                <w:sz w:val="15"/>
              </w:rPr>
              <w:t>kd egp note</w:t>
            </w:r>
          </w:p>
        </w:tc>
        <w:tc>
          <w:tcPr>
            <w:tcW w:type="dxa" w:w="1368"/>
          </w:tcPr>
          <w:p>
            <w:pPr>
              <w:spacing w:after="20"/>
            </w:pPr>
            <w:r>
              <w:rPr>
                <w:color w:val="1C3A36"/>
                <w:sz w:val="15"/>
              </w:rPr>
              <w:t>0.2868</w:t>
            </w:r>
          </w:p>
        </w:tc>
        <w:tc>
          <w:tcPr>
            <w:tcW w:type="dxa" w:w="1037"/>
          </w:tcPr>
          <w:p>
            <w:pPr>
              <w:spacing w:after="20"/>
            </w:pPr>
            <w:r>
              <w:rPr>
                <w:color w:val="1C3A36"/>
                <w:sz w:val="15"/>
              </w:rPr>
              <w:t>2025-03-12</w:t>
            </w:r>
          </w:p>
        </w:tc>
        <w:tc>
          <w:tcPr>
            <w:tcW w:type="dxa" w:w="6019"/>
          </w:tcPr>
          <w:p>
            <w:pPr>
              <w:spacing w:after="20"/>
            </w:pPr>
            <w:r>
              <w:rPr>
                <w:color w:val="1C3A36"/>
                <w:sz w:val="15"/>
              </w:rPr>
              <w:t>Average interest rate on Egyptian-pound financial liabilities, audited FY2024 interest-rate-risk note</w:t>
            </w:r>
          </w:p>
        </w:tc>
      </w:tr>
      <w:tr>
        <w:tc>
          <w:tcPr>
            <w:tcW w:type="dxa" w:w="1656"/>
          </w:tcPr>
          <w:p>
            <w:pPr>
              <w:spacing w:after="20"/>
            </w:pPr>
            <w:r>
              <w:rPr>
                <w:color w:val="1C3A36"/>
                <w:sz w:val="15"/>
              </w:rPr>
              <w:t>kd usd note</w:t>
            </w:r>
          </w:p>
        </w:tc>
        <w:tc>
          <w:tcPr>
            <w:tcW w:type="dxa" w:w="1368"/>
          </w:tcPr>
          <w:p>
            <w:pPr>
              <w:spacing w:after="20"/>
            </w:pPr>
            <w:r>
              <w:rPr>
                <w:color w:val="1C3A36"/>
                <w:sz w:val="15"/>
              </w:rPr>
              <w:t>0.0649</w:t>
            </w:r>
          </w:p>
        </w:tc>
        <w:tc>
          <w:tcPr>
            <w:tcW w:type="dxa" w:w="1037"/>
          </w:tcPr>
          <w:p>
            <w:pPr>
              <w:spacing w:after="20"/>
            </w:pPr>
            <w:r>
              <w:rPr>
                <w:color w:val="1C3A36"/>
                <w:sz w:val="15"/>
              </w:rPr>
              <w:t>2025-03-12</w:t>
            </w:r>
          </w:p>
        </w:tc>
        <w:tc>
          <w:tcPr>
            <w:tcW w:type="dxa" w:w="6019"/>
          </w:tcPr>
          <w:p>
            <w:pPr>
              <w:spacing w:after="20"/>
            </w:pPr>
            <w:r>
              <w:rPr>
                <w:color w:val="1C3A36"/>
                <w:sz w:val="15"/>
              </w:rPr>
              <w:t>Average interest rate on US-dollar financial liabilities, audited FY2024 interest-rate-risk note</w:t>
            </w:r>
          </w:p>
        </w:tc>
      </w:tr>
      <w:tr>
        <w:tc>
          <w:tcPr>
            <w:tcW w:type="dxa" w:w="1656"/>
          </w:tcPr>
          <w:p>
            <w:pPr>
              <w:spacing w:after="20"/>
            </w:pPr>
            <w:r>
              <w:rPr>
                <w:color w:val="1C3A36"/>
                <w:sz w:val="15"/>
              </w:rPr>
              <w:t>kd eur note</w:t>
            </w:r>
          </w:p>
        </w:tc>
        <w:tc>
          <w:tcPr>
            <w:tcW w:type="dxa" w:w="1368"/>
          </w:tcPr>
          <w:p>
            <w:pPr>
              <w:spacing w:after="20"/>
            </w:pPr>
            <w:r>
              <w:rPr>
                <w:color w:val="1C3A36"/>
                <w:sz w:val="15"/>
              </w:rPr>
              <w:t>0.0392</w:t>
            </w:r>
          </w:p>
        </w:tc>
        <w:tc>
          <w:tcPr>
            <w:tcW w:type="dxa" w:w="1037"/>
          </w:tcPr>
          <w:p>
            <w:pPr>
              <w:spacing w:after="20"/>
            </w:pPr>
            <w:r>
              <w:rPr>
                <w:color w:val="1C3A36"/>
                <w:sz w:val="15"/>
              </w:rPr>
              <w:t>2025-03-12</w:t>
            </w:r>
          </w:p>
        </w:tc>
        <w:tc>
          <w:tcPr>
            <w:tcW w:type="dxa" w:w="6019"/>
          </w:tcPr>
          <w:p>
            <w:pPr>
              <w:spacing w:after="20"/>
            </w:pPr>
            <w:r>
              <w:rPr>
                <w:color w:val="1C3A36"/>
                <w:sz w:val="15"/>
              </w:rPr>
              <w:t>Average interest rate on euro financial liabilities, audited FY2024 interest-rate-risk note</w:t>
            </w:r>
          </w:p>
        </w:tc>
      </w:tr>
      <w:tr>
        <w:tc>
          <w:tcPr>
            <w:tcW w:type="dxa" w:w="1656"/>
          </w:tcPr>
          <w:p>
            <w:pPr>
              <w:spacing w:after="20"/>
            </w:pPr>
            <w:r>
              <w:rPr>
                <w:color w:val="1C3A36"/>
                <w:sz w:val="15"/>
              </w:rPr>
              <w:t>debt open fy24</w:t>
            </w:r>
          </w:p>
        </w:tc>
        <w:tc>
          <w:tcPr>
            <w:tcW w:type="dxa" w:w="1368"/>
          </w:tcPr>
          <w:p>
            <w:pPr>
              <w:spacing w:after="20"/>
            </w:pPr>
            <w:r>
              <w:rPr>
                <w:color w:val="1C3A36"/>
                <w:sz w:val="15"/>
              </w:rPr>
              <w:t>41,167.5</w:t>
            </w:r>
          </w:p>
        </w:tc>
        <w:tc>
          <w:tcPr>
            <w:tcW w:type="dxa" w:w="1037"/>
          </w:tcPr>
          <w:p>
            <w:pPr>
              <w:spacing w:after="20"/>
            </w:pPr>
            <w:r>
              <w:rPr>
                <w:color w:val="1C3A36"/>
                <w:sz w:val="15"/>
              </w:rPr>
              <w:t>2025-03-12</w:t>
            </w:r>
          </w:p>
        </w:tc>
        <w:tc>
          <w:tcPr>
            <w:tcW w:type="dxa" w:w="6019"/>
          </w:tcPr>
          <w:p>
            <w:pPr>
              <w:spacing w:after="20"/>
            </w:pPr>
            <w:r>
              <w:rPr>
                <w:color w:val="1C3A36"/>
                <w:sz w:val="15"/>
              </w:rPr>
              <w:t>Loans and credit facilities at 1 January 2024, financing-liability reconciliation, audited FY2024 note 32</w:t>
            </w:r>
          </w:p>
        </w:tc>
      </w:tr>
      <w:tr>
        <w:tc>
          <w:tcPr>
            <w:tcW w:type="dxa" w:w="1656"/>
          </w:tcPr>
          <w:p>
            <w:pPr>
              <w:spacing w:after="20"/>
            </w:pPr>
            <w:r>
              <w:rPr>
                <w:color w:val="1C3A36"/>
                <w:sz w:val="15"/>
              </w:rPr>
              <w:t>debt close fy24</w:t>
            </w:r>
          </w:p>
        </w:tc>
        <w:tc>
          <w:tcPr>
            <w:tcW w:type="dxa" w:w="1368"/>
          </w:tcPr>
          <w:p>
            <w:pPr>
              <w:spacing w:after="20"/>
            </w:pPr>
            <w:r>
              <w:rPr>
                <w:color w:val="1C3A36"/>
                <w:sz w:val="15"/>
              </w:rPr>
              <w:t>58,796.8</w:t>
            </w:r>
          </w:p>
        </w:tc>
        <w:tc>
          <w:tcPr>
            <w:tcW w:type="dxa" w:w="1037"/>
          </w:tcPr>
          <w:p>
            <w:pPr>
              <w:spacing w:after="20"/>
            </w:pPr>
            <w:r>
              <w:rPr>
                <w:color w:val="1C3A36"/>
                <w:sz w:val="15"/>
              </w:rPr>
              <w:t>2025-03-12</w:t>
            </w:r>
          </w:p>
        </w:tc>
        <w:tc>
          <w:tcPr>
            <w:tcW w:type="dxa" w:w="6019"/>
          </w:tcPr>
          <w:p>
            <w:pPr>
              <w:spacing w:after="20"/>
            </w:pPr>
            <w:r>
              <w:rPr>
                <w:color w:val="1C3A36"/>
                <w:sz w:val="15"/>
              </w:rPr>
              <w:t>Loans and credit facilities at 31 December 2024, financing-liability reconciliation, audited FY2024 note 32 (excludes 286.1 of lease liabilities)</w:t>
            </w:r>
          </w:p>
        </w:tc>
      </w:tr>
      <w:tr>
        <w:tc>
          <w:tcPr>
            <w:tcW w:type="dxa" w:w="1656"/>
          </w:tcPr>
          <w:p>
            <w:pPr>
              <w:spacing w:after="20"/>
            </w:pPr>
            <w:r>
              <w:rPr>
                <w:color w:val="1C3A36"/>
                <w:sz w:val="15"/>
              </w:rPr>
              <w:t>int exp fy24</w:t>
            </w:r>
          </w:p>
        </w:tc>
        <w:tc>
          <w:tcPr>
            <w:tcW w:type="dxa" w:w="1368"/>
          </w:tcPr>
          <w:p>
            <w:pPr>
              <w:spacing w:after="20"/>
            </w:pPr>
            <w:r>
              <w:rPr>
                <w:color w:val="1C3A36"/>
                <w:sz w:val="15"/>
              </w:rPr>
              <w:t>7,706.9</w:t>
            </w:r>
          </w:p>
        </w:tc>
        <w:tc>
          <w:tcPr>
            <w:tcW w:type="dxa" w:w="1037"/>
          </w:tcPr>
          <w:p>
            <w:pPr>
              <w:spacing w:after="20"/>
            </w:pPr>
            <w:r>
              <w:rPr>
                <w:color w:val="1C3A36"/>
                <w:sz w:val="15"/>
              </w:rPr>
              <w:t>2025-03-12</w:t>
            </w:r>
          </w:p>
        </w:tc>
        <w:tc>
          <w:tcPr>
            <w:tcW w:type="dxa" w:w="6019"/>
          </w:tcPr>
          <w:p>
            <w:pPr>
              <w:spacing w:after="20"/>
            </w:pPr>
            <w:r>
              <w:rPr>
                <w:color w:val="1C3A36"/>
                <w:sz w:val="15"/>
              </w:rPr>
              <w:t>Interest expense on loans and credit facilities, audited FY2024 note 32 financing-liability reconciliation</w:t>
            </w:r>
          </w:p>
        </w:tc>
      </w:tr>
      <w:tr>
        <w:tc>
          <w:tcPr>
            <w:tcW w:type="dxa" w:w="1656"/>
          </w:tcPr>
          <w:p>
            <w:pPr>
              <w:spacing w:after="20"/>
            </w:pPr>
            <w:r>
              <w:rPr>
                <w:color w:val="1C3A36"/>
                <w:sz w:val="15"/>
              </w:rPr>
              <w:t>debt q1 25</w:t>
            </w:r>
          </w:p>
        </w:tc>
        <w:tc>
          <w:tcPr>
            <w:tcW w:type="dxa" w:w="1368"/>
          </w:tcPr>
          <w:p>
            <w:pPr>
              <w:spacing w:after="20"/>
            </w:pPr>
            <w:r>
              <w:rPr>
                <w:color w:val="1C3A36"/>
                <w:sz w:val="15"/>
              </w:rPr>
              <w:t>55,149.9</w:t>
            </w:r>
          </w:p>
        </w:tc>
        <w:tc>
          <w:tcPr>
            <w:tcW w:type="dxa" w:w="1037"/>
          </w:tcPr>
          <w:p>
            <w:pPr>
              <w:spacing w:after="20"/>
            </w:pPr>
            <w:r>
              <w:rPr>
                <w:color w:val="1C3A36"/>
                <w:sz w:val="15"/>
              </w:rPr>
              <w:t>2025-05-26</w:t>
            </w:r>
          </w:p>
        </w:tc>
        <w:tc>
          <w:tcPr>
            <w:tcW w:type="dxa" w:w="6019"/>
          </w:tcPr>
          <w:p>
            <w:pPr>
              <w:spacing w:after="20"/>
            </w:pPr>
            <w:r>
              <w:rPr>
                <w:color w:val="1C3A36"/>
                <w:sz w:val="15"/>
              </w:rPr>
              <w:t>Loans and credit facilities at 31 March 2025: the FY2024 closing balance of 58,796.8 less the 3,646.9 net repayment shown in the Q1-2025 interim cash flow statement</w:t>
            </w:r>
          </w:p>
        </w:tc>
      </w:tr>
      <w:tr>
        <w:tc>
          <w:tcPr>
            <w:tcW w:type="dxa" w:w="1656"/>
          </w:tcPr>
          <w:p>
            <w:pPr>
              <w:spacing w:after="20"/>
            </w:pPr>
            <w:r>
              <w:rPr>
                <w:color w:val="1C3A36"/>
                <w:sz w:val="15"/>
              </w:rPr>
              <w:t>backlog usd bn</w:t>
            </w:r>
          </w:p>
        </w:tc>
        <w:tc>
          <w:tcPr>
            <w:tcW w:type="dxa" w:w="1368"/>
          </w:tcPr>
          <w:p>
            <w:pPr>
              <w:spacing w:after="20"/>
            </w:pPr>
            <w:r>
              <w:rPr>
                <w:color w:val="1C3A36"/>
                <w:sz w:val="15"/>
              </w:rPr>
              <w:t>6.5</w:t>
            </w:r>
          </w:p>
        </w:tc>
        <w:tc>
          <w:tcPr>
            <w:tcW w:type="dxa" w:w="1037"/>
          </w:tcPr>
          <w:p>
            <w:pPr>
              <w:spacing w:after="20"/>
            </w:pPr>
            <w:r>
              <w:rPr>
                <w:color w:val="1C3A36"/>
                <w:sz w:val="15"/>
              </w:rPr>
              <w:t>2026-03</w:t>
            </w:r>
          </w:p>
        </w:tc>
        <w:tc>
          <w:tcPr>
            <w:tcW w:type="dxa" w:w="6019"/>
          </w:tcPr>
          <w:p>
            <w:pPr>
              <w:spacing w:after="20"/>
            </w:pPr>
            <w:r>
              <w:rPr>
                <w:color w:val="1C3A36"/>
                <w:sz w:val="15"/>
              </w:rPr>
              <w:t>Group project backlog approximately USD 6.5bn, above the group's typical historical range (company 2025 commentary)</w:t>
            </w:r>
          </w:p>
        </w:tc>
      </w:tr>
      <w:tr>
        <w:tc>
          <w:tcPr>
            <w:tcW w:type="dxa" w:w="1656"/>
          </w:tcPr>
          <w:p>
            <w:pPr>
              <w:spacing w:after="20"/>
            </w:pPr>
            <w:r>
              <w:rPr>
                <w:color w:val="1C3A36"/>
                <w:sz w:val="15"/>
              </w:rPr>
              <w:t>ownership</w:t>
            </w:r>
          </w:p>
        </w:tc>
        <w:tc>
          <w:tcPr>
            <w:tcW w:type="dxa" w:w="1368"/>
          </w:tcPr>
          <w:p>
            <w:pPr>
              <w:spacing w:after="20"/>
            </w:pPr>
            <w:r>
              <w:rPr>
                <w:color w:val="1C3A36"/>
                <w:sz w:val="15"/>
              </w:rPr>
              <w:t>family: 0.68; electra: 0.2037; float: 0.116</w:t>
            </w:r>
          </w:p>
        </w:tc>
        <w:tc>
          <w:tcPr>
            <w:tcW w:type="dxa" w:w="1037"/>
          </w:tcPr>
          <w:p>
            <w:pPr>
              <w:spacing w:after="20"/>
            </w:pPr>
            <w:r>
              <w:rPr>
                <w:color w:val="1C3A36"/>
                <w:sz w:val="15"/>
              </w:rPr>
              <w:t>2026-08-06</w:t>
            </w:r>
          </w:p>
        </w:tc>
        <w:tc>
          <w:tcPr>
            <w:tcW w:type="dxa" w:w="6019"/>
          </w:tcPr>
          <w:p>
            <w:pPr>
              <w:spacing w:after="20"/>
            </w:pPr>
            <w:r>
              <w:rPr>
                <w:color w:val="1C3A36"/>
                <w:sz w:val="15"/>
              </w:rPr>
              <w:t>CORRECTED. The company's own shareholder pie chart carries 78.18% / 20.37% / 1.45% against the legend 'El Sewedy Family / Free Float / Electra Investment Holding'. Reading that in legend order gives a 20.37% free float — which is wrong. Electra Investment Holding (Abu Dhabi, IHC-linked) acquired ~427.7mn shares, about 20%, in a July-2024 mandatory tender offer at USD 1.05/share (~USD 449mn), confirmed by multiple independent reports of the exchange filing. The 20.37% slice is therefore ELECTRA, not the float. Independent sources put the family near 68%, leaving a free float of roughly 11.6% — about half what a legend-order reading implies. Material to governance and to liquidity</w:t>
            </w:r>
          </w:p>
        </w:tc>
      </w:tr>
      <w:tr>
        <w:tc>
          <w:tcPr>
            <w:tcW w:type="dxa" w:w="1656"/>
          </w:tcPr>
          <w:p>
            <w:pPr>
              <w:spacing w:after="20"/>
            </w:pPr>
            <w:r>
              <w:rPr>
                <w:color w:val="1C3A36"/>
                <w:sz w:val="15"/>
              </w:rPr>
              <w:t>dps fy25</w:t>
            </w:r>
          </w:p>
        </w:tc>
        <w:tc>
          <w:tcPr>
            <w:tcW w:type="dxa" w:w="1368"/>
          </w:tcPr>
          <w:p>
            <w:pPr>
              <w:spacing w:after="20"/>
            </w:pPr>
            <w:r>
              <w:rPr>
                <w:color w:val="1C3A36"/>
                <w:sz w:val="15"/>
              </w:rPr>
              <w:t>1.85</w:t>
            </w:r>
          </w:p>
        </w:tc>
        <w:tc>
          <w:tcPr>
            <w:tcW w:type="dxa" w:w="1037"/>
          </w:tcPr>
          <w:p>
            <w:pPr>
              <w:spacing w:after="20"/>
            </w:pPr>
            <w:r>
              <w:rPr>
                <w:color w:val="1C3A36"/>
                <w:sz w:val="15"/>
              </w:rPr>
              <w:t>2026-05-10</w:t>
            </w:r>
          </w:p>
        </w:tc>
        <w:tc>
          <w:tcPr>
            <w:tcW w:type="dxa" w:w="6019"/>
          </w:tcPr>
          <w:p>
            <w:pPr>
              <w:spacing w:after="20"/>
            </w:pPr>
            <w:r>
              <w:rPr>
                <w:color w:val="1C3A36"/>
                <w:sz w:val="15"/>
              </w:rPr>
              <w:t>FY2025 dividend of EGP 1.85 per share (+85% on the FY2024 EGP 1.00), approved at the 6-May-2026 general meeting and paid from 4 June 2026 — i.e. BEFORE the anchor date. Roughly EGP 3.96bn. The study previously reported only the FY2024 distribution</w:t>
            </w:r>
          </w:p>
        </w:tc>
      </w:tr>
    </w:tbl>
    <w:p>
      <w:pPr>
        <w:spacing w:after="40"/>
      </w:pPr>
    </w:p>
    <w:p>
      <w:pPr>
        <w:spacing w:after="60" w:before="160"/>
      </w:pPr>
      <w:r>
        <w:rPr>
          <w:b/>
          <w:i w:val="0"/>
          <w:color w:val="1C3A36"/>
          <w:sz w:val="22"/>
        </w:rPr>
        <w:t>Country layer — 8 inputs</w:t>
      </w:r>
    </w:p>
    <w:tbl>
      <w:tblPr>
        <w:tblW w:type="auto" w:w="0"/>
        <w:jc w:val="center"/>
        <w:tblLook w:firstColumn="1" w:firstRow="1" w:lastColumn="0" w:lastRow="0" w:noHBand="0" w:noVBand="1" w:val="04A0"/>
        <w:tblLayout w:type="fixed"/>
        <w:tblCellMar>
          <w:top w:w="36" w:type="dxa"/>
          <w:left w:w="80" w:type="dxa"/>
          <w:bottom w:w="36"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656"/>
        <w:gridCol w:w="1368"/>
        <w:gridCol w:w="1037"/>
        <w:gridCol w:w="6019"/>
      </w:tblGrid>
      <w:tr>
        <w:tc>
          <w:tcPr>
            <w:tcW w:type="dxa" w:w="1656"/>
            <w:shd w:val="clear" w:color="auto" w:fill="EAF0EE"/>
          </w:tcPr>
          <w:p>
            <w:pPr>
              <w:spacing w:after="20"/>
            </w:pPr>
            <w:r>
              <w:rPr>
                <w:b/>
                <w:color w:val="1C3A36"/>
                <w:sz w:val="15"/>
              </w:rPr>
              <w:t>Input</w:t>
            </w:r>
          </w:p>
        </w:tc>
        <w:tc>
          <w:tcPr>
            <w:tcW w:type="dxa" w:w="1368"/>
            <w:shd w:val="clear" w:color="auto" w:fill="EAF0EE"/>
          </w:tcPr>
          <w:p>
            <w:pPr>
              <w:spacing w:after="20"/>
            </w:pPr>
            <w:r>
              <w:rPr>
                <w:b/>
                <w:color w:val="1C3A36"/>
                <w:sz w:val="15"/>
              </w:rPr>
              <w:t>Value</w:t>
            </w:r>
          </w:p>
        </w:tc>
        <w:tc>
          <w:tcPr>
            <w:tcW w:type="dxa" w:w="1037"/>
            <w:shd w:val="clear" w:color="auto" w:fill="EAF0EE"/>
          </w:tcPr>
          <w:p>
            <w:pPr>
              <w:spacing w:after="20"/>
            </w:pPr>
            <w:r>
              <w:rPr>
                <w:b/>
                <w:color w:val="1C3A36"/>
                <w:sz w:val="15"/>
              </w:rPr>
              <w:t>Date</w:t>
            </w:r>
          </w:p>
        </w:tc>
        <w:tc>
          <w:tcPr>
            <w:tcW w:type="dxa" w:w="6019"/>
            <w:shd w:val="clear" w:color="auto" w:fill="EAF0EE"/>
          </w:tcPr>
          <w:p>
            <w:pPr>
              <w:spacing w:after="20"/>
            </w:pPr>
            <w:r>
              <w:rPr>
                <w:b/>
                <w:color w:val="1C3A36"/>
                <w:sz w:val="15"/>
              </w:rPr>
              <w:t>Source and construction</w:t>
            </w:r>
          </w:p>
        </w:tc>
      </w:tr>
      <w:tr>
        <w:tc>
          <w:tcPr>
            <w:tcW w:type="dxa" w:w="1656"/>
          </w:tcPr>
          <w:p>
            <w:pPr>
              <w:spacing w:after="20"/>
            </w:pPr>
            <w:r>
              <w:rPr>
                <w:color w:val="1C3A36"/>
                <w:sz w:val="15"/>
              </w:rPr>
              <w:t>tax stat</w:t>
            </w:r>
          </w:p>
        </w:tc>
        <w:tc>
          <w:tcPr>
            <w:tcW w:type="dxa" w:w="1368"/>
          </w:tcPr>
          <w:p>
            <w:pPr>
              <w:spacing w:after="20"/>
            </w:pPr>
            <w:r>
              <w:rPr>
                <w:color w:val="1C3A36"/>
                <w:sz w:val="15"/>
              </w:rPr>
              <w:t>0.225</w:t>
            </w:r>
          </w:p>
        </w:tc>
        <w:tc>
          <w:tcPr>
            <w:tcW w:type="dxa" w:w="1037"/>
          </w:tcPr>
          <w:p>
            <w:pPr>
              <w:spacing w:after="20"/>
            </w:pPr>
            <w:r>
              <w:rPr>
                <w:color w:val="1C3A36"/>
                <w:sz w:val="15"/>
              </w:rPr>
              <w:t>2026</w:t>
            </w:r>
          </w:p>
        </w:tc>
        <w:tc>
          <w:tcPr>
            <w:tcW w:type="dxa" w:w="6019"/>
          </w:tcPr>
          <w:p>
            <w:pPr>
              <w:spacing w:after="20"/>
            </w:pPr>
            <w:r>
              <w:rPr>
                <w:color w:val="1C3A36"/>
                <w:sz w:val="15"/>
              </w:rPr>
              <w:t>Egypt corporate income tax 22.5% (PwC Worldwide Tax Summaries, unchanged 2025-26)</w:t>
            </w:r>
          </w:p>
        </w:tc>
      </w:tr>
      <w:tr>
        <w:tc>
          <w:tcPr>
            <w:tcW w:type="dxa" w:w="1656"/>
          </w:tcPr>
          <w:p>
            <w:pPr>
              <w:spacing w:after="20"/>
            </w:pPr>
            <w:r>
              <w:rPr>
                <w:color w:val="1C3A36"/>
                <w:sz w:val="15"/>
              </w:rPr>
              <w:t>fx</w:t>
            </w:r>
          </w:p>
        </w:tc>
        <w:tc>
          <w:tcPr>
            <w:tcW w:type="dxa" w:w="1368"/>
          </w:tcPr>
          <w:p>
            <w:pPr>
              <w:spacing w:after="20"/>
            </w:pPr>
            <w:r>
              <w:rPr>
                <w:color w:val="1C3A36"/>
                <w:sz w:val="15"/>
              </w:rPr>
              <w:t>49.8</w:t>
            </w:r>
          </w:p>
        </w:tc>
        <w:tc>
          <w:tcPr>
            <w:tcW w:type="dxa" w:w="1037"/>
          </w:tcPr>
          <w:p>
            <w:pPr>
              <w:spacing w:after="20"/>
            </w:pPr>
            <w:r>
              <w:rPr>
                <w:color w:val="1C3A36"/>
                <w:sz w:val="15"/>
              </w:rPr>
              <w:t>2026-08-05</w:t>
            </w:r>
          </w:p>
        </w:tc>
        <w:tc>
          <w:tcPr>
            <w:tcW w:type="dxa" w:w="6019"/>
          </w:tcPr>
          <w:p>
            <w:pPr>
              <w:spacing w:after="20"/>
            </w:pPr>
            <w:r>
              <w:rPr>
                <w:color w:val="1C3A36"/>
                <w:sz w:val="15"/>
              </w:rPr>
              <w:t>USD/EGP mid-market ~49.8 (house cost-of-capital reference, re-verified 05-Aug-2026). The pound was not range-bound over the last year: ~46.8 (Feb-26) to ~54.7 (Apr-26 regional war spike) and back to ~49.8</w:t>
            </w:r>
          </w:p>
        </w:tc>
      </w:tr>
      <w:tr>
        <w:tc>
          <w:tcPr>
            <w:tcW w:type="dxa" w:w="1656"/>
          </w:tcPr>
          <w:p>
            <w:pPr>
              <w:spacing w:after="20"/>
            </w:pPr>
            <w:r>
              <w:rPr>
                <w:color w:val="1C3A36"/>
                <w:sz w:val="15"/>
              </w:rPr>
              <w:t>fx hist</w:t>
            </w:r>
          </w:p>
        </w:tc>
        <w:tc>
          <w:tcPr>
            <w:tcW w:type="dxa" w:w="1368"/>
          </w:tcPr>
          <w:p>
            <w:pPr>
              <w:spacing w:after="20"/>
            </w:pPr>
            <w:r>
              <w:rPr>
                <w:color w:val="1C3A36"/>
                <w:sz w:val="15"/>
              </w:rPr>
              <w:t>FY23: 30.7; FY24: 45.3; FY25: 49.5</w:t>
            </w:r>
          </w:p>
        </w:tc>
        <w:tc>
          <w:tcPr>
            <w:tcW w:type="dxa" w:w="1037"/>
          </w:tcPr>
          <w:p>
            <w:pPr>
              <w:spacing w:after="20"/>
            </w:pPr>
            <w:r>
              <w:rPr>
                <w:color w:val="1C3A36"/>
                <w:sz w:val="15"/>
              </w:rPr>
              <w:t>2026-08-05</w:t>
            </w:r>
          </w:p>
        </w:tc>
        <w:tc>
          <w:tcPr>
            <w:tcW w:type="dxa" w:w="6019"/>
          </w:tcPr>
          <w:p>
            <w:pPr>
              <w:spacing w:after="20"/>
            </w:pPr>
            <w:r>
              <w:rPr>
                <w:color w:val="1C3A36"/>
                <w:sz w:val="15"/>
              </w:rPr>
              <w:t>Annual average USD/EGP. The audited FY2024 note discloses closing 50.91 / average 43.96 for 2024 and closing 30.96 / average 30.59 for 2023; the figures here are the house averages consistent with those disclosures</w:t>
            </w:r>
          </w:p>
        </w:tc>
      </w:tr>
      <w:tr>
        <w:tc>
          <w:tcPr>
            <w:tcW w:type="dxa" w:w="1656"/>
          </w:tcPr>
          <w:p>
            <w:pPr>
              <w:spacing w:after="20"/>
            </w:pPr>
            <w:r>
              <w:rPr>
                <w:color w:val="1C3A36"/>
                <w:sz w:val="15"/>
              </w:rPr>
              <w:t>rf</w:t>
            </w:r>
          </w:p>
        </w:tc>
        <w:tc>
          <w:tcPr>
            <w:tcW w:type="dxa" w:w="1368"/>
          </w:tcPr>
          <w:p>
            <w:pPr>
              <w:spacing w:after="20"/>
            </w:pPr>
            <w:r>
              <w:rPr>
                <w:color w:val="1C3A36"/>
                <w:sz w:val="15"/>
              </w:rPr>
              <w:t>0.2231</w:t>
            </w:r>
          </w:p>
        </w:tc>
        <w:tc>
          <w:tcPr>
            <w:tcW w:type="dxa" w:w="1037"/>
          </w:tcPr>
          <w:p>
            <w:pPr>
              <w:spacing w:after="20"/>
            </w:pPr>
            <w:r>
              <w:rPr>
                <w:color w:val="1C3A36"/>
                <w:sz w:val="15"/>
              </w:rPr>
              <w:t>2026-07-21</w:t>
            </w:r>
          </w:p>
        </w:tc>
        <w:tc>
          <w:tcPr>
            <w:tcW w:type="dxa" w:w="6019"/>
          </w:tcPr>
          <w:p>
            <w:pPr>
              <w:spacing w:after="20"/>
            </w:pPr>
            <w:r>
              <w:rPr>
                <w:color w:val="1C3A36"/>
                <w:sz w:val="15"/>
              </w:rPr>
              <w:t>Egypt 10-year local-currency government bond yield, 22.31% (house cost-of-capital reference, cached 21-Jul-2026 print, re-verified 05-Aug-2026)</w:t>
            </w:r>
          </w:p>
        </w:tc>
      </w:tr>
      <w:tr>
        <w:tc>
          <w:tcPr>
            <w:tcW w:type="dxa" w:w="1656"/>
          </w:tcPr>
          <w:p>
            <w:pPr>
              <w:spacing w:after="20"/>
            </w:pPr>
            <w:r>
              <w:rPr>
                <w:color w:val="1C3A36"/>
                <w:sz w:val="15"/>
              </w:rPr>
              <w:t>sov spread cds</w:t>
            </w:r>
          </w:p>
        </w:tc>
        <w:tc>
          <w:tcPr>
            <w:tcW w:type="dxa" w:w="1368"/>
          </w:tcPr>
          <w:p>
            <w:pPr>
              <w:spacing w:after="20"/>
            </w:pPr>
            <w:r>
              <w:rPr>
                <w:color w:val="1C3A36"/>
                <w:sz w:val="15"/>
              </w:rPr>
              <w:t>0.034</w:t>
            </w:r>
          </w:p>
        </w:tc>
        <w:tc>
          <w:tcPr>
            <w:tcW w:type="dxa" w:w="1037"/>
          </w:tcPr>
          <w:p>
            <w:pPr>
              <w:spacing w:after="20"/>
            </w:pPr>
            <w:r>
              <w:rPr>
                <w:color w:val="1C3A36"/>
                <w:sz w:val="15"/>
              </w:rPr>
              <w:t>2026-01-05</w:t>
            </w:r>
          </w:p>
        </w:tc>
        <w:tc>
          <w:tcPr>
            <w:tcW w:type="dxa" w:w="6019"/>
          </w:tcPr>
          <w:p>
            <w:pPr>
              <w:spacing w:after="20"/>
            </w:pPr>
            <w:r>
              <w:rPr>
                <w:color w:val="1C3A36"/>
                <w:sz w:val="15"/>
              </w:rPr>
              <w:t>Egypt CDS-implied sovereign default spread, Damodaran January-2026 country-premium file, CDS column. Netted out of the local-currency risk-free rate so sovereign default risk is not charged twice</w:t>
            </w:r>
          </w:p>
        </w:tc>
      </w:tr>
      <w:tr>
        <w:tc>
          <w:tcPr>
            <w:tcW w:type="dxa" w:w="1656"/>
          </w:tcPr>
          <w:p>
            <w:pPr>
              <w:spacing w:after="20"/>
            </w:pPr>
            <w:r>
              <w:rPr>
                <w:color w:val="1C3A36"/>
                <w:sz w:val="15"/>
              </w:rPr>
              <w:t>sov spread rating</w:t>
            </w:r>
          </w:p>
        </w:tc>
        <w:tc>
          <w:tcPr>
            <w:tcW w:type="dxa" w:w="1368"/>
          </w:tcPr>
          <w:p>
            <w:pPr>
              <w:spacing w:after="20"/>
            </w:pPr>
            <w:r>
              <w:rPr>
                <w:color w:val="1C3A36"/>
                <w:sz w:val="15"/>
              </w:rPr>
              <w:t>0.0637</w:t>
            </w:r>
          </w:p>
        </w:tc>
        <w:tc>
          <w:tcPr>
            <w:tcW w:type="dxa" w:w="1037"/>
          </w:tcPr>
          <w:p>
            <w:pPr>
              <w:spacing w:after="20"/>
            </w:pPr>
            <w:r>
              <w:rPr>
                <w:color w:val="1C3A36"/>
                <w:sz w:val="15"/>
              </w:rPr>
              <w:t>2026-01-05</w:t>
            </w:r>
          </w:p>
        </w:tc>
        <w:tc>
          <w:tcPr>
            <w:tcW w:type="dxa" w:w="6019"/>
          </w:tcPr>
          <w:p>
            <w:pPr>
              <w:spacing w:after="20"/>
            </w:pPr>
            <w:r>
              <w:rPr>
                <w:color w:val="1C3A36"/>
                <w:sz w:val="15"/>
              </w:rPr>
              <w:t>Damodaran adjusted default spread on the rating basis (Caa1), January-2026 — the alternative construction, disclosed for the audit trail</w:t>
            </w:r>
          </w:p>
        </w:tc>
      </w:tr>
      <w:tr>
        <w:tc>
          <w:tcPr>
            <w:tcW w:type="dxa" w:w="1656"/>
          </w:tcPr>
          <w:p>
            <w:pPr>
              <w:spacing w:after="20"/>
            </w:pPr>
            <w:r>
              <w:rPr>
                <w:color w:val="1C3A36"/>
                <w:sz w:val="15"/>
              </w:rPr>
              <w:t>erp cds</w:t>
            </w:r>
          </w:p>
        </w:tc>
        <w:tc>
          <w:tcPr>
            <w:tcW w:type="dxa" w:w="1368"/>
          </w:tcPr>
          <w:p>
            <w:pPr>
              <w:spacing w:after="20"/>
            </w:pPr>
            <w:r>
              <w:rPr>
                <w:color w:val="1C3A36"/>
                <w:sz w:val="15"/>
              </w:rPr>
              <w:t>0.0941</w:t>
            </w:r>
          </w:p>
        </w:tc>
        <w:tc>
          <w:tcPr>
            <w:tcW w:type="dxa" w:w="1037"/>
          </w:tcPr>
          <w:p>
            <w:pPr>
              <w:spacing w:after="20"/>
            </w:pPr>
            <w:r>
              <w:rPr>
                <w:color w:val="1C3A36"/>
                <w:sz w:val="15"/>
              </w:rPr>
              <w:t>2026-01-05</w:t>
            </w:r>
          </w:p>
        </w:tc>
        <w:tc>
          <w:tcPr>
            <w:tcW w:type="dxa" w:w="6019"/>
          </w:tcPr>
          <w:p>
            <w:pPr>
              <w:spacing w:after="20"/>
            </w:pPr>
            <w:r>
              <w:rPr>
                <w:color w:val="1C3A36"/>
                <w:sz w:val="15"/>
              </w:rPr>
              <w:t>Damodaran original country-premium file, Egypt row, CDS column, last updated 5 January 2026 — total equity risk premium</w:t>
            </w:r>
          </w:p>
        </w:tc>
      </w:tr>
      <w:tr>
        <w:tc>
          <w:tcPr>
            <w:tcW w:type="dxa" w:w="1656"/>
          </w:tcPr>
          <w:p>
            <w:pPr>
              <w:spacing w:after="20"/>
            </w:pPr>
            <w:r>
              <w:rPr>
                <w:color w:val="1C3A36"/>
                <w:sz w:val="15"/>
              </w:rPr>
              <w:t>erp rating</w:t>
            </w:r>
          </w:p>
        </w:tc>
        <w:tc>
          <w:tcPr>
            <w:tcW w:type="dxa" w:w="1368"/>
          </w:tcPr>
          <w:p>
            <w:pPr>
              <w:spacing w:after="20"/>
            </w:pPr>
            <w:r>
              <w:rPr>
                <w:color w:val="1C3A36"/>
                <w:sz w:val="15"/>
              </w:rPr>
              <w:t>0.1394</w:t>
            </w:r>
          </w:p>
        </w:tc>
        <w:tc>
          <w:tcPr>
            <w:tcW w:type="dxa" w:w="1037"/>
          </w:tcPr>
          <w:p>
            <w:pPr>
              <w:spacing w:after="20"/>
            </w:pPr>
            <w:r>
              <w:rPr>
                <w:color w:val="1C3A36"/>
                <w:sz w:val="15"/>
              </w:rPr>
              <w:t>2026-01-05</w:t>
            </w:r>
          </w:p>
        </w:tc>
        <w:tc>
          <w:tcPr>
            <w:tcW w:type="dxa" w:w="6019"/>
          </w:tcPr>
          <w:p>
            <w:pPr>
              <w:spacing w:after="20"/>
            </w:pPr>
            <w:r>
              <w:rPr>
                <w:color w:val="1C3A36"/>
                <w:sz w:val="15"/>
              </w:rPr>
              <w:t>Damodaran original country-premium file, Egypt row, rating basis, January-2026 — the alternative</w:t>
            </w:r>
          </w:p>
        </w:tc>
      </w:tr>
    </w:tbl>
    <w:p>
      <w:pPr>
        <w:spacing w:after="40"/>
      </w:pPr>
    </w:p>
    <w:p>
      <w:pPr>
        <w:spacing w:after="60" w:before="160"/>
      </w:pPr>
      <w:r>
        <w:rPr>
          <w:b/>
          <w:i w:val="0"/>
          <w:color w:val="1C3A36"/>
          <w:sz w:val="22"/>
        </w:rPr>
        <w:t>House layer — 39 inputs</w:t>
      </w:r>
    </w:p>
    <w:tbl>
      <w:tblPr>
        <w:tblW w:type="auto" w:w="0"/>
        <w:jc w:val="center"/>
        <w:tblLook w:firstColumn="1" w:firstRow="1" w:lastColumn="0" w:lastRow="0" w:noHBand="0" w:noVBand="1" w:val="04A0"/>
        <w:tblLayout w:type="fixed"/>
        <w:tblCellMar>
          <w:top w:w="36" w:type="dxa"/>
          <w:left w:w="80" w:type="dxa"/>
          <w:bottom w:w="36"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656"/>
        <w:gridCol w:w="1368"/>
        <w:gridCol w:w="1037"/>
        <w:gridCol w:w="6019"/>
      </w:tblGrid>
      <w:tr>
        <w:tc>
          <w:tcPr>
            <w:tcW w:type="dxa" w:w="1656"/>
            <w:shd w:val="clear" w:color="auto" w:fill="EAF0EE"/>
          </w:tcPr>
          <w:p>
            <w:pPr>
              <w:spacing w:after="20"/>
            </w:pPr>
            <w:r>
              <w:rPr>
                <w:b/>
                <w:color w:val="1C3A36"/>
                <w:sz w:val="15"/>
              </w:rPr>
              <w:t>Input</w:t>
            </w:r>
          </w:p>
        </w:tc>
        <w:tc>
          <w:tcPr>
            <w:tcW w:type="dxa" w:w="1368"/>
            <w:shd w:val="clear" w:color="auto" w:fill="EAF0EE"/>
          </w:tcPr>
          <w:p>
            <w:pPr>
              <w:spacing w:after="20"/>
            </w:pPr>
            <w:r>
              <w:rPr>
                <w:b/>
                <w:color w:val="1C3A36"/>
                <w:sz w:val="15"/>
              </w:rPr>
              <w:t>Value</w:t>
            </w:r>
          </w:p>
        </w:tc>
        <w:tc>
          <w:tcPr>
            <w:tcW w:type="dxa" w:w="1037"/>
            <w:shd w:val="clear" w:color="auto" w:fill="EAF0EE"/>
          </w:tcPr>
          <w:p>
            <w:pPr>
              <w:spacing w:after="20"/>
            </w:pPr>
            <w:r>
              <w:rPr>
                <w:b/>
                <w:color w:val="1C3A36"/>
                <w:sz w:val="15"/>
              </w:rPr>
              <w:t>Date</w:t>
            </w:r>
          </w:p>
        </w:tc>
        <w:tc>
          <w:tcPr>
            <w:tcW w:type="dxa" w:w="6019"/>
            <w:shd w:val="clear" w:color="auto" w:fill="EAF0EE"/>
          </w:tcPr>
          <w:p>
            <w:pPr>
              <w:spacing w:after="20"/>
            </w:pPr>
            <w:r>
              <w:rPr>
                <w:b/>
                <w:color w:val="1C3A36"/>
                <w:sz w:val="15"/>
              </w:rPr>
              <w:t>Source and construction</w:t>
            </w:r>
          </w:p>
        </w:tc>
      </w:tr>
      <w:tr>
        <w:tc>
          <w:tcPr>
            <w:tcW w:type="dxa" w:w="1656"/>
          </w:tcPr>
          <w:p>
            <w:pPr>
              <w:spacing w:after="20"/>
            </w:pPr>
            <w:r>
              <w:rPr>
                <w:color w:val="1C3A36"/>
                <w:sz w:val="15"/>
              </w:rPr>
              <w:t>tax eff</w:t>
            </w:r>
          </w:p>
        </w:tc>
        <w:tc>
          <w:tcPr>
            <w:tcW w:type="dxa" w:w="1368"/>
          </w:tcPr>
          <w:p>
            <w:pPr>
              <w:spacing w:after="20"/>
            </w:pPr>
            <w:r>
              <w:rPr>
                <w:color w:val="1C3A36"/>
                <w:sz w:val="15"/>
              </w:rPr>
              <w:t>0.25</w:t>
            </w:r>
          </w:p>
        </w:tc>
        <w:tc>
          <w:tcPr>
            <w:tcW w:type="dxa" w:w="1037"/>
          </w:tcPr>
          <w:p>
            <w:pPr>
              <w:spacing w:after="20"/>
            </w:pPr>
            <w:r>
              <w:rPr>
                <w:color w:val="1C3A36"/>
                <w:sz w:val="15"/>
              </w:rPr>
              <w:t>2026-08-05</w:t>
            </w:r>
          </w:p>
        </w:tc>
        <w:tc>
          <w:tcPr>
            <w:tcW w:type="dxa" w:w="6019"/>
          </w:tcPr>
          <w:p>
            <w:pPr>
              <w:spacing w:after="20"/>
            </w:pPr>
            <w:r>
              <w:rPr>
                <w:color w:val="1C3A36"/>
                <w:sz w:val="15"/>
              </w:rPr>
              <w:t>Group effective tax rate used for NOPAT. Reported effective rates: FY2023 31.3%, FY2024 30.1%, FY2025 25.2% (derived, see P&amp;L closure). The group pays tax in 15 countries; 25% is struck between the FY25 derived rate and the Egyptian statutory 22.5%, above the statutory rate because foreign profits are taxed in higher-rate jurisdictions and withholding leaks on repatriation</w:t>
            </w:r>
          </w:p>
        </w:tc>
      </w:tr>
      <w:tr>
        <w:tc>
          <w:tcPr>
            <w:tcW w:type="dxa" w:w="1656"/>
          </w:tcPr>
          <w:p>
            <w:pPr>
              <w:spacing w:after="20"/>
            </w:pPr>
            <w:r>
              <w:rPr>
                <w:color w:val="1C3A36"/>
                <w:sz w:val="15"/>
              </w:rPr>
              <w:t>gp fy25</w:t>
            </w:r>
          </w:p>
        </w:tc>
        <w:tc>
          <w:tcPr>
            <w:tcW w:type="dxa" w:w="1368"/>
          </w:tcPr>
          <w:p>
            <w:pPr>
              <w:spacing w:after="20"/>
            </w:pPr>
            <w:r>
              <w:rPr>
                <w:color w:val="1C3A36"/>
                <w:sz w:val="15"/>
              </w:rPr>
              <w:t>40,720.0</w:t>
            </w:r>
          </w:p>
        </w:tc>
        <w:tc>
          <w:tcPr>
            <w:tcW w:type="dxa" w:w="1037"/>
          </w:tcPr>
          <w:p>
            <w:pPr>
              <w:spacing w:after="20"/>
            </w:pPr>
            <w:r>
              <w:rPr>
                <w:color w:val="1C3A36"/>
                <w:sz w:val="15"/>
              </w:rPr>
              <w:t>2026-03</w:t>
            </w:r>
          </w:p>
        </w:tc>
        <w:tc>
          <w:tcPr>
            <w:tcW w:type="dxa" w:w="6019"/>
          </w:tcPr>
          <w:p>
            <w:pPr>
              <w:spacing w:after="20"/>
            </w:pPr>
            <w:r>
              <w:rPr>
                <w:color w:val="1C3A36"/>
                <w:sz w:val="15"/>
              </w:rPr>
              <w:t>DERIVED: 9M-2025 gross profit ~EGP 30.0bn (15.0% of the 199.71bn 9M revenue, press coverage of the 9M filing) + Q4-2025 gross profit 10.77bn (Q4-2025 release: -0.7% y/y on Q4-2024's 10,841, 13.2% margin). Blends to a 14.5% FY margin</w:t>
            </w:r>
          </w:p>
        </w:tc>
      </w:tr>
      <w:tr>
        <w:tc>
          <w:tcPr>
            <w:tcW w:type="dxa" w:w="1656"/>
          </w:tcPr>
          <w:p>
            <w:pPr>
              <w:spacing w:after="20"/>
            </w:pPr>
            <w:r>
              <w:rPr>
                <w:color w:val="1C3A36"/>
                <w:sz w:val="15"/>
              </w:rPr>
              <w:t>netfin fy25</w:t>
            </w:r>
          </w:p>
        </w:tc>
        <w:tc>
          <w:tcPr>
            <w:tcW w:type="dxa" w:w="1368"/>
          </w:tcPr>
          <w:p>
            <w:pPr>
              <w:spacing w:after="20"/>
            </w:pPr>
            <w:r>
              <w:rPr>
                <w:color w:val="1C3A36"/>
                <w:sz w:val="15"/>
              </w:rPr>
              <w:t>-3,400.0</w:t>
            </w:r>
          </w:p>
        </w:tc>
        <w:tc>
          <w:tcPr>
            <w:tcW w:type="dxa" w:w="1037"/>
          </w:tcPr>
          <w:p>
            <w:pPr>
              <w:spacing w:after="20"/>
            </w:pPr>
            <w:r>
              <w:rPr>
                <w:color w:val="1C3A36"/>
                <w:sz w:val="15"/>
              </w:rPr>
              <w:t>2026-08-05</w:t>
            </w:r>
          </w:p>
        </w:tc>
        <w:tc>
          <w:tcPr>
            <w:tcW w:type="dxa" w:w="6019"/>
          </w:tcPr>
          <w:p>
            <w:pPr>
              <w:spacing w:after="20"/>
            </w:pPr>
            <w:r>
              <w:rPr>
                <w:color w:val="1C3A36"/>
                <w:sz w:val="15"/>
              </w:rPr>
              <w:t>DERIVED FY2025 net finance cost. The Q1-2025 net run-rate annualises to -3,023 and FY2024 printed -3,515 on a smaller debt book; -3,400 is struck between them, allowing for a larger balance sheet against a falling policy rate. This is the one materially estimated line in the FY2025 income statement and it is what the implied tax rate is most sensitive to</w:t>
            </w:r>
          </w:p>
        </w:tc>
      </w:tr>
      <w:tr>
        <w:tc>
          <w:tcPr>
            <w:tcW w:type="dxa" w:w="1656"/>
          </w:tcPr>
          <w:p>
            <w:pPr>
              <w:spacing w:after="20"/>
            </w:pPr>
            <w:r>
              <w:rPr>
                <w:color w:val="1C3A36"/>
                <w:sz w:val="15"/>
              </w:rPr>
              <w:t>fx path</w:t>
            </w:r>
          </w:p>
        </w:tc>
        <w:tc>
          <w:tcPr>
            <w:tcW w:type="dxa" w:w="1368"/>
          </w:tcPr>
          <w:p>
            <w:pPr>
              <w:spacing w:after="20"/>
            </w:pPr>
            <w:r>
              <w:rPr>
                <w:color w:val="1C3A36"/>
                <w:sz w:val="15"/>
              </w:rPr>
              <w:t>51, 54, 57.5, 61, 64.5</w:t>
            </w:r>
          </w:p>
        </w:tc>
        <w:tc>
          <w:tcPr>
            <w:tcW w:type="dxa" w:w="1037"/>
          </w:tcPr>
          <w:p>
            <w:pPr>
              <w:spacing w:after="20"/>
            </w:pPr>
            <w:r>
              <w:rPr>
                <w:color w:val="1C3A36"/>
                <w:sz w:val="15"/>
              </w:rPr>
              <w:t>2026-08-05</w:t>
            </w:r>
          </w:p>
        </w:tc>
        <w:tc>
          <w:tcPr>
            <w:tcW w:type="dxa" w:w="6019"/>
          </w:tcPr>
          <w:p>
            <w:pPr>
              <w:spacing w:after="20"/>
            </w:pPr>
            <w:r>
              <w:rPr>
                <w:color w:val="1C3A36"/>
                <w:sz w:val="15"/>
              </w:rPr>
              <w:t>USD/EGP average-rate path, about 6%/yr of depreciation from the FY2025 average of 49.5. This is a genuine driver in the bottom-up build, not a translation convenience: copper is priced in dollars, so it sets the Egyptian-pound price per tonne of cable and rod directly. DELIBERATELY BELOW covered-interest parity, which on the 22.31% pound against a ~4.3% dollar rate implies about 17%/yr — the base case assumes disinflation closes most of that gap rather than the currency absorbing it. The parity case is carried as an explicit sensitivity</w:t>
            </w:r>
          </w:p>
        </w:tc>
      </w:tr>
      <w:tr>
        <w:tc>
          <w:tcPr>
            <w:tcW w:type="dxa" w:w="1656"/>
          </w:tcPr>
          <w:p>
            <w:pPr>
              <w:spacing w:after="20"/>
            </w:pPr>
            <w:r>
              <w:rPr>
                <w:color w:val="1C3A36"/>
                <w:sz w:val="15"/>
              </w:rPr>
              <w:t>cables vol growth</w:t>
            </w:r>
          </w:p>
        </w:tc>
        <w:tc>
          <w:tcPr>
            <w:tcW w:type="dxa" w:w="1368"/>
          </w:tcPr>
          <w:p>
            <w:pPr>
              <w:spacing w:after="20"/>
            </w:pPr>
            <w:r>
              <w:rPr>
                <w:color w:val="1C3A36"/>
                <w:sz w:val="15"/>
              </w:rPr>
              <w:t>0.06, 0.05, 0.04, 0.04, 0.04</w:t>
            </w:r>
          </w:p>
        </w:tc>
        <w:tc>
          <w:tcPr>
            <w:tcW w:type="dxa" w:w="1037"/>
          </w:tcPr>
          <w:p>
            <w:pPr>
              <w:spacing w:after="20"/>
            </w:pPr>
            <w:r>
              <w:rPr>
                <w:color w:val="1C3A36"/>
                <w:sz w:val="15"/>
              </w:rPr>
              <w:t>2026-08-05</w:t>
            </w:r>
          </w:p>
        </w:tc>
        <w:tc>
          <w:tcPr>
            <w:tcW w:type="dxa" w:w="6019"/>
          </w:tcPr>
          <w:p>
            <w:pPr>
              <w:spacing w:after="20"/>
            </w:pPr>
            <w:r>
              <w:rPr>
                <w:color w:val="1C3A36"/>
                <w:sz w:val="15"/>
              </w:rPr>
              <w:t>Cable tonnage growth. The FY2025 base is a 7.7% volume DECLINE on FY2024 (disclosed Q1-2025 -7.8%), so the forecast is a recovery to roughly the FY2024 level by FY2028 and modest growth thereafter, supported by regional grid build-out, data-centre demand and the export book. No capacity step-change is assumed</w:t>
            </w:r>
          </w:p>
        </w:tc>
      </w:tr>
      <w:tr>
        <w:tc>
          <w:tcPr>
            <w:tcW w:type="dxa" w:w="1656"/>
          </w:tcPr>
          <w:p>
            <w:pPr>
              <w:spacing w:after="20"/>
            </w:pPr>
            <w:r>
              <w:rPr>
                <w:color w:val="1C3A36"/>
                <w:sz w:val="15"/>
              </w:rPr>
              <w:t>cables uplift</w:t>
            </w:r>
          </w:p>
        </w:tc>
        <w:tc>
          <w:tcPr>
            <w:tcW w:type="dxa" w:w="1368"/>
          </w:tcPr>
          <w:p>
            <w:pPr>
              <w:spacing w:after="20"/>
            </w:pPr>
            <w:r>
              <w:rPr>
                <w:color w:val="1C3A36"/>
                <w:sz w:val="15"/>
              </w:rPr>
              <w:t>1.3, 1.3, 1.3, 1.3, 1.3</w:t>
            </w:r>
          </w:p>
        </w:tc>
        <w:tc>
          <w:tcPr>
            <w:tcW w:type="dxa" w:w="1037"/>
          </w:tcPr>
          <w:p>
            <w:pPr>
              <w:spacing w:after="20"/>
            </w:pPr>
            <w:r>
              <w:rPr>
                <w:color w:val="1C3A36"/>
                <w:sz w:val="15"/>
              </w:rPr>
              <w:t>2026-08-05</w:t>
            </w:r>
          </w:p>
        </w:tc>
        <w:tc>
          <w:tcPr>
            <w:tcW w:type="dxa" w:w="6019"/>
          </w:tcPr>
          <w:p>
            <w:pPr>
              <w:spacing w:after="20"/>
            </w:pPr>
            <w:r>
              <w:rPr>
                <w:color w:val="1C3A36"/>
                <w:sz w:val="15"/>
              </w:rPr>
              <w:t>Fabrication uplift: cable price per tonne divided by the copper cost per tonne. History back-solves to 1.386 (FY2023) and 1.261 (FY2024); the forecast is held at 1.30, between the two. This is the term that converts a copper price into a cable price, and holding it flat means no pricing-power assumption is being smuggled in</w:t>
            </w:r>
          </w:p>
        </w:tc>
      </w:tr>
      <w:tr>
        <w:tc>
          <w:tcPr>
            <w:tcW w:type="dxa" w:w="1656"/>
          </w:tcPr>
          <w:p>
            <w:pPr>
              <w:spacing w:after="20"/>
            </w:pPr>
            <w:r>
              <w:rPr>
                <w:color w:val="1C3A36"/>
                <w:sz w:val="15"/>
              </w:rPr>
              <w:t>cables conv</w:t>
            </w:r>
          </w:p>
        </w:tc>
        <w:tc>
          <w:tcPr>
            <w:tcW w:type="dxa" w:w="1368"/>
          </w:tcPr>
          <w:p>
            <w:pPr>
              <w:spacing w:after="20"/>
            </w:pPr>
            <w:r>
              <w:rPr>
                <w:color w:val="1C3A36"/>
                <w:sz w:val="15"/>
              </w:rPr>
              <w:t>0.15, 0.16, 0.17, 0.175, 0.175</w:t>
            </w:r>
          </w:p>
        </w:tc>
        <w:tc>
          <w:tcPr>
            <w:tcW w:type="dxa" w:w="1037"/>
          </w:tcPr>
          <w:p>
            <w:pPr>
              <w:spacing w:after="20"/>
            </w:pPr>
            <w:r>
              <w:rPr>
                <w:color w:val="1C3A36"/>
                <w:sz w:val="15"/>
              </w:rPr>
              <w:t>2026-08-05</w:t>
            </w:r>
          </w:p>
        </w:tc>
        <w:tc>
          <w:tcPr>
            <w:tcW w:type="dxa" w:w="6019"/>
          </w:tcPr>
          <w:p>
            <w:pPr>
              <w:spacing w:after="20"/>
            </w:pPr>
            <w:r>
              <w:rPr>
                <w:color w:val="1C3A36"/>
                <w:sz w:val="15"/>
              </w:rPr>
              <w:t>Cable conversion margin — gross profit as a share of the realised price per tonne — for the forecast years. History back-solves to 25.0% (FY2023), 22.8% (FY2024) and roughly 13.8% (FY2025, from the disclosed gross profit per tonne against the back-solved price per tonne). The forecast recovers only part of that collapse and never approaches the FY2023-24 levels, which carried devaluation gains on cheaply bought copper inventory</w:t>
            </w:r>
          </w:p>
        </w:tc>
      </w:tr>
      <w:tr>
        <w:tc>
          <w:tcPr>
            <w:tcW w:type="dxa" w:w="1656"/>
          </w:tcPr>
          <w:p>
            <w:pPr>
              <w:spacing w:after="20"/>
            </w:pPr>
            <w:r>
              <w:rPr>
                <w:color w:val="1C3A36"/>
                <w:sz w:val="15"/>
              </w:rPr>
              <w:t>unit gp growth</w:t>
            </w:r>
          </w:p>
        </w:tc>
        <w:tc>
          <w:tcPr>
            <w:tcW w:type="dxa" w:w="1368"/>
          </w:tcPr>
          <w:p>
            <w:pPr>
              <w:spacing w:after="20"/>
            </w:pPr>
            <w:r>
              <w:rPr>
                <w:color w:val="1C3A36"/>
                <w:sz w:val="15"/>
              </w:rPr>
              <w:t>0.085, 0.08, 0.075, 0.07, 0.07</w:t>
            </w:r>
          </w:p>
        </w:tc>
        <w:tc>
          <w:tcPr>
            <w:tcW w:type="dxa" w:w="1037"/>
          </w:tcPr>
          <w:p>
            <w:pPr>
              <w:spacing w:after="20"/>
            </w:pPr>
            <w:r>
              <w:rPr>
                <w:color w:val="1C3A36"/>
                <w:sz w:val="15"/>
              </w:rPr>
              <w:t>2026-08-05</w:t>
            </w:r>
          </w:p>
        </w:tc>
        <w:tc>
          <w:tcPr>
            <w:tcW w:type="dxa" w:w="6019"/>
          </w:tcPr>
          <w:p>
            <w:pPr>
              <w:spacing w:after="20"/>
            </w:pPr>
            <w:r>
              <w:rPr>
                <w:color w:val="1C3A36"/>
                <w:sz w:val="15"/>
              </w:rPr>
              <w:t>Growth in gross profit PER UNIT for the manufacturing lines — per tonne of cable and rod, per MVA of transformer, per meter. This is the correct structure for a converter: when copper spikes, revenue rises because the metal is passed through, but the conversion margin earned on each tonne does not, so the percentage margin falls. Modelling these as a percentage of a copper-inflated price would manufacture profit out of a commodity move. The path is set at roughly Egyptian cost inflation, i.e. a flat real conversion margin with no recovery in unit profitability assumed</w:t>
            </w:r>
          </w:p>
        </w:tc>
      </w:tr>
      <w:tr>
        <w:tc>
          <w:tcPr>
            <w:tcW w:type="dxa" w:w="1656"/>
          </w:tcPr>
          <w:p>
            <w:pPr>
              <w:spacing w:after="20"/>
            </w:pPr>
            <w:r>
              <w:rPr>
                <w:color w:val="1C3A36"/>
                <w:sz w:val="15"/>
              </w:rPr>
              <w:t>margin recovery</w:t>
            </w:r>
          </w:p>
        </w:tc>
        <w:tc>
          <w:tcPr>
            <w:tcW w:type="dxa" w:w="1368"/>
          </w:tcPr>
          <w:p>
            <w:pPr>
              <w:spacing w:after="20"/>
            </w:pPr>
            <w:r>
              <w:rPr>
                <w:color w:val="1C3A36"/>
                <w:sz w:val="15"/>
              </w:rPr>
              <w:t>1, 1.04, 1.07, 1.09, 1.1</w:t>
            </w:r>
          </w:p>
        </w:tc>
        <w:tc>
          <w:tcPr>
            <w:tcW w:type="dxa" w:w="1037"/>
          </w:tcPr>
          <w:p>
            <w:pPr>
              <w:spacing w:after="20"/>
            </w:pPr>
            <w:r>
              <w:rPr>
                <w:color w:val="1C3A36"/>
                <w:sz w:val="15"/>
              </w:rPr>
              <w:t>2026-08-05</w:t>
            </w:r>
          </w:p>
        </w:tc>
        <w:tc>
          <w:tcPr>
            <w:tcW w:type="dxa" w:w="6019"/>
          </w:tcPr>
          <w:p>
            <w:pPr>
              <w:spacing w:after="20"/>
            </w:pPr>
            <w:r>
              <w:rPr>
                <w:color w:val="1C3A36"/>
                <w:sz w:val="15"/>
              </w:rPr>
              <w:t>Recovery factor applied to the FY2025 gross margins of the non-cable lines. FY2025 margins are calibrated to the disclosed group gross profit, which implies roughly a 10% compression against FY2024 across those lines; the forecast recovers about half of it by FY2030 and no more</w:t>
            </w:r>
          </w:p>
        </w:tc>
      </w:tr>
      <w:tr>
        <w:tc>
          <w:tcPr>
            <w:tcW w:type="dxa" w:w="1656"/>
          </w:tcPr>
          <w:p>
            <w:pPr>
              <w:spacing w:after="20"/>
            </w:pPr>
            <w:r>
              <w:rPr>
                <w:color w:val="1C3A36"/>
                <w:sz w:val="15"/>
              </w:rPr>
              <w:t>rawmat vol growth</w:t>
            </w:r>
          </w:p>
        </w:tc>
        <w:tc>
          <w:tcPr>
            <w:tcW w:type="dxa" w:w="1368"/>
          </w:tcPr>
          <w:p>
            <w:pPr>
              <w:spacing w:after="20"/>
            </w:pPr>
            <w:r>
              <w:rPr>
                <w:color w:val="1C3A36"/>
                <w:sz w:val="15"/>
              </w:rPr>
              <w:t>0.04, 0.04, 0.03, 0.03, 0.03</w:t>
            </w:r>
          </w:p>
        </w:tc>
        <w:tc>
          <w:tcPr>
            <w:tcW w:type="dxa" w:w="1037"/>
          </w:tcPr>
          <w:p>
            <w:pPr>
              <w:spacing w:after="20"/>
            </w:pPr>
            <w:r>
              <w:rPr>
                <w:color w:val="1C3A36"/>
                <w:sz w:val="15"/>
              </w:rPr>
              <w:t>2026-08-05</w:t>
            </w:r>
          </w:p>
        </w:tc>
        <w:tc>
          <w:tcPr>
            <w:tcW w:type="dxa" w:w="6019"/>
          </w:tcPr>
          <w:p>
            <w:pPr>
              <w:spacing w:after="20"/>
            </w:pPr>
            <w:r>
              <w:rPr>
                <w:color w:val="1C3A36"/>
                <w:sz w:val="15"/>
              </w:rPr>
              <w:t>Raw-material (copper rod) tonnage growth. This arm is close to a pure pass-through: implied volume was 99kt in FY2023 and 120kt in FY2024</w:t>
            </w:r>
          </w:p>
        </w:tc>
      </w:tr>
      <w:tr>
        <w:tc>
          <w:tcPr>
            <w:tcW w:type="dxa" w:w="1656"/>
          </w:tcPr>
          <w:p>
            <w:pPr>
              <w:spacing w:after="20"/>
            </w:pPr>
            <w:r>
              <w:rPr>
                <w:color w:val="1C3A36"/>
                <w:sz w:val="15"/>
              </w:rPr>
              <w:t>rawmat uplift</w:t>
            </w:r>
          </w:p>
        </w:tc>
        <w:tc>
          <w:tcPr>
            <w:tcW w:type="dxa" w:w="1368"/>
          </w:tcPr>
          <w:p>
            <w:pPr>
              <w:spacing w:after="20"/>
            </w:pPr>
            <w:r>
              <w:rPr>
                <w:color w:val="1C3A36"/>
                <w:sz w:val="15"/>
              </w:rPr>
              <w:t>1.02</w:t>
            </w:r>
          </w:p>
        </w:tc>
        <w:tc>
          <w:tcPr>
            <w:tcW w:type="dxa" w:w="1037"/>
          </w:tcPr>
          <w:p>
            <w:pPr>
              <w:spacing w:after="20"/>
            </w:pPr>
            <w:r>
              <w:rPr>
                <w:color w:val="1C3A36"/>
                <w:sz w:val="15"/>
              </w:rPr>
              <w:t>2026-08-05</w:t>
            </w:r>
          </w:p>
        </w:tc>
        <w:tc>
          <w:tcPr>
            <w:tcW w:type="dxa" w:w="6019"/>
          </w:tcPr>
          <w:p>
            <w:pPr>
              <w:spacing w:after="20"/>
            </w:pPr>
            <w:r>
              <w:rPr>
                <w:color w:val="1C3A36"/>
                <w:sz w:val="15"/>
              </w:rPr>
              <w:t>Raw-material price per tonne as a multiple of the copper cost — a thin conversion spread over the metal</w:t>
            </w:r>
          </w:p>
        </w:tc>
      </w:tr>
      <w:tr>
        <w:tc>
          <w:tcPr>
            <w:tcW w:type="dxa" w:w="1656"/>
          </w:tcPr>
          <w:p>
            <w:pPr>
              <w:spacing w:after="20"/>
            </w:pPr>
            <w:r>
              <w:rPr>
                <w:color w:val="1C3A36"/>
                <w:sz w:val="15"/>
              </w:rPr>
              <w:t>rawmat gp</w:t>
            </w:r>
          </w:p>
        </w:tc>
        <w:tc>
          <w:tcPr>
            <w:tcW w:type="dxa" w:w="1368"/>
          </w:tcPr>
          <w:p>
            <w:pPr>
              <w:spacing w:after="20"/>
            </w:pPr>
            <w:r>
              <w:rPr>
                <w:color w:val="1C3A36"/>
                <w:sz w:val="15"/>
              </w:rPr>
              <w:t>0.135</w:t>
            </w:r>
          </w:p>
        </w:tc>
        <w:tc>
          <w:tcPr>
            <w:tcW w:type="dxa" w:w="1037"/>
          </w:tcPr>
          <w:p>
            <w:pPr>
              <w:spacing w:after="20"/>
            </w:pPr>
            <w:r>
              <w:rPr>
                <w:color w:val="1C3A36"/>
                <w:sz w:val="15"/>
              </w:rPr>
              <w:t>2026-08-05</w:t>
            </w:r>
          </w:p>
        </w:tc>
        <w:tc>
          <w:tcPr>
            <w:tcW w:type="dxa" w:w="6019"/>
          </w:tcPr>
          <w:p>
            <w:pPr>
              <w:spacing w:after="20"/>
            </w:pPr>
            <w:r>
              <w:rPr>
                <w:color w:val="1C3A36"/>
                <w:sz w:val="15"/>
              </w:rPr>
              <w:t>Raw-material gross margin. History 13.4% (FY2023), 15.4% (FY2024); the forecast is struck at the lower end</w:t>
            </w:r>
          </w:p>
        </w:tc>
      </w:tr>
      <w:tr>
        <w:tc>
          <w:tcPr>
            <w:tcW w:type="dxa" w:w="1656"/>
          </w:tcPr>
          <w:p>
            <w:pPr>
              <w:spacing w:after="20"/>
            </w:pPr>
            <w:r>
              <w:rPr>
                <w:color w:val="1C3A36"/>
                <w:sz w:val="15"/>
              </w:rPr>
              <w:t>ec burn</w:t>
            </w:r>
          </w:p>
        </w:tc>
        <w:tc>
          <w:tcPr>
            <w:tcW w:type="dxa" w:w="1368"/>
          </w:tcPr>
          <w:p>
            <w:pPr>
              <w:spacing w:after="20"/>
            </w:pPr>
            <w:r>
              <w:rPr>
                <w:color w:val="1C3A36"/>
                <w:sz w:val="15"/>
              </w:rPr>
              <w:t>0.27, 0.265, 0.26, 0.255, 0.25</w:t>
            </w:r>
          </w:p>
        </w:tc>
        <w:tc>
          <w:tcPr>
            <w:tcW w:type="dxa" w:w="1037"/>
          </w:tcPr>
          <w:p>
            <w:pPr>
              <w:spacing w:after="20"/>
            </w:pPr>
            <w:r>
              <w:rPr>
                <w:color w:val="1C3A36"/>
                <w:sz w:val="15"/>
              </w:rPr>
              <w:t>2026-08-05</w:t>
            </w:r>
          </w:p>
        </w:tc>
        <w:tc>
          <w:tcPr>
            <w:tcW w:type="dxa" w:w="6019"/>
          </w:tcPr>
          <w:p>
            <w:pPr>
              <w:spacing w:after="20"/>
            </w:pPr>
            <w:r>
              <w:rPr>
                <w:color w:val="1C3A36"/>
                <w:sz w:val="15"/>
              </w:rPr>
              <w:t>Share of the opening order book converted to revenue each year. The FY2025 revenue of roughly EGP 88bn against a book of EGP 324bn implies about 27%, i.e. a three-and-a-half-year book. The rate is tapered as the book lengthens</w:t>
            </w:r>
          </w:p>
        </w:tc>
      </w:tr>
      <w:tr>
        <w:tc>
          <w:tcPr>
            <w:tcW w:type="dxa" w:w="1656"/>
          </w:tcPr>
          <w:p>
            <w:pPr>
              <w:spacing w:after="20"/>
            </w:pPr>
            <w:r>
              <w:rPr>
                <w:color w:val="1C3A36"/>
                <w:sz w:val="15"/>
              </w:rPr>
              <w:t>ec book to bill</w:t>
            </w:r>
          </w:p>
        </w:tc>
        <w:tc>
          <w:tcPr>
            <w:tcW w:type="dxa" w:w="1368"/>
          </w:tcPr>
          <w:p>
            <w:pPr>
              <w:spacing w:after="20"/>
            </w:pPr>
            <w:r>
              <w:rPr>
                <w:color w:val="1C3A36"/>
                <w:sz w:val="15"/>
              </w:rPr>
              <w:t>1.05, 1.05, 1.03, 1.02, 1</w:t>
            </w:r>
          </w:p>
        </w:tc>
        <w:tc>
          <w:tcPr>
            <w:tcW w:type="dxa" w:w="1037"/>
          </w:tcPr>
          <w:p>
            <w:pPr>
              <w:spacing w:after="20"/>
            </w:pPr>
            <w:r>
              <w:rPr>
                <w:color w:val="1C3A36"/>
                <w:sz w:val="15"/>
              </w:rPr>
              <w:t>2026-08-05</w:t>
            </w:r>
          </w:p>
        </w:tc>
        <w:tc>
          <w:tcPr>
            <w:tcW w:type="dxa" w:w="6019"/>
          </w:tcPr>
          <w:p>
            <w:pPr>
              <w:spacing w:after="20"/>
            </w:pPr>
            <w:r>
              <w:rPr>
                <w:color w:val="1C3A36"/>
                <w:sz w:val="15"/>
              </w:rPr>
              <w:t>New awards as a multiple of revenue recognised. Above one early, reflecting the disclosed step up in the order book, converging to replacement</w:t>
            </w:r>
          </w:p>
        </w:tc>
      </w:tr>
      <w:tr>
        <w:tc>
          <w:tcPr>
            <w:tcW w:type="dxa" w:w="1656"/>
          </w:tcPr>
          <w:p>
            <w:pPr>
              <w:spacing w:after="20"/>
            </w:pPr>
            <w:r>
              <w:rPr>
                <w:color w:val="1C3A36"/>
                <w:sz w:val="15"/>
              </w:rPr>
              <w:t>ec gp</w:t>
            </w:r>
          </w:p>
        </w:tc>
        <w:tc>
          <w:tcPr>
            <w:tcW w:type="dxa" w:w="1368"/>
          </w:tcPr>
          <w:p>
            <w:pPr>
              <w:spacing w:after="20"/>
            </w:pPr>
            <w:r>
              <w:rPr>
                <w:color w:val="1C3A36"/>
                <w:sz w:val="15"/>
              </w:rPr>
              <w:t>0.11</w:t>
            </w:r>
          </w:p>
        </w:tc>
        <w:tc>
          <w:tcPr>
            <w:tcW w:type="dxa" w:w="1037"/>
          </w:tcPr>
          <w:p>
            <w:pPr>
              <w:spacing w:after="20"/>
            </w:pPr>
            <w:r>
              <w:rPr>
                <w:color w:val="1C3A36"/>
                <w:sz w:val="15"/>
              </w:rPr>
              <w:t>2026-08-05</w:t>
            </w:r>
          </w:p>
        </w:tc>
        <w:tc>
          <w:tcPr>
            <w:tcW w:type="dxa" w:w="6019"/>
          </w:tcPr>
          <w:p>
            <w:pPr>
              <w:spacing w:after="20"/>
            </w:pPr>
            <w:r>
              <w:rPr>
                <w:color w:val="1C3A36"/>
                <w:sz w:val="15"/>
              </w:rPr>
              <w:t>Engineering and construction gross margin. History 11.6% (FY2023) and 11.2% (FY2024); held at 11.0%</w:t>
            </w:r>
          </w:p>
        </w:tc>
      </w:tr>
      <w:tr>
        <w:tc>
          <w:tcPr>
            <w:tcW w:type="dxa" w:w="1656"/>
          </w:tcPr>
          <w:p>
            <w:pPr>
              <w:spacing w:after="20"/>
            </w:pPr>
            <w:r>
              <w:rPr>
                <w:color w:val="1C3A36"/>
                <w:sz w:val="15"/>
              </w:rPr>
              <w:t>transformers vol growth</w:t>
            </w:r>
          </w:p>
        </w:tc>
        <w:tc>
          <w:tcPr>
            <w:tcW w:type="dxa" w:w="1368"/>
          </w:tcPr>
          <w:p>
            <w:pPr>
              <w:spacing w:after="20"/>
            </w:pPr>
            <w:r>
              <w:rPr>
                <w:color w:val="1C3A36"/>
                <w:sz w:val="15"/>
              </w:rPr>
              <w:t>0.08, 0.07, 0.06, 0.05, 0.05</w:t>
            </w:r>
          </w:p>
        </w:tc>
        <w:tc>
          <w:tcPr>
            <w:tcW w:type="dxa" w:w="1037"/>
          </w:tcPr>
          <w:p>
            <w:pPr>
              <w:spacing w:after="20"/>
            </w:pPr>
            <w:r>
              <w:rPr>
                <w:color w:val="1C3A36"/>
                <w:sz w:val="15"/>
              </w:rPr>
              <w:t>2026-08-05</w:t>
            </w:r>
          </w:p>
        </w:tc>
        <w:tc>
          <w:tcPr>
            <w:tcW w:type="dxa" w:w="6019"/>
          </w:tcPr>
          <w:p>
            <w:pPr>
              <w:spacing w:after="20"/>
            </w:pPr>
            <w:r>
              <w:rPr>
                <w:color w:val="1C3A36"/>
                <w:sz w:val="15"/>
              </w:rPr>
              <w:t>Transformer MVA growth. History: 14,521 MVA (FY2023) to 17,619 (FY2024), +21.3%, then broadly flat through Q1-2025. Regional transmission investment supports mid-single-digit growth</w:t>
            </w:r>
          </w:p>
        </w:tc>
      </w:tr>
      <w:tr>
        <w:tc>
          <w:tcPr>
            <w:tcW w:type="dxa" w:w="1656"/>
          </w:tcPr>
          <w:p>
            <w:pPr>
              <w:spacing w:after="20"/>
            </w:pPr>
            <w:r>
              <w:rPr>
                <w:color w:val="1C3A36"/>
                <w:sz w:val="15"/>
              </w:rPr>
              <w:t>transformers gp</w:t>
            </w:r>
          </w:p>
        </w:tc>
        <w:tc>
          <w:tcPr>
            <w:tcW w:type="dxa" w:w="1368"/>
          </w:tcPr>
          <w:p>
            <w:pPr>
              <w:spacing w:after="20"/>
            </w:pPr>
            <w:r>
              <w:rPr>
                <w:color w:val="1C3A36"/>
                <w:sz w:val="15"/>
              </w:rPr>
              <w:t>0.32</w:t>
            </w:r>
          </w:p>
        </w:tc>
        <w:tc>
          <w:tcPr>
            <w:tcW w:type="dxa" w:w="1037"/>
          </w:tcPr>
          <w:p>
            <w:pPr>
              <w:spacing w:after="20"/>
            </w:pPr>
            <w:r>
              <w:rPr>
                <w:color w:val="1C3A36"/>
                <w:sz w:val="15"/>
              </w:rPr>
              <w:t>2026-08-05</w:t>
            </w:r>
          </w:p>
        </w:tc>
        <w:tc>
          <w:tcPr>
            <w:tcW w:type="dxa" w:w="6019"/>
          </w:tcPr>
          <w:p>
            <w:pPr>
              <w:spacing w:after="20"/>
            </w:pPr>
            <w:r>
              <w:rPr>
                <w:color w:val="1C3A36"/>
                <w:sz w:val="15"/>
              </w:rPr>
              <w:t>Transformer gross margin as a share of price per MVA. History 29.9% (FY2023) and 34.4% (FY2024); struck between them</w:t>
            </w:r>
          </w:p>
        </w:tc>
      </w:tr>
      <w:tr>
        <w:tc>
          <w:tcPr>
            <w:tcW w:type="dxa" w:w="1656"/>
          </w:tcPr>
          <w:p>
            <w:pPr>
              <w:spacing w:after="20"/>
            </w:pPr>
            <w:r>
              <w:rPr>
                <w:color w:val="1C3A36"/>
                <w:sz w:val="15"/>
              </w:rPr>
              <w:t>meters vol growth</w:t>
            </w:r>
          </w:p>
        </w:tc>
        <w:tc>
          <w:tcPr>
            <w:tcW w:type="dxa" w:w="1368"/>
          </w:tcPr>
          <w:p>
            <w:pPr>
              <w:spacing w:after="20"/>
            </w:pPr>
            <w:r>
              <w:rPr>
                <w:color w:val="1C3A36"/>
                <w:sz w:val="15"/>
              </w:rPr>
              <w:t>0.06, 0.05, 0.05, 0.04, 0.04</w:t>
            </w:r>
          </w:p>
        </w:tc>
        <w:tc>
          <w:tcPr>
            <w:tcW w:type="dxa" w:w="1037"/>
          </w:tcPr>
          <w:p>
            <w:pPr>
              <w:spacing w:after="20"/>
            </w:pPr>
            <w:r>
              <w:rPr>
                <w:color w:val="1C3A36"/>
                <w:sz w:val="15"/>
              </w:rPr>
              <w:t>2026-08-05</w:t>
            </w:r>
          </w:p>
        </w:tc>
        <w:tc>
          <w:tcPr>
            <w:tcW w:type="dxa" w:w="6019"/>
          </w:tcPr>
          <w:p>
            <w:pPr>
              <w:spacing w:after="20"/>
            </w:pPr>
            <w:r>
              <w:rPr>
                <w:color w:val="1C3A36"/>
                <w:sz w:val="15"/>
              </w:rPr>
              <w:t>Smart-meter unit growth. Volumes fell 5.1% in FY2024 but Q1-2025 ran +44.1% y/y as national metering programmes restarted</w:t>
            </w:r>
          </w:p>
        </w:tc>
      </w:tr>
      <w:tr>
        <w:tc>
          <w:tcPr>
            <w:tcW w:type="dxa" w:w="1656"/>
          </w:tcPr>
          <w:p>
            <w:pPr>
              <w:spacing w:after="20"/>
            </w:pPr>
            <w:r>
              <w:rPr>
                <w:color w:val="1C3A36"/>
                <w:sz w:val="15"/>
              </w:rPr>
              <w:t>meters gp</w:t>
            </w:r>
          </w:p>
        </w:tc>
        <w:tc>
          <w:tcPr>
            <w:tcW w:type="dxa" w:w="1368"/>
          </w:tcPr>
          <w:p>
            <w:pPr>
              <w:spacing w:after="20"/>
            </w:pPr>
            <w:r>
              <w:rPr>
                <w:color w:val="1C3A36"/>
                <w:sz w:val="15"/>
              </w:rPr>
              <w:t>0.25</w:t>
            </w:r>
          </w:p>
        </w:tc>
        <w:tc>
          <w:tcPr>
            <w:tcW w:type="dxa" w:w="1037"/>
          </w:tcPr>
          <w:p>
            <w:pPr>
              <w:spacing w:after="20"/>
            </w:pPr>
            <w:r>
              <w:rPr>
                <w:color w:val="1C3A36"/>
                <w:sz w:val="15"/>
              </w:rPr>
              <w:t>2026-08-05</w:t>
            </w:r>
          </w:p>
        </w:tc>
        <w:tc>
          <w:tcPr>
            <w:tcW w:type="dxa" w:w="6019"/>
          </w:tcPr>
          <w:p>
            <w:pPr>
              <w:spacing w:after="20"/>
            </w:pPr>
            <w:r>
              <w:rPr>
                <w:color w:val="1C3A36"/>
                <w:sz w:val="15"/>
              </w:rPr>
              <w:t>Meter gross margin as a share of price per unit. History 23.9% (FY2023) and 27.2% (FY2024)</w:t>
            </w:r>
          </w:p>
        </w:tc>
      </w:tr>
      <w:tr>
        <w:tc>
          <w:tcPr>
            <w:tcW w:type="dxa" w:w="1656"/>
          </w:tcPr>
          <w:p>
            <w:pPr>
              <w:spacing w:after="20"/>
            </w:pPr>
            <w:r>
              <w:rPr>
                <w:color w:val="1C3A36"/>
                <w:sz w:val="15"/>
              </w:rPr>
              <w:t>unit price inflation</w:t>
            </w:r>
          </w:p>
        </w:tc>
        <w:tc>
          <w:tcPr>
            <w:tcW w:type="dxa" w:w="1368"/>
          </w:tcPr>
          <w:p>
            <w:pPr>
              <w:spacing w:after="20"/>
            </w:pPr>
            <w:r>
              <w:rPr>
                <w:color w:val="1C3A36"/>
                <w:sz w:val="15"/>
              </w:rPr>
              <w:t>0.08, 0.075, 0.07, 0.07, 0.07</w:t>
            </w:r>
          </w:p>
        </w:tc>
        <w:tc>
          <w:tcPr>
            <w:tcW w:type="dxa" w:w="1037"/>
          </w:tcPr>
          <w:p>
            <w:pPr>
              <w:spacing w:after="20"/>
            </w:pPr>
            <w:r>
              <w:rPr>
                <w:color w:val="1C3A36"/>
                <w:sz w:val="15"/>
              </w:rPr>
              <w:t>2026-08-05</w:t>
            </w:r>
          </w:p>
        </w:tc>
        <w:tc>
          <w:tcPr>
            <w:tcW w:type="dxa" w:w="6019"/>
          </w:tcPr>
          <w:p>
            <w:pPr>
              <w:spacing w:after="20"/>
            </w:pPr>
            <w:r>
              <w:rPr>
                <w:color w:val="1C3A36"/>
                <w:sz w:val="15"/>
              </w:rPr>
              <w:t>Nominal price growth for the units not priced off copper (meters). Set below Egyptian headline inflation on the disinflation path</w:t>
            </w:r>
          </w:p>
        </w:tc>
      </w:tr>
      <w:tr>
        <w:tc>
          <w:tcPr>
            <w:tcW w:type="dxa" w:w="1656"/>
          </w:tcPr>
          <w:p>
            <w:pPr>
              <w:spacing w:after="20"/>
            </w:pPr>
            <w:r>
              <w:rPr>
                <w:color w:val="1C3A36"/>
                <w:sz w:val="15"/>
              </w:rPr>
              <w:t>other growth</w:t>
            </w:r>
          </w:p>
        </w:tc>
        <w:tc>
          <w:tcPr>
            <w:tcW w:type="dxa" w:w="1368"/>
          </w:tcPr>
          <w:p>
            <w:pPr>
              <w:spacing w:after="20"/>
            </w:pPr>
            <w:r>
              <w:rPr>
                <w:color w:val="1C3A36"/>
                <w:sz w:val="15"/>
              </w:rPr>
              <w:t>0.12, 0.11, 0.1, 0.09, 0.08</w:t>
            </w:r>
          </w:p>
        </w:tc>
        <w:tc>
          <w:tcPr>
            <w:tcW w:type="dxa" w:w="1037"/>
          </w:tcPr>
          <w:p>
            <w:pPr>
              <w:spacing w:after="20"/>
            </w:pPr>
            <w:r>
              <w:rPr>
                <w:color w:val="1C3A36"/>
                <w:sz w:val="15"/>
              </w:rPr>
              <w:t>2026-08-05</w:t>
            </w:r>
          </w:p>
        </w:tc>
        <w:tc>
          <w:tcPr>
            <w:tcW w:type="dxa" w:w="6019"/>
          </w:tcPr>
          <w:p>
            <w:pPr>
              <w:spacing w:after="20"/>
            </w:pPr>
            <w:r>
              <w:rPr>
                <w:color w:val="1C3A36"/>
                <w:sz w:val="15"/>
              </w:rPr>
              <w:t>Revenue growth for the two smallest lines — other electrical products, and infrastructure investment (industrial development, logistics, utilities, dry port and independent power projects). Together under 3% of revenue</w:t>
            </w:r>
          </w:p>
        </w:tc>
      </w:tr>
      <w:tr>
        <w:tc>
          <w:tcPr>
            <w:tcW w:type="dxa" w:w="1656"/>
          </w:tcPr>
          <w:p>
            <w:pPr>
              <w:spacing w:after="20"/>
            </w:pPr>
            <w:r>
              <w:rPr>
                <w:color w:val="1C3A36"/>
                <w:sz w:val="15"/>
              </w:rPr>
              <w:t>other gp</w:t>
            </w:r>
          </w:p>
        </w:tc>
        <w:tc>
          <w:tcPr>
            <w:tcW w:type="dxa" w:w="1368"/>
          </w:tcPr>
          <w:p>
            <w:pPr>
              <w:spacing w:after="20"/>
            </w:pPr>
            <w:r>
              <w:rPr>
                <w:color w:val="1C3A36"/>
                <w:sz w:val="15"/>
              </w:rPr>
              <w:t>elecprod: 0.45; infra: 0.6</w:t>
            </w:r>
          </w:p>
        </w:tc>
        <w:tc>
          <w:tcPr>
            <w:tcW w:type="dxa" w:w="1037"/>
          </w:tcPr>
          <w:p>
            <w:pPr>
              <w:spacing w:after="20"/>
            </w:pPr>
            <w:r>
              <w:rPr>
                <w:color w:val="1C3A36"/>
                <w:sz w:val="15"/>
              </w:rPr>
              <w:t>2026-08-05</w:t>
            </w:r>
          </w:p>
        </w:tc>
        <w:tc>
          <w:tcPr>
            <w:tcW w:type="dxa" w:w="6019"/>
          </w:tcPr>
          <w:p>
            <w:pPr>
              <w:spacing w:after="20"/>
            </w:pPr>
            <w:r>
              <w:rPr>
                <w:color w:val="1C3A36"/>
                <w:sz w:val="15"/>
              </w:rPr>
              <w:t>Gross margins on the two residual lines. History: other electrical products 53.9% (FY2023) and 50.7% (FY2024); infrastructure 50.7% and 61.8%. Struck conservatively</w:t>
            </w:r>
          </w:p>
        </w:tc>
      </w:tr>
      <w:tr>
        <w:tc>
          <w:tcPr>
            <w:tcW w:type="dxa" w:w="1656"/>
          </w:tcPr>
          <w:p>
            <w:pPr>
              <w:spacing w:after="20"/>
            </w:pPr>
            <w:r>
              <w:rPr>
                <w:color w:val="1C3A36"/>
                <w:sz w:val="15"/>
              </w:rPr>
              <w:t>opex pct</w:t>
            </w:r>
          </w:p>
        </w:tc>
        <w:tc>
          <w:tcPr>
            <w:tcW w:type="dxa" w:w="1368"/>
          </w:tcPr>
          <w:p>
            <w:pPr>
              <w:spacing w:after="20"/>
            </w:pPr>
            <w:r>
              <w:rPr>
                <w:color w:val="1C3A36"/>
                <w:sz w:val="15"/>
              </w:rPr>
              <w:t>0.04, 0.043, 0.046, 0.048, 0.05</w:t>
            </w:r>
          </w:p>
        </w:tc>
        <w:tc>
          <w:tcPr>
            <w:tcW w:type="dxa" w:w="1037"/>
          </w:tcPr>
          <w:p>
            <w:pPr>
              <w:spacing w:after="20"/>
            </w:pPr>
            <w:r>
              <w:rPr>
                <w:color w:val="1C3A36"/>
                <w:sz w:val="15"/>
              </w:rPr>
              <w:t>2026-08-05</w:t>
            </w:r>
          </w:p>
        </w:tc>
        <w:tc>
          <w:tcPr>
            <w:tcW w:type="dxa" w:w="6019"/>
          </w:tcPr>
          <w:p>
            <w:pPr>
              <w:spacing w:after="20"/>
            </w:pPr>
            <w:r>
              <w:rPr>
                <w:color w:val="1C3A36"/>
                <w:sz w:val="15"/>
              </w:rPr>
              <w:t>The net operating load between gross profit and EBITDA, as a share of revenue — selling, general and administrative costs and other expenses, less other income. History: 5.94% (FY2023) and 5.30% (FY2024). FY2025 solves to a much lower level, so the forecast glides back TOWARD the historical norm rather than assuming the FY2025 load persists. This is the single most conservative choice in the rebuild</w:t>
            </w:r>
          </w:p>
        </w:tc>
      </w:tr>
      <w:tr>
        <w:tc>
          <w:tcPr>
            <w:tcW w:type="dxa" w:w="1656"/>
          </w:tcPr>
          <w:p>
            <w:pPr>
              <w:spacing w:after="20"/>
            </w:pPr>
            <w:r>
              <w:rPr>
                <w:color w:val="1C3A36"/>
                <w:sz w:val="15"/>
              </w:rPr>
              <w:t>nwc pct</w:t>
            </w:r>
          </w:p>
        </w:tc>
        <w:tc>
          <w:tcPr>
            <w:tcW w:type="dxa" w:w="1368"/>
          </w:tcPr>
          <w:p>
            <w:pPr>
              <w:spacing w:after="20"/>
            </w:pPr>
            <w:r>
              <w:rPr>
                <w:color w:val="1C3A36"/>
                <w:sz w:val="15"/>
              </w:rPr>
              <w:t>0.23</w:t>
            </w:r>
          </w:p>
        </w:tc>
        <w:tc>
          <w:tcPr>
            <w:tcW w:type="dxa" w:w="1037"/>
          </w:tcPr>
          <w:p>
            <w:pPr>
              <w:spacing w:after="20"/>
            </w:pPr>
            <w:r>
              <w:rPr>
                <w:color w:val="1C3A36"/>
                <w:sz w:val="15"/>
              </w:rPr>
              <w:t>2026-08-05</w:t>
            </w:r>
          </w:p>
        </w:tc>
        <w:tc>
          <w:tcPr>
            <w:tcW w:type="dxa" w:w="6019"/>
          </w:tcPr>
          <w:p>
            <w:pPr>
              <w:spacing w:after="20"/>
            </w:pPr>
            <w:r>
              <w:rPr>
                <w:color w:val="1C3A36"/>
                <w:sz w:val="15"/>
              </w:rPr>
              <w:t>Net working capital as a share of revenue, held flat at the historical level. Computed from the audited balance sheets: FY2023 24.1% and FY2024 23.1% (inventories + contract assets + receivables less payables less contract liabilities). This is the single largest cash-flow driver in the model</w:t>
            </w:r>
          </w:p>
        </w:tc>
      </w:tr>
      <w:tr>
        <w:tc>
          <w:tcPr>
            <w:tcW w:type="dxa" w:w="1656"/>
          </w:tcPr>
          <w:p>
            <w:pPr>
              <w:spacing w:after="20"/>
            </w:pPr>
            <w:r>
              <w:rPr>
                <w:color w:val="1C3A36"/>
                <w:sz w:val="15"/>
              </w:rPr>
              <w:t>capex pct</w:t>
            </w:r>
          </w:p>
        </w:tc>
        <w:tc>
          <w:tcPr>
            <w:tcW w:type="dxa" w:w="1368"/>
          </w:tcPr>
          <w:p>
            <w:pPr>
              <w:spacing w:after="20"/>
            </w:pPr>
            <w:r>
              <w:rPr>
                <w:color w:val="1C3A36"/>
                <w:sz w:val="15"/>
              </w:rPr>
              <w:t>0.03, 0.029, 0.028, 0.026, 0.024</w:t>
            </w:r>
          </w:p>
        </w:tc>
        <w:tc>
          <w:tcPr>
            <w:tcW w:type="dxa" w:w="1037"/>
          </w:tcPr>
          <w:p>
            <w:pPr>
              <w:spacing w:after="20"/>
            </w:pPr>
            <w:r>
              <w:rPr>
                <w:color w:val="1C3A36"/>
                <w:sz w:val="15"/>
              </w:rPr>
              <w:t>2026-08-05</w:t>
            </w:r>
          </w:p>
        </w:tc>
        <w:tc>
          <w:tcPr>
            <w:tcW w:type="dxa" w:w="6019"/>
          </w:tcPr>
          <w:p>
            <w:pPr>
              <w:spacing w:after="20"/>
            </w:pPr>
            <w:r>
              <w:rPr>
                <w:color w:val="1C3A36"/>
                <w:sz w:val="15"/>
              </w:rPr>
              <w:t>Capex as a share of revenue, tapering. History: FY2023 3.2%, FY2024 3.8% (a capacity burst — property, plant and equipment rose 53% in one year), Q1-2025 4.7% annualised. The taper assumes the current expansion cycle completes and spending settles toward maintenance plus modest capacity addition</w:t>
            </w:r>
          </w:p>
        </w:tc>
      </w:tr>
      <w:tr>
        <w:tc>
          <w:tcPr>
            <w:tcW w:type="dxa" w:w="1656"/>
          </w:tcPr>
          <w:p>
            <w:pPr>
              <w:spacing w:after="20"/>
            </w:pPr>
            <w:r>
              <w:rPr>
                <w:color w:val="1C3A36"/>
                <w:sz w:val="15"/>
              </w:rPr>
              <w:t>dna pct</w:t>
            </w:r>
          </w:p>
        </w:tc>
        <w:tc>
          <w:tcPr>
            <w:tcW w:type="dxa" w:w="1368"/>
          </w:tcPr>
          <w:p>
            <w:pPr>
              <w:spacing w:after="20"/>
            </w:pPr>
            <w:r>
              <w:rPr>
                <w:color w:val="1C3A36"/>
                <w:sz w:val="15"/>
              </w:rPr>
              <w:t>0.0105</w:t>
            </w:r>
          </w:p>
        </w:tc>
        <w:tc>
          <w:tcPr>
            <w:tcW w:type="dxa" w:w="1037"/>
          </w:tcPr>
          <w:p>
            <w:pPr>
              <w:spacing w:after="20"/>
            </w:pPr>
            <w:r>
              <w:rPr>
                <w:color w:val="1C3A36"/>
                <w:sz w:val="15"/>
              </w:rPr>
              <w:t>2026-08-05</w:t>
            </w:r>
          </w:p>
        </w:tc>
        <w:tc>
          <w:tcPr>
            <w:tcW w:type="dxa" w:w="6019"/>
          </w:tcPr>
          <w:p>
            <w:pPr>
              <w:spacing w:after="20"/>
            </w:pPr>
            <w:r>
              <w:rPr>
                <w:color w:val="1C3A36"/>
                <w:sz w:val="15"/>
              </w:rPr>
              <w:t>Depreciation and amortisation as a share of revenue. History: FY2024 0.97%, Q1-2025 1.15%; set at 1.05% rising with the enlarged asset base</w:t>
            </w:r>
          </w:p>
        </w:tc>
      </w:tr>
      <w:tr>
        <w:tc>
          <w:tcPr>
            <w:tcW w:type="dxa" w:w="1656"/>
          </w:tcPr>
          <w:p>
            <w:pPr>
              <w:spacing w:after="20"/>
            </w:pPr>
            <w:r>
              <w:rPr>
                <w:color w:val="1C3A36"/>
                <w:sz w:val="15"/>
              </w:rPr>
              <w:t>erp ops weighted</w:t>
            </w:r>
          </w:p>
        </w:tc>
        <w:tc>
          <w:tcPr>
            <w:tcW w:type="dxa" w:w="1368"/>
          </w:tcPr>
          <w:p>
            <w:pPr>
              <w:spacing w:after="20"/>
            </w:pPr>
            <w:r>
              <w:rPr>
                <w:color w:val="1C3A36"/>
                <w:sz w:val="15"/>
              </w:rPr>
              <w:t>0.0737</w:t>
            </w:r>
          </w:p>
        </w:tc>
        <w:tc>
          <w:tcPr>
            <w:tcW w:type="dxa" w:w="1037"/>
          </w:tcPr>
          <w:p>
            <w:pPr>
              <w:spacing w:after="20"/>
            </w:pPr>
            <w:r>
              <w:rPr>
                <w:color w:val="1C3A36"/>
                <w:sz w:val="15"/>
              </w:rPr>
              <w:t>2026-08-05</w:t>
            </w:r>
          </w:p>
        </w:tc>
        <w:tc>
          <w:tcPr>
            <w:tcW w:type="dxa" w:w="6019"/>
          </w:tcPr>
          <w:p>
            <w:pPr>
              <w:spacing w:after="20"/>
            </w:pPr>
            <w:r>
              <w:rPr>
                <w:color w:val="1C3A36"/>
                <w:sz w:val="15"/>
              </w:rPr>
              <w:t>Operations-weighted equity risk premium: 30% Egypt at 9.41% and 70% rest-of-world at a 6.5% blended emerging/frontier premium, reflecting where the revenue is actually earned. Shown as an explicit alternative, not the primary, because the standing house rule takes the country premium of the listing and reporting currency</w:t>
            </w:r>
          </w:p>
        </w:tc>
      </w:tr>
      <w:tr>
        <w:tc>
          <w:tcPr>
            <w:tcW w:type="dxa" w:w="1656"/>
          </w:tcPr>
          <w:p>
            <w:pPr>
              <w:spacing w:after="20"/>
            </w:pPr>
            <w:r>
              <w:rPr>
                <w:color w:val="1C3A36"/>
                <w:sz w:val="15"/>
              </w:rPr>
              <w:t>beta</w:t>
            </w:r>
          </w:p>
        </w:tc>
        <w:tc>
          <w:tcPr>
            <w:tcW w:type="dxa" w:w="1368"/>
          </w:tcPr>
          <w:p>
            <w:pPr>
              <w:spacing w:after="20"/>
            </w:pPr>
            <w:r>
              <w:rPr>
                <w:color w:val="1C3A36"/>
                <w:sz w:val="15"/>
              </w:rPr>
              <w:t>1.009</w:t>
            </w:r>
          </w:p>
        </w:tc>
        <w:tc>
          <w:tcPr>
            <w:tcW w:type="dxa" w:w="1037"/>
          </w:tcPr>
          <w:p>
            <w:pPr>
              <w:spacing w:after="20"/>
            </w:pPr>
            <w:r>
              <w:rPr>
                <w:color w:val="1C3A36"/>
                <w:sz w:val="15"/>
              </w:rPr>
              <w:t>2026-08-05</w:t>
            </w:r>
          </w:p>
        </w:tc>
        <w:tc>
          <w:tcPr>
            <w:tcW w:type="dxa" w:w="6019"/>
          </w:tcPr>
          <w:p>
            <w:pPr>
              <w:spacing w:after="20"/>
            </w:pPr>
            <w:r>
              <w:rPr>
                <w:color w:val="1C3A36"/>
                <w:sz w:val="15"/>
              </w:rPr>
              <w:t>Own-stock tier-1 regression: SWDY weekly log-returns against a 31-name equal-weight EGX composite built from the full covered library, 5-year window. R-squared 0.291, n = 258, standard error 0.098, 90% confidence interval [0.85, 1.17]. Comfortably clears the usability gate and is NOT weak-instrument flagged (R-squared well above 10%, interval span 0.32 against a 1.009 point estimate)</w:t>
            </w:r>
          </w:p>
        </w:tc>
      </w:tr>
      <w:tr>
        <w:tc>
          <w:tcPr>
            <w:tcW w:type="dxa" w:w="1656"/>
          </w:tcPr>
          <w:p>
            <w:pPr>
              <w:spacing w:after="20"/>
            </w:pPr>
            <w:r>
              <w:rPr>
                <w:color w:val="1C3A36"/>
                <w:sz w:val="15"/>
              </w:rPr>
              <w:t>kd</w:t>
            </w:r>
          </w:p>
        </w:tc>
        <w:tc>
          <w:tcPr>
            <w:tcW w:type="dxa" w:w="1368"/>
          </w:tcPr>
          <w:p>
            <w:pPr>
              <w:spacing w:after="20"/>
            </w:pPr>
            <w:r>
              <w:rPr>
                <w:color w:val="1C3A36"/>
                <w:sz w:val="15"/>
              </w:rPr>
              <w:t>0.13</w:t>
            </w:r>
          </w:p>
        </w:tc>
        <w:tc>
          <w:tcPr>
            <w:tcW w:type="dxa" w:w="1037"/>
          </w:tcPr>
          <w:p>
            <w:pPr>
              <w:spacing w:after="20"/>
            </w:pPr>
            <w:r>
              <w:rPr>
                <w:color w:val="1C3A36"/>
                <w:sz w:val="15"/>
              </w:rPr>
              <w:t>2026-08-05</w:t>
            </w:r>
          </w:p>
        </w:tc>
        <w:tc>
          <w:tcPr>
            <w:tcW w:type="dxa" w:w="6019"/>
          </w:tcPr>
          <w:p>
            <w:pPr>
              <w:spacing w:after="20"/>
            </w:pPr>
            <w:r>
              <w:rPr>
                <w:color w:val="1C3A36"/>
                <w:sz w:val="15"/>
              </w:rPr>
              <w:t>Marginal cost of debt, CURRENCY-BLENDED. The audited FY2024 interest-rate note discloses average rates on financial liabilities of 28.68% in Egyptian pounds, 6.49% in US dollars and 3.92% in euros, and Note 32 confirms 28.6% / 6.45% / 7.45%. The blended rate the company actually pays is far below the Egyptian rate because a majority of the book is hard currency. Set at 13.0% against the independently computed effective rates below, allowing for the CBE's easing since the FY2024 note</w:t>
            </w:r>
          </w:p>
        </w:tc>
      </w:tr>
      <w:tr>
        <w:tc>
          <w:tcPr>
            <w:tcW w:type="dxa" w:w="1656"/>
          </w:tcPr>
          <w:p>
            <w:pPr>
              <w:spacing w:after="20"/>
            </w:pPr>
            <w:r>
              <w:rPr>
                <w:color w:val="1C3A36"/>
                <w:sz w:val="15"/>
              </w:rPr>
              <w:t>kd path</w:t>
            </w:r>
          </w:p>
        </w:tc>
        <w:tc>
          <w:tcPr>
            <w:tcW w:type="dxa" w:w="1368"/>
          </w:tcPr>
          <w:p>
            <w:pPr>
              <w:spacing w:after="20"/>
            </w:pPr>
            <w:r>
              <w:rPr>
                <w:color w:val="1C3A36"/>
                <w:sz w:val="15"/>
              </w:rPr>
              <w:t>0.13, 0.122, 0.115, 0.11, 0.106</w:t>
            </w:r>
          </w:p>
        </w:tc>
        <w:tc>
          <w:tcPr>
            <w:tcW w:type="dxa" w:w="1037"/>
          </w:tcPr>
          <w:p>
            <w:pPr>
              <w:spacing w:after="20"/>
            </w:pPr>
            <w:r>
              <w:rPr>
                <w:color w:val="1C3A36"/>
                <w:sz w:val="15"/>
              </w:rPr>
              <w:t>2026-08-05</w:t>
            </w:r>
          </w:p>
        </w:tc>
        <w:tc>
          <w:tcPr>
            <w:tcW w:type="dxa" w:w="6019"/>
          </w:tcPr>
          <w:p>
            <w:pPr>
              <w:spacing w:after="20"/>
            </w:pPr>
            <w:r>
              <w:rPr>
                <w:color w:val="1C3A36"/>
                <w:sz w:val="15"/>
              </w:rPr>
              <w:t>Forward cost-of-debt path FY26E-FY30E on the blended book. The Egyptian leg follows the CBE easing cycle (main operation rate 19.50%, held since April 2026 after three consecutive pauses) toward the 7% (2026) and 5% (2028) inflation targets; the hard-currency leg is broadly flat. The discount-rate glide takes its shape from this path by construction rather than being invented separately</w:t>
            </w:r>
          </w:p>
        </w:tc>
      </w:tr>
      <w:tr>
        <w:tc>
          <w:tcPr>
            <w:tcW w:type="dxa" w:w="1656"/>
          </w:tcPr>
          <w:p>
            <w:pPr>
              <w:spacing w:after="20"/>
            </w:pPr>
            <w:r>
              <w:rPr>
                <w:color w:val="1C3A36"/>
                <w:sz w:val="15"/>
              </w:rPr>
              <w:t>kd term</w:t>
            </w:r>
          </w:p>
        </w:tc>
        <w:tc>
          <w:tcPr>
            <w:tcW w:type="dxa" w:w="1368"/>
          </w:tcPr>
          <w:p>
            <w:pPr>
              <w:spacing w:after="20"/>
            </w:pPr>
            <w:r>
              <w:rPr>
                <w:color w:val="1C3A36"/>
                <w:sz w:val="15"/>
              </w:rPr>
              <w:t>0.105</w:t>
            </w:r>
          </w:p>
        </w:tc>
        <w:tc>
          <w:tcPr>
            <w:tcW w:type="dxa" w:w="1037"/>
          </w:tcPr>
          <w:p>
            <w:pPr>
              <w:spacing w:after="20"/>
            </w:pPr>
            <w:r>
              <w:rPr>
                <w:color w:val="1C3A36"/>
                <w:sz w:val="15"/>
              </w:rPr>
              <w:t>2026-08-05</w:t>
            </w:r>
          </w:p>
        </w:tc>
        <w:tc>
          <w:tcPr>
            <w:tcW w:type="dxa" w:w="6019"/>
          </w:tcPr>
          <w:p>
            <w:pPr>
              <w:spacing w:after="20"/>
            </w:pPr>
            <w:r>
              <w:rPr>
                <w:color w:val="1C3A36"/>
                <w:sz w:val="15"/>
              </w:rPr>
              <w:t>Terminal blended cost of debt: ~45% Egyptian pound at the 15% long-run Egyptian corporate-borrowing norm and ~55% hard currency at ~6.5%</w:t>
            </w:r>
          </w:p>
        </w:tc>
      </w:tr>
      <w:tr>
        <w:tc>
          <w:tcPr>
            <w:tcW w:type="dxa" w:w="1656"/>
          </w:tcPr>
          <w:p>
            <w:pPr>
              <w:spacing w:after="20"/>
            </w:pPr>
            <w:r>
              <w:rPr>
                <w:color w:val="1C3A36"/>
                <w:sz w:val="15"/>
              </w:rPr>
              <w:t>rf term</w:t>
            </w:r>
          </w:p>
        </w:tc>
        <w:tc>
          <w:tcPr>
            <w:tcW w:type="dxa" w:w="1368"/>
          </w:tcPr>
          <w:p>
            <w:pPr>
              <w:spacing w:after="20"/>
            </w:pPr>
            <w:r>
              <w:rPr>
                <w:color w:val="1C3A36"/>
                <w:sz w:val="15"/>
              </w:rPr>
              <w:t>0.105</w:t>
            </w:r>
          </w:p>
        </w:tc>
        <w:tc>
          <w:tcPr>
            <w:tcW w:type="dxa" w:w="1037"/>
          </w:tcPr>
          <w:p>
            <w:pPr>
              <w:spacing w:after="20"/>
            </w:pPr>
            <w:r>
              <w:rPr>
                <w:color w:val="1C3A36"/>
                <w:sz w:val="15"/>
              </w:rPr>
              <w:t>2026-08-05</w:t>
            </w:r>
          </w:p>
        </w:tc>
        <w:tc>
          <w:tcPr>
            <w:tcW w:type="dxa" w:w="6019"/>
          </w:tcPr>
          <w:p>
            <w:pPr>
              <w:spacing w:after="20"/>
            </w:pPr>
            <w:r>
              <w:rPr>
                <w:color w:val="1C3A36"/>
                <w:sz w:val="15"/>
              </w:rPr>
              <w:t>Terminal risk-free rate, norm-built: the CBE's own stated medium-term inflation target of 5% plus the standard ~5.5pp emerging-market real-rate convention. Never a raw historical average and never reverse-engineered from a price</w:t>
            </w:r>
          </w:p>
        </w:tc>
      </w:tr>
      <w:tr>
        <w:tc>
          <w:tcPr>
            <w:tcW w:type="dxa" w:w="1656"/>
          </w:tcPr>
          <w:p>
            <w:pPr>
              <w:spacing w:after="20"/>
            </w:pPr>
            <w:r>
              <w:rPr>
                <w:color w:val="1C3A36"/>
                <w:sz w:val="15"/>
              </w:rPr>
              <w:t>erp term</w:t>
            </w:r>
          </w:p>
        </w:tc>
        <w:tc>
          <w:tcPr>
            <w:tcW w:type="dxa" w:w="1368"/>
          </w:tcPr>
          <w:p>
            <w:pPr>
              <w:spacing w:after="20"/>
            </w:pPr>
            <w:r>
              <w:rPr>
                <w:color w:val="1C3A36"/>
                <w:sz w:val="15"/>
              </w:rPr>
              <w:t>0.07</w:t>
            </w:r>
          </w:p>
        </w:tc>
        <w:tc>
          <w:tcPr>
            <w:tcW w:type="dxa" w:w="1037"/>
          </w:tcPr>
          <w:p>
            <w:pPr>
              <w:spacing w:after="20"/>
            </w:pPr>
            <w:r>
              <w:rPr>
                <w:color w:val="1C3A36"/>
                <w:sz w:val="15"/>
              </w:rPr>
              <w:t>2026-08-05</w:t>
            </w:r>
          </w:p>
        </w:tc>
        <w:tc>
          <w:tcPr>
            <w:tcW w:type="dxa" w:w="6019"/>
          </w:tcPr>
          <w:p>
            <w:pPr>
              <w:spacing w:after="20"/>
            </w:pPr>
            <w:r>
              <w:rPr>
                <w:color w:val="1C3A36"/>
                <w:sz w:val="15"/>
              </w:rPr>
              <w:t>Terminal equity risk premium, normalised below the currently elevated crisis-era level toward the rating-class norm; never held flat into perpetuity</w:t>
            </w:r>
          </w:p>
        </w:tc>
      </w:tr>
      <w:tr>
        <w:tc>
          <w:tcPr>
            <w:tcW w:type="dxa" w:w="1656"/>
          </w:tcPr>
          <w:p>
            <w:pPr>
              <w:spacing w:after="20"/>
            </w:pPr>
            <w:r>
              <w:rPr>
                <w:color w:val="1C3A36"/>
                <w:sz w:val="15"/>
              </w:rPr>
              <w:t>wd term</w:t>
            </w:r>
          </w:p>
        </w:tc>
        <w:tc>
          <w:tcPr>
            <w:tcW w:type="dxa" w:w="1368"/>
          </w:tcPr>
          <w:p>
            <w:pPr>
              <w:spacing w:after="20"/>
            </w:pPr>
            <w:r>
              <w:rPr>
                <w:color w:val="1C3A36"/>
                <w:sz w:val="15"/>
              </w:rPr>
              <w:t>0.25</w:t>
            </w:r>
          </w:p>
        </w:tc>
        <w:tc>
          <w:tcPr>
            <w:tcW w:type="dxa" w:w="1037"/>
          </w:tcPr>
          <w:p>
            <w:pPr>
              <w:spacing w:after="20"/>
            </w:pPr>
            <w:r>
              <w:rPr>
                <w:color w:val="1C3A36"/>
                <w:sz w:val="15"/>
              </w:rPr>
              <w:t>2026-08-05</w:t>
            </w:r>
          </w:p>
        </w:tc>
        <w:tc>
          <w:tcPr>
            <w:tcW w:type="dxa" w:w="6019"/>
          </w:tcPr>
          <w:p>
            <w:pPr>
              <w:spacing w:after="20"/>
            </w:pPr>
            <w:r>
              <w:rPr>
                <w:color w:val="1C3A36"/>
                <w:sz w:val="15"/>
              </w:rPr>
              <w:t>Terminal debt weight D/(D+E), NORMALISED rather than today's weights. The company runs a gross debt book sized to fund working capital but carries very large offsetting cash, so its net leverage is light; 25% is the steady-state structure for a diversified industrial of this scale</w:t>
            </w:r>
          </w:p>
        </w:tc>
      </w:tr>
      <w:tr>
        <w:tc>
          <w:tcPr>
            <w:tcW w:type="dxa" w:w="1656"/>
          </w:tcPr>
          <w:p>
            <w:pPr>
              <w:spacing w:after="20"/>
            </w:pPr>
            <w:r>
              <w:rPr>
                <w:color w:val="1C3A36"/>
                <w:sz w:val="15"/>
              </w:rPr>
              <w:t>g term</w:t>
            </w:r>
          </w:p>
        </w:tc>
        <w:tc>
          <w:tcPr>
            <w:tcW w:type="dxa" w:w="1368"/>
          </w:tcPr>
          <w:p>
            <w:pPr>
              <w:spacing w:after="20"/>
            </w:pPr>
            <w:r>
              <w:rPr>
                <w:color w:val="1C3A36"/>
                <w:sz w:val="15"/>
              </w:rPr>
              <w:t>0.05</w:t>
            </w:r>
          </w:p>
        </w:tc>
        <w:tc>
          <w:tcPr>
            <w:tcW w:type="dxa" w:w="1037"/>
          </w:tcPr>
          <w:p>
            <w:pPr>
              <w:spacing w:after="20"/>
            </w:pPr>
            <w:r>
              <w:rPr>
                <w:color w:val="1C3A36"/>
                <w:sz w:val="15"/>
              </w:rPr>
              <w:t>2026-08-05</w:t>
            </w:r>
          </w:p>
        </w:tc>
        <w:tc>
          <w:tcPr>
            <w:tcW w:type="dxa" w:w="6019"/>
          </w:tcPr>
          <w:p>
            <w:pPr>
              <w:spacing w:after="20"/>
            </w:pPr>
            <w:r>
              <w:rPr>
                <w:color w:val="1C3A36"/>
                <w:sz w:val="15"/>
              </w:rPr>
              <w:t>Terminal growth, 5% — the standing centre for established names in this market post-disinflation, sensitised 3-7%. Note this is an EGP-NOMINAL rate struck against a terminal risk-free rate that itself embeds 5% inflation, so the base case assumes approximately zero real terminal growth: a deliberate conservatism for a company whose revenue is majority hard-currency</w:t>
            </w:r>
          </w:p>
        </w:tc>
      </w:tr>
      <w:tr>
        <w:tc>
          <w:tcPr>
            <w:tcW w:type="dxa" w:w="1656"/>
          </w:tcPr>
          <w:p>
            <w:pPr>
              <w:spacing w:after="20"/>
            </w:pPr>
            <w:r>
              <w:rPr>
                <w:color w:val="1C3A36"/>
                <w:sz w:val="15"/>
              </w:rPr>
              <w:t>ev ebitda just</w:t>
            </w:r>
          </w:p>
        </w:tc>
        <w:tc>
          <w:tcPr>
            <w:tcW w:type="dxa" w:w="1368"/>
          </w:tcPr>
          <w:p>
            <w:pPr>
              <w:spacing w:after="20"/>
            </w:pPr>
            <w:r>
              <w:rPr>
                <w:color w:val="1C3A36"/>
                <w:sz w:val="15"/>
              </w:rPr>
              <w:t>6.5</w:t>
            </w:r>
          </w:p>
        </w:tc>
        <w:tc>
          <w:tcPr>
            <w:tcW w:type="dxa" w:w="1037"/>
          </w:tcPr>
          <w:p>
            <w:pPr>
              <w:spacing w:after="20"/>
            </w:pPr>
            <w:r>
              <w:rPr>
                <w:color w:val="1C3A36"/>
                <w:sz w:val="15"/>
              </w:rPr>
              <w:t>2026-08-05</w:t>
            </w:r>
          </w:p>
        </w:tc>
        <w:tc>
          <w:tcPr>
            <w:tcW w:type="dxa" w:w="6019"/>
          </w:tcPr>
          <w:p>
            <w:pPr>
              <w:spacing w:after="20"/>
            </w:pPr>
            <w:r>
              <w:rPr>
                <w:color w:val="1C3A36"/>
                <w:sz w:val="15"/>
              </w:rPr>
              <w:t>Justified EV/EBITDA on mid-cycle FY27E EBITDA. The company's own trailing multiple is ~7.9x; listed cable and electrical-equipment peers trade 8-11x and Riyadh Cables ~14x on earnings. 6.5x applies an Egyptian-market discount for sovereign, currency-convertibility and disclosure risk. Bear 5.5x / bull 8.0x</w:t>
            </w:r>
          </w:p>
        </w:tc>
      </w:tr>
      <w:tr>
        <w:tc>
          <w:tcPr>
            <w:tcW w:type="dxa" w:w="1656"/>
          </w:tcPr>
          <w:p>
            <w:pPr>
              <w:spacing w:after="20"/>
            </w:pPr>
            <w:r>
              <w:rPr>
                <w:color w:val="1C3A36"/>
                <w:sz w:val="15"/>
              </w:rPr>
              <w:t>pe just</w:t>
            </w:r>
          </w:p>
        </w:tc>
        <w:tc>
          <w:tcPr>
            <w:tcW w:type="dxa" w:w="1368"/>
          </w:tcPr>
          <w:p>
            <w:pPr>
              <w:spacing w:after="20"/>
            </w:pPr>
            <w:r>
              <w:rPr>
                <w:color w:val="1C3A36"/>
                <w:sz w:val="15"/>
              </w:rPr>
              <w:t>9</w:t>
            </w:r>
          </w:p>
        </w:tc>
        <w:tc>
          <w:tcPr>
            <w:tcW w:type="dxa" w:w="1037"/>
          </w:tcPr>
          <w:p>
            <w:pPr>
              <w:spacing w:after="20"/>
            </w:pPr>
            <w:r>
              <w:rPr>
                <w:color w:val="1C3A36"/>
                <w:sz w:val="15"/>
              </w:rPr>
              <w:t>2026-08-05</w:t>
            </w:r>
          </w:p>
        </w:tc>
        <w:tc>
          <w:tcPr>
            <w:tcW w:type="dxa" w:w="6019"/>
          </w:tcPr>
          <w:p>
            <w:pPr>
              <w:spacing w:after="20"/>
            </w:pPr>
            <w:r>
              <w:rPr>
                <w:color w:val="1C3A36"/>
                <w:sz w:val="15"/>
              </w:rPr>
              <w:t>Justified through-cycle P/E on normalised earnings. Trailing is ~13.0x. 9.0x reflects a high-quality franchise held back by an Egyptian cost of equity near 28%. Bear 7.0x / bull 11.5x</w:t>
            </w:r>
          </w:p>
        </w:tc>
      </w:tr>
      <w:tr>
        <w:tc>
          <w:tcPr>
            <w:tcW w:type="dxa" w:w="1656"/>
          </w:tcPr>
          <w:p>
            <w:pPr>
              <w:spacing w:after="20"/>
            </w:pPr>
            <w:r>
              <w:rPr>
                <w:color w:val="1C3A36"/>
                <w:sz w:val="15"/>
              </w:rPr>
              <w:t>roe sust</w:t>
            </w:r>
          </w:p>
        </w:tc>
        <w:tc>
          <w:tcPr>
            <w:tcW w:type="dxa" w:w="1368"/>
          </w:tcPr>
          <w:p>
            <w:pPr>
              <w:spacing w:after="20"/>
            </w:pPr>
            <w:r>
              <w:rPr>
                <w:color w:val="1C3A36"/>
                <w:sz w:val="15"/>
              </w:rPr>
              <w:t>0.235</w:t>
            </w:r>
          </w:p>
        </w:tc>
        <w:tc>
          <w:tcPr>
            <w:tcW w:type="dxa" w:w="1037"/>
          </w:tcPr>
          <w:p>
            <w:pPr>
              <w:spacing w:after="20"/>
            </w:pPr>
            <w:r>
              <w:rPr>
                <w:color w:val="1C3A36"/>
                <w:sz w:val="15"/>
              </w:rPr>
              <w:t>2026-08-05</w:t>
            </w:r>
          </w:p>
        </w:tc>
        <w:tc>
          <w:tcPr>
            <w:tcW w:type="dxa" w:w="6019"/>
          </w:tcPr>
          <w:p>
            <w:pPr>
              <w:spacing w:after="20"/>
            </w:pPr>
            <w:r>
              <w:rPr>
                <w:color w:val="1C3A36"/>
                <w:sz w:val="15"/>
              </w:rPr>
              <w:t>Sustainable return on equity for the book lens. Trailing ROE is ~27.5% on average parent equity; the FY2023-24 prints were flattered by devaluation inventory gains, so the sustainable rate is struck below them</w:t>
            </w:r>
          </w:p>
        </w:tc>
      </w:tr>
      <w:tr>
        <w:tc>
          <w:tcPr>
            <w:tcW w:type="dxa" w:w="1656"/>
          </w:tcPr>
          <w:p>
            <w:pPr>
              <w:spacing w:after="20"/>
            </w:pPr>
            <w:r>
              <w:rPr>
                <w:color w:val="1C3A36"/>
                <w:sz w:val="15"/>
              </w:rPr>
              <w:t>lens weights</w:t>
            </w:r>
          </w:p>
        </w:tc>
        <w:tc>
          <w:tcPr>
            <w:tcW w:type="dxa" w:w="1368"/>
          </w:tcPr>
          <w:p>
            <w:pPr>
              <w:spacing w:after="20"/>
            </w:pPr>
            <w:r>
              <w:rPr>
                <w:color w:val="1C3A36"/>
                <w:sz w:val="15"/>
              </w:rPr>
              <w:t>dcf: 0.45; relative: 0.2; normalized: 0.2; book: 0.15</w:t>
            </w:r>
          </w:p>
        </w:tc>
        <w:tc>
          <w:tcPr>
            <w:tcW w:type="dxa" w:w="1037"/>
          </w:tcPr>
          <w:p>
            <w:pPr>
              <w:spacing w:after="20"/>
            </w:pPr>
            <w:r>
              <w:rPr>
                <w:color w:val="1C3A36"/>
                <w:sz w:val="15"/>
              </w:rPr>
              <w:t>2026-08-05</w:t>
            </w:r>
          </w:p>
        </w:tc>
        <w:tc>
          <w:tcPr>
            <w:tcW w:type="dxa" w:w="6019"/>
          </w:tcPr>
          <w:p>
            <w:pPr>
              <w:spacing w:after="20"/>
            </w:pPr>
            <w:r>
              <w:rPr>
                <w:color w:val="1C3A36"/>
                <w:sz w:val="15"/>
              </w:rPr>
              <w:t>DCF primary for an operating manufacturer with a long, contracted order book; the relative and normalised-earnings lenses carry equal secondary weight and the book lens least, because reported book value is distorted by three years of currency translation</w:t>
            </w:r>
          </w:p>
        </w:tc>
      </w:tr>
    </w:tbl>
    <w:p>
      <w:pPr>
        <w:spacing w:after="40"/>
      </w:pPr>
    </w:p>
    <w:p>
      <w:pPr>
        <w:spacing w:after="80" w:before="240"/>
      </w:pPr>
      <w:r>
        <w:rPr>
          <w:b/>
          <w:i w:val="0"/>
          <w:color w:val="1C3A36"/>
          <w:sz w:val="26"/>
        </w:rPr>
        <w:t>The judgements, stated separately</w:t>
      </w:r>
    </w:p>
    <w:p>
      <w:pPr>
        <w:spacing w:after="100" w:before="0"/>
      </w:pPr>
      <w:r>
        <w:rPr>
          <w:b w:val="0"/>
          <w:i w:val="0"/>
          <w:color w:val="1C3A36"/>
          <w:sz w:val="20"/>
        </w:rPr>
        <w:t>These are the places where the analyst chose rather than observed. They are collected here so a reader can find them without reading the whole study.</w:t>
      </w:r>
    </w:p>
    <w:tbl>
      <w:tblPr>
        <w:tblW w:type="auto" w:w="0"/>
        <w:jc w:val="center"/>
        <w:tblLook w:firstColumn="1" w:firstRow="1" w:lastColumn="0" w:lastRow="0" w:noHBand="0" w:noVBand="1" w:val="04A0"/>
        <w:tblLayout w:type="fixed"/>
        <w:tblCellMar>
          <w:top w:w="36" w:type="dxa"/>
          <w:left w:w="80" w:type="dxa"/>
          <w:bottom w:w="36"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944"/>
        <w:gridCol w:w="2520"/>
        <w:gridCol w:w="2952"/>
        <w:gridCol w:w="2664"/>
      </w:tblGrid>
      <w:tr>
        <w:tc>
          <w:tcPr>
            <w:tcW w:type="dxa" w:w="1944"/>
            <w:shd w:val="clear" w:color="auto" w:fill="EAF0EE"/>
          </w:tcPr>
          <w:p>
            <w:pPr>
              <w:spacing w:after="20"/>
            </w:pPr>
            <w:r>
              <w:rPr>
                <w:b/>
                <w:color w:val="1C3A36"/>
                <w:sz w:val="15"/>
              </w:rPr>
              <w:t>Judgement</w:t>
            </w:r>
          </w:p>
        </w:tc>
        <w:tc>
          <w:tcPr>
            <w:tcW w:type="dxa" w:w="2520"/>
            <w:shd w:val="clear" w:color="auto" w:fill="EAF0EE"/>
          </w:tcPr>
          <w:p>
            <w:pPr>
              <w:spacing w:after="20"/>
            </w:pPr>
            <w:r>
              <w:rPr>
                <w:b/>
                <w:color w:val="1C3A36"/>
                <w:sz w:val="15"/>
              </w:rPr>
              <w:t>What was chosen</w:t>
            </w:r>
          </w:p>
        </w:tc>
        <w:tc>
          <w:tcPr>
            <w:tcW w:type="dxa" w:w="2952"/>
            <w:shd w:val="clear" w:color="auto" w:fill="EAF0EE"/>
          </w:tcPr>
          <w:p>
            <w:pPr>
              <w:spacing w:after="20"/>
            </w:pPr>
            <w:r>
              <w:rPr>
                <w:b/>
                <w:color w:val="1C3A36"/>
                <w:sz w:val="15"/>
              </w:rPr>
              <w:t>Why</w:t>
            </w:r>
          </w:p>
        </w:tc>
        <w:tc>
          <w:tcPr>
            <w:tcW w:type="dxa" w:w="2664"/>
            <w:shd w:val="clear" w:color="auto" w:fill="EAF0EE"/>
          </w:tcPr>
          <w:p>
            <w:pPr>
              <w:spacing w:after="20"/>
            </w:pPr>
            <w:r>
              <w:rPr>
                <w:b/>
                <w:color w:val="1C3A36"/>
                <w:sz w:val="15"/>
              </w:rPr>
              <w:t>What would overturn it</w:t>
            </w:r>
          </w:p>
        </w:tc>
      </w:tr>
      <w:tr>
        <w:tc>
          <w:tcPr>
            <w:tcW w:type="dxa" w:w="1944"/>
          </w:tcPr>
          <w:p>
            <w:pPr>
              <w:spacing w:after="20"/>
            </w:pPr>
            <w:r>
              <w:rPr>
                <w:color w:val="1C3A36"/>
                <w:sz w:val="15"/>
              </w:rPr>
              <w:t>Currency of discounting</w:t>
            </w:r>
          </w:p>
        </w:tc>
        <w:tc>
          <w:tcPr>
            <w:tcW w:type="dxa" w:w="2520"/>
          </w:tcPr>
          <w:p>
            <w:pPr>
              <w:spacing w:after="20"/>
            </w:pPr>
            <w:r>
              <w:rPr>
                <w:color w:val="1C3A36"/>
                <w:sz w:val="15"/>
              </w:rPr>
              <w:t>The full Egyptian cost of capital is charged to the whole company as the primary reading; the hard-currency alternative is computed and shown but not averaged in</w:t>
            </w:r>
          </w:p>
        </w:tc>
        <w:tc>
          <w:tcPr>
            <w:tcW w:type="dxa" w:w="2952"/>
          </w:tcPr>
          <w:p>
            <w:pPr>
              <w:spacing w:after="20"/>
            </w:pPr>
            <w:r>
              <w:rPr>
                <w:color w:val="1C3A36"/>
                <w:sz w:val="15"/>
              </w:rPr>
              <w:t>The shares trade, and dividends are paid, in Egyptian pounds on an Egyptian exchange, and realising value depends on Egyptian capital-account conditions</w:t>
            </w:r>
          </w:p>
        </w:tc>
        <w:tc>
          <w:tcPr>
            <w:tcW w:type="dxa" w:w="2664"/>
          </w:tcPr>
          <w:p>
            <w:pPr>
              <w:spacing w:after="20"/>
            </w:pPr>
            <w:r>
              <w:rPr>
                <w:color w:val="1C3A36"/>
                <w:sz w:val="15"/>
              </w:rPr>
              <w:t>Evidence that convertibility is not a binding constraint for this issuer would shift the primary reading materially higher</w:t>
            </w:r>
          </w:p>
        </w:tc>
      </w:tr>
      <w:tr>
        <w:tc>
          <w:tcPr>
            <w:tcW w:type="dxa" w:w="1944"/>
          </w:tcPr>
          <w:p>
            <w:pPr>
              <w:spacing w:after="20"/>
            </w:pPr>
            <w:r>
              <w:rPr>
                <w:color w:val="1C3A36"/>
                <w:sz w:val="15"/>
              </w:rPr>
              <w:t>Exchange-rate path</w:t>
            </w:r>
          </w:p>
        </w:tc>
        <w:tc>
          <w:tcPr>
            <w:tcW w:type="dxa" w:w="2520"/>
          </w:tcPr>
          <w:p>
            <w:pPr>
              <w:spacing w:after="20"/>
            </w:pPr>
            <w:r>
              <w:rPr>
                <w:color w:val="1C3A36"/>
                <w:sz w:val="15"/>
              </w:rPr>
              <w:t>About 6% a year of depreciation, far below what the interest-rate differential implies</w:t>
            </w:r>
          </w:p>
        </w:tc>
        <w:tc>
          <w:tcPr>
            <w:tcW w:type="dxa" w:w="2952"/>
          </w:tcPr>
          <w:p>
            <w:pPr>
              <w:spacing w:after="20"/>
            </w:pPr>
            <w:r>
              <w:rPr>
                <w:color w:val="1C3A36"/>
                <w:sz w:val="15"/>
              </w:rPr>
              <w:t>The base case assumes the central bank's disinflation path closes most of the gap rather than the currency absorbing it</w:t>
            </w:r>
          </w:p>
        </w:tc>
        <w:tc>
          <w:tcPr>
            <w:tcW w:type="dxa" w:w="2664"/>
          </w:tcPr>
          <w:p>
            <w:pPr>
              <w:spacing w:after="20"/>
            </w:pPr>
            <w:r>
              <w:rPr>
                <w:color w:val="1C3A36"/>
                <w:sz w:val="15"/>
              </w:rPr>
              <w:t>A disorderly move in the pound; the sensitivity table carries the parity case</w:t>
            </w:r>
          </w:p>
        </w:tc>
      </w:tr>
      <w:tr>
        <w:tc>
          <w:tcPr>
            <w:tcW w:type="dxa" w:w="1944"/>
          </w:tcPr>
          <w:p>
            <w:pPr>
              <w:spacing w:after="20"/>
            </w:pPr>
            <w:r>
              <w:rPr>
                <w:color w:val="1C3A36"/>
                <w:sz w:val="15"/>
              </w:rPr>
              <w:t>Working capital held flat at the historical share of revenue</w:t>
            </w:r>
          </w:p>
        </w:tc>
        <w:tc>
          <w:tcPr>
            <w:tcW w:type="dxa" w:w="2520"/>
          </w:tcPr>
          <w:p>
            <w:pPr>
              <w:spacing w:after="20"/>
            </w:pPr>
            <w:r>
              <w:rPr>
                <w:color w:val="1C3A36"/>
                <w:sz w:val="15"/>
              </w:rPr>
              <w:t>Net working capital stays near the level the two audited years show</w:t>
            </w:r>
          </w:p>
        </w:tc>
        <w:tc>
          <w:tcPr>
            <w:tcW w:type="dxa" w:w="2952"/>
          </w:tcPr>
          <w:p>
            <w:pPr>
              <w:spacing w:after="20"/>
            </w:pPr>
            <w:r>
              <w:rPr>
                <w:color w:val="1C3A36"/>
                <w:sz w:val="15"/>
              </w:rPr>
              <w:t>Two audited years show it rising with revenue rather than converting</w:t>
            </w:r>
          </w:p>
        </w:tc>
        <w:tc>
          <w:tcPr>
            <w:tcW w:type="dxa" w:w="2664"/>
          </w:tcPr>
          <w:p>
            <w:pPr>
              <w:spacing w:after="20"/>
            </w:pPr>
            <w:r>
              <w:rPr>
                <w:color w:val="1C3A36"/>
                <w:sz w:val="15"/>
              </w:rPr>
              <w:t>Two consecutive halves of operating cash flow above 60% of EBITDA</w:t>
            </w:r>
          </w:p>
        </w:tc>
      </w:tr>
      <w:tr>
        <w:tc>
          <w:tcPr>
            <w:tcW w:type="dxa" w:w="1944"/>
          </w:tcPr>
          <w:p>
            <w:pPr>
              <w:spacing w:after="20"/>
            </w:pPr>
            <w:r>
              <w:rPr>
                <w:color w:val="1C3A36"/>
                <w:sz w:val="15"/>
              </w:rPr>
              <w:t>Terminal growth of 5%</w:t>
            </w:r>
          </w:p>
        </w:tc>
        <w:tc>
          <w:tcPr>
            <w:tcW w:type="dxa" w:w="2520"/>
          </w:tcPr>
          <w:p>
            <w:pPr>
              <w:spacing w:after="20"/>
            </w:pPr>
            <w:r>
              <w:rPr>
                <w:color w:val="1C3A36"/>
                <w:sz w:val="15"/>
              </w:rPr>
              <w:t>The standing centre for established names in this market, sensitised 3–7%</w:t>
            </w:r>
          </w:p>
        </w:tc>
        <w:tc>
          <w:tcPr>
            <w:tcW w:type="dxa" w:w="2952"/>
          </w:tcPr>
          <w:p>
            <w:pPr>
              <w:spacing w:after="20"/>
            </w:pPr>
            <w:r>
              <w:rPr>
                <w:color w:val="1C3A36"/>
                <w:sz w:val="15"/>
              </w:rPr>
              <w:t>It is below the blended long-run nominal growth ceiling of the economies the company operates in, and is reconciled to the return on capital and reinvestment rate</w:t>
            </w:r>
          </w:p>
        </w:tc>
        <w:tc>
          <w:tcPr>
            <w:tcW w:type="dxa" w:w="2664"/>
          </w:tcPr>
          <w:p>
            <w:pPr>
              <w:spacing w:after="20"/>
            </w:pPr>
            <w:r>
              <w:rPr>
                <w:color w:val="1C3A36"/>
                <w:sz w:val="15"/>
              </w:rPr>
              <w:t>A demonstrated structural change in the export franchise's long-run growth</w:t>
            </w:r>
          </w:p>
        </w:tc>
      </w:tr>
      <w:tr>
        <w:tc>
          <w:tcPr>
            <w:tcW w:type="dxa" w:w="1944"/>
          </w:tcPr>
          <w:p>
            <w:pPr>
              <w:spacing w:after="20"/>
            </w:pPr>
            <w:r>
              <w:rPr>
                <w:color w:val="1C3A36"/>
                <w:sz w:val="15"/>
              </w:rPr>
              <w:t>Cost of debt at the blended rather than the domestic rate</w:t>
            </w:r>
          </w:p>
        </w:tc>
        <w:tc>
          <w:tcPr>
            <w:tcW w:type="dxa" w:w="2520"/>
          </w:tcPr>
          <w:p>
            <w:pPr>
              <w:spacing w:after="20"/>
            </w:pPr>
            <w:r>
              <w:rPr>
                <w:color w:val="1C3A36"/>
                <w:sz w:val="15"/>
              </w:rPr>
              <w:t>A currency-blended rate near the independently computed effective rate</w:t>
            </w:r>
          </w:p>
        </w:tc>
        <w:tc>
          <w:tcPr>
            <w:tcW w:type="dxa" w:w="2952"/>
          </w:tcPr>
          <w:p>
            <w:pPr>
              <w:spacing w:after="20"/>
            </w:pPr>
            <w:r>
              <w:rPr>
                <w:color w:val="1C3A36"/>
                <w:sz w:val="15"/>
              </w:rPr>
              <w:t>The audited notes disclose materially cheaper hard-currency borrowing, and most of the book is hard currency</w:t>
            </w:r>
          </w:p>
        </w:tc>
        <w:tc>
          <w:tcPr>
            <w:tcW w:type="dxa" w:w="2664"/>
          </w:tcPr>
          <w:p>
            <w:pPr>
              <w:spacing w:after="20"/>
            </w:pPr>
            <w:r>
              <w:rPr>
                <w:color w:val="1C3A36"/>
                <w:sz w:val="15"/>
              </w:rPr>
              <w:t>A shift of the debt book back into Egyptian pounds</w:t>
            </w:r>
          </w:p>
        </w:tc>
      </w:tr>
      <w:tr>
        <w:tc>
          <w:tcPr>
            <w:tcW w:type="dxa" w:w="1944"/>
          </w:tcPr>
          <w:p>
            <w:pPr>
              <w:spacing w:after="20"/>
            </w:pPr>
            <w:r>
              <w:rPr>
                <w:color w:val="1C3A36"/>
                <w:sz w:val="15"/>
              </w:rPr>
              <w:t>Minority interests charged at their share of group profit</w:t>
            </w:r>
          </w:p>
        </w:tc>
        <w:tc>
          <w:tcPr>
            <w:tcW w:type="dxa" w:w="2520"/>
          </w:tcPr>
          <w:p>
            <w:pPr>
              <w:spacing w:after="20"/>
            </w:pPr>
            <w:r>
              <w:rPr>
                <w:color w:val="1C3A36"/>
                <w:sz w:val="15"/>
              </w:rPr>
              <w:t>Rather than at book value</w:t>
            </w:r>
          </w:p>
        </w:tc>
        <w:tc>
          <w:tcPr>
            <w:tcW w:type="dxa" w:w="2952"/>
          </w:tcPr>
          <w:p>
            <w:pPr>
              <w:spacing w:after="20"/>
            </w:pPr>
            <w:r>
              <w:rPr>
                <w:color w:val="1C3A36"/>
                <w:sz w:val="15"/>
              </w:rPr>
              <w:t>Minorities take a larger share of profit than of book equity, so the profit share is the conservative charge</w:t>
            </w:r>
          </w:p>
        </w:tc>
        <w:tc>
          <w:tcPr>
            <w:tcW w:type="dxa" w:w="2664"/>
          </w:tcPr>
          <w:p>
            <w:pPr>
              <w:spacing w:after="20"/>
            </w:pPr>
            <w:r>
              <w:rPr>
                <w:color w:val="1C3A36"/>
                <w:sz w:val="15"/>
              </w:rPr>
              <w:t>A reader preferring the book convention can add the difference back; the amount is stated in the study</w:t>
            </w:r>
          </w:p>
        </w:tc>
      </w:tr>
      <w:tr>
        <w:tc>
          <w:tcPr>
            <w:tcW w:type="dxa" w:w="1944"/>
          </w:tcPr>
          <w:p>
            <w:pPr>
              <w:spacing w:after="20"/>
            </w:pPr>
            <w:r>
              <w:rPr>
                <w:color w:val="1C3A36"/>
                <w:sz w:val="15"/>
              </w:rPr>
              <w:t>Effective tax rate of 25% for NOPAT</w:t>
            </w:r>
          </w:p>
        </w:tc>
        <w:tc>
          <w:tcPr>
            <w:tcW w:type="dxa" w:w="2520"/>
          </w:tcPr>
          <w:p>
            <w:pPr>
              <w:spacing w:after="20"/>
            </w:pPr>
            <w:r>
              <w:rPr>
                <w:color w:val="1C3A36"/>
                <w:sz w:val="15"/>
              </w:rPr>
              <w:t>Above the Egyptian statutory rate</w:t>
            </w:r>
          </w:p>
        </w:tc>
        <w:tc>
          <w:tcPr>
            <w:tcW w:type="dxa" w:w="2952"/>
          </w:tcPr>
          <w:p>
            <w:pPr>
              <w:spacing w:after="20"/>
            </w:pPr>
            <w:r>
              <w:rPr>
                <w:color w:val="1C3A36"/>
                <w:sz w:val="15"/>
              </w:rPr>
              <w:t>Reported effective rates ran above statutory in every historical year because foreign profits are taxed elsewhere</w:t>
            </w:r>
          </w:p>
        </w:tc>
        <w:tc>
          <w:tcPr>
            <w:tcW w:type="dxa" w:w="2664"/>
          </w:tcPr>
          <w:p>
            <w:pPr>
              <w:spacing w:after="20"/>
            </w:pPr>
            <w:r>
              <w:rPr>
                <w:color w:val="1C3A36"/>
                <w:sz w:val="15"/>
              </w:rPr>
              <w:t>The audited FY2025 tax note</w:t>
            </w:r>
          </w:p>
        </w:tc>
      </w:tr>
      <w:tr>
        <w:tc>
          <w:tcPr>
            <w:tcW w:type="dxa" w:w="1944"/>
          </w:tcPr>
          <w:p>
            <w:pPr>
              <w:spacing w:after="20"/>
            </w:pPr>
            <w:r>
              <w:rPr>
                <w:color w:val="1C3A36"/>
                <w:sz w:val="15"/>
              </w:rPr>
              <w:t>FY2025 income statement closed to reported profit</w:t>
            </w:r>
          </w:p>
        </w:tc>
        <w:tc>
          <w:tcPr>
            <w:tcW w:type="dxa" w:w="2520"/>
          </w:tcPr>
          <w:p>
            <w:pPr>
              <w:spacing w:after="20"/>
            </w:pPr>
            <w:r>
              <w:rPr>
                <w:color w:val="1C3A36"/>
                <w:sz w:val="15"/>
              </w:rPr>
              <w:t>EBITDA set at the disclosed margin; the tax rate closes the account</w:t>
            </w:r>
          </w:p>
        </w:tc>
        <w:tc>
          <w:tcPr>
            <w:tcW w:type="dxa" w:w="2952"/>
          </w:tcPr>
          <w:p>
            <w:pPr>
              <w:spacing w:after="20"/>
            </w:pPr>
            <w:r>
              <w:rPr>
                <w:color w:val="1C3A36"/>
                <w:sz w:val="15"/>
              </w:rPr>
              <w:t>Only the top and bottom lines were disclosed for FY2025</w:t>
            </w:r>
          </w:p>
        </w:tc>
        <w:tc>
          <w:tcPr>
            <w:tcW w:type="dxa" w:w="2664"/>
          </w:tcPr>
          <w:p>
            <w:pPr>
              <w:spacing w:after="20"/>
            </w:pPr>
            <w:r>
              <w:rPr>
                <w:color w:val="1C3A36"/>
                <w:sz w:val="15"/>
              </w:rPr>
              <w:t>The audited FY2025 consolidated statements</w:t>
            </w:r>
          </w:p>
        </w:tc>
      </w:tr>
    </w:tbl>
    <w:p>
      <w:pPr>
        <w:spacing w:after="40"/>
      </w:pPr>
    </w:p>
    <w:p>
      <w:pPr>
        <w:spacing w:after="80" w:before="240"/>
      </w:pPr>
      <w:r>
        <w:rPr>
          <w:b/>
          <w:i w:val="0"/>
          <w:color w:val="1C3A36"/>
          <w:sz w:val="26"/>
        </w:rPr>
        <w:t>Negative results — what could not be sourced</w:t>
      </w:r>
    </w:p>
    <w:p>
      <w:pPr>
        <w:spacing w:after="100" w:before="0"/>
      </w:pPr>
      <w:r>
        <w:rPr>
          <w:b w:val="0"/>
          <w:i w:val="0"/>
          <w:color w:val="1C3A36"/>
          <w:sz w:val="20"/>
        </w:rPr>
        <w:t>Recorded because an unsourced gap that is not disclosed becomes an invisible assumption.</w:t>
      </w:r>
    </w:p>
    <w:tbl>
      <w:tblPr>
        <w:tblW w:type="auto" w:w="0"/>
        <w:jc w:val="center"/>
        <w:tblLook w:firstColumn="1" w:firstRow="1" w:lastColumn="0" w:lastRow="0" w:noHBand="0" w:noVBand="1" w:val="04A0"/>
        <w:tblLayout w:type="fixed"/>
        <w:tblCellMar>
          <w:top w:w="36" w:type="dxa"/>
          <w:left w:w="80" w:type="dxa"/>
          <w:bottom w:w="36"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232"/>
        <w:gridCol w:w="3384"/>
        <w:gridCol w:w="4464"/>
      </w:tblGrid>
      <w:tr>
        <w:tc>
          <w:tcPr>
            <w:tcW w:type="dxa" w:w="2232"/>
            <w:shd w:val="clear" w:color="auto" w:fill="EAF0EE"/>
          </w:tcPr>
          <w:p>
            <w:pPr>
              <w:spacing w:after="20"/>
            </w:pPr>
            <w:r>
              <w:rPr>
                <w:b/>
                <w:color w:val="1C3A36"/>
                <w:sz w:val="15"/>
              </w:rPr>
              <w:t>What was sought</w:t>
            </w:r>
          </w:p>
        </w:tc>
        <w:tc>
          <w:tcPr>
            <w:tcW w:type="dxa" w:w="3384"/>
            <w:shd w:val="clear" w:color="auto" w:fill="EAF0EE"/>
          </w:tcPr>
          <w:p>
            <w:pPr>
              <w:spacing w:after="20"/>
            </w:pPr>
            <w:r>
              <w:rPr>
                <w:b/>
                <w:color w:val="1C3A36"/>
                <w:sz w:val="15"/>
              </w:rPr>
              <w:t>Outcome</w:t>
            </w:r>
          </w:p>
        </w:tc>
        <w:tc>
          <w:tcPr>
            <w:tcW w:type="dxa" w:w="4464"/>
            <w:shd w:val="clear" w:color="auto" w:fill="EAF0EE"/>
          </w:tcPr>
          <w:p>
            <w:pPr>
              <w:spacing w:after="20"/>
            </w:pPr>
            <w:r>
              <w:rPr>
                <w:b/>
                <w:color w:val="1C3A36"/>
                <w:sz w:val="15"/>
              </w:rPr>
              <w:t>How the study handled it</w:t>
            </w:r>
          </w:p>
        </w:tc>
      </w:tr>
      <w:tr>
        <w:tc>
          <w:tcPr>
            <w:tcW w:type="dxa" w:w="2232"/>
          </w:tcPr>
          <w:p>
            <w:pPr>
              <w:spacing w:after="20"/>
            </w:pPr>
            <w:r>
              <w:rPr>
                <w:color w:val="1C3A36"/>
                <w:sz w:val="15"/>
              </w:rPr>
              <w:t>Audited consolidated financial statements for FY2025</w:t>
            </w:r>
          </w:p>
        </w:tc>
        <w:tc>
          <w:tcPr>
            <w:tcW w:type="dxa" w:w="3384"/>
          </w:tcPr>
          <w:p>
            <w:pPr>
              <w:spacing w:after="20"/>
            </w:pPr>
            <w:r>
              <w:rPr>
                <w:color w:val="1C3A36"/>
                <w:sz w:val="15"/>
              </w:rPr>
              <w:t>Not reachable. The company's investor-relations site and the exchange's filing archive were both unreachable from the research environment; the company's document repository was reachable but its contents stop at the first quarter of 2025</w:t>
            </w:r>
          </w:p>
        </w:tc>
        <w:tc>
          <w:tcPr>
            <w:tcW w:type="dxa" w:w="4464"/>
          </w:tcPr>
          <w:p>
            <w:pPr>
              <w:spacing w:after="20"/>
            </w:pPr>
            <w:r>
              <w:rPr>
                <w:color w:val="1C3A36"/>
                <w:sz w:val="15"/>
              </w:rPr>
              <w:t>FY2025 was built from the disclosed headline figures reported by financial press covering the exchange filing, cross-checked against each other and against the quarterly path. Every derived line is labelled in the study and in the register above</w:t>
            </w:r>
          </w:p>
        </w:tc>
      </w:tr>
      <w:tr>
        <w:tc>
          <w:tcPr>
            <w:tcW w:type="dxa" w:w="2232"/>
          </w:tcPr>
          <w:p>
            <w:pPr>
              <w:spacing w:after="20"/>
            </w:pPr>
            <w:r>
              <w:rPr>
                <w:color w:val="1C3A36"/>
                <w:sz w:val="15"/>
              </w:rPr>
              <w:t>The Q4 2025 and Q1 2026 earnings releases in full</w:t>
            </w:r>
          </w:p>
        </w:tc>
        <w:tc>
          <w:tcPr>
            <w:tcW w:type="dxa" w:w="3384"/>
          </w:tcPr>
          <w:p>
            <w:pPr>
              <w:spacing w:after="20"/>
            </w:pPr>
            <w:r>
              <w:rPr>
                <w:color w:val="1C3A36"/>
                <w:sz w:val="15"/>
              </w:rPr>
              <w:t>Located but not retrievable; the hosting domains were unreachable</w:t>
            </w:r>
          </w:p>
        </w:tc>
        <w:tc>
          <w:tcPr>
            <w:tcW w:type="dxa" w:w="4464"/>
          </w:tcPr>
          <w:p>
            <w:pPr>
              <w:spacing w:after="20"/>
            </w:pPr>
            <w:r>
              <w:rPr>
                <w:color w:val="1C3A36"/>
                <w:sz w:val="15"/>
              </w:rPr>
              <w:t>Headline figures were taken from press coverage of the filings. Segment detail for FY2025 and Q1 2026 does not exist in the study as a result — segment shares are apportioned from company commentary and the last fully disclosed segment table</w:t>
            </w:r>
          </w:p>
        </w:tc>
      </w:tr>
      <w:tr>
        <w:tc>
          <w:tcPr>
            <w:tcW w:type="dxa" w:w="2232"/>
          </w:tcPr>
          <w:p>
            <w:pPr>
              <w:spacing w:after="20"/>
            </w:pPr>
            <w:r>
              <w:rPr>
                <w:color w:val="1C3A36"/>
                <w:sz w:val="15"/>
              </w:rPr>
              <w:t>FY2025 balance sheet beyond total assets and net bank debt</w:t>
            </w:r>
          </w:p>
        </w:tc>
        <w:tc>
          <w:tcPr>
            <w:tcW w:type="dxa" w:w="3384"/>
          </w:tcPr>
          <w:p>
            <w:pPr>
              <w:spacing w:after="20"/>
            </w:pPr>
            <w:r>
              <w:rPr>
                <w:color w:val="1C3A36"/>
                <w:sz w:val="15"/>
              </w:rPr>
              <w:t>Not disclosed in any reachable source</w:t>
            </w:r>
          </w:p>
        </w:tc>
        <w:tc>
          <w:tcPr>
            <w:tcW w:type="dxa" w:w="4464"/>
          </w:tcPr>
          <w:p>
            <w:pPr>
              <w:spacing w:after="20"/>
            </w:pPr>
            <w:r>
              <w:rPr>
                <w:color w:val="1C3A36"/>
                <w:sz w:val="15"/>
              </w:rPr>
              <w:t>Triangulated by three independent methods; the spread is shown in the study and only the disclosed net debt enters the valuation bridge</w:t>
            </w:r>
          </w:p>
        </w:tc>
      </w:tr>
      <w:tr>
        <w:tc>
          <w:tcPr>
            <w:tcW w:type="dxa" w:w="2232"/>
          </w:tcPr>
          <w:p>
            <w:pPr>
              <w:spacing w:after="20"/>
            </w:pPr>
            <w:r>
              <w:rPr>
                <w:color w:val="1C3A36"/>
                <w:sz w:val="15"/>
              </w:rPr>
              <w:t>A facility-by-facility currency split of the debt book</w:t>
            </w:r>
          </w:p>
        </w:tc>
        <w:tc>
          <w:tcPr>
            <w:tcW w:type="dxa" w:w="3384"/>
          </w:tcPr>
          <w:p>
            <w:pPr>
              <w:spacing w:after="20"/>
            </w:pPr>
            <w:r>
              <w:rPr>
                <w:color w:val="1C3A36"/>
                <w:sz w:val="15"/>
              </w:rPr>
              <w:t>Not disclosed at that granularity</w:t>
            </w:r>
          </w:p>
        </w:tc>
        <w:tc>
          <w:tcPr>
            <w:tcW w:type="dxa" w:w="4464"/>
          </w:tcPr>
          <w:p>
            <w:pPr>
              <w:spacing w:after="20"/>
            </w:pPr>
            <w:r>
              <w:rPr>
                <w:color w:val="1C3A36"/>
                <w:sz w:val="15"/>
              </w:rPr>
              <w:t>The split was inferred from the disclosed average rates by currency and the independently computed blended effective rate, and is labelled as inferred</w:t>
            </w:r>
          </w:p>
        </w:tc>
      </w:tr>
      <w:tr>
        <w:tc>
          <w:tcPr>
            <w:tcW w:type="dxa" w:w="2232"/>
          </w:tcPr>
          <w:p>
            <w:pPr>
              <w:spacing w:after="20"/>
            </w:pPr>
            <w:r>
              <w:rPr>
                <w:color w:val="1C3A36"/>
                <w:sz w:val="15"/>
              </w:rPr>
              <w:t>An explanation for the sharp single-session price move on 4 August 2026</w:t>
            </w:r>
          </w:p>
        </w:tc>
        <w:tc>
          <w:tcPr>
            <w:tcW w:type="dxa" w:w="3384"/>
          </w:tcPr>
          <w:p>
            <w:pPr>
              <w:spacing w:after="20"/>
            </w:pPr>
            <w:r>
              <w:rPr>
                <w:color w:val="1C3A36"/>
                <w:sz w:val="15"/>
              </w:rPr>
              <w:t>No corresponding company disclosure or news item was found</w:t>
            </w:r>
          </w:p>
        </w:tc>
        <w:tc>
          <w:tcPr>
            <w:tcW w:type="dxa" w:w="4464"/>
          </w:tcPr>
          <w:p>
            <w:pPr>
              <w:spacing w:after="20"/>
            </w:pPr>
            <w:r>
              <w:rPr>
                <w:color w:val="1C3A36"/>
                <w:sz w:val="15"/>
              </w:rPr>
              <w:t>Not used. The study's anchor is the closing price on 5 August 2026 and no narrative is attached to the move</w:t>
            </w:r>
          </w:p>
        </w:tc>
      </w:tr>
    </w:tbl>
    <w:p>
      <w:pPr>
        <w:spacing w:after="40"/>
      </w:pPr>
    </w:p>
    <w:p>
      <w:pPr>
        <w:spacing w:after="80" w:before="240"/>
      </w:pPr>
      <w:r>
        <w:rPr>
          <w:b/>
          <w:i w:val="0"/>
          <w:color w:val="1C3A36"/>
          <w:sz w:val="26"/>
        </w:rPr>
        <w:t>A note on aggregator data</w:t>
      </w:r>
    </w:p>
    <w:p>
      <w:pPr>
        <w:spacing w:after="100" w:before="0"/>
      </w:pPr>
      <w:r>
        <w:rPr>
          <w:b w:val="0"/>
          <w:i w:val="0"/>
          <w:color w:val="1C3A36"/>
          <w:sz w:val="20"/>
        </w:rPr>
        <w:t>Aggregator and data-vendor figures were used only where a company source was unavailable, and they were checked against the company's own disclosures wherever both existed. One material discrepancy was found and is recorded here: a widely syndicated "FY2025" balance sheet — total assets, total equity, total debt and cash — reproduces the company's audited 31 December 2024 figures exactly, one year stale. It was discarded. The FY2025 balance-sheet figures used in this study are the disclosed total assets and net bank debt, plus the triangulation described above.</w:t>
      </w:r>
    </w:p>
    <w:p>
      <w:pPr>
        <w:spacing w:after="80" w:before="240"/>
      </w:pPr>
      <w:r>
        <w:rPr>
          <w:b/>
          <w:i w:val="0"/>
          <w:color w:val="1C3A36"/>
          <w:sz w:val="26"/>
        </w:rPr>
        <w:t>Disclosure</w:t>
      </w:r>
    </w:p>
    <w:p>
      <w:pPr>
        <w:spacing w:after="100" w:before="0"/>
      </w:pPr>
      <w:r>
        <w:rPr>
          <w:b w:val="0"/>
          <w:i w:val="0"/>
          <w:color w:val="6E7B77"/>
          <w:sz w:val="18"/>
        </w:rPr>
        <w:t>This document accompanies an educational valuation study. It is not investment advice and contains no recommendation, rating or price target. Sources are listed so that readers can verify the analysis independently. Where a figure is derived or estimated rather than disclosed, that is stated.</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color w:val="1C3A3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