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1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14.41</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(187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bs_acc_dep_M9FY2526</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accumulated depreciation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bs_gross_fixed_M9FY2526</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fixed assets at cost</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14.41</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EGCH closing price on the Egyptian Exchange, 3 September 2026. The previous edition was struck on the 6 August close of 13.98</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2026-09-03</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(12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taken from the house macro path and NOT typed here — the SAME figure terminal growth is set at, so the two cannot drift apart. (This sentence previously described the value as 5%, the central bank's Q4-2028 target, while the path supplies 7%: a 7% value carrying a 5% justification, which is exactly the kind of unfalsifiable typed rate [R-MACRO-01] exists to stop. The value has always come from the path; only the sentence was wrong.)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26000, 26000, 26000, 26000, 26000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0.1, 0.07, 0.06, 0.05, 0.05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Domestic inflation converging from the June 2026 print (14.3%) on the central bank's own target ladder: 7% (+/-2) for Q4 2026, which falls in FY2026/27-FY2027/28, and 5% (+/-2) for Q4 2028, which falls in FY2028/29, held thereafter. RE-SET 1 September 2026 so that the explicit path lands on the terminal inflation rather than stepping down to it at the terminal boundary.</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0.0449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530, 530, 530, 530, 530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Held FLAT in nominal dollars at the opening level. No forecast of a traded commodity price is defensible, which is the convention this house applies to the same class of input elsewhere; the previous path fell 17% over five years on a construction nothing sourced.</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from the house macro path: terminal inflation plus a STATED real growth of zero, so the real assumption is written down rather than inferred from the gap to the discount rate. It was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RETIRED under [R-LENS-03] and consumed by nothing. It is kept in the register so a reader of the 01-09-2026 edition can see what changed, and it is recorded here as retired rather than deleted because a number that was published once should stay traceable. THE CENTRAL IS THE CLASS PRIMARY -- the cash-flow lens, which on this company is two-sided -- and every other lens is a cross-check published beside it, never weighted into it. What follows is the description of the retired construction, kept verbatim: Weights of the four lenses in the weighted central the 01-09-2026 edition published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40000, 41000, 42000, 43000, 44000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house real-rate convention,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7,526, 8,429, 9,272, 10,106, 10,915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155000, 160000, 165000, 170000, 175000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4.11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