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 September 2026  ·  Reporting and valuation currency: Egyptian pounds  ·  Anchor price EGP 14.41 at the close of 2026-09-03</w:t>
      </w:r>
    </w:p>
    <w:p>
      <w:pPr>
        <w:keepNext/>
        <w:spacing w:after="120" w:before="280"/>
      </w:pPr>
      <w:r>
        <w:rPr>
          <w:b/>
          <w:i w:val="0"/>
          <w:color w:val="1C3A36"/>
          <w:sz w:val="30"/>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1.79 a share if the capital programme is carried through and EGP 5.90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1.79 and EGP 15.47 a share. It trades at EGP 14.41. The gap is not a rounding difference between the lenses: it is the whole disagreement. The multiple lens, on the range Egyptian fertilizer producers actually trade at, centres at EGP 15.47 — above the traded price — and it reaches that answer only by never asking what the capital programme does to cash. Every lens that does ask lands below EGP 4.29.</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11.0%,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24.6% to 18.6%, terminal growth 7.0%</w:t>
            </w:r>
          </w:p>
        </w:tc>
        <w:tc>
          <w:tcPr>
            <w:tcW w:type="dxa" w:w="1512"/>
          </w:tcPr>
          <w:p>
            <w:pPr>
              <w:spacing w:after="20"/>
              <w:jc w:val="right"/>
            </w:pPr>
            <w:r>
              <w:rPr>
                <w:color w:val="1C3A36"/>
                <w:sz w:val="15"/>
              </w:rPr>
              <w:t>-0.00 to 1.92</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3.99 to 5.96</w:t>
            </w:r>
          </w:p>
        </w:tc>
        <w:tc>
          <w:tcPr>
            <w:tcW w:type="dxa" w:w="1008"/>
          </w:tcPr>
          <w:p>
            <w:pPr>
              <w:spacing w:after="20"/>
              <w:jc w:val="right"/>
            </w:pPr>
            <w:r>
              <w:rPr>
                <w:color w:val="1C3A36"/>
                <w:sz w:val="15"/>
              </w:rPr>
              <w:t>5.90</w:t>
            </w:r>
          </w:p>
        </w:tc>
        <w:tc>
          <w:tcPr>
            <w:tcW w:type="dxa" w:w="936"/>
          </w:tcPr>
          <w:p>
            <w:pPr>
              <w:spacing w:after="20"/>
              <w:jc w:val="right"/>
            </w:pPr>
            <w:r>
              <w:rPr>
                <w:color w:val="1C3A36"/>
                <w:sz w:val="15"/>
              </w:rPr>
              <w:t>-59%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10.88 to 20.07</w:t>
            </w:r>
          </w:p>
        </w:tc>
        <w:tc>
          <w:tcPr>
            <w:tcW w:type="dxa" w:w="1008"/>
          </w:tcPr>
          <w:p>
            <w:pPr>
              <w:spacing w:after="20"/>
              <w:jc w:val="right"/>
            </w:pPr>
            <w:r>
              <w:rPr>
                <w:color w:val="1C3A36"/>
                <w:sz w:val="15"/>
              </w:rPr>
              <w:t>15.47</w:t>
            </w:r>
          </w:p>
        </w:tc>
        <w:tc>
          <w:tcPr>
            <w:tcW w:type="dxa" w:w="936"/>
          </w:tcPr>
          <w:p>
            <w:pPr>
              <w:spacing w:after="20"/>
              <w:jc w:val="right"/>
            </w:pPr>
            <w:r>
              <w:rPr>
                <w:color w:val="1C3A36"/>
                <w:sz w:val="15"/>
              </w:rPr>
              <w:t>+7%</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1,502m at 8x to 12x, 10x central</w:t>
            </w:r>
          </w:p>
        </w:tc>
        <w:tc>
          <w:tcPr>
            <w:tcW w:type="dxa" w:w="1512"/>
          </w:tcPr>
          <w:p>
            <w:pPr>
              <w:spacing w:after="20"/>
              <w:jc w:val="right"/>
            </w:pPr>
            <w:r>
              <w:rPr>
                <w:color w:val="1C3A36"/>
                <w:sz w:val="15"/>
              </w:rPr>
              <w:t>2.78 to 5.80</w:t>
            </w:r>
          </w:p>
        </w:tc>
        <w:tc>
          <w:tcPr>
            <w:tcW w:type="dxa" w:w="1008"/>
          </w:tcPr>
          <w:p>
            <w:pPr>
              <w:spacing w:after="20"/>
              <w:jc w:val="right"/>
            </w:pPr>
            <w:r>
              <w:rPr>
                <w:color w:val="1C3A36"/>
                <w:sz w:val="15"/>
              </w:rPr>
              <w:t>4.29</w:t>
            </w:r>
          </w:p>
        </w:tc>
        <w:tc>
          <w:tcPr>
            <w:tcW w:type="dxa" w:w="936"/>
          </w:tcPr>
          <w:p>
            <w:pPr>
              <w:spacing w:after="20"/>
              <w:jc w:val="right"/>
            </w:pPr>
            <w:r>
              <w:rPr>
                <w:color w:val="1C3A36"/>
                <w:sz w:val="15"/>
              </w:rPr>
              <w:t>-70%</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29.3%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1.79 with the capital programme carried through — the company's own stated plan — and EGP 5.90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1.79 to 15.47</w:t>
            </w:r>
          </w:p>
        </w:tc>
        <w:tc>
          <w:tcPr>
            <w:tcW w:type="dxa" w:w="1008"/>
            <w:shd w:val="clear" w:color="auto" w:fill="F6F1E6"/>
          </w:tcPr>
          <w:p>
            <w:pPr>
              <w:spacing w:after="20"/>
              <w:jc w:val="right"/>
            </w:pPr>
            <w:r>
              <w:rPr>
                <w:b/>
                <w:color w:val="1C3A36"/>
                <w:sz w:val="15"/>
              </w:rPr>
              <w:t>1.79</w:t>
            </w:r>
          </w:p>
        </w:tc>
        <w:tc>
          <w:tcPr>
            <w:tcW w:type="dxa" w:w="936"/>
            <w:shd w:val="clear" w:color="auto" w:fill="F6F1E6"/>
          </w:tcPr>
          <w:p>
            <w:pPr>
              <w:spacing w:after="20"/>
              <w:jc w:val="right"/>
            </w:pPr>
            <w:r>
              <w:rPr>
                <w:b/>
                <w:color w:val="1C3A36"/>
                <w:sz w:val="15"/>
              </w:rPr>
              <w:t>-88%</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Country risk priced off the sovereign's credit rating</w:t>
            </w:r>
          </w:p>
        </w:tc>
        <w:tc>
          <w:tcPr>
            <w:tcW w:type="dxa" w:w="3960"/>
          </w:tcPr>
          <w:p>
            <w:pPr>
              <w:spacing w:after="20"/>
            </w:pPr>
            <w:r>
              <w:rPr>
                <w:color w:val="1C3A36"/>
                <w:sz w:val="15"/>
              </w:rPr>
              <w:t>Priced off the sovereign's traded default swap instead, which is the narrower of the two spreads</w:t>
            </w:r>
          </w:p>
        </w:tc>
        <w:tc>
          <w:tcPr>
            <w:tcW w:type="dxa" w:w="1512"/>
          </w:tcPr>
          <w:p>
            <w:pPr>
              <w:spacing w:after="20"/>
              <w:jc w:val="right"/>
            </w:pPr>
            <w:r>
              <w:rPr>
                <w:color w:val="1C3A36"/>
                <w:sz w:val="15"/>
              </w:rPr>
              <w:t>—</w:t>
            </w:r>
          </w:p>
        </w:tc>
        <w:tc>
          <w:tcPr>
            <w:tcW w:type="dxa" w:w="1008"/>
          </w:tcPr>
          <w:p>
            <w:pPr>
              <w:spacing w:after="20"/>
              <w:jc w:val="right"/>
            </w:pPr>
            <w:r>
              <w:rPr>
                <w:color w:val="1C3A36"/>
                <w:sz w:val="15"/>
              </w:rPr>
              <w:t>1.79</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0.37</w:t>
            </w:r>
          </w:p>
        </w:tc>
        <w:tc>
          <w:tcPr>
            <w:tcW w:type="dxa" w:w="936"/>
          </w:tcPr>
          <w:p>
            <w:pPr>
              <w:spacing w:after="20"/>
              <w:jc w:val="right"/>
            </w:pPr>
            <w:r>
              <w:rPr>
                <w:color w:val="1C3A36"/>
                <w:sz w:val="15"/>
              </w:rPr>
              <w:t>-97%</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1.68</w:t>
            </w:r>
          </w:p>
        </w:tc>
        <w:tc>
          <w:tcPr>
            <w:tcW w:type="dxa" w:w="936"/>
          </w:tcPr>
          <w:p>
            <w:pPr>
              <w:spacing w:after="20"/>
              <w:jc w:val="right"/>
            </w:pPr>
            <w:r>
              <w:rPr>
                <w:color w:val="1C3A36"/>
                <w:sz w:val="15"/>
              </w:rPr>
              <w:t>-88%</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0.98</w:t>
            </w:r>
          </w:p>
        </w:tc>
        <w:tc>
          <w:tcPr>
            <w:tcW w:type="dxa" w:w="936"/>
          </w:tcPr>
          <w:p>
            <w:pPr>
              <w:spacing w:after="20"/>
              <w:jc w:val="right"/>
            </w:pPr>
            <w:r>
              <w:rPr>
                <w:color w:val="1C3A36"/>
                <w:sz w:val="15"/>
              </w:rPr>
              <w:t>-93%</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2.86</w:t>
            </w:r>
          </w:p>
        </w:tc>
        <w:tc>
          <w:tcPr>
            <w:tcW w:type="dxa" w:w="936"/>
          </w:tcPr>
          <w:p>
            <w:pPr>
              <w:spacing w:after="20"/>
              <w:jc w:val="right"/>
            </w:pPr>
            <w:r>
              <w:rPr>
                <w:color w:val="1C3A36"/>
                <w:sz w:val="15"/>
              </w:rPr>
              <w:t>-80%</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-0.13</w:t>
            </w:r>
          </w:p>
        </w:tc>
        <w:tc>
          <w:tcPr>
            <w:tcW w:type="dxa" w:w="936"/>
          </w:tcPr>
          <w:p>
            <w:pPr>
              <w:spacing w:after="20"/>
              <w:jc w:val="right"/>
            </w:pPr>
            <w:r>
              <w:rPr>
                <w:color w:val="1C3A36"/>
                <w:sz w:val="15"/>
              </w:rPr>
              <w:t>-101%</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2.02</w:t>
            </w:r>
          </w:p>
        </w:tc>
        <w:tc>
          <w:tcPr>
            <w:tcW w:type="dxa" w:w="936"/>
          </w:tcPr>
          <w:p>
            <w:pPr>
              <w:spacing w:after="20"/>
              <w:jc w:val="right"/>
            </w:pPr>
            <w:r>
              <w:rPr>
                <w:color w:val="1C3A36"/>
                <w:sz w:val="15"/>
              </w:rPr>
              <w:t>-86%</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0.92</w:t>
            </w:r>
          </w:p>
        </w:tc>
        <w:tc>
          <w:tcPr>
            <w:tcW w:type="dxa" w:w="936"/>
          </w:tcPr>
          <w:p>
            <w:pPr>
              <w:spacing w:after="20"/>
              <w:jc w:val="right"/>
            </w:pPr>
            <w:r>
              <w:rPr>
                <w:color w:val="1C3A36"/>
                <w:sz w:val="15"/>
              </w:rPr>
              <w:t>-94%</w:t>
            </w:r>
          </w:p>
        </w:tc>
      </w:tr>
      <w:tr>
        <w:trPr>
          <w:cantSplit/>
        </w:trPr>
        <w:tc>
          <w:tcPr>
            <w:tcW w:type="dxa" w:w="2232"/>
          </w:tcPr>
          <w:p>
            <w:pPr>
              <w:spacing w:after="20"/>
            </w:pPr>
            <w:r>
              <w:rPr>
                <w:color w:val="1C3A36"/>
                <w:sz w:val="15"/>
              </w:rPr>
              <w:t>Terminal reinvestment of 38.9% of operating profit after tax, from growth over an 18% return on capital</w:t>
            </w:r>
          </w:p>
        </w:tc>
        <w:tc>
          <w:tcPr>
            <w:tcW w:type="dxa" w:w="3960"/>
          </w:tcPr>
          <w:p>
            <w:pPr>
              <w:spacing w:after="20"/>
            </w:pPr>
            <w:r>
              <w:rPr>
                <w:color w:val="1C3A36"/>
                <w:sz w:val="15"/>
              </w:rPr>
              <w:t>23.3%, from a 30% return on capital — the rate a newly completed plant earns on incremental capital while it is still filling</w:t>
            </w:r>
          </w:p>
        </w:tc>
        <w:tc>
          <w:tcPr>
            <w:tcW w:type="dxa" w:w="1512"/>
          </w:tcPr>
          <w:p>
            <w:pPr>
              <w:spacing w:after="20"/>
              <w:jc w:val="right"/>
            </w:pPr>
            <w:r>
              <w:rPr>
                <w:color w:val="1C3A36"/>
                <w:sz w:val="15"/>
              </w:rPr>
              <w:t>—</w:t>
            </w:r>
          </w:p>
        </w:tc>
        <w:tc>
          <w:tcPr>
            <w:tcW w:type="dxa" w:w="1008"/>
          </w:tcPr>
          <w:p>
            <w:pPr>
              <w:spacing w:after="20"/>
              <w:jc w:val="right"/>
            </w:pPr>
            <w:r>
              <w:rPr>
                <w:color w:val="1C3A36"/>
                <w:sz w:val="15"/>
              </w:rPr>
              <w:t>2.62</w:t>
            </w:r>
          </w:p>
        </w:tc>
        <w:tc>
          <w:tcPr>
            <w:tcW w:type="dxa" w:w="936"/>
          </w:tcPr>
          <w:p>
            <w:pPr>
              <w:spacing w:after="20"/>
              <w:jc w:val="right"/>
            </w:pPr>
            <w:r>
              <w:rPr>
                <w:color w:val="1C3A36"/>
                <w:sz w:val="15"/>
              </w:rPr>
              <w:t>-82%</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1.55</w:t>
            </w:r>
          </w:p>
        </w:tc>
        <w:tc>
          <w:tcPr>
            <w:tcW w:type="dxa" w:w="936"/>
          </w:tcPr>
          <w:p>
            <w:pPr>
              <w:spacing w:after="20"/>
              <w:jc w:val="right"/>
            </w:pPr>
            <w:r>
              <w:rPr>
                <w:color w:val="1C3A36"/>
                <w:sz w:val="15"/>
              </w:rPr>
              <w:t>-89%</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65.2%</w:t>
            </w:r>
          </w:p>
        </w:tc>
        <w:tc>
          <w:tcPr>
            <w:tcW w:type="dxa" w:w="2736"/>
          </w:tcPr>
          <w:p>
            <w:pPr>
              <w:spacing w:after="20"/>
              <w:jc w:val="right"/>
            </w:pPr>
            <w:r>
              <w:rPr>
                <w:color w:val="1C3A36"/>
                <w:sz w:val="17"/>
              </w:rPr>
              <w:t>40.7%</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3,493 million on the carried-through case, so the terminal block carries 65.2%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1.91 a share. The narrowest is terminal growth, worth EGP 0.10.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4,684</w:t>
            </w:r>
          </w:p>
        </w:tc>
        <w:tc>
          <w:tcPr>
            <w:tcW w:type="dxa" w:w="1426"/>
            <w:shd w:val="clear" w:color="auto" w:fill="F6F1E6"/>
          </w:tcPr>
          <w:p>
            <w:pPr>
              <w:spacing w:after="20"/>
              <w:jc w:val="right"/>
            </w:pPr>
            <w:r>
              <w:rPr>
                <w:b/>
                <w:color w:val="1C3A36"/>
                <w:sz w:val="16"/>
              </w:rPr>
              <w:t>4,952</w:t>
            </w:r>
          </w:p>
        </w:tc>
        <w:tc>
          <w:tcPr>
            <w:tcW w:type="dxa" w:w="1426"/>
            <w:shd w:val="clear" w:color="auto" w:fill="F6F1E6"/>
          </w:tcPr>
          <w:p>
            <w:pPr>
              <w:spacing w:after="20"/>
              <w:jc w:val="right"/>
            </w:pPr>
            <w:r>
              <w:rPr>
                <w:b/>
                <w:color w:val="1C3A36"/>
                <w:sz w:val="16"/>
              </w:rPr>
              <w:t>5,161</w:t>
            </w:r>
          </w:p>
        </w:tc>
        <w:tc>
          <w:tcPr>
            <w:tcW w:type="dxa" w:w="1426"/>
            <w:shd w:val="clear" w:color="auto" w:fill="F6F1E6"/>
          </w:tcPr>
          <w:p>
            <w:pPr>
              <w:spacing w:after="20"/>
              <w:jc w:val="right"/>
            </w:pPr>
            <w:r>
              <w:rPr>
                <w:b/>
                <w:color w:val="1C3A36"/>
                <w:sz w:val="16"/>
              </w:rPr>
              <w:t>5,334</w:t>
            </w:r>
          </w:p>
        </w:tc>
        <w:tc>
          <w:tcPr>
            <w:tcW w:type="dxa" w:w="1426"/>
            <w:shd w:val="clear" w:color="auto" w:fill="F6F1E6"/>
          </w:tcPr>
          <w:p>
            <w:pPr>
              <w:spacing w:after="20"/>
              <w:jc w:val="right"/>
            </w:pPr>
            <w:r>
              <w:rPr>
                <w:b/>
                <w:color w:val="1C3A36"/>
                <w:sz w:val="16"/>
              </w:rPr>
              <w:t>5,507</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3,793</w:t>
            </w:r>
          </w:p>
        </w:tc>
        <w:tc>
          <w:tcPr>
            <w:tcW w:type="dxa" w:w="1426"/>
            <w:shd w:val="clear" w:color="auto" w:fill="F6F1E6"/>
          </w:tcPr>
          <w:p>
            <w:pPr>
              <w:spacing w:after="20"/>
              <w:jc w:val="right"/>
            </w:pPr>
            <w:r>
              <w:rPr>
                <w:b/>
                <w:color w:val="1C3A36"/>
                <w:sz w:val="16"/>
              </w:rPr>
              <w:t>3,943</w:t>
            </w:r>
          </w:p>
        </w:tc>
        <w:tc>
          <w:tcPr>
            <w:tcW w:type="dxa" w:w="1426"/>
            <w:shd w:val="clear" w:color="auto" w:fill="F6F1E6"/>
          </w:tcPr>
          <w:p>
            <w:pPr>
              <w:spacing w:after="20"/>
              <w:jc w:val="right"/>
            </w:pPr>
            <w:r>
              <w:rPr>
                <w:b/>
                <w:color w:val="1C3A36"/>
                <w:sz w:val="16"/>
              </w:rPr>
              <w:t>4,014</w:t>
            </w:r>
          </w:p>
        </w:tc>
        <w:tc>
          <w:tcPr>
            <w:tcW w:type="dxa" w:w="1426"/>
            <w:shd w:val="clear" w:color="auto" w:fill="F6F1E6"/>
          </w:tcPr>
          <w:p>
            <w:pPr>
              <w:spacing w:after="20"/>
              <w:jc w:val="right"/>
            </w:pPr>
            <w:r>
              <w:rPr>
                <w:b/>
                <w:color w:val="1C3A36"/>
                <w:sz w:val="16"/>
              </w:rPr>
              <w:t>4,042</w:t>
            </w:r>
          </w:p>
        </w:tc>
        <w:tc>
          <w:tcPr>
            <w:tcW w:type="dxa" w:w="1426"/>
            <w:shd w:val="clear" w:color="auto" w:fill="F6F1E6"/>
          </w:tcPr>
          <w:p>
            <w:pPr>
              <w:spacing w:after="20"/>
              <w:jc w:val="right"/>
            </w:pPr>
            <w:r>
              <w:rPr>
                <w:b/>
                <w:color w:val="1C3A36"/>
                <w:sz w:val="16"/>
              </w:rPr>
              <w:t>4,072</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2,940</w:t>
            </w:r>
          </w:p>
        </w:tc>
        <w:tc>
          <w:tcPr>
            <w:tcW w:type="dxa" w:w="1426"/>
          </w:tcPr>
          <w:p>
            <w:pPr>
              <w:spacing w:after="20"/>
              <w:jc w:val="right"/>
            </w:pPr>
            <w:r>
              <w:rPr>
                <w:color w:val="1C3A36"/>
                <w:sz w:val="16"/>
              </w:rPr>
              <w:t>3,056</w:t>
            </w:r>
          </w:p>
        </w:tc>
        <w:tc>
          <w:tcPr>
            <w:tcW w:type="dxa" w:w="1426"/>
          </w:tcPr>
          <w:p>
            <w:pPr>
              <w:spacing w:after="20"/>
              <w:jc w:val="right"/>
            </w:pPr>
            <w:r>
              <w:rPr>
                <w:color w:val="1C3A36"/>
                <w:sz w:val="16"/>
              </w:rPr>
              <w:t>3,111</w:t>
            </w:r>
          </w:p>
        </w:tc>
        <w:tc>
          <w:tcPr>
            <w:tcW w:type="dxa" w:w="1426"/>
          </w:tcPr>
          <w:p>
            <w:pPr>
              <w:spacing w:after="20"/>
              <w:jc w:val="right"/>
            </w:pPr>
            <w:r>
              <w:rPr>
                <w:color w:val="1C3A36"/>
                <w:sz w:val="16"/>
              </w:rPr>
              <w:t>3,133</w:t>
            </w:r>
          </w:p>
        </w:tc>
        <w:tc>
          <w:tcPr>
            <w:tcW w:type="dxa" w:w="1426"/>
          </w:tcPr>
          <w:p>
            <w:pPr>
              <w:spacing w:after="20"/>
              <w:jc w:val="right"/>
            </w:pPr>
            <w:r>
              <w:rPr>
                <w:color w:val="1C3A36"/>
                <w:sz w:val="16"/>
              </w:rPr>
              <w:t>3,156</w:t>
            </w:r>
          </w:p>
        </w:tc>
      </w:tr>
      <w:tr>
        <w:trPr>
          <w:cantSplit/>
        </w:trPr>
        <w:tc>
          <w:tcPr>
            <w:tcW w:type="dxa" w:w="2952"/>
          </w:tcPr>
          <w:p>
            <w:pPr>
              <w:spacing w:after="20"/>
            </w:pPr>
            <w:r>
              <w:rPr>
                <w:color w:val="1C3A36"/>
                <w:sz w:val="16"/>
              </w:rPr>
              <w:t>Add back depreciation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Less 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Less change in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24.62%</w:t>
            </w:r>
          </w:p>
        </w:tc>
        <w:tc>
          <w:tcPr>
            <w:tcW w:type="dxa" w:w="1426"/>
          </w:tcPr>
          <w:p>
            <w:pPr>
              <w:spacing w:after="20"/>
              <w:jc w:val="right"/>
            </w:pPr>
            <w:r>
              <w:rPr>
                <w:color w:val="1C3A36"/>
                <w:sz w:val="16"/>
              </w:rPr>
              <w:t>22.87%</w:t>
            </w:r>
          </w:p>
        </w:tc>
        <w:tc>
          <w:tcPr>
            <w:tcW w:type="dxa" w:w="1426"/>
          </w:tcPr>
          <w:p>
            <w:pPr>
              <w:spacing w:after="20"/>
              <w:jc w:val="right"/>
            </w:pPr>
            <w:r>
              <w:rPr>
                <w:color w:val="1C3A36"/>
                <w:sz w:val="16"/>
              </w:rPr>
              <w:t>21.70%</w:t>
            </w:r>
          </w:p>
        </w:tc>
        <w:tc>
          <w:tcPr>
            <w:tcW w:type="dxa" w:w="1426"/>
          </w:tcPr>
          <w:p>
            <w:pPr>
              <w:spacing w:after="20"/>
              <w:jc w:val="right"/>
            </w:pPr>
            <w:r>
              <w:rPr>
                <w:color w:val="1C3A36"/>
                <w:sz w:val="16"/>
              </w:rPr>
              <w:t>20.53%</w:t>
            </w:r>
          </w:p>
        </w:tc>
        <w:tc>
          <w:tcPr>
            <w:tcW w:type="dxa" w:w="1426"/>
          </w:tcPr>
          <w:p>
            <w:pPr>
              <w:spacing w:after="20"/>
              <w:jc w:val="right"/>
            </w:pPr>
            <w:r>
              <w:rPr>
                <w:color w:val="1C3A36"/>
                <w:sz w:val="16"/>
              </w:rPr>
              <w:t>19.64%</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0.8025</w:t>
            </w:r>
          </w:p>
        </w:tc>
        <w:tc>
          <w:tcPr>
            <w:tcW w:type="dxa" w:w="1426"/>
          </w:tcPr>
          <w:p>
            <w:pPr>
              <w:spacing w:after="20"/>
              <w:jc w:val="right"/>
            </w:pPr>
            <w:r>
              <w:rPr>
                <w:color w:val="1C3A36"/>
                <w:sz w:val="16"/>
              </w:rPr>
              <w:t>0.6531</w:t>
            </w:r>
          </w:p>
        </w:tc>
        <w:tc>
          <w:tcPr>
            <w:tcW w:type="dxa" w:w="1426"/>
          </w:tcPr>
          <w:p>
            <w:pPr>
              <w:spacing w:after="20"/>
              <w:jc w:val="right"/>
            </w:pPr>
            <w:r>
              <w:rPr>
                <w:color w:val="1C3A36"/>
                <w:sz w:val="16"/>
              </w:rPr>
              <w:t>0.5366</w:t>
            </w:r>
          </w:p>
        </w:tc>
        <w:tc>
          <w:tcPr>
            <w:tcW w:type="dxa" w:w="1426"/>
          </w:tcPr>
          <w:p>
            <w:pPr>
              <w:spacing w:after="20"/>
              <w:jc w:val="right"/>
            </w:pPr>
            <w:r>
              <w:rPr>
                <w:color w:val="1C3A36"/>
                <w:sz w:val="16"/>
              </w:rPr>
              <w:t>0.4452</w:t>
            </w:r>
          </w:p>
        </w:tc>
        <w:tc>
          <w:tcPr>
            <w:tcW w:type="dxa" w:w="1426"/>
          </w:tcPr>
          <w:p>
            <w:pPr>
              <w:spacing w:after="20"/>
              <w:jc w:val="right"/>
            </w:pPr>
            <w:r>
              <w:rPr>
                <w:color w:val="1C3A36"/>
                <w:sz w:val="16"/>
              </w:rPr>
              <w:t>0.3721</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1,575</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366</w:t>
            </w:r>
          </w:p>
        </w:tc>
        <w:tc>
          <w:tcPr>
            <w:tcW w:type="dxa" w:w="1426"/>
            <w:shd w:val="clear" w:color="auto" w:fill="F6F1E6"/>
          </w:tcPr>
          <w:p>
            <w:pPr>
              <w:spacing w:after="20"/>
              <w:jc w:val="right"/>
            </w:pPr>
            <w:r>
              <w:rPr>
                <w:b/>
                <w:color w:val="1C3A36"/>
                <w:sz w:val="16"/>
              </w:rPr>
              <w:t>426</w:t>
            </w:r>
          </w:p>
        </w:tc>
        <w:tc>
          <w:tcPr>
            <w:tcW w:type="dxa" w:w="1426"/>
            <w:shd w:val="clear" w:color="auto" w:fill="F6F1E6"/>
          </w:tcPr>
          <w:p>
            <w:pPr>
              <w:spacing w:after="20"/>
              <w:jc w:val="right"/>
            </w:pPr>
            <w:r>
              <w:rPr>
                <w:b/>
                <w:color w:val="1C3A36"/>
                <w:sz w:val="16"/>
              </w:rPr>
              <w:t>679</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3,493</w:t>
            </w:r>
          </w:p>
        </w:tc>
        <w:tc>
          <w:tcPr>
            <w:tcW w:type="dxa" w:w="2808"/>
          </w:tcPr>
          <w:p>
            <w:pPr>
              <w:spacing w:after="20"/>
              <w:jc w:val="right"/>
            </w:pPr>
            <w:r>
              <w:rPr>
                <w:color w:val="1C3A36"/>
                <w:sz w:val="17"/>
              </w:rPr>
              <w:t>10,804</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6,548</w:t>
            </w:r>
          </w:p>
        </w:tc>
        <w:tc>
          <w:tcPr>
            <w:tcW w:type="dxa" w:w="2808"/>
          </w:tcPr>
          <w:p>
            <w:pPr>
              <w:spacing w:after="20"/>
              <w:jc w:val="right"/>
            </w:pPr>
            <w:r>
              <w:rPr>
                <w:color w:val="1C3A36"/>
                <w:sz w:val="17"/>
              </w:rPr>
              <w:t>7,411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10,041</w:t>
            </w:r>
          </w:p>
        </w:tc>
        <w:tc>
          <w:tcPr>
            <w:tcW w:type="dxa" w:w="2808"/>
            <w:shd w:val="clear" w:color="auto" w:fill="F6F1E6"/>
          </w:tcPr>
          <w:p>
            <w:pPr>
              <w:spacing w:after="20"/>
              <w:jc w:val="right"/>
            </w:pPr>
            <w:r>
              <w:rPr>
                <w:b/>
                <w:color w:val="1C3A36"/>
                <w:sz w:val="17"/>
              </w:rPr>
              <w:t>18,216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65.2%</w:t>
            </w:r>
          </w:p>
        </w:tc>
        <w:tc>
          <w:tcPr>
            <w:tcW w:type="dxa" w:w="2808"/>
            <w:shd w:val="clear" w:color="auto" w:fill="F6F1E6"/>
          </w:tcPr>
          <w:p>
            <w:pPr>
              <w:spacing w:after="20"/>
              <w:jc w:val="right"/>
            </w:pPr>
            <w:r>
              <w:rPr>
                <w:b/>
                <w:color w:val="1C3A36"/>
                <w:sz w:val="17"/>
              </w:rPr>
              <w:t>40.7%</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1,383</w:t>
            </w:r>
          </w:p>
        </w:tc>
        <w:tc>
          <w:tcPr>
            <w:tcW w:type="dxa" w:w="2808"/>
          </w:tcPr>
          <w:p>
            <w:pPr>
              <w:spacing w:after="20"/>
              <w:jc w:val="right"/>
            </w:pPr>
            <w:r>
              <w:rPr>
                <w:color w:val="1C3A36"/>
                <w:sz w:val="17"/>
              </w:rPr>
              <w:t>1,383</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3,547</w:t>
            </w:r>
          </w:p>
        </w:tc>
        <w:tc>
          <w:tcPr>
            <w:tcW w:type="dxa" w:w="2808"/>
            <w:shd w:val="clear" w:color="auto" w:fill="F6F1E6"/>
          </w:tcPr>
          <w:p>
            <w:pPr>
              <w:spacing w:after="20"/>
              <w:jc w:val="right"/>
            </w:pPr>
            <w:r>
              <w:rPr>
                <w:b/>
                <w:color w:val="1C3A36"/>
                <w:sz w:val="17"/>
              </w:rPr>
              <w:t>11,721</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1.79</w:t>
            </w:r>
          </w:p>
        </w:tc>
        <w:tc>
          <w:tcPr>
            <w:tcW w:type="dxa" w:w="2808"/>
            <w:shd w:val="clear" w:color="auto" w:fill="F6F1E6"/>
          </w:tcPr>
          <w:p>
            <w:pPr>
              <w:spacing w:after="20"/>
              <w:jc w:val="right"/>
            </w:pPr>
            <w:r>
              <w:rPr>
                <w:b/>
                <w:color w:val="1C3A36"/>
                <w:sz w:val="17"/>
              </w:rPr>
              <w:t>5.90</w:t>
            </w:r>
          </w:p>
        </w:tc>
      </w:tr>
    </w:tbl>
    <w:p>
      <w:pPr>
        <w:spacing w:after="40"/>
      </w:pPr>
    </w:p>
    <w:p>
      <w:pPr>
        <w:spacing w:after="200" w:before="0"/>
      </w:pPr>
      <w:r>
        <w:rPr>
          <w:b w:val="0"/>
          <w:i/>
          <w:color w:val="6E7B77"/>
          <w:sz w:val="17"/>
        </w:rPr>
        <w:t>Table 5.  Net debt is larger than the enterprise value the cash flows support in the carried-through column. That is why the equity value there is negative, and it is stated rather than clipped to zero.</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1.78</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1.79</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5.05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10,041 million is the right enterprise value for a business generating around EGP 4,684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0.28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1.77</w:t>
            </w:r>
          </w:p>
        </w:tc>
        <w:tc>
          <w:tcPr>
            <w:tcW w:type="dxa" w:w="5184"/>
          </w:tcPr>
          <w:p>
            <w:pPr>
              <w:spacing w:after="20"/>
            </w:pPr>
            <w:r>
              <w:rPr>
                <w:color w:val="1C3A36"/>
                <w:sz w:val="17"/>
              </w:rPr>
              <w:t>below the sovereign's ten-year yield of 23.0%</w:t>
            </w:r>
          </w:p>
        </w:tc>
      </w:tr>
      <w:tr>
        <w:trPr>
          <w:cantSplit/>
        </w:trPr>
        <w:tc>
          <w:tcPr>
            <w:tcW w:type="dxa" w:w="2160"/>
            <w:shd w:val="clear" w:color="auto" w:fill="F6F1E6"/>
          </w:tcPr>
          <w:p>
            <w:pPr>
              <w:spacing w:after="20"/>
            </w:pPr>
            <w:r>
              <w:rPr>
                <w:b/>
                <w:color w:val="1C3A36"/>
                <w:sz w:val="17"/>
              </w:rPr>
              <w:t>18.0%</w:t>
            </w:r>
          </w:p>
        </w:tc>
        <w:tc>
          <w:tcPr>
            <w:tcW w:type="dxa" w:w="2592"/>
            <w:shd w:val="clear" w:color="auto" w:fill="F6F1E6"/>
          </w:tcPr>
          <w:p>
            <w:pPr>
              <w:spacing w:after="20"/>
              <w:jc w:val="right"/>
            </w:pPr>
            <w:r>
              <w:rPr>
                <w:b/>
                <w:color w:val="1C3A36"/>
                <w:sz w:val="17"/>
              </w:rPr>
              <w:t>2.75</w:t>
            </w:r>
          </w:p>
        </w:tc>
        <w:tc>
          <w:tcPr>
            <w:tcW w:type="dxa" w:w="5184"/>
            <w:shd w:val="clear" w:color="auto" w:fill="F6F1E6"/>
          </w:tcPr>
          <w:p>
            <w:pPr>
              <w:spacing w:after="20"/>
            </w:pPr>
            <w:r>
              <w:rPr>
                <w:b/>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4.19</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6.47</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10.61</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11.0%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sign of the answer turns at about eighteen per cent — five points below what Egypt's own government pays to borrow for ten years. Reaching the traded price needs about 11.0%, which is 12.0% below the sovereign.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29.28%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29.28%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4,684 million the mid-point implies an enterprise value of EGP 37,236 million and, after the debt and the non-operating stack, EGP 15.47 a share — a range of EGP 10.88 to EGP 20.07 across the band.</w:t>
      </w:r>
    </w:p>
    <w:p>
      <w:pPr>
        <w:spacing w:after="120" w:before="0"/>
      </w:pPr>
      <w:r>
        <w:rPr>
          <w:b/>
          <w:i w:val="0"/>
          <w:color w:val="1C3A36"/>
          <w:sz w:val="21"/>
        </w:rPr>
        <w:t>The two numbers worth putting side by side are these: at the traded price the shares change hands at 8.3 times that same forward EBITDA, while the cash-flow lens values them at 2.1 times. One is above the Egyptian industrial band and the other below it. That is the whole disagreement in a single number, and it is reported rather than resolved.</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9,657</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2,828</w:t>
            </w:r>
          </w:p>
        </w:tc>
      </w:tr>
      <w:tr>
        <w:trPr>
          <w:cantSplit/>
        </w:trPr>
        <w:tc>
          <w:tcPr>
            <w:tcW w:type="dxa" w:w="6336"/>
          </w:tcPr>
          <w:p>
            <w:pPr>
              <w:spacing w:after="20"/>
            </w:pPr>
            <w:r>
              <w:rPr>
                <w:color w:val="1C3A36"/>
                <w:sz w:val="17"/>
              </w:rPr>
              <w:t>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1,502</w:t>
            </w:r>
          </w:p>
        </w:tc>
      </w:tr>
      <w:tr>
        <w:trPr>
          <w:cantSplit/>
        </w:trPr>
        <w:tc>
          <w:tcPr>
            <w:tcW w:type="dxa" w:w="6336"/>
          </w:tcPr>
          <w:p>
            <w:pPr>
              <w:spacing w:after="20"/>
            </w:pPr>
            <w:r>
              <w:rPr>
                <w:color w:val="1C3A36"/>
                <w:sz w:val="17"/>
              </w:rPr>
              <w:t>At ten times — enterprise value</w:t>
            </w:r>
          </w:p>
        </w:tc>
        <w:tc>
          <w:tcPr>
            <w:tcW w:type="dxa" w:w="3600"/>
          </w:tcPr>
          <w:p>
            <w:pPr>
              <w:spacing w:after="20"/>
              <w:jc w:val="right"/>
            </w:pPr>
            <w:r>
              <w:rPr>
                <w:color w:val="1C3A36"/>
                <w:sz w:val="17"/>
              </w:rPr>
              <w:t>15,016</w:t>
            </w:r>
          </w:p>
        </w:tc>
      </w:tr>
      <w:tr>
        <w:trPr>
          <w:cantSplit/>
        </w:trPr>
        <w:tc>
          <w:tcPr>
            <w:tcW w:type="dxa" w:w="6336"/>
            <w:shd w:val="clear" w:color="auto" w:fill="F6F1E6"/>
          </w:tcPr>
          <w:p>
            <w:pPr>
              <w:spacing w:after="20"/>
            </w:pPr>
            <w:r>
              <w:rPr>
                <w:b/>
                <w:color w:val="1C3A36"/>
                <w:sz w:val="17"/>
              </w:rPr>
              <w:t>Value per share at ten times (EGP)</w:t>
            </w:r>
          </w:p>
        </w:tc>
        <w:tc>
          <w:tcPr>
            <w:tcW w:type="dxa" w:w="3600"/>
            <w:shd w:val="clear" w:color="auto" w:fill="F6F1E6"/>
          </w:tcPr>
          <w:p>
            <w:pPr>
              <w:spacing w:after="20"/>
              <w:jc w:val="right"/>
            </w:pPr>
            <w:r>
              <w:rPr>
                <w:b/>
                <w:color w:val="1C3A36"/>
                <w:sz w:val="17"/>
              </w:rPr>
              <w:t>4.29</w:t>
            </w:r>
          </w:p>
        </w:tc>
      </w:tr>
      <w:tr>
        <w:trPr>
          <w:cantSplit/>
        </w:trPr>
        <w:tc>
          <w:tcPr>
            <w:tcW w:type="dxa" w:w="6336"/>
          </w:tcPr>
          <w:p>
            <w:pPr>
              <w:spacing w:after="20"/>
            </w:pPr>
            <w:r>
              <w:rPr>
                <w:color w:val="1C3A36"/>
                <w:sz w:val="17"/>
              </w:rPr>
              <w:t>At eight times (EGP)</w:t>
            </w:r>
          </w:p>
        </w:tc>
        <w:tc>
          <w:tcPr>
            <w:tcW w:type="dxa" w:w="3600"/>
          </w:tcPr>
          <w:p>
            <w:pPr>
              <w:spacing w:after="20"/>
              <w:jc w:val="right"/>
            </w:pPr>
            <w:r>
              <w:rPr>
                <w:color w:val="1C3A36"/>
                <w:sz w:val="17"/>
              </w:rPr>
              <w:t>2.78</w:t>
            </w:r>
          </w:p>
        </w:tc>
      </w:tr>
      <w:tr>
        <w:trPr>
          <w:cantSplit/>
        </w:trPr>
        <w:tc>
          <w:tcPr>
            <w:tcW w:type="dxa" w:w="6336"/>
          </w:tcPr>
          <w:p>
            <w:pPr>
              <w:spacing w:after="20"/>
            </w:pPr>
            <w:r>
              <w:rPr>
                <w:color w:val="1C3A36"/>
                <w:sz w:val="17"/>
              </w:rPr>
              <w:t>At twelve times (EGP)</w:t>
            </w:r>
          </w:p>
        </w:tc>
        <w:tc>
          <w:tcPr>
            <w:tcW w:type="dxa" w:w="3600"/>
          </w:tcPr>
          <w:p>
            <w:pPr>
              <w:spacing w:after="20"/>
              <w:jc w:val="right"/>
            </w:pPr>
            <w:r>
              <w:rPr>
                <w:color w:val="1C3A36"/>
                <w:sz w:val="17"/>
              </w:rPr>
              <w:t>5.80</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1.79 to EGP 15.47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15.47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1.79 a share with the capital programme carried through, 88% below the traded price, and EGP 5.90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29.28%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53.49</w:t>
            </w:r>
          </w:p>
        </w:tc>
        <w:tc>
          <w:tcPr>
            <w:tcW w:type="dxa" w:w="1843"/>
          </w:tcPr>
          <w:p>
            <w:pPr>
              <w:spacing w:after="20"/>
              <w:jc w:val="right"/>
            </w:pPr>
            <w:r>
              <w:rPr>
                <w:color w:val="1C3A36"/>
                <w:sz w:val="17"/>
              </w:rPr>
              <w:t>60.83</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8.84</w:t>
            </w:r>
          </w:p>
        </w:tc>
        <w:tc>
          <w:tcPr>
            <w:tcW w:type="dxa" w:w="1843"/>
          </w:tcPr>
          <w:p>
            <w:pPr>
              <w:spacing w:after="20"/>
              <w:jc w:val="right"/>
            </w:pPr>
            <w:r>
              <w:rPr>
                <w:color w:val="1C3A36"/>
                <w:sz w:val="17"/>
              </w:rPr>
              <w:t>10.05</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10.0%</w:t>
            </w:r>
          </w:p>
        </w:tc>
        <w:tc>
          <w:tcPr>
            <w:tcW w:type="dxa" w:w="1843"/>
          </w:tcPr>
          <w:p>
            <w:pPr>
              <w:spacing w:after="20"/>
              <w:jc w:val="right"/>
            </w:pPr>
            <w:r>
              <w:rPr>
                <w:color w:val="1C3A36"/>
                <w:sz w:val="17"/>
              </w:rPr>
              <w:t>5.0%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42.1%</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41.4%</w:t>
            </w:r>
          </w:p>
        </w:tc>
        <w:tc>
          <w:tcPr>
            <w:tcW w:type="dxa" w:w="1843"/>
            <w:shd w:val="clear" w:color="auto" w:fill="F6F1E6"/>
          </w:tcPr>
          <w:p>
            <w:pPr>
              <w:spacing w:after="20"/>
              <w:jc w:val="right"/>
            </w:pPr>
            <w:r>
              <w:rPr>
                <w:b/>
                <w:color w:val="1C3A36"/>
                <w:sz w:val="17"/>
              </w:rPr>
              <w:t>40.9%</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11,310</w:t>
            </w:r>
          </w:p>
        </w:tc>
        <w:tc>
          <w:tcPr>
            <w:tcW w:type="dxa" w:w="1426"/>
          </w:tcPr>
          <w:p>
            <w:pPr>
              <w:spacing w:after="20"/>
              <w:jc w:val="right"/>
            </w:pPr>
            <w:r>
              <w:rPr>
                <w:color w:val="1C3A36"/>
                <w:sz w:val="16"/>
              </w:rPr>
              <w:t>11,958</w:t>
            </w:r>
          </w:p>
        </w:tc>
        <w:tc>
          <w:tcPr>
            <w:tcW w:type="dxa" w:w="1426"/>
          </w:tcPr>
          <w:p>
            <w:pPr>
              <w:spacing w:after="20"/>
              <w:jc w:val="right"/>
            </w:pPr>
            <w:r>
              <w:rPr>
                <w:color w:val="1C3A36"/>
                <w:sz w:val="16"/>
              </w:rPr>
              <w:t>12,507</w:t>
            </w:r>
          </w:p>
        </w:tc>
        <w:tc>
          <w:tcPr>
            <w:tcW w:type="dxa" w:w="1426"/>
          </w:tcPr>
          <w:p>
            <w:pPr>
              <w:spacing w:after="20"/>
              <w:jc w:val="right"/>
            </w:pPr>
            <w:r>
              <w:rPr>
                <w:color w:val="1C3A36"/>
                <w:sz w:val="16"/>
              </w:rPr>
              <w:t>12,986</w:t>
            </w:r>
          </w:p>
        </w:tc>
        <w:tc>
          <w:tcPr>
            <w:tcW w:type="dxa" w:w="1426"/>
          </w:tcPr>
          <w:p>
            <w:pPr>
              <w:spacing w:after="20"/>
              <w:jc w:val="right"/>
            </w:pPr>
            <w:r>
              <w:rPr>
                <w:color w:val="1C3A36"/>
                <w:sz w:val="16"/>
              </w:rPr>
              <w:t>13,477</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6,146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7,012</w:t>
            </w:r>
          </w:p>
        </w:tc>
        <w:tc>
          <w:tcPr>
            <w:tcW w:type="dxa" w:w="1426"/>
          </w:tcPr>
          <w:p>
            <w:pPr>
              <w:spacing w:after="20"/>
              <w:jc w:val="right"/>
            </w:pPr>
            <w:r>
              <w:rPr>
                <w:color w:val="1C3A36"/>
                <w:sz w:val="16"/>
              </w:rPr>
              <w:t>7,406</w:t>
            </w:r>
          </w:p>
        </w:tc>
        <w:tc>
          <w:tcPr>
            <w:tcW w:type="dxa" w:w="1426"/>
          </w:tcPr>
          <w:p>
            <w:pPr>
              <w:spacing w:after="20"/>
              <w:jc w:val="right"/>
            </w:pPr>
            <w:r>
              <w:rPr>
                <w:color w:val="1C3A36"/>
                <w:sz w:val="16"/>
              </w:rPr>
              <w:t>7,806</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5,165</w:t>
            </w:r>
          </w:p>
        </w:tc>
        <w:tc>
          <w:tcPr>
            <w:tcW w:type="dxa" w:w="1426"/>
          </w:tcPr>
          <w:p>
            <w:pPr>
              <w:spacing w:after="20"/>
              <w:jc w:val="right"/>
            </w:pPr>
            <w:r>
              <w:rPr>
                <w:color w:val="1C3A36"/>
                <w:sz w:val="16"/>
              </w:rPr>
              <w:t>5,369</w:t>
            </w:r>
          </w:p>
        </w:tc>
        <w:tc>
          <w:tcPr>
            <w:tcW w:type="dxa" w:w="1426"/>
          </w:tcPr>
          <w:p>
            <w:pPr>
              <w:spacing w:after="20"/>
              <w:jc w:val="right"/>
            </w:pPr>
            <w:r>
              <w:rPr>
                <w:color w:val="1C3A36"/>
                <w:sz w:val="16"/>
              </w:rPr>
              <w:t>5,495</w:t>
            </w:r>
          </w:p>
        </w:tc>
        <w:tc>
          <w:tcPr>
            <w:tcW w:type="dxa" w:w="1426"/>
          </w:tcPr>
          <w:p>
            <w:pPr>
              <w:spacing w:after="20"/>
              <w:jc w:val="right"/>
            </w:pPr>
            <w:r>
              <w:rPr>
                <w:color w:val="1C3A36"/>
                <w:sz w:val="16"/>
              </w:rPr>
              <w:t>5,580</w:t>
            </w:r>
          </w:p>
        </w:tc>
        <w:tc>
          <w:tcPr>
            <w:tcW w:type="dxa" w:w="1426"/>
          </w:tcPr>
          <w:p>
            <w:pPr>
              <w:spacing w:after="20"/>
              <w:jc w:val="right"/>
            </w:pPr>
            <w:r>
              <w:rPr>
                <w:color w:val="1C3A36"/>
                <w:sz w:val="16"/>
              </w:rPr>
              <w:t>5,671</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44.9%</w:t>
            </w:r>
          </w:p>
        </w:tc>
        <w:tc>
          <w:tcPr>
            <w:tcW w:type="dxa" w:w="1426"/>
            <w:shd w:val="clear" w:color="auto" w:fill="F6F1E6"/>
          </w:tcPr>
          <w:p>
            <w:pPr>
              <w:spacing w:after="20"/>
              <w:jc w:val="right"/>
            </w:pPr>
            <w:r>
              <w:rPr>
                <w:b/>
                <w:color w:val="1C3A36"/>
                <w:sz w:val="16"/>
              </w:rPr>
              <w:t>43.9%</w:t>
            </w:r>
          </w:p>
        </w:tc>
        <w:tc>
          <w:tcPr>
            <w:tcW w:type="dxa" w:w="1426"/>
            <w:shd w:val="clear" w:color="auto" w:fill="F6F1E6"/>
          </w:tcPr>
          <w:p>
            <w:pPr>
              <w:spacing w:after="20"/>
              <w:jc w:val="right"/>
            </w:pPr>
            <w:r>
              <w:rPr>
                <w:b/>
                <w:color w:val="1C3A36"/>
                <w:sz w:val="16"/>
              </w:rPr>
              <w:t>43.0%</w:t>
            </w:r>
          </w:p>
        </w:tc>
        <w:tc>
          <w:tcPr>
            <w:tcW w:type="dxa" w:w="1426"/>
            <w:shd w:val="clear" w:color="auto" w:fill="F6F1E6"/>
          </w:tcPr>
          <w:p>
            <w:pPr>
              <w:spacing w:after="20"/>
              <w:jc w:val="right"/>
            </w:pPr>
            <w:r>
              <w:rPr>
                <w:b/>
                <w:color w:val="1C3A36"/>
                <w:sz w:val="16"/>
              </w:rPr>
              <w:t>42.1%</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4,684</w:t>
            </w:r>
          </w:p>
        </w:tc>
        <w:tc>
          <w:tcPr>
            <w:tcW w:type="dxa" w:w="1426"/>
          </w:tcPr>
          <w:p>
            <w:pPr>
              <w:spacing w:after="20"/>
              <w:jc w:val="right"/>
            </w:pPr>
            <w:r>
              <w:rPr>
                <w:color w:val="1C3A36"/>
                <w:sz w:val="16"/>
              </w:rPr>
              <w:t>4,952</w:t>
            </w:r>
          </w:p>
        </w:tc>
        <w:tc>
          <w:tcPr>
            <w:tcW w:type="dxa" w:w="1426"/>
          </w:tcPr>
          <w:p>
            <w:pPr>
              <w:spacing w:after="20"/>
              <w:jc w:val="right"/>
            </w:pPr>
            <w:r>
              <w:rPr>
                <w:color w:val="1C3A36"/>
                <w:sz w:val="16"/>
              </w:rPr>
              <w:t>5,161</w:t>
            </w:r>
          </w:p>
        </w:tc>
        <w:tc>
          <w:tcPr>
            <w:tcW w:type="dxa" w:w="1426"/>
          </w:tcPr>
          <w:p>
            <w:pPr>
              <w:spacing w:after="20"/>
              <w:jc w:val="right"/>
            </w:pPr>
            <w:r>
              <w:rPr>
                <w:color w:val="1C3A36"/>
                <w:sz w:val="16"/>
              </w:rPr>
              <w:t>5,334</w:t>
            </w:r>
          </w:p>
        </w:tc>
        <w:tc>
          <w:tcPr>
            <w:tcW w:type="dxa" w:w="1426"/>
          </w:tcPr>
          <w:p>
            <w:pPr>
              <w:spacing w:after="20"/>
              <w:jc w:val="right"/>
            </w:pPr>
            <w:r>
              <w:rPr>
                <w:color w:val="1C3A36"/>
                <w:sz w:val="16"/>
              </w:rPr>
              <w:t>5,507</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41.4%</w:t>
            </w:r>
          </w:p>
        </w:tc>
        <w:tc>
          <w:tcPr>
            <w:tcW w:type="dxa" w:w="1426"/>
            <w:shd w:val="clear" w:color="auto" w:fill="F6F1E6"/>
          </w:tcPr>
          <w:p>
            <w:pPr>
              <w:spacing w:after="20"/>
              <w:jc w:val="right"/>
            </w:pPr>
            <w:r>
              <w:rPr>
                <w:b/>
                <w:color w:val="1C3A36"/>
                <w:sz w:val="16"/>
              </w:rPr>
              <w:t>41.3%</w:t>
            </w:r>
          </w:p>
        </w:tc>
        <w:tc>
          <w:tcPr>
            <w:tcW w:type="dxa" w:w="1426"/>
            <w:shd w:val="clear" w:color="auto" w:fill="F6F1E6"/>
          </w:tcPr>
          <w:p>
            <w:pPr>
              <w:spacing w:after="20"/>
              <w:jc w:val="right"/>
            </w:pPr>
            <w:r>
              <w:rPr>
                <w:b/>
                <w:color w:val="1C3A36"/>
                <w:sz w:val="16"/>
              </w:rPr>
              <w:t>41.1%</w:t>
            </w:r>
          </w:p>
        </w:tc>
        <w:tc>
          <w:tcPr>
            <w:tcW w:type="dxa" w:w="1426"/>
            <w:shd w:val="clear" w:color="auto" w:fill="F6F1E6"/>
          </w:tcPr>
          <w:p>
            <w:pPr>
              <w:spacing w:after="20"/>
              <w:jc w:val="right"/>
            </w:pPr>
            <w:r>
              <w:rPr>
                <w:b/>
                <w:color w:val="1C3A36"/>
                <w:sz w:val="16"/>
              </w:rPr>
              <w:t>40.9%</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3,793</w:t>
            </w:r>
          </w:p>
        </w:tc>
        <w:tc>
          <w:tcPr>
            <w:tcW w:type="dxa" w:w="1426"/>
          </w:tcPr>
          <w:p>
            <w:pPr>
              <w:spacing w:after="20"/>
              <w:jc w:val="right"/>
            </w:pPr>
            <w:r>
              <w:rPr>
                <w:color w:val="1C3A36"/>
                <w:sz w:val="16"/>
              </w:rPr>
              <w:t>3,943</w:t>
            </w:r>
          </w:p>
        </w:tc>
        <w:tc>
          <w:tcPr>
            <w:tcW w:type="dxa" w:w="1426"/>
          </w:tcPr>
          <w:p>
            <w:pPr>
              <w:spacing w:after="20"/>
              <w:jc w:val="right"/>
            </w:pPr>
            <w:r>
              <w:rPr>
                <w:color w:val="1C3A36"/>
                <w:sz w:val="16"/>
              </w:rPr>
              <w:t>4,014</w:t>
            </w:r>
          </w:p>
        </w:tc>
        <w:tc>
          <w:tcPr>
            <w:tcW w:type="dxa" w:w="1426"/>
          </w:tcPr>
          <w:p>
            <w:pPr>
              <w:spacing w:after="20"/>
              <w:jc w:val="right"/>
            </w:pPr>
            <w:r>
              <w:rPr>
                <w:color w:val="1C3A36"/>
                <w:sz w:val="16"/>
              </w:rPr>
              <w:t>4,042</w:t>
            </w:r>
          </w:p>
        </w:tc>
        <w:tc>
          <w:tcPr>
            <w:tcW w:type="dxa" w:w="1426"/>
          </w:tcPr>
          <w:p>
            <w:pPr>
              <w:spacing w:after="20"/>
              <w:jc w:val="right"/>
            </w:pPr>
            <w:r>
              <w:rPr>
                <w:color w:val="1C3A36"/>
                <w:sz w:val="16"/>
              </w:rPr>
              <w:t>4,072</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33.5%</w:t>
            </w:r>
          </w:p>
        </w:tc>
        <w:tc>
          <w:tcPr>
            <w:tcW w:type="dxa" w:w="1426"/>
          </w:tcPr>
          <w:p>
            <w:pPr>
              <w:spacing w:after="20"/>
              <w:jc w:val="right"/>
            </w:pPr>
            <w:r>
              <w:rPr>
                <w:color w:val="1C3A36"/>
                <w:sz w:val="16"/>
              </w:rPr>
              <w:t>33.0%</w:t>
            </w:r>
          </w:p>
        </w:tc>
        <w:tc>
          <w:tcPr>
            <w:tcW w:type="dxa" w:w="1426"/>
          </w:tcPr>
          <w:p>
            <w:pPr>
              <w:spacing w:after="20"/>
              <w:jc w:val="right"/>
            </w:pPr>
            <w:r>
              <w:rPr>
                <w:color w:val="1C3A36"/>
                <w:sz w:val="16"/>
              </w:rPr>
              <w:t>32.1%</w:t>
            </w:r>
          </w:p>
        </w:tc>
        <w:tc>
          <w:tcPr>
            <w:tcW w:type="dxa" w:w="1426"/>
          </w:tcPr>
          <w:p>
            <w:pPr>
              <w:spacing w:after="20"/>
              <w:jc w:val="right"/>
            </w:pPr>
            <w:r>
              <w:rPr>
                <w:color w:val="1C3A36"/>
                <w:sz w:val="16"/>
              </w:rPr>
              <w:t>31.1%</w:t>
            </w:r>
          </w:p>
        </w:tc>
        <w:tc>
          <w:tcPr>
            <w:tcW w:type="dxa" w:w="1426"/>
          </w:tcPr>
          <w:p>
            <w:pPr>
              <w:spacing w:after="20"/>
              <w:jc w:val="right"/>
            </w:pPr>
            <w:r>
              <w:rPr>
                <w:color w:val="1C3A36"/>
                <w:sz w:val="16"/>
              </w:rPr>
              <w:t>30.2%</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45.7% to 42.1%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8,416</w:t>
            </w:r>
          </w:p>
        </w:tc>
        <w:tc>
          <w:tcPr>
            <w:tcW w:type="dxa" w:w="1296"/>
          </w:tcPr>
          <w:p>
            <w:pPr>
              <w:spacing w:after="20"/>
              <w:jc w:val="right"/>
            </w:pPr>
            <w:r>
              <w:rPr>
                <w:color w:val="1C3A36"/>
                <w:sz w:val="17"/>
              </w:rPr>
              <w:t>74.4%</w:t>
            </w:r>
          </w:p>
        </w:tc>
        <w:tc>
          <w:tcPr>
            <w:tcW w:type="dxa" w:w="1944"/>
          </w:tcPr>
          <w:p>
            <w:pPr>
              <w:spacing w:after="20"/>
              <w:jc w:val="right"/>
            </w:pPr>
            <w:r>
              <w:rPr>
                <w:color w:val="1C3A36"/>
                <w:sz w:val="17"/>
              </w:rPr>
              <w:t>9,458</w:t>
            </w:r>
          </w:p>
        </w:tc>
        <w:tc>
          <w:tcPr>
            <w:tcW w:type="dxa" w:w="1296"/>
          </w:tcPr>
          <w:p>
            <w:pPr>
              <w:spacing w:after="20"/>
              <w:jc w:val="right"/>
            </w:pPr>
            <w:r>
              <w:rPr>
                <w:color w:val="1C3A36"/>
                <w:sz w:val="17"/>
              </w:rPr>
              <w:t>70.2%</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10.3%</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14.2%</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1,021</w:t>
            </w:r>
          </w:p>
        </w:tc>
        <w:tc>
          <w:tcPr>
            <w:tcW w:type="dxa" w:w="1296"/>
          </w:tcPr>
          <w:p>
            <w:pPr>
              <w:spacing w:after="20"/>
              <w:jc w:val="right"/>
            </w:pPr>
            <w:r>
              <w:rPr>
                <w:color w:val="1C3A36"/>
                <w:sz w:val="17"/>
              </w:rPr>
              <w:t>9.0%</w:t>
            </w:r>
          </w:p>
        </w:tc>
        <w:tc>
          <w:tcPr>
            <w:tcW w:type="dxa" w:w="1944"/>
          </w:tcPr>
          <w:p>
            <w:pPr>
              <w:spacing w:after="20"/>
              <w:jc w:val="right"/>
            </w:pPr>
            <w:r>
              <w:rPr>
                <w:color w:val="1C3A36"/>
                <w:sz w:val="17"/>
              </w:rPr>
              <w:t>1,277</w:t>
            </w:r>
          </w:p>
        </w:tc>
        <w:tc>
          <w:tcPr>
            <w:tcW w:type="dxa" w:w="1296"/>
          </w:tcPr>
          <w:p>
            <w:pPr>
              <w:spacing w:after="20"/>
              <w:jc w:val="right"/>
            </w:pPr>
            <w:r>
              <w:rPr>
                <w:color w:val="1C3A36"/>
                <w:sz w:val="17"/>
              </w:rPr>
              <w:t>9.5%</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568</w:t>
            </w:r>
          </w:p>
        </w:tc>
        <w:tc>
          <w:tcPr>
            <w:tcW w:type="dxa" w:w="1296"/>
          </w:tcPr>
          <w:p>
            <w:pPr>
              <w:spacing w:after="20"/>
              <w:jc w:val="right"/>
            </w:pPr>
            <w:r>
              <w:rPr>
                <w:color w:val="1C3A36"/>
                <w:sz w:val="17"/>
              </w:rPr>
              <w:t>5.0%</w:t>
            </w:r>
          </w:p>
        </w:tc>
        <w:tc>
          <w:tcPr>
            <w:tcW w:type="dxa" w:w="1944"/>
          </w:tcPr>
          <w:p>
            <w:pPr>
              <w:spacing w:after="20"/>
              <w:jc w:val="right"/>
            </w:pPr>
            <w:r>
              <w:rPr>
                <w:color w:val="1C3A36"/>
                <w:sz w:val="17"/>
              </w:rPr>
              <w:t>646</w:t>
            </w:r>
          </w:p>
        </w:tc>
        <w:tc>
          <w:tcPr>
            <w:tcW w:type="dxa" w:w="1296"/>
          </w:tcPr>
          <w:p>
            <w:pPr>
              <w:spacing w:after="20"/>
              <w:jc w:val="right"/>
            </w:pPr>
            <w:r>
              <w:rPr>
                <w:color w:val="1C3A36"/>
                <w:sz w:val="17"/>
              </w:rPr>
              <w:t>4.8%</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1.2%</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1.4%</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11,310</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13,477</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1.79 a share. Stopped, EGP 5.90. The difference, EGP 4.11 a share or EGP 8,174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-40m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-0.2%</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18.6%</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0.86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2,212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19.6%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1.030</w:t>
            </w:r>
          </w:p>
        </w:tc>
        <w:tc>
          <w:tcPr>
            <w:tcW w:type="dxa" w:w="1512"/>
          </w:tcPr>
          <w:p>
            <w:pPr>
              <w:spacing w:after="20"/>
              <w:jc w:val="right"/>
            </w:pPr>
            <w:r>
              <w:rPr>
                <w:color w:val="1C3A36"/>
                <w:sz w:val="17"/>
              </w:rPr>
              <w:t>1.030</w:t>
            </w:r>
          </w:p>
        </w:tc>
        <w:tc>
          <w:tcPr>
            <w:tcW w:type="dxa" w:w="4248"/>
          </w:tcPr>
          <w:p>
            <w:pPr>
              <w:spacing w:after="20"/>
            </w:pPr>
            <w:r>
              <w:rPr>
                <w:color w:val="1C3A36"/>
                <w:sz w:val="17"/>
              </w:rPr>
              <w:t>Own-stock weekly regression, 253 observations, R-squared 0.250,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30.99%</w:t>
            </w:r>
          </w:p>
        </w:tc>
        <w:tc>
          <w:tcPr>
            <w:tcW w:type="dxa" w:w="1512"/>
            <w:shd w:val="clear" w:color="auto" w:fill="F6F1E6"/>
          </w:tcPr>
          <w:p>
            <w:pPr>
              <w:spacing w:after="20"/>
              <w:jc w:val="right"/>
            </w:pPr>
            <w:r>
              <w:rPr>
                <w:b/>
                <w:color w:val="1C3A36"/>
                <w:sz w:val="17"/>
              </w:rPr>
              <w:t>29.28%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15.49%</w:t>
            </w:r>
          </w:p>
        </w:tc>
        <w:tc>
          <w:tcPr>
            <w:tcW w:type="dxa" w:w="1512"/>
          </w:tcPr>
          <w:p>
            <w:pPr>
              <w:spacing w:after="20"/>
              <w:jc w:val="right"/>
            </w:pPr>
            <w:r>
              <w:rPr>
                <w:color w:val="1C3A36"/>
                <w:sz w:val="17"/>
              </w:rPr>
              <w:t>15.49%</w:t>
            </w:r>
          </w:p>
        </w:tc>
        <w:tc>
          <w:tcPr>
            <w:tcW w:type="dxa" w:w="4248"/>
          </w:tcPr>
          <w:p>
            <w:pPr>
              <w:spacing w:after="20"/>
            </w:pPr>
            <w:r>
              <w:rPr>
                <w:color w:val="1C3A36"/>
                <w:sz w:val="17"/>
              </w:rPr>
              <w:t>99.7% dollar, carried at local-equivalent cost on that year's currency wedge of 7.4%</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24.62%</w:t>
            </w:r>
          </w:p>
        </w:tc>
        <w:tc>
          <w:tcPr>
            <w:tcW w:type="dxa" w:w="1512"/>
            <w:shd w:val="clear" w:color="auto" w:fill="F6F1E6"/>
          </w:tcPr>
          <w:p>
            <w:pPr>
              <w:spacing w:after="20"/>
              <w:jc w:val="right"/>
            </w:pPr>
            <w:r>
              <w:rPr>
                <w:b/>
                <w:color w:val="1C3A36"/>
                <w:sz w:val="17"/>
              </w:rPr>
              <w:t>24.62%</w:t>
            </w:r>
          </w:p>
        </w:tc>
        <w:tc>
          <w:tcPr>
            <w:tcW w:type="dxa" w:w="4248"/>
            <w:shd w:val="clear" w:color="auto" w:fill="F6F1E6"/>
          </w:tcPr>
          <w:p>
            <w:pPr>
              <w:spacing w:after="20"/>
            </w:pPr>
            <w:r>
              <w:rPr>
                <w:b/>
                <w:color w:val="1C3A36"/>
                <w:sz w:val="17"/>
              </w:rPr>
              <w:t>The rating basis is carried into the valuation as the more conservative</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7.4% in FY2026/27, giving a local-equivalent 19.99%, gliding to 2.5% in FY2030/31 and 14.54%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The dollar leg's local-equivalent cost sits below the 16.63% normalised risk-free rate in FY2028/29 (15.63%), FY2029/30 (14.54%), FY2030/31 (14.54%), because the currency wedge in those years (3.5%, 2.5%, 2.5%) is smaller than the gap between the 11.7% coupon and that rate. It is left as built, because the wedge is the study's one currency path and the debt may not carry a second. A same-currency borrower does not normally borrow below its sovereign, so the construction with every leg floored at the 23.00% sovereign yield plus the company's own spread over the policy rate — which its facilities print as nil — is priced in the table below: EGP 0.98 a share on the carried-through cash-flow lens against EGP 1.79, a difference of EGP -0.80.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5.5% real rate gives a normalised risk-free rate of 12.88%, and the terminal cost of capital is 18.59%.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1.79</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Country risk priced off the sovereign's credit rating</w:t>
            </w:r>
          </w:p>
        </w:tc>
        <w:tc>
          <w:tcPr>
            <w:tcW w:type="dxa" w:w="2563"/>
          </w:tcPr>
          <w:p>
            <w:pPr>
              <w:spacing w:after="20"/>
            </w:pPr>
            <w:r>
              <w:rPr>
                <w:color w:val="1C3A36"/>
                <w:sz w:val="15"/>
              </w:rPr>
              <w:t>Priced off the sovereign's traded default swap instead, which is the narrower of the two spreads</w:t>
            </w:r>
          </w:p>
        </w:tc>
        <w:tc>
          <w:tcPr>
            <w:tcW w:type="dxa" w:w="950"/>
          </w:tcPr>
          <w:p>
            <w:pPr>
              <w:spacing w:after="20"/>
              <w:jc w:val="right"/>
            </w:pPr>
            <w:r>
              <w:rPr>
                <w:color w:val="1C3A36"/>
                <w:sz w:val="15"/>
              </w:rPr>
              <w:t>1.79</w:t>
            </w:r>
          </w:p>
        </w:tc>
        <w:tc>
          <w:tcPr>
            <w:tcW w:type="dxa" w:w="950"/>
          </w:tcPr>
          <w:p>
            <w:pPr>
              <w:spacing w:after="20"/>
              <w:jc w:val="right"/>
            </w:pPr>
            <w:r>
              <w:rPr>
                <w:color w:val="1C3A36"/>
                <w:sz w:val="15"/>
              </w:rPr>
              <w:t>+0.00</w:t>
            </w:r>
          </w:p>
        </w:tc>
        <w:tc>
          <w:tcPr>
            <w:tcW w:type="dxa" w:w="3139"/>
          </w:tcPr>
          <w:p>
            <w:pPr>
              <w:spacing w:after="20"/>
            </w:pPr>
            <w:r>
              <w:rPr>
                <w:color w:val="1C3A36"/>
                <w:sz w:val="15"/>
              </w:rPr>
              <w:t>The rating basis is the wider spread and therefore the more conservative equity premium.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0.37</w:t>
            </w:r>
          </w:p>
        </w:tc>
        <w:tc>
          <w:tcPr>
            <w:tcW w:type="dxa" w:w="950"/>
          </w:tcPr>
          <w:p>
            <w:pPr>
              <w:spacing w:after="20"/>
              <w:jc w:val="right"/>
            </w:pPr>
            <w:r>
              <w:rPr>
                <w:color w:val="1C3A36"/>
                <w:sz w:val="15"/>
              </w:rPr>
              <w:t>-1.42</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1.68</w:t>
            </w:r>
          </w:p>
        </w:tc>
        <w:tc>
          <w:tcPr>
            <w:tcW w:type="dxa" w:w="950"/>
          </w:tcPr>
          <w:p>
            <w:pPr>
              <w:spacing w:after="20"/>
              <w:jc w:val="right"/>
            </w:pPr>
            <w:r>
              <w:rPr>
                <w:color w:val="1C3A36"/>
                <w:sz w:val="15"/>
              </w:rPr>
              <w:t>-0.10</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20.0%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0.98</w:t>
            </w:r>
          </w:p>
        </w:tc>
        <w:tc>
          <w:tcPr>
            <w:tcW w:type="dxa" w:w="950"/>
          </w:tcPr>
          <w:p>
            <w:pPr>
              <w:spacing w:after="20"/>
              <w:jc w:val="right"/>
            </w:pPr>
            <w:r>
              <w:rPr>
                <w:color w:val="1C3A36"/>
                <w:sz w:val="15"/>
              </w:rPr>
              <w:t>-0.80</w:t>
            </w:r>
          </w:p>
        </w:tc>
        <w:tc>
          <w:tcPr>
            <w:tcW w:type="dxa" w:w="3139"/>
          </w:tcPr>
          <w:p>
            <w:pPr>
              <w:spacing w:after="20"/>
            </w:pPr>
            <w:r>
              <w:rPr>
                <w:color w:val="1C3A36"/>
                <w:sz w:val="15"/>
              </w:rPr>
              <w:t>A same-currency corporate cannot normally borrow below its sovereign, and the local facility does (its dollar leg sits below the normalised risk-free rate in 3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2.86</w:t>
            </w:r>
          </w:p>
        </w:tc>
        <w:tc>
          <w:tcPr>
            <w:tcW w:type="dxa" w:w="950"/>
          </w:tcPr>
          <w:p>
            <w:pPr>
              <w:spacing w:after="20"/>
              <w:jc w:val="right"/>
            </w:pPr>
            <w:r>
              <w:rPr>
                <w:color w:val="1C3A36"/>
                <w:sz w:val="15"/>
              </w:rPr>
              <w:t>+1.07</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-0.13</w:t>
            </w:r>
          </w:p>
        </w:tc>
        <w:tc>
          <w:tcPr>
            <w:tcW w:type="dxa" w:w="950"/>
          </w:tcPr>
          <w:p>
            <w:pPr>
              <w:spacing w:after="20"/>
              <w:jc w:val="right"/>
            </w:pPr>
            <w:r>
              <w:rPr>
                <w:color w:val="1C3A36"/>
                <w:sz w:val="15"/>
              </w:rPr>
              <w:t>-1.91</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2.02</w:t>
            </w:r>
          </w:p>
        </w:tc>
        <w:tc>
          <w:tcPr>
            <w:tcW w:type="dxa" w:w="950"/>
          </w:tcPr>
          <w:p>
            <w:pPr>
              <w:spacing w:after="20"/>
              <w:jc w:val="right"/>
            </w:pPr>
            <w:r>
              <w:rPr>
                <w:color w:val="1C3A36"/>
                <w:sz w:val="15"/>
              </w:rPr>
              <w:t>+0.23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0.92</w:t>
            </w:r>
          </w:p>
        </w:tc>
        <w:tc>
          <w:tcPr>
            <w:tcW w:type="dxa" w:w="950"/>
          </w:tcPr>
          <w:p>
            <w:pPr>
              <w:spacing w:after="20"/>
              <w:jc w:val="right"/>
            </w:pPr>
            <w:r>
              <w:rPr>
                <w:color w:val="1C3A36"/>
                <w:sz w:val="15"/>
              </w:rPr>
              <w:t>-0.86</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Terminal reinvestment of 38.9% of operating profit after tax, from growth over an 18% return on capital</w:t>
            </w:r>
          </w:p>
        </w:tc>
        <w:tc>
          <w:tcPr>
            <w:tcW w:type="dxa" w:w="2563"/>
          </w:tcPr>
          <w:p>
            <w:pPr>
              <w:spacing w:after="20"/>
            </w:pPr>
            <w:r>
              <w:rPr>
                <w:color w:val="1C3A36"/>
                <w:sz w:val="15"/>
              </w:rPr>
              <w:t>23.3%, from a 30% return on capital — the rate a newly completed plant earns on incremental capital while it is still filling</w:t>
            </w:r>
          </w:p>
        </w:tc>
        <w:tc>
          <w:tcPr>
            <w:tcW w:type="dxa" w:w="950"/>
          </w:tcPr>
          <w:p>
            <w:pPr>
              <w:spacing w:after="20"/>
              <w:jc w:val="right"/>
            </w:pPr>
            <w:r>
              <w:rPr>
                <w:color w:val="1C3A36"/>
                <w:sz w:val="15"/>
              </w:rPr>
              <w:t>2.62</w:t>
            </w:r>
          </w:p>
        </w:tc>
        <w:tc>
          <w:tcPr>
            <w:tcW w:type="dxa" w:w="950"/>
          </w:tcPr>
          <w:p>
            <w:pPr>
              <w:spacing w:after="20"/>
              <w:jc w:val="right"/>
            </w:pPr>
            <w:r>
              <w:rPr>
                <w:color w:val="1C3A36"/>
                <w:sz w:val="15"/>
              </w:rPr>
              <w:t>+0.84</w:t>
            </w:r>
          </w:p>
        </w:tc>
        <w:tc>
          <w:tcPr>
            <w:tcW w:type="dxa" w:w="3139"/>
          </w:tcPr>
          <w:p>
            <w:pPr>
              <w:spacing w:after="20"/>
            </w:pPr>
            <w:r>
              <w:rPr>
                <w:color w:val="1C3A36"/>
                <w:sz w:val="15"/>
              </w:rPr>
              <w:t>Eighteen per cent is the conservative reading and is kept, but it is an assumption rather than a disclosure, and on a plant that has just been rebuilt it charges a heavy ongoing reinvestment against a terminal year that needs no further building. It is the single largest unsourced input left in the model and is flagged as such.</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1.55</w:t>
            </w:r>
          </w:p>
        </w:tc>
        <w:tc>
          <w:tcPr>
            <w:tcW w:type="dxa" w:w="950"/>
          </w:tcPr>
          <w:p>
            <w:pPr>
              <w:spacing w:after="20"/>
              <w:jc w:val="right"/>
            </w:pPr>
            <w:r>
              <w:rPr>
                <w:color w:val="1C3A36"/>
                <w:sz w:val="15"/>
              </w:rPr>
              <w:t>-0.23</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gas (-1.91) and glide (-1.42); none of the 10,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-2.64</w:t>
            </w:r>
          </w:p>
        </w:tc>
        <w:tc>
          <w:tcPr>
            <w:tcW w:type="dxa" w:w="1483"/>
          </w:tcPr>
          <w:p>
            <w:pPr>
              <w:spacing w:after="20"/>
              <w:jc w:val="right"/>
            </w:pPr>
            <w:r>
              <w:rPr>
                <w:color w:val="1C3A36"/>
                <w:sz w:val="17"/>
              </w:rPr>
              <w:t>-1.08</w:t>
            </w:r>
          </w:p>
        </w:tc>
        <w:tc>
          <w:tcPr>
            <w:tcW w:type="dxa" w:w="1483"/>
          </w:tcPr>
          <w:p>
            <w:pPr>
              <w:spacing w:after="20"/>
              <w:jc w:val="right"/>
            </w:pPr>
            <w:r>
              <w:rPr>
                <w:color w:val="1C3A36"/>
                <w:sz w:val="17"/>
              </w:rPr>
              <w:t>0.49</w:t>
            </w:r>
          </w:p>
        </w:tc>
        <w:tc>
          <w:tcPr>
            <w:tcW w:type="dxa" w:w="1483"/>
          </w:tcPr>
          <w:p>
            <w:pPr>
              <w:spacing w:after="20"/>
              <w:jc w:val="right"/>
            </w:pPr>
            <w:r>
              <w:rPr>
                <w:color w:val="1C3A36"/>
                <w:sz w:val="17"/>
              </w:rPr>
              <w:t>2.05</w:t>
            </w:r>
          </w:p>
        </w:tc>
        <w:tc>
          <w:tcPr>
            <w:tcW w:type="dxa" w:w="1483"/>
          </w:tcPr>
          <w:p>
            <w:pPr>
              <w:spacing w:after="20"/>
              <w:jc w:val="right"/>
            </w:pPr>
            <w:r>
              <w:rPr>
                <w:color w:val="1C3A36"/>
                <w:sz w:val="17"/>
              </w:rPr>
              <w:t>3.61</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-2.76</w:t>
            </w:r>
          </w:p>
        </w:tc>
        <w:tc>
          <w:tcPr>
            <w:tcW w:type="dxa" w:w="1483"/>
          </w:tcPr>
          <w:p>
            <w:pPr>
              <w:spacing w:after="20"/>
              <w:jc w:val="right"/>
            </w:pPr>
            <w:r>
              <w:rPr>
                <w:color w:val="1C3A36"/>
                <w:sz w:val="17"/>
              </w:rPr>
              <w:t>-1.30</w:t>
            </w:r>
          </w:p>
        </w:tc>
        <w:tc>
          <w:tcPr>
            <w:tcW w:type="dxa" w:w="1483"/>
          </w:tcPr>
          <w:p>
            <w:pPr>
              <w:spacing w:after="20"/>
              <w:jc w:val="right"/>
            </w:pPr>
            <w:r>
              <w:rPr>
                <w:color w:val="1C3A36"/>
                <w:sz w:val="17"/>
              </w:rPr>
              <w:t>0.16</w:t>
            </w:r>
          </w:p>
        </w:tc>
        <w:tc>
          <w:tcPr>
            <w:tcW w:type="dxa" w:w="1483"/>
          </w:tcPr>
          <w:p>
            <w:pPr>
              <w:spacing w:after="20"/>
              <w:jc w:val="right"/>
            </w:pPr>
            <w:r>
              <w:rPr>
                <w:color w:val="1C3A36"/>
                <w:sz w:val="17"/>
              </w:rPr>
              <w:t>1.63</w:t>
            </w:r>
          </w:p>
        </w:tc>
        <w:tc>
          <w:tcPr>
            <w:tcW w:type="dxa" w:w="1483"/>
          </w:tcPr>
          <w:p>
            <w:pPr>
              <w:spacing w:after="20"/>
              <w:jc w:val="right"/>
            </w:pPr>
            <w:r>
              <w:rPr>
                <w:color w:val="1C3A36"/>
                <w:sz w:val="17"/>
              </w:rPr>
              <w:t>3.09</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-1.51</w:t>
            </w:r>
          </w:p>
        </w:tc>
        <w:tc>
          <w:tcPr>
            <w:tcW w:type="dxa" w:w="1483"/>
          </w:tcPr>
          <w:p>
            <w:pPr>
              <w:spacing w:after="20"/>
              <w:jc w:val="right"/>
            </w:pPr>
            <w:r>
              <w:rPr>
                <w:color w:val="1C3A36"/>
                <w:sz w:val="17"/>
              </w:rPr>
              <w:t>-0.14</w:t>
            </w:r>
          </w:p>
        </w:tc>
        <w:tc>
          <w:tcPr>
            <w:tcW w:type="dxa" w:w="1483"/>
          </w:tcPr>
          <w:p>
            <w:pPr>
              <w:spacing w:after="20"/>
              <w:jc w:val="right"/>
            </w:pPr>
            <w:r>
              <w:rPr>
                <w:color w:val="1C3A36"/>
                <w:sz w:val="17"/>
              </w:rPr>
              <w:t>1.23</w:t>
            </w:r>
          </w:p>
        </w:tc>
        <w:tc>
          <w:tcPr>
            <w:tcW w:type="dxa" w:w="1483"/>
          </w:tcPr>
          <w:p>
            <w:pPr>
              <w:spacing w:after="20"/>
              <w:jc w:val="right"/>
            </w:pPr>
            <w:r>
              <w:rPr>
                <w:color w:val="1C3A36"/>
                <w:sz w:val="17"/>
              </w:rPr>
              <w:t>2.59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-2.95</w:t>
            </w:r>
          </w:p>
        </w:tc>
        <w:tc>
          <w:tcPr>
            <w:tcW w:type="dxa" w:w="1483"/>
          </w:tcPr>
          <w:p>
            <w:pPr>
              <w:spacing w:after="20"/>
              <w:jc w:val="right"/>
            </w:pPr>
            <w:r>
              <w:rPr>
                <w:color w:val="1C3A36"/>
                <w:sz w:val="17"/>
              </w:rPr>
              <w:t>-1.65</w:t>
            </w:r>
          </w:p>
        </w:tc>
        <w:tc>
          <w:tcPr>
            <w:tcW w:type="dxa" w:w="1483"/>
          </w:tcPr>
          <w:p>
            <w:pPr>
              <w:spacing w:after="20"/>
              <w:jc w:val="right"/>
            </w:pPr>
            <w:r>
              <w:rPr>
                <w:color w:val="1C3A36"/>
                <w:sz w:val="17"/>
              </w:rPr>
              <w:t>-0.34</w:t>
            </w:r>
          </w:p>
        </w:tc>
        <w:tc>
          <w:tcPr>
            <w:tcW w:type="dxa" w:w="1483"/>
          </w:tcPr>
          <w:p>
            <w:pPr>
              <w:spacing w:after="20"/>
              <w:jc w:val="right"/>
            </w:pPr>
            <w:r>
              <w:rPr>
                <w:color w:val="1C3A36"/>
                <w:sz w:val="17"/>
              </w:rPr>
              <w:t>0.97</w:t>
            </w:r>
          </w:p>
        </w:tc>
        <w:tc>
          <w:tcPr>
            <w:tcW w:type="dxa" w:w="1483"/>
          </w:tcPr>
          <w:p>
            <w:pPr>
              <w:spacing w:after="20"/>
              <w:jc w:val="right"/>
            </w:pPr>
            <w:r>
              <w:rPr>
                <w:color w:val="1C3A36"/>
                <w:sz w:val="17"/>
              </w:rPr>
              <w:t>2.27</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-3.02</w:t>
            </w:r>
          </w:p>
        </w:tc>
        <w:tc>
          <w:tcPr>
            <w:tcW w:type="dxa" w:w="1483"/>
          </w:tcPr>
          <w:p>
            <w:pPr>
              <w:spacing w:after="20"/>
              <w:jc w:val="right"/>
            </w:pPr>
            <w:r>
              <w:rPr>
                <w:color w:val="1C3A36"/>
                <w:sz w:val="17"/>
              </w:rPr>
              <w:t>-1.78</w:t>
            </w:r>
          </w:p>
        </w:tc>
        <w:tc>
          <w:tcPr>
            <w:tcW w:type="dxa" w:w="1483"/>
          </w:tcPr>
          <w:p>
            <w:pPr>
              <w:spacing w:after="20"/>
              <w:jc w:val="right"/>
            </w:pPr>
            <w:r>
              <w:rPr>
                <w:color w:val="1C3A36"/>
                <w:sz w:val="17"/>
              </w:rPr>
              <w:t>-0.53</w:t>
            </w:r>
          </w:p>
        </w:tc>
        <w:tc>
          <w:tcPr>
            <w:tcW w:type="dxa" w:w="1483"/>
          </w:tcPr>
          <w:p>
            <w:pPr>
              <w:spacing w:after="20"/>
              <w:jc w:val="right"/>
            </w:pPr>
            <w:r>
              <w:rPr>
                <w:color w:val="1C3A36"/>
                <w:sz w:val="17"/>
              </w:rPr>
              <w:t>0.71</w:t>
            </w:r>
          </w:p>
        </w:tc>
        <w:tc>
          <w:tcPr>
            <w:tcW w:type="dxa" w:w="1483"/>
          </w:tcPr>
          <w:p>
            <w:pPr>
              <w:spacing w:after="20"/>
              <w:jc w:val="right"/>
            </w:pPr>
            <w:r>
              <w:rPr>
                <w:color w:val="1C3A36"/>
                <w:sz w:val="17"/>
              </w:rPr>
              <w:t>1.96</w:t>
            </w:r>
          </w:p>
        </w:tc>
      </w:tr>
    </w:tbl>
    <w:p>
      <w:pPr>
        <w:spacing w:after="40"/>
      </w:pPr>
    </w:p>
    <w:p>
      <w:pPr>
        <w:spacing w:after="200" w:before="0"/>
      </w:pPr>
      <w:r>
        <w:rPr>
          <w:b w:val="0"/>
          <w:i/>
          <w:color w:val="6E7B77"/>
          <w:sz w:val="17"/>
        </w:rPr>
        <w:t>Table 19.  The highest cell in the grid is EGP 3.61,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-2.88 to 2.59</w:t>
            </w:r>
          </w:p>
        </w:tc>
        <w:tc>
          <w:tcPr>
            <w:tcW w:type="dxa" w:w="1152"/>
            <w:shd w:val="clear" w:color="auto" w:fill="F6F1E6"/>
          </w:tcPr>
          <w:p>
            <w:pPr>
              <w:spacing w:after="20"/>
              <w:jc w:val="right"/>
            </w:pPr>
            <w:r>
              <w:rPr>
                <w:b/>
                <w:color w:val="1C3A36"/>
                <w:sz w:val="16"/>
              </w:rPr>
              <w:t>5.47</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1.79 to 5.90</w:t>
            </w:r>
          </w:p>
        </w:tc>
        <w:tc>
          <w:tcPr>
            <w:tcW w:type="dxa" w:w="1152"/>
          </w:tcPr>
          <w:p>
            <w:pPr>
              <w:spacing w:after="20"/>
              <w:jc w:val="right"/>
            </w:pPr>
            <w:r>
              <w:rPr>
                <w:color w:val="1C3A36"/>
                <w:sz w:val="16"/>
              </w:rPr>
              <w:t>4.11</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-0.13 to 1.79</w:t>
            </w:r>
          </w:p>
        </w:tc>
        <w:tc>
          <w:tcPr>
            <w:tcW w:type="dxa" w:w="1152"/>
          </w:tcPr>
          <w:p>
            <w:pPr>
              <w:spacing w:after="20"/>
              <w:jc w:val="right"/>
            </w:pPr>
            <w:r>
              <w:rPr>
                <w:color w:val="1C3A36"/>
                <w:sz w:val="16"/>
              </w:rPr>
              <w:t>1.91</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1.030 against the lower bound of its own ninety-per-cent interval, 0.717</w:t>
            </w:r>
          </w:p>
        </w:tc>
        <w:tc>
          <w:tcPr>
            <w:tcW w:type="dxa" w:w="2160"/>
          </w:tcPr>
          <w:p>
            <w:pPr>
              <w:spacing w:after="20"/>
              <w:jc w:val="right"/>
            </w:pPr>
            <w:r>
              <w:rPr>
                <w:color w:val="1C3A36"/>
                <w:sz w:val="16"/>
              </w:rPr>
              <w:t>1.79 to 2.86</w:t>
            </w:r>
          </w:p>
        </w:tc>
        <w:tc>
          <w:tcPr>
            <w:tcW w:type="dxa" w:w="1152"/>
          </w:tcPr>
          <w:p>
            <w:pPr>
              <w:spacing w:after="20"/>
              <w:jc w:val="right"/>
            </w:pPr>
            <w:r>
              <w:rPr>
                <w:color w:val="1C3A36"/>
                <w:sz w:val="16"/>
              </w:rPr>
              <w:t>1.07</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-0.53 to 0.49</w:t>
            </w:r>
          </w:p>
        </w:tc>
        <w:tc>
          <w:tcPr>
            <w:tcW w:type="dxa" w:w="1152"/>
          </w:tcPr>
          <w:p>
            <w:pPr>
              <w:spacing w:after="20"/>
              <w:jc w:val="right"/>
            </w:pPr>
            <w:r>
              <w:rPr>
                <w:color w:val="1C3A36"/>
                <w:sz w:val="16"/>
              </w:rPr>
              <w:t>1.02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0.92 to 1.79</w:t>
            </w:r>
          </w:p>
        </w:tc>
        <w:tc>
          <w:tcPr>
            <w:tcW w:type="dxa" w:w="1152"/>
          </w:tcPr>
          <w:p>
            <w:pPr>
              <w:spacing w:after="20"/>
              <w:jc w:val="right"/>
            </w:pPr>
            <w:r>
              <w:rPr>
                <w:color w:val="1C3A36"/>
                <w:sz w:val="16"/>
              </w:rPr>
              <w:t>0.86</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0.98 to 1.79</w:t>
            </w:r>
          </w:p>
        </w:tc>
        <w:tc>
          <w:tcPr>
            <w:tcW w:type="dxa" w:w="1152"/>
          </w:tcPr>
          <w:p>
            <w:pPr>
              <w:spacing w:after="20"/>
              <w:jc w:val="right"/>
            </w:pPr>
            <w:r>
              <w:rPr>
                <w:color w:val="1C3A36"/>
                <w:sz w:val="16"/>
              </w:rPr>
              <w:t>0.80</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1.79 to 2.02</w:t>
            </w:r>
          </w:p>
        </w:tc>
        <w:tc>
          <w:tcPr>
            <w:tcW w:type="dxa" w:w="1152"/>
          </w:tcPr>
          <w:p>
            <w:pPr>
              <w:spacing w:after="20"/>
              <w:jc w:val="right"/>
            </w:pPr>
            <w:r>
              <w:rPr>
                <w:color w:val="1C3A36"/>
                <w:sz w:val="16"/>
              </w:rPr>
              <w:t>0.23</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1.68 to 1.79</w:t>
            </w:r>
          </w:p>
        </w:tc>
        <w:tc>
          <w:tcPr>
            <w:tcW w:type="dxa" w:w="1152"/>
          </w:tcPr>
          <w:p>
            <w:pPr>
              <w:spacing w:after="20"/>
              <w:jc w:val="right"/>
            </w:pPr>
            <w:r>
              <w:rPr>
                <w:color w:val="1C3A36"/>
                <w:sz w:val="16"/>
              </w:rPr>
              <w:t>0.10</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1.79 to 1.79</w:t>
            </w:r>
          </w:p>
        </w:tc>
        <w:tc>
          <w:tcPr>
            <w:tcW w:type="dxa" w:w="1152"/>
          </w:tcPr>
          <w:p>
            <w:pPr>
              <w:spacing w:after="20"/>
              <w:jc w:val="right"/>
            </w:pPr>
            <w:r>
              <w:rPr>
                <w:color w:val="1C3A36"/>
                <w:sz w:val="16"/>
              </w:rPr>
              <w:t>0.00</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1.030, from 253 weekly observations over 4.9 years of the share against the published EGX30 index — the index of the exchange the share is listed on, as of 2026-07-22 — on the exchange's own Sunday-to-Thursday week. The regression explains 25.0% of the variation with a standard error of 0.191, so all three conditions of the usability test are met and the estimate is adopted rather than defaulted; the Blume-adjusted cross-check is 1.020. The interval is wide, 0.72 to 1.34 at ninety per cent, because the share is thinly traded, and the lower bound is priced with the other contested constructions in section 1.8 rather than argued away: at 0.72 the answer is EGP 2.86 instead of EGP 1.79.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12.04</w:t>
            </w:r>
          </w:p>
        </w:tc>
        <w:tc>
          <w:tcPr>
            <w:tcW w:type="dxa" w:w="3240"/>
          </w:tcPr>
          <w:p>
            <w:pPr>
              <w:spacing w:after="20"/>
              <w:jc w:val="right"/>
            </w:pPr>
            <w:r>
              <w:rPr>
                <w:color w:val="1C3A36"/>
                <w:sz w:val="17"/>
              </w:rPr>
              <w:t>10.69</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13.35</w:t>
            </w:r>
          </w:p>
        </w:tc>
        <w:tc>
          <w:tcPr>
            <w:tcW w:type="dxa" w:w="3240"/>
          </w:tcPr>
          <w:p>
            <w:pPr>
              <w:spacing w:after="20"/>
              <w:jc w:val="right"/>
            </w:pPr>
            <w:r>
              <w:rPr>
                <w:color w:val="1C3A36"/>
                <w:sz w:val="17"/>
              </w:rPr>
              <w:t>13.03</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14.19</w:t>
            </w:r>
          </w:p>
        </w:tc>
        <w:tc>
          <w:tcPr>
            <w:tcW w:type="dxa" w:w="3240"/>
          </w:tcPr>
          <w:p>
            <w:pPr>
              <w:spacing w:after="20"/>
              <w:jc w:val="right"/>
            </w:pPr>
            <w:r>
              <w:rPr>
                <w:color w:val="1C3A36"/>
                <w:sz w:val="17"/>
              </w:rPr>
              <w:t>14.64</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15.09</w:t>
            </w:r>
          </w:p>
        </w:tc>
        <w:tc>
          <w:tcPr>
            <w:tcW w:type="dxa" w:w="3240"/>
          </w:tcPr>
          <w:p>
            <w:pPr>
              <w:spacing w:after="20"/>
              <w:jc w:val="right"/>
            </w:pPr>
            <w:r>
              <w:rPr>
                <w:color w:val="1C3A36"/>
                <w:sz w:val="17"/>
              </w:rPr>
              <w:t>16.43</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16.73</w:t>
            </w:r>
          </w:p>
        </w:tc>
        <w:tc>
          <w:tcPr>
            <w:tcW w:type="dxa" w:w="3240"/>
          </w:tcPr>
          <w:p>
            <w:pPr>
              <w:spacing w:after="20"/>
              <w:jc w:val="right"/>
            </w:pPr>
            <w:r>
              <w:rPr>
                <w:color w:val="1C3A36"/>
                <w:sz w:val="17"/>
              </w:rPr>
              <w:t>20.04</w:t>
            </w:r>
          </w:p>
        </w:tc>
      </w:tr>
      <w:tr>
        <w:trPr>
          <w:cantSplit/>
        </w:trPr>
        <w:tc>
          <w:tcPr>
            <w:tcW w:type="dxa" w:w="3456"/>
            <w:shd w:val="clear" w:color="auto" w:fill="F6F1E6"/>
          </w:tcPr>
          <w:p>
            <w:pPr>
              <w:spacing w:after="20"/>
            </w:pPr>
            <w:r>
              <w:rPr>
                <w:b/>
                <w:color w:val="1C3A36"/>
                <w:sz w:val="17"/>
              </w:rPr>
              <w:t>Probability the price ends above today's</w:t>
            </w:r>
          </w:p>
        </w:tc>
        <w:tc>
          <w:tcPr>
            <w:tcW w:type="dxa" w:w="3240"/>
            <w:shd w:val="clear" w:color="auto" w:fill="F6F1E6"/>
          </w:tcPr>
          <w:p>
            <w:pPr>
              <w:spacing w:after="20"/>
              <w:jc w:val="right"/>
            </w:pPr>
            <w:r>
              <w:rPr>
                <w:b/>
                <w:color w:val="1C3A36"/>
                <w:sz w:val="17"/>
              </w:rPr>
              <w:t>56.7%</w:t>
            </w:r>
          </w:p>
        </w:tc>
        <w:tc>
          <w:tcPr>
            <w:tcW w:type="dxa" w:w="3240"/>
            <w:shd w:val="clear" w:color="auto" w:fill="F6F1E6"/>
          </w:tcPr>
          <w:p>
            <w:pPr>
              <w:spacing w:after="20"/>
              <w:jc w:val="right"/>
            </w:pPr>
            <w:r>
              <w:rPr>
                <w:b/>
                <w:color w:val="1C3A36"/>
                <w:sz w:val="17"/>
              </w:rPr>
              <w:t>60.7%</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56.1%</w:t>
            </w:r>
          </w:p>
        </w:tc>
        <w:tc>
          <w:tcPr>
            <w:tcW w:type="dxa" w:w="3240"/>
          </w:tcPr>
          <w:p>
            <w:pPr>
              <w:spacing w:after="20"/>
              <w:jc w:val="right"/>
            </w:pPr>
            <w:r>
              <w:rPr>
                <w:color w:val="1C3A36"/>
                <w:sz w:val="17"/>
              </w:rPr>
              <w:t>78.7%</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61.7%</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14.8%</w:t>
            </w:r>
          </w:p>
        </w:tc>
        <w:tc>
          <w:tcPr>
            <w:tcW w:type="dxa" w:w="3240"/>
          </w:tcPr>
          <w:p>
            <w:pPr>
              <w:spacing w:after="20"/>
              <w:jc w:val="right"/>
            </w:pPr>
            <w:r>
              <w:rPr>
                <w:color w:val="1C3A36"/>
                <w:sz w:val="17"/>
              </w:rPr>
              <w:t>47.1%</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7.3%</w:t>
            </w:r>
          </w:p>
        </w:tc>
        <w:tc>
          <w:tcPr>
            <w:tcW w:type="dxa" w:w="3240"/>
          </w:tcPr>
          <w:p>
            <w:pPr>
              <w:spacing w:after="20"/>
              <w:jc w:val="right"/>
            </w:pPr>
            <w:r>
              <w:rPr>
                <w:color w:val="1C3A36"/>
                <w:sz w:val="17"/>
              </w:rPr>
              <w:t>34.7%</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43.6%</w:t>
            </w:r>
          </w:p>
        </w:tc>
        <w:tc>
          <w:tcPr>
            <w:tcW w:type="dxa" w:w="3240"/>
          </w:tcPr>
          <w:p>
            <w:pPr>
              <w:spacing w:after="20"/>
              <w:jc w:val="right"/>
            </w:pPr>
            <w:r>
              <w:rPr>
                <w:color w:val="1C3A36"/>
                <w:sz w:val="17"/>
              </w:rPr>
              <w:t>63.4%</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18.3%</w:t>
            </w:r>
          </w:p>
        </w:tc>
        <w:tc>
          <w:tcPr>
            <w:tcW w:type="dxa" w:w="3240"/>
          </w:tcPr>
          <w:p>
            <w:pPr>
              <w:spacing w:after="20"/>
              <w:jc w:val="right"/>
            </w:pPr>
            <w:r>
              <w:rPr>
                <w:color w:val="1C3A36"/>
                <w:sz w:val="17"/>
              </w:rPr>
              <w:t>40.8%</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6.9%</w:t>
            </w:r>
          </w:p>
        </w:tc>
        <w:tc>
          <w:tcPr>
            <w:tcW w:type="dxa" w:w="3240"/>
          </w:tcPr>
          <w:p>
            <w:pPr>
              <w:spacing w:after="20"/>
              <w:jc w:val="right"/>
            </w:pPr>
            <w:r>
              <w:rPr>
                <w:color w:val="1C3A36"/>
                <w:sz w:val="17"/>
              </w:rPr>
              <w:t>24.9%</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2.6%</w:t>
            </w:r>
          </w:p>
        </w:tc>
        <w:tc>
          <w:tcPr>
            <w:tcW w:type="dxa" w:w="3240"/>
          </w:tcPr>
          <w:p>
            <w:pPr>
              <w:spacing w:after="20"/>
              <w:jc w:val="right"/>
            </w:pPr>
            <w:r>
              <w:rPr>
                <w:color w:val="1C3A36"/>
                <w:sz w:val="17"/>
              </w:rPr>
              <w:t>14.5%</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1.79</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5.90</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4.11</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29.28%)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15.47</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4.29</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15.47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11.0%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13.03</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13.03 to 16.43</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16.43 to 20.04</w:t>
            </w:r>
          </w:p>
        </w:tc>
        <w:tc>
          <w:tcPr>
            <w:tcW w:type="dxa" w:w="5256"/>
          </w:tcPr>
          <w:p>
            <w:pPr>
              <w:spacing w:after="20"/>
            </w:pPr>
            <w:r>
              <w:rPr>
                <w:color w:val="1C3A36"/>
                <w:sz w:val="16"/>
              </w:rPr>
              <w:t>The market would be paying more for a business whose sustainable return on equity is 6.9% against a cost of equity of 31.0%,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20.04</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14.5% chance of touching twenty per cent below today's price at some point in three months, against 34.7%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1.91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0.33 a share on its own. The replacement-rate framing at 6.1% is published beside it as the downside rather than averaged in.</w:t>
      </w:r>
    </w:p>
    <w:p>
      <w:pPr>
        <w:spacing w:after="120" w:before="0"/>
      </w:pPr>
      <w:r>
        <w:rPr>
          <w:b w:val="0"/>
          <w:i w:val="0"/>
          <w:color w:val="1C3A36"/>
          <w:sz w:val="21"/>
        </w:rPr>
        <w:t>The terminal reinvestment rate is now the largest unsourced input left in the model. It is set by terminal growth over an assumed 18.0% return on invested capital, which charges 38.9% of terminal operating profit after tax back into the business every year for ever — on a plant that has just been rebuilt and needs no further building. A thirty per cent return on capital, which is what a newly completed line earns while it is still filling, is worth EGP 0.84 a share. The conservative reading is kept and the alternative is priced.</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65.2% of enterprise value on the carried-through case and 40.7% on the stopped case. The explicit years are a construction window: free cash flow to the firm is positive in 5 of the five years and negative in the other 0, and their present value is EGP 3,493 million against a terminal block of EGP 6,548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11,310</w:t>
            </w:r>
          </w:p>
        </w:tc>
        <w:tc>
          <w:tcPr>
            <w:tcW w:type="dxa" w:w="893"/>
          </w:tcPr>
          <w:p>
            <w:pPr>
              <w:spacing w:after="20"/>
              <w:jc w:val="right"/>
            </w:pPr>
            <w:r>
              <w:rPr>
                <w:color w:val="1C3A36"/>
                <w:sz w:val="14"/>
              </w:rPr>
              <w:t>11,958</w:t>
            </w:r>
          </w:p>
        </w:tc>
        <w:tc>
          <w:tcPr>
            <w:tcW w:type="dxa" w:w="893"/>
          </w:tcPr>
          <w:p>
            <w:pPr>
              <w:spacing w:after="20"/>
              <w:jc w:val="right"/>
            </w:pPr>
            <w:r>
              <w:rPr>
                <w:color w:val="1C3A36"/>
                <w:sz w:val="14"/>
              </w:rPr>
              <w:t>12,507</w:t>
            </w:r>
          </w:p>
        </w:tc>
        <w:tc>
          <w:tcPr>
            <w:tcW w:type="dxa" w:w="893"/>
          </w:tcPr>
          <w:p>
            <w:pPr>
              <w:spacing w:after="20"/>
              <w:jc w:val="right"/>
            </w:pPr>
            <w:r>
              <w:rPr>
                <w:color w:val="1C3A36"/>
                <w:sz w:val="14"/>
              </w:rPr>
              <w:t>12,986</w:t>
            </w:r>
          </w:p>
        </w:tc>
        <w:tc>
          <w:tcPr>
            <w:tcW w:type="dxa" w:w="893"/>
          </w:tcPr>
          <w:p>
            <w:pPr>
              <w:spacing w:after="20"/>
              <w:jc w:val="right"/>
            </w:pPr>
            <w:r>
              <w:rPr>
                <w:color w:val="1C3A36"/>
                <w:sz w:val="14"/>
              </w:rPr>
              <w:t>13,477</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6,146</w:t>
            </w:r>
          </w:p>
        </w:tc>
        <w:tc>
          <w:tcPr>
            <w:tcW w:type="dxa" w:w="893"/>
          </w:tcPr>
          <w:p>
            <w:pPr>
              <w:spacing w:after="20"/>
              <w:jc w:val="right"/>
            </w:pPr>
            <w:r>
              <w:rPr>
                <w:color w:val="1C3A36"/>
                <w:sz w:val="14"/>
              </w:rPr>
              <w:t>6,590</w:t>
            </w:r>
          </w:p>
        </w:tc>
        <w:tc>
          <w:tcPr>
            <w:tcW w:type="dxa" w:w="893"/>
          </w:tcPr>
          <w:p>
            <w:pPr>
              <w:spacing w:after="20"/>
              <w:jc w:val="right"/>
            </w:pPr>
            <w:r>
              <w:rPr>
                <w:color w:val="1C3A36"/>
                <w:sz w:val="14"/>
              </w:rPr>
              <w:t>7,012</w:t>
            </w:r>
          </w:p>
        </w:tc>
        <w:tc>
          <w:tcPr>
            <w:tcW w:type="dxa" w:w="893"/>
          </w:tcPr>
          <w:p>
            <w:pPr>
              <w:spacing w:after="20"/>
              <w:jc w:val="right"/>
            </w:pPr>
            <w:r>
              <w:rPr>
                <w:color w:val="1C3A36"/>
                <w:sz w:val="14"/>
              </w:rPr>
              <w:t>7,406</w:t>
            </w:r>
          </w:p>
        </w:tc>
        <w:tc>
          <w:tcPr>
            <w:tcW w:type="dxa" w:w="893"/>
          </w:tcPr>
          <w:p>
            <w:pPr>
              <w:spacing w:after="20"/>
              <w:jc w:val="right"/>
            </w:pPr>
            <w:r>
              <w:rPr>
                <w:color w:val="1C3A36"/>
                <w:sz w:val="14"/>
              </w:rPr>
              <w:t>7,806</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5,165</w:t>
            </w:r>
          </w:p>
        </w:tc>
        <w:tc>
          <w:tcPr>
            <w:tcW w:type="dxa" w:w="893"/>
            <w:shd w:val="clear" w:color="auto" w:fill="F6F1E6"/>
          </w:tcPr>
          <w:p>
            <w:pPr>
              <w:spacing w:after="20"/>
              <w:jc w:val="right"/>
            </w:pPr>
            <w:r>
              <w:rPr>
                <w:b/>
                <w:color w:val="1C3A36"/>
                <w:sz w:val="14"/>
              </w:rPr>
              <w:t>5,369</w:t>
            </w:r>
          </w:p>
        </w:tc>
        <w:tc>
          <w:tcPr>
            <w:tcW w:type="dxa" w:w="893"/>
            <w:shd w:val="clear" w:color="auto" w:fill="F6F1E6"/>
          </w:tcPr>
          <w:p>
            <w:pPr>
              <w:spacing w:after="20"/>
              <w:jc w:val="right"/>
            </w:pPr>
            <w:r>
              <w:rPr>
                <w:b/>
                <w:color w:val="1C3A36"/>
                <w:sz w:val="14"/>
              </w:rPr>
              <w:t>5,495</w:t>
            </w:r>
          </w:p>
        </w:tc>
        <w:tc>
          <w:tcPr>
            <w:tcW w:type="dxa" w:w="893"/>
            <w:shd w:val="clear" w:color="auto" w:fill="F6F1E6"/>
          </w:tcPr>
          <w:p>
            <w:pPr>
              <w:spacing w:after="20"/>
              <w:jc w:val="right"/>
            </w:pPr>
            <w:r>
              <w:rPr>
                <w:b/>
                <w:color w:val="1C3A36"/>
                <w:sz w:val="14"/>
              </w:rPr>
              <w:t>5,580</w:t>
            </w:r>
          </w:p>
        </w:tc>
        <w:tc>
          <w:tcPr>
            <w:tcW w:type="dxa" w:w="893"/>
            <w:shd w:val="clear" w:color="auto" w:fill="F6F1E6"/>
          </w:tcPr>
          <w:p>
            <w:pPr>
              <w:spacing w:after="20"/>
              <w:jc w:val="right"/>
            </w:pPr>
            <w:r>
              <w:rPr>
                <w:b/>
                <w:color w:val="1C3A36"/>
                <w:sz w:val="14"/>
              </w:rPr>
              <w:t>5,671</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826</w:t>
            </w:r>
          </w:p>
        </w:tc>
        <w:tc>
          <w:tcPr>
            <w:tcW w:type="dxa" w:w="893"/>
          </w:tcPr>
          <w:p>
            <w:pPr>
              <w:spacing w:after="20"/>
              <w:jc w:val="right"/>
            </w:pPr>
            <w:r>
              <w:rPr>
                <w:color w:val="1C3A36"/>
                <w:sz w:val="14"/>
              </w:rPr>
              <w:t>882</w:t>
            </w:r>
          </w:p>
        </w:tc>
        <w:tc>
          <w:tcPr>
            <w:tcW w:type="dxa" w:w="893"/>
          </w:tcPr>
          <w:p>
            <w:pPr>
              <w:spacing w:after="20"/>
              <w:jc w:val="right"/>
            </w:pPr>
            <w:r>
              <w:rPr>
                <w:color w:val="1C3A36"/>
                <w:sz w:val="14"/>
              </w:rPr>
              <w:t>932</w:t>
            </w:r>
          </w:p>
        </w:tc>
        <w:tc>
          <w:tcPr>
            <w:tcW w:type="dxa" w:w="893"/>
          </w:tcPr>
          <w:p>
            <w:pPr>
              <w:spacing w:after="20"/>
              <w:jc w:val="right"/>
            </w:pPr>
            <w:r>
              <w:rPr>
                <w:color w:val="1C3A36"/>
                <w:sz w:val="14"/>
              </w:rPr>
              <w:t>977</w:t>
            </w:r>
          </w:p>
        </w:tc>
        <w:tc>
          <w:tcPr>
            <w:tcW w:type="dxa" w:w="893"/>
          </w:tcPr>
          <w:p>
            <w:pPr>
              <w:spacing w:after="20"/>
              <w:jc w:val="right"/>
            </w:pPr>
            <w:r>
              <w:rPr>
                <w:color w:val="1C3A36"/>
                <w:sz w:val="14"/>
              </w:rPr>
              <w:t>1,023</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396</w:t>
            </w:r>
          </w:p>
        </w:tc>
        <w:tc>
          <w:tcPr>
            <w:tcW w:type="dxa" w:w="893"/>
          </w:tcPr>
          <w:p>
            <w:pPr>
              <w:spacing w:after="20"/>
              <w:jc w:val="right"/>
            </w:pPr>
            <w:r>
              <w:rPr>
                <w:color w:val="1C3A36"/>
                <w:sz w:val="14"/>
              </w:rPr>
              <w:t>423</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471</w:t>
            </w:r>
          </w:p>
        </w:tc>
        <w:tc>
          <w:tcPr>
            <w:tcW w:type="dxa" w:w="893"/>
          </w:tcPr>
          <w:p>
            <w:pPr>
              <w:spacing w:after="20"/>
              <w:jc w:val="right"/>
            </w:pPr>
            <w:r>
              <w:rPr>
                <w:color w:val="1C3A36"/>
                <w:sz w:val="14"/>
              </w:rPr>
              <w:t>495</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3,793</w:t>
            </w:r>
          </w:p>
        </w:tc>
        <w:tc>
          <w:tcPr>
            <w:tcW w:type="dxa" w:w="893"/>
            <w:shd w:val="clear" w:color="auto" w:fill="F6F1E6"/>
          </w:tcPr>
          <w:p>
            <w:pPr>
              <w:spacing w:after="20"/>
              <w:jc w:val="right"/>
            </w:pPr>
            <w:r>
              <w:rPr>
                <w:b/>
                <w:color w:val="1C3A36"/>
                <w:sz w:val="14"/>
              </w:rPr>
              <w:t>3,943</w:t>
            </w:r>
          </w:p>
        </w:tc>
        <w:tc>
          <w:tcPr>
            <w:tcW w:type="dxa" w:w="893"/>
            <w:shd w:val="clear" w:color="auto" w:fill="F6F1E6"/>
          </w:tcPr>
          <w:p>
            <w:pPr>
              <w:spacing w:after="20"/>
              <w:jc w:val="right"/>
            </w:pPr>
            <w:r>
              <w:rPr>
                <w:b/>
                <w:color w:val="1C3A36"/>
                <w:sz w:val="14"/>
              </w:rPr>
              <w:t>4,014</w:t>
            </w:r>
          </w:p>
        </w:tc>
        <w:tc>
          <w:tcPr>
            <w:tcW w:type="dxa" w:w="893"/>
            <w:shd w:val="clear" w:color="auto" w:fill="F6F1E6"/>
          </w:tcPr>
          <w:p>
            <w:pPr>
              <w:spacing w:after="20"/>
              <w:jc w:val="right"/>
            </w:pPr>
            <w:r>
              <w:rPr>
                <w:b/>
                <w:color w:val="1C3A36"/>
                <w:sz w:val="14"/>
              </w:rPr>
              <w:t>4,042</w:t>
            </w:r>
          </w:p>
        </w:tc>
        <w:tc>
          <w:tcPr>
            <w:tcW w:type="dxa" w:w="893"/>
            <w:shd w:val="clear" w:color="auto" w:fill="F6F1E6"/>
          </w:tcPr>
          <w:p>
            <w:pPr>
              <w:spacing w:after="20"/>
              <w:jc w:val="right"/>
            </w:pPr>
            <w:r>
              <w:rPr>
                <w:b/>
                <w:color w:val="1C3A36"/>
                <w:sz w:val="14"/>
              </w:rPr>
              <w:t>4,072</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4,684</w:t>
            </w:r>
          </w:p>
        </w:tc>
        <w:tc>
          <w:tcPr>
            <w:tcW w:type="dxa" w:w="893"/>
            <w:shd w:val="clear" w:color="auto" w:fill="F6F1E6"/>
          </w:tcPr>
          <w:p>
            <w:pPr>
              <w:spacing w:after="20"/>
              <w:jc w:val="right"/>
            </w:pPr>
            <w:r>
              <w:rPr>
                <w:b/>
                <w:color w:val="1C3A36"/>
                <w:sz w:val="14"/>
              </w:rPr>
              <w:t>4,952</w:t>
            </w:r>
          </w:p>
        </w:tc>
        <w:tc>
          <w:tcPr>
            <w:tcW w:type="dxa" w:w="893"/>
            <w:shd w:val="clear" w:color="auto" w:fill="F6F1E6"/>
          </w:tcPr>
          <w:p>
            <w:pPr>
              <w:spacing w:after="20"/>
              <w:jc w:val="right"/>
            </w:pPr>
            <w:r>
              <w:rPr>
                <w:b/>
                <w:color w:val="1C3A36"/>
                <w:sz w:val="14"/>
              </w:rPr>
              <w:t>5,161</w:t>
            </w:r>
          </w:p>
        </w:tc>
        <w:tc>
          <w:tcPr>
            <w:tcW w:type="dxa" w:w="893"/>
            <w:shd w:val="clear" w:color="auto" w:fill="F6F1E6"/>
          </w:tcPr>
          <w:p>
            <w:pPr>
              <w:spacing w:after="20"/>
              <w:jc w:val="right"/>
            </w:pPr>
            <w:r>
              <w:rPr>
                <w:b/>
                <w:color w:val="1C3A36"/>
                <w:sz w:val="14"/>
              </w:rPr>
              <w:t>5,334</w:t>
            </w:r>
          </w:p>
        </w:tc>
        <w:tc>
          <w:tcPr>
            <w:tcW w:type="dxa" w:w="893"/>
            <w:shd w:val="clear" w:color="auto" w:fill="F6F1E6"/>
          </w:tcPr>
          <w:p>
            <w:pPr>
              <w:spacing w:after="20"/>
              <w:jc w:val="right"/>
            </w:pPr>
            <w:r>
              <w:rPr>
                <w:b/>
                <w:color w:val="1C3A36"/>
                <w:sz w:val="14"/>
              </w:rPr>
              <w:t>5,507</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44.9%</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43.0%</w:t>
            </w:r>
          </w:p>
        </w:tc>
        <w:tc>
          <w:tcPr>
            <w:tcW w:type="dxa" w:w="893"/>
          </w:tcPr>
          <w:p>
            <w:pPr>
              <w:spacing w:after="20"/>
              <w:jc w:val="right"/>
            </w:pPr>
            <w:r>
              <w:rPr>
                <w:color w:val="1C3A36"/>
                <w:sz w:val="14"/>
              </w:rPr>
              <w:t>42.1%</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41.4%</w:t>
            </w:r>
          </w:p>
        </w:tc>
        <w:tc>
          <w:tcPr>
            <w:tcW w:type="dxa" w:w="893"/>
          </w:tcPr>
          <w:p>
            <w:pPr>
              <w:spacing w:after="20"/>
              <w:jc w:val="right"/>
            </w:pPr>
            <w:r>
              <w:rPr>
                <w:color w:val="1C3A36"/>
                <w:sz w:val="14"/>
              </w:rPr>
              <w:t>41.3%</w:t>
            </w:r>
          </w:p>
        </w:tc>
        <w:tc>
          <w:tcPr>
            <w:tcW w:type="dxa" w:w="893"/>
          </w:tcPr>
          <w:p>
            <w:pPr>
              <w:spacing w:after="20"/>
              <w:jc w:val="right"/>
            </w:pPr>
            <w:r>
              <w:rPr>
                <w:color w:val="1C3A36"/>
                <w:sz w:val="14"/>
              </w:rPr>
              <w:t>41.1%</w:t>
            </w:r>
          </w:p>
        </w:tc>
        <w:tc>
          <w:tcPr>
            <w:tcW w:type="dxa" w:w="893"/>
          </w:tcPr>
          <w:p>
            <w:pPr>
              <w:spacing w:after="20"/>
              <w:jc w:val="right"/>
            </w:pPr>
            <w:r>
              <w:rPr>
                <w:color w:val="1C3A36"/>
                <w:sz w:val="14"/>
              </w:rPr>
              <w:t>40.9%</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2,725</w:t>
            </w:r>
          </w:p>
        </w:tc>
        <w:tc>
          <w:tcPr>
            <w:tcW w:type="dxa" w:w="1426"/>
          </w:tcPr>
          <w:p>
            <w:pPr>
              <w:spacing w:after="20"/>
              <w:jc w:val="right"/>
            </w:pPr>
            <w:r>
              <w:rPr>
                <w:color w:val="1C3A36"/>
                <w:sz w:val="16"/>
              </w:rPr>
              <w:t>3,233</w:t>
            </w:r>
          </w:p>
        </w:tc>
        <w:tc>
          <w:tcPr>
            <w:tcW w:type="dxa" w:w="1426"/>
          </w:tcPr>
          <w:p>
            <w:pPr>
              <w:spacing w:after="20"/>
              <w:jc w:val="right"/>
            </w:pPr>
            <w:r>
              <w:rPr>
                <w:color w:val="1C3A36"/>
                <w:sz w:val="16"/>
              </w:rPr>
              <w:t>3,440</w:t>
            </w:r>
          </w:p>
        </w:tc>
        <w:tc>
          <w:tcPr>
            <w:tcW w:type="dxa" w:w="1426"/>
          </w:tcPr>
          <w:p>
            <w:pPr>
              <w:spacing w:after="20"/>
              <w:jc w:val="right"/>
            </w:pPr>
            <w:r>
              <w:rPr>
                <w:color w:val="1C3A36"/>
                <w:sz w:val="16"/>
              </w:rPr>
              <w:t>3,345</w:t>
            </w:r>
          </w:p>
        </w:tc>
        <w:tc>
          <w:tcPr>
            <w:tcW w:type="dxa" w:w="1426"/>
          </w:tcPr>
          <w:p>
            <w:pPr>
              <w:spacing w:after="20"/>
              <w:jc w:val="right"/>
            </w:pPr>
            <w:r>
              <w:rPr>
                <w:color w:val="1C3A36"/>
                <w:sz w:val="16"/>
              </w:rPr>
              <w:t>2,640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830</w:t>
            </w:r>
          </w:p>
        </w:tc>
        <w:tc>
          <w:tcPr>
            <w:tcW w:type="dxa" w:w="1426"/>
          </w:tcPr>
          <w:p>
            <w:pPr>
              <w:spacing w:after="20"/>
              <w:jc w:val="right"/>
            </w:pPr>
            <w:r>
              <w:rPr>
                <w:color w:val="1C3A36"/>
                <w:sz w:val="16"/>
              </w:rPr>
              <w:t>877</w:t>
            </w:r>
          </w:p>
        </w:tc>
        <w:tc>
          <w:tcPr>
            <w:tcW w:type="dxa" w:w="1426"/>
          </w:tcPr>
          <w:p>
            <w:pPr>
              <w:spacing w:after="20"/>
              <w:jc w:val="right"/>
            </w:pPr>
            <w:r>
              <w:rPr>
                <w:color w:val="1C3A36"/>
                <w:sz w:val="16"/>
              </w:rPr>
              <w:t>917</w:t>
            </w:r>
          </w:p>
        </w:tc>
        <w:tc>
          <w:tcPr>
            <w:tcW w:type="dxa" w:w="1426"/>
          </w:tcPr>
          <w:p>
            <w:pPr>
              <w:spacing w:after="20"/>
              <w:jc w:val="right"/>
            </w:pPr>
            <w:r>
              <w:rPr>
                <w:color w:val="1C3A36"/>
                <w:sz w:val="16"/>
              </w:rPr>
              <w:t>953</w:t>
            </w:r>
          </w:p>
        </w:tc>
        <w:tc>
          <w:tcPr>
            <w:tcW w:type="dxa" w:w="1426"/>
          </w:tcPr>
          <w:p>
            <w:pPr>
              <w:spacing w:after="20"/>
              <w:jc w:val="right"/>
            </w:pPr>
            <w:r>
              <w:rPr>
                <w:color w:val="1C3A36"/>
                <w:sz w:val="16"/>
              </w:rPr>
              <w:t>989</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2,782</w:t>
            </w:r>
          </w:p>
        </w:tc>
        <w:tc>
          <w:tcPr>
            <w:tcW w:type="dxa" w:w="1426"/>
          </w:tcPr>
          <w:p>
            <w:pPr>
              <w:spacing w:after="20"/>
              <w:jc w:val="right"/>
            </w:pPr>
            <w:r>
              <w:rPr>
                <w:color w:val="1C3A36"/>
                <w:sz w:val="16"/>
              </w:rPr>
              <w:t>2,983</w:t>
            </w:r>
          </w:p>
        </w:tc>
        <w:tc>
          <w:tcPr>
            <w:tcW w:type="dxa" w:w="1426"/>
          </w:tcPr>
          <w:p>
            <w:pPr>
              <w:spacing w:after="20"/>
              <w:jc w:val="right"/>
            </w:pPr>
            <w:r>
              <w:rPr>
                <w:color w:val="1C3A36"/>
                <w:sz w:val="16"/>
              </w:rPr>
              <w:t>3,175</w:t>
            </w:r>
          </w:p>
        </w:tc>
        <w:tc>
          <w:tcPr>
            <w:tcW w:type="dxa" w:w="1426"/>
          </w:tcPr>
          <w:p>
            <w:pPr>
              <w:spacing w:after="20"/>
              <w:jc w:val="right"/>
            </w:pPr>
            <w:r>
              <w:rPr>
                <w:color w:val="1C3A36"/>
                <w:sz w:val="16"/>
              </w:rPr>
              <w:t>3,353</w:t>
            </w:r>
          </w:p>
        </w:tc>
        <w:tc>
          <w:tcPr>
            <w:tcW w:type="dxa" w:w="1426"/>
          </w:tcPr>
          <w:p>
            <w:pPr>
              <w:spacing w:after="20"/>
              <w:jc w:val="right"/>
            </w:pPr>
            <w:r>
              <w:rPr>
                <w:color w:val="1C3A36"/>
                <w:sz w:val="16"/>
              </w:rPr>
              <w:t>3,534</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1,400</w:t>
            </w:r>
          </w:p>
        </w:tc>
        <w:tc>
          <w:tcPr>
            <w:tcW w:type="dxa" w:w="1426"/>
          </w:tcPr>
          <w:p>
            <w:pPr>
              <w:spacing w:after="20"/>
              <w:jc w:val="right"/>
            </w:pPr>
            <w:r>
              <w:rPr>
                <w:color w:val="1C3A36"/>
                <w:sz w:val="16"/>
              </w:rPr>
              <w:t>1,502</w:t>
            </w:r>
          </w:p>
        </w:tc>
        <w:tc>
          <w:tcPr>
            <w:tcW w:type="dxa" w:w="1426"/>
          </w:tcPr>
          <w:p>
            <w:pPr>
              <w:spacing w:after="20"/>
              <w:jc w:val="right"/>
            </w:pPr>
            <w:r>
              <w:rPr>
                <w:color w:val="1C3A36"/>
                <w:sz w:val="16"/>
              </w:rPr>
              <w:t>1,598</w:t>
            </w:r>
          </w:p>
        </w:tc>
        <w:tc>
          <w:tcPr>
            <w:tcW w:type="dxa" w:w="1426"/>
          </w:tcPr>
          <w:p>
            <w:pPr>
              <w:spacing w:after="20"/>
              <w:jc w:val="right"/>
            </w:pPr>
            <w:r>
              <w:rPr>
                <w:color w:val="1C3A36"/>
                <w:sz w:val="16"/>
              </w:rPr>
              <w:t>1,688</w:t>
            </w:r>
          </w:p>
        </w:tc>
        <w:tc>
          <w:tcPr>
            <w:tcW w:type="dxa" w:w="1426"/>
          </w:tcPr>
          <w:p>
            <w:pPr>
              <w:spacing w:after="20"/>
              <w:jc w:val="right"/>
            </w:pPr>
            <w:r>
              <w:rPr>
                <w:color w:val="1C3A36"/>
                <w:sz w:val="16"/>
              </w:rPr>
              <w:t>1,779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2,212</w:t>
            </w:r>
          </w:p>
        </w:tc>
        <w:tc>
          <w:tcPr>
            <w:tcW w:type="dxa" w:w="1426"/>
          </w:tcPr>
          <w:p>
            <w:pPr>
              <w:spacing w:after="20"/>
              <w:jc w:val="right"/>
            </w:pPr>
            <w:r>
              <w:rPr>
                <w:color w:val="1C3A36"/>
                <w:sz w:val="16"/>
              </w:rPr>
              <w:t>2,359</w:t>
            </w:r>
          </w:p>
        </w:tc>
        <w:tc>
          <w:tcPr>
            <w:tcW w:type="dxa" w:w="1426"/>
          </w:tcPr>
          <w:p>
            <w:pPr>
              <w:spacing w:after="20"/>
              <w:jc w:val="right"/>
            </w:pPr>
            <w:r>
              <w:rPr>
                <w:color w:val="1C3A36"/>
                <w:sz w:val="16"/>
              </w:rPr>
              <w:t>2,494</w:t>
            </w:r>
          </w:p>
        </w:tc>
        <w:tc>
          <w:tcPr>
            <w:tcW w:type="dxa" w:w="1426"/>
          </w:tcPr>
          <w:p>
            <w:pPr>
              <w:spacing w:after="20"/>
              <w:jc w:val="right"/>
            </w:pPr>
            <w:r>
              <w:rPr>
                <w:color w:val="1C3A36"/>
                <w:sz w:val="16"/>
              </w:rPr>
              <w:t>2,618</w:t>
            </w:r>
          </w:p>
        </w:tc>
        <w:tc>
          <w:tcPr>
            <w:tcW w:type="dxa" w:w="1426"/>
          </w:tcPr>
          <w:p>
            <w:pPr>
              <w:spacing w:after="20"/>
              <w:jc w:val="right"/>
            </w:pPr>
            <w:r>
              <w:rPr>
                <w:color w:val="1C3A36"/>
                <w:sz w:val="16"/>
              </w:rPr>
              <w:t>2,744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-858</w:t>
            </w:r>
          </w:p>
        </w:tc>
        <w:tc>
          <w:tcPr>
            <w:tcW w:type="dxa" w:w="1426"/>
          </w:tcPr>
          <w:p>
            <w:pPr>
              <w:spacing w:after="20"/>
              <w:jc w:val="right"/>
            </w:pPr>
            <w:r>
              <w:rPr>
                <w:color w:val="1C3A36"/>
                <w:sz w:val="16"/>
              </w:rPr>
              <w:t>147</w:t>
            </w:r>
          </w:p>
        </w:tc>
        <w:tc>
          <w:tcPr>
            <w:tcW w:type="dxa" w:w="1426"/>
          </w:tcPr>
          <w:p>
            <w:pPr>
              <w:spacing w:after="20"/>
              <w:jc w:val="right"/>
            </w:pPr>
            <w:r>
              <w:rPr>
                <w:color w:val="1C3A36"/>
                <w:sz w:val="16"/>
              </w:rPr>
              <w:t>135</w:t>
            </w:r>
          </w:p>
        </w:tc>
        <w:tc>
          <w:tcPr>
            <w:tcW w:type="dxa" w:w="1426"/>
          </w:tcPr>
          <w:p>
            <w:pPr>
              <w:spacing w:after="20"/>
              <w:jc w:val="right"/>
            </w:pPr>
            <w:r>
              <w:rPr>
                <w:color w:val="1C3A36"/>
                <w:sz w:val="16"/>
              </w:rPr>
              <w:t>124</w:t>
            </w:r>
          </w:p>
        </w:tc>
        <w:tc>
          <w:tcPr>
            <w:tcW w:type="dxa" w:w="1426"/>
          </w:tcPr>
          <w:p>
            <w:pPr>
              <w:spacing w:after="20"/>
              <w:jc w:val="right"/>
            </w:pPr>
            <w:r>
              <w:rPr>
                <w:color w:val="1C3A36"/>
                <w:sz w:val="16"/>
              </w:rPr>
              <w:t>126</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1,963</w:t>
            </w:r>
          </w:p>
        </w:tc>
        <w:tc>
          <w:tcPr>
            <w:tcW w:type="dxa" w:w="1426"/>
            <w:shd w:val="clear" w:color="auto" w:fill="F6F1E6"/>
          </w:tcPr>
          <w:p>
            <w:pPr>
              <w:spacing w:after="20"/>
              <w:jc w:val="right"/>
            </w:pPr>
            <w:r>
              <w:rPr>
                <w:b/>
                <w:color w:val="1C3A36"/>
                <w:sz w:val="16"/>
              </w:rPr>
              <w:t>684</w:t>
            </w:r>
          </w:p>
        </w:tc>
        <w:tc>
          <w:tcPr>
            <w:tcW w:type="dxa" w:w="1426"/>
            <w:shd w:val="clear" w:color="auto" w:fill="F6F1E6"/>
          </w:tcPr>
          <w:p>
            <w:pPr>
              <w:spacing w:after="20"/>
              <w:jc w:val="right"/>
            </w:pPr>
            <w:r>
              <w:rPr>
                <w:b/>
                <w:color w:val="1C3A36"/>
                <w:sz w:val="16"/>
              </w:rPr>
              <w:t>683</w:t>
            </w:r>
          </w:p>
        </w:tc>
        <w:tc>
          <w:tcPr>
            <w:tcW w:type="dxa" w:w="1426"/>
            <w:shd w:val="clear" w:color="auto" w:fill="F6F1E6"/>
          </w:tcPr>
          <w:p>
            <w:pPr>
              <w:spacing w:after="20"/>
              <w:jc w:val="right"/>
            </w:pPr>
            <w:r>
              <w:rPr>
                <w:b/>
                <w:color w:val="1C3A36"/>
                <w:sz w:val="16"/>
              </w:rPr>
              <w:t>957</w:t>
            </w:r>
          </w:p>
        </w:tc>
        <w:tc>
          <w:tcPr>
            <w:tcW w:type="dxa" w:w="1426"/>
            <w:shd w:val="clear" w:color="auto" w:fill="F6F1E6"/>
          </w:tcPr>
          <w:p>
            <w:pPr>
              <w:spacing w:after="20"/>
              <w:jc w:val="right"/>
            </w:pPr>
            <w:r>
              <w:rPr>
                <w:b/>
                <w:color w:val="1C3A36"/>
                <w:sz w:val="16"/>
              </w:rPr>
              <w:t>1,825</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12,507</w:t>
            </w:r>
          </w:p>
        </w:tc>
        <w:tc>
          <w:tcPr>
            <w:tcW w:type="dxa" w:w="2016"/>
          </w:tcPr>
          <w:p>
            <w:pPr>
              <w:spacing w:after="20"/>
              <w:jc w:val="right"/>
            </w:pPr>
            <w:r>
              <w:rPr>
                <w:color w:val="1C3A36"/>
                <w:sz w:val="16"/>
              </w:rPr>
              <w:t>12,986</w:t>
            </w:r>
          </w:p>
        </w:tc>
        <w:tc>
          <w:tcPr>
            <w:tcW w:type="dxa" w:w="2016"/>
          </w:tcPr>
          <w:p>
            <w:pPr>
              <w:spacing w:after="20"/>
              <w:jc w:val="right"/>
            </w:pPr>
            <w:r>
              <w:rPr>
                <w:color w:val="1C3A36"/>
                <w:sz w:val="16"/>
              </w:rPr>
              <w:t>13,477</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5,495</w:t>
            </w:r>
          </w:p>
        </w:tc>
        <w:tc>
          <w:tcPr>
            <w:tcW w:type="dxa" w:w="2016"/>
          </w:tcPr>
          <w:p>
            <w:pPr>
              <w:spacing w:after="20"/>
              <w:jc w:val="right"/>
            </w:pPr>
            <w:r>
              <w:rPr>
                <w:color w:val="1C3A36"/>
                <w:sz w:val="16"/>
              </w:rPr>
              <w:t>5,580</w:t>
            </w:r>
          </w:p>
        </w:tc>
        <w:tc>
          <w:tcPr>
            <w:tcW w:type="dxa" w:w="2016"/>
          </w:tcPr>
          <w:p>
            <w:pPr>
              <w:spacing w:after="20"/>
              <w:jc w:val="right"/>
            </w:pPr>
            <w:r>
              <w:rPr>
                <w:color w:val="1C3A36"/>
                <w:sz w:val="16"/>
              </w:rPr>
              <w:t>5,671</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5,161</w:t>
            </w:r>
          </w:p>
        </w:tc>
        <w:tc>
          <w:tcPr>
            <w:tcW w:type="dxa" w:w="2016"/>
            <w:shd w:val="clear" w:color="auto" w:fill="F6F1E6"/>
          </w:tcPr>
          <w:p>
            <w:pPr>
              <w:spacing w:after="20"/>
              <w:jc w:val="right"/>
            </w:pPr>
            <w:r>
              <w:rPr>
                <w:b/>
                <w:color w:val="1C3A36"/>
                <w:sz w:val="16"/>
              </w:rPr>
              <w:t>5,334</w:t>
            </w:r>
          </w:p>
        </w:tc>
        <w:tc>
          <w:tcPr>
            <w:tcW w:type="dxa" w:w="2016"/>
            <w:shd w:val="clear" w:color="auto" w:fill="F6F1E6"/>
          </w:tcPr>
          <w:p>
            <w:pPr>
              <w:spacing w:after="20"/>
              <w:jc w:val="right"/>
            </w:pPr>
            <w:r>
              <w:rPr>
                <w:b/>
                <w:color w:val="1C3A36"/>
                <w:sz w:val="16"/>
              </w:rPr>
              <w:t>5,507</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1,338</w:t>
            </w:r>
          </w:p>
        </w:tc>
        <w:tc>
          <w:tcPr>
            <w:tcW w:type="dxa" w:w="2016"/>
          </w:tcPr>
          <w:p>
            <w:pPr>
              <w:spacing w:after="20"/>
              <w:jc w:val="right"/>
            </w:pPr>
            <w:r>
              <w:rPr>
                <w:color w:val="1C3A36"/>
                <w:sz w:val="16"/>
              </w:rPr>
              <w:t>461</w:t>
            </w:r>
          </w:p>
        </w:tc>
        <w:tc>
          <w:tcPr>
            <w:tcW w:type="dxa" w:w="2016"/>
          </w:tcPr>
          <w:p>
            <w:pPr>
              <w:spacing w:after="20"/>
              <w:jc w:val="right"/>
            </w:pPr>
            <w:r>
              <w:rPr>
                <w:color w:val="1C3A36"/>
                <w:sz w:val="16"/>
              </w:rPr>
              <w:t>1,093</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14,700</w:t>
            </w:r>
          </w:p>
        </w:tc>
        <w:tc>
          <w:tcPr>
            <w:tcW w:type="dxa" w:w="2016"/>
          </w:tcPr>
          <w:p>
            <w:pPr>
              <w:spacing w:after="20"/>
              <w:jc w:val="right"/>
            </w:pPr>
            <w:r>
              <w:rPr>
                <w:color w:val="1C3A36"/>
                <w:sz w:val="16"/>
              </w:rPr>
              <w:t>15,588</w:t>
            </w:r>
          </w:p>
        </w:tc>
        <w:tc>
          <w:tcPr>
            <w:tcW w:type="dxa" w:w="2016"/>
          </w:tcPr>
          <w:p>
            <w:pPr>
              <w:spacing w:after="20"/>
              <w:jc w:val="right"/>
            </w:pPr>
            <w:r>
              <w:rPr>
                <w:color w:val="1C3A36"/>
                <w:sz w:val="16"/>
              </w:rPr>
              <w:t>17,913</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1,437</w:t>
            </w:r>
          </w:p>
        </w:tc>
        <w:tc>
          <w:tcPr>
            <w:tcW w:type="dxa" w:w="2016"/>
          </w:tcPr>
          <w:p>
            <w:pPr>
              <w:spacing w:after="20"/>
              <w:jc w:val="right"/>
            </w:pPr>
            <w:r>
              <w:rPr>
                <w:color w:val="1C3A36"/>
                <w:sz w:val="16"/>
              </w:rPr>
              <w:t>1,256</w:t>
            </w:r>
          </w:p>
        </w:tc>
        <w:tc>
          <w:tcPr>
            <w:tcW w:type="dxa" w:w="2016"/>
          </w:tcPr>
          <w:p>
            <w:pPr>
              <w:spacing w:after="20"/>
              <w:jc w:val="right"/>
            </w:pPr>
            <w:r>
              <w:rPr>
                <w:color w:val="1C3A36"/>
                <w:sz w:val="16"/>
              </w:rPr>
              <w:t>480</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10,993</w:t>
            </w:r>
          </w:p>
        </w:tc>
        <w:tc>
          <w:tcPr>
            <w:tcW w:type="dxa" w:w="2016"/>
            <w:shd w:val="clear" w:color="auto" w:fill="F6F1E6"/>
          </w:tcPr>
          <w:p>
            <w:pPr>
              <w:spacing w:after="20"/>
              <w:jc w:val="right"/>
            </w:pPr>
            <w:r>
              <w:rPr>
                <w:b/>
                <w:color w:val="1C3A36"/>
                <w:sz w:val="16"/>
              </w:rPr>
              <w:t>10,119</w:t>
            </w:r>
          </w:p>
        </w:tc>
        <w:tc>
          <w:tcPr>
            <w:tcW w:type="dxa" w:w="2016"/>
            <w:shd w:val="clear" w:color="auto" w:fill="F6F1E6"/>
          </w:tcPr>
          <w:p>
            <w:pPr>
              <w:spacing w:after="20"/>
              <w:jc w:val="right"/>
            </w:pPr>
            <w:r>
              <w:rPr>
                <w:b/>
                <w:color w:val="1C3A36"/>
                <w:sz w:val="16"/>
              </w:rPr>
              <w:t>7,637</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187</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12</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21</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63</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297</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13,579</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8,966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8,564</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9,428</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6,724</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3.38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3.56 a share.</w:t>
      </w:r>
    </w:p>
    <w:p>
      <w:pPr>
        <w:spacing w:after="120" w:before="0"/>
      </w:pPr>
      <w:r>
        <w:rPr>
          <w:b w:val="0"/>
          <w:i w:val="0"/>
          <w:color w:val="1C3A36"/>
          <w:sz w:val="19"/>
        </w:rPr>
        <w:t>On both sides of the contested judgement.  With the programme carried through the claim is worth EGP 3.38 a share (EGP 0.00 to 3.56 across the volatility range); with the programme stopped the enterprise value rises to EGP 21,754 million and the same claim is worth EGP 6.32 (EGP 6.22 to 6.46).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13,579m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2.26 a share, and at 60% over seven years EGP 4.16.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2.26</w:t>
            </w:r>
          </w:p>
        </w:tc>
        <w:tc>
          <w:tcPr>
            <w:tcW w:type="dxa" w:w="1541"/>
          </w:tcPr>
          <w:p>
            <w:pPr>
              <w:spacing w:after="20"/>
              <w:jc w:val="right"/>
            </w:pPr>
            <w:r>
              <w:rPr>
                <w:color w:val="1C3A36"/>
                <w:sz w:val="17"/>
              </w:rPr>
              <w:t>2.34</w:t>
            </w:r>
          </w:p>
        </w:tc>
        <w:tc>
          <w:tcPr>
            <w:tcW w:type="dxa" w:w="1541"/>
          </w:tcPr>
          <w:p>
            <w:pPr>
              <w:spacing w:after="20"/>
              <w:jc w:val="right"/>
            </w:pPr>
            <w:r>
              <w:rPr>
                <w:color w:val="1C3A36"/>
                <w:sz w:val="17"/>
              </w:rPr>
              <w:t>2.53</w:t>
            </w:r>
          </w:p>
        </w:tc>
        <w:tc>
          <w:tcPr>
            <w:tcW w:type="dxa" w:w="1541"/>
          </w:tcPr>
          <w:p>
            <w:pPr>
              <w:spacing w:after="20"/>
              <w:jc w:val="right"/>
            </w:pPr>
            <w:r>
              <w:rPr>
                <w:color w:val="1C3A36"/>
                <w:sz w:val="17"/>
              </w:rPr>
              <w:t>2.74</w:t>
            </w:r>
          </w:p>
        </w:tc>
        <w:tc>
          <w:tcPr>
            <w:tcW w:type="dxa" w:w="1541"/>
          </w:tcPr>
          <w:p>
            <w:pPr>
              <w:spacing w:after="20"/>
              <w:jc w:val="right"/>
            </w:pPr>
            <w:r>
              <w:rPr>
                <w:color w:val="1C3A36"/>
                <w:sz w:val="17"/>
              </w:rPr>
              <w:t>2.84</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3.17</w:t>
            </w:r>
          </w:p>
        </w:tc>
        <w:tc>
          <w:tcPr>
            <w:tcW w:type="dxa" w:w="1541"/>
          </w:tcPr>
          <w:p>
            <w:pPr>
              <w:spacing w:after="20"/>
              <w:jc w:val="right"/>
            </w:pPr>
            <w:r>
              <w:rPr>
                <w:color w:val="1C3A36"/>
                <w:sz w:val="17"/>
              </w:rPr>
              <w:t>3.23</w:t>
            </w:r>
          </w:p>
        </w:tc>
        <w:tc>
          <w:tcPr>
            <w:tcW w:type="dxa" w:w="1541"/>
          </w:tcPr>
          <w:p>
            <w:pPr>
              <w:spacing w:after="20"/>
              <w:jc w:val="right"/>
            </w:pPr>
            <w:r>
              <w:rPr>
                <w:color w:val="1C3A36"/>
                <w:sz w:val="17"/>
              </w:rPr>
              <w:t>3.38</w:t>
            </w:r>
          </w:p>
        </w:tc>
        <w:tc>
          <w:tcPr>
            <w:tcW w:type="dxa" w:w="1541"/>
          </w:tcPr>
          <w:p>
            <w:pPr>
              <w:spacing w:after="20"/>
              <w:jc w:val="right"/>
            </w:pPr>
            <w:r>
              <w:rPr>
                <w:color w:val="1C3A36"/>
                <w:sz w:val="17"/>
              </w:rPr>
              <w:t>3.56</w:t>
            </w:r>
          </w:p>
        </w:tc>
        <w:tc>
          <w:tcPr>
            <w:tcW w:type="dxa" w:w="1541"/>
          </w:tcPr>
          <w:p>
            <w:pPr>
              <w:spacing w:after="20"/>
              <w:jc w:val="right"/>
            </w:pPr>
            <w:r>
              <w:rPr>
                <w:color w:val="1C3A36"/>
                <w:sz w:val="17"/>
              </w:rPr>
              <w:t>3.65</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3.80</w:t>
            </w:r>
          </w:p>
        </w:tc>
        <w:tc>
          <w:tcPr>
            <w:tcW w:type="dxa" w:w="1541"/>
          </w:tcPr>
          <w:p>
            <w:pPr>
              <w:spacing w:after="20"/>
              <w:jc w:val="right"/>
            </w:pPr>
            <w:r>
              <w:rPr>
                <w:color w:val="1C3A36"/>
                <w:sz w:val="17"/>
              </w:rPr>
              <w:t>3.84</w:t>
            </w:r>
          </w:p>
        </w:tc>
        <w:tc>
          <w:tcPr>
            <w:tcW w:type="dxa" w:w="1541"/>
          </w:tcPr>
          <w:p>
            <w:pPr>
              <w:spacing w:after="20"/>
              <w:jc w:val="right"/>
            </w:pPr>
            <w:r>
              <w:rPr>
                <w:color w:val="1C3A36"/>
                <w:sz w:val="17"/>
              </w:rPr>
              <w:t>3.95</w:t>
            </w:r>
          </w:p>
        </w:tc>
        <w:tc>
          <w:tcPr>
            <w:tcW w:type="dxa" w:w="1541"/>
          </w:tcPr>
          <w:p>
            <w:pPr>
              <w:spacing w:after="20"/>
              <w:jc w:val="right"/>
            </w:pPr>
            <w:r>
              <w:rPr>
                <w:color w:val="1C3A36"/>
                <w:sz w:val="17"/>
              </w:rPr>
              <w:t>4.09</w:t>
            </w:r>
          </w:p>
        </w:tc>
        <w:tc>
          <w:tcPr>
            <w:tcW w:type="dxa" w:w="1541"/>
          </w:tcPr>
          <w:p>
            <w:pPr>
              <w:spacing w:after="20"/>
              <w:jc w:val="right"/>
            </w:pPr>
            <w:r>
              <w:rPr>
                <w:color w:val="1C3A36"/>
                <w:sz w:val="17"/>
              </w:rPr>
              <w:t>4.16</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3.23 a share, at 55% EGP 3.56.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-0.78</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0.26</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-1.79</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-12.62</w:t>
            </w:r>
          </w:p>
        </w:tc>
        <w:tc>
          <w:tcPr>
            <w:tcW w:type="dxa" w:w="5904"/>
          </w:tcPr>
          <w:p>
            <w:pPr>
              <w:spacing w:after="20"/>
            </w:pPr>
            <w:r>
              <w:rPr>
                <w:color w:val="1C3A36"/>
                <w:sz w:val="16"/>
              </w:rPr>
              <w:t>The discount rate, and only the discount rate. At about 11.0%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1.06</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297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 September 2026 and the closing price of 2026-08-06.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