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 [R-DOC-03].</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56.25 per share against a market price of 130.00 — the price sits about +131% above the central estimate. That gap is not mainly an argument about the business; it is an argument about the discount rate. Discounted at an Egyptian cost of capital gliding 26.7% to 17.9%, the cash flows support roughly EGP 56.25. Discount the hard-currency share of those same cash flows at a hard-currency cost of capital of about 11.3% and the same model produces EGP 66.19 — still -49% against today's price, but +18%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17.9%, terminal growth 9%; 82% of enterprise value comes from the terminal value</w:t>
            </w:r>
          </w:p>
        </w:tc>
        <w:tc>
          <w:tcPr>
            <w:tcW w:type="dxa" w:w="1656"/>
          </w:tcPr>
          <w:p>
            <w:pPr>
              <w:spacing w:after="20"/>
              <w:jc w:val="right"/>
            </w:pPr>
            <w:r>
              <w:rPr>
                <w:color w:val="1C3A36"/>
                <w:sz w:val="17"/>
              </w:rPr>
              <w:t>21.11 – 92.41</w:t>
            </w:r>
          </w:p>
        </w:tc>
        <w:tc>
          <w:tcPr>
            <w:tcW w:type="dxa" w:w="1037"/>
          </w:tcPr>
          <w:p>
            <w:pPr>
              <w:spacing w:after="20"/>
              <w:jc w:val="right"/>
            </w:pPr>
            <w:r>
              <w:rPr>
                <w:color w:val="1C3A36"/>
                <w:sz w:val="17"/>
              </w:rPr>
              <w:t>56.25</w:t>
            </w:r>
          </w:p>
        </w:tc>
        <w:tc>
          <w:tcPr>
            <w:tcW w:type="dxa" w:w="907"/>
          </w:tcPr>
          <w:p>
            <w:pPr>
              <w:spacing w:after="20"/>
              <w:jc w:val="right"/>
            </w:pPr>
            <w:r>
              <w:rPr>
                <w:color w:val="1C3A36"/>
                <w:sz w:val="17"/>
              </w:rPr>
              <w:t>-57%</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66.26 – 99.09</w:t>
            </w:r>
          </w:p>
        </w:tc>
        <w:tc>
          <w:tcPr>
            <w:tcW w:type="dxa" w:w="1037"/>
          </w:tcPr>
          <w:p>
            <w:pPr>
              <w:spacing w:after="20"/>
              <w:jc w:val="right"/>
            </w:pPr>
            <w:r>
              <w:rPr>
                <w:color w:val="1C3A36"/>
                <w:sz w:val="17"/>
              </w:rPr>
              <w:t>79.39</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10.9% at a justified 9.0× P/E</w:t>
            </w:r>
          </w:p>
        </w:tc>
        <w:tc>
          <w:tcPr>
            <w:tcW w:type="dxa" w:w="1656"/>
          </w:tcPr>
          <w:p>
            <w:pPr>
              <w:spacing w:after="20"/>
              <w:jc w:val="right"/>
            </w:pPr>
            <w:r>
              <w:rPr>
                <w:color w:val="1C3A36"/>
                <w:sz w:val="17"/>
              </w:rPr>
              <w:t>80.39 – 133.26</w:t>
            </w:r>
          </w:p>
        </w:tc>
        <w:tc>
          <w:tcPr>
            <w:tcW w:type="dxa" w:w="1037"/>
          </w:tcPr>
          <w:p>
            <w:pPr>
              <w:spacing w:after="20"/>
              <w:jc w:val="right"/>
            </w:pPr>
            <w:r>
              <w:rPr>
                <w:color w:val="1C3A36"/>
                <w:sz w:val="17"/>
              </w:rPr>
              <w:t>103.89</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1.3× on book value of 31.24/share at a sustainable return on equity of 23.5%</w:t>
            </w:r>
          </w:p>
        </w:tc>
        <w:tc>
          <w:tcPr>
            <w:tcW w:type="dxa" w:w="1656"/>
          </w:tcPr>
          <w:p>
            <w:pPr>
              <w:spacing w:after="20"/>
              <w:jc w:val="right"/>
            </w:pPr>
            <w:r>
              <w:rPr>
                <w:color w:val="1C3A36"/>
                <w:sz w:val="17"/>
              </w:rPr>
              <w:t>34.26 – 54.68</w:t>
            </w:r>
          </w:p>
        </w:tc>
        <w:tc>
          <w:tcPr>
            <w:tcW w:type="dxa" w:w="1037"/>
          </w:tcPr>
          <w:p>
            <w:pPr>
              <w:spacing w:after="20"/>
              <w:jc w:val="right"/>
            </w:pPr>
            <w:r>
              <w:rPr>
                <w:color w:val="1C3A36"/>
                <w:sz w:val="17"/>
              </w:rPr>
              <w:t>47.77</w:t>
            </w:r>
          </w:p>
        </w:tc>
        <w:tc>
          <w:tcPr>
            <w:tcW w:type="dxa" w:w="907"/>
          </w:tcPr>
          <w:p>
            <w:pPr>
              <w:spacing w:after="20"/>
              <w:jc w:val="right"/>
            </w:pPr>
            <w:r>
              <w:rPr>
                <w:color w:val="1C3A36"/>
                <w:sz w:val="17"/>
              </w:rPr>
              <w:t>-63%</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21.11 – 92.41</w:t>
            </w:r>
          </w:p>
        </w:tc>
        <w:tc>
          <w:tcPr>
            <w:tcW w:type="dxa" w:w="1037"/>
            <w:shd w:val="clear" w:color="auto" w:fill="F6F1E6"/>
          </w:tcPr>
          <w:p>
            <w:pPr>
              <w:spacing w:after="20"/>
              <w:jc w:val="right"/>
            </w:pPr>
            <w:r>
              <w:rPr>
                <w:b/>
                <w:color w:val="1C3A36"/>
                <w:sz w:val="17"/>
              </w:rPr>
              <w:t>56.25</w:t>
            </w:r>
          </w:p>
        </w:tc>
        <w:tc>
          <w:tcPr>
            <w:tcW w:type="dxa" w:w="907"/>
            <w:shd w:val="clear" w:color="auto" w:fill="F6F1E6"/>
          </w:tcPr>
          <w:p>
            <w:pPr>
              <w:spacing w:after="20"/>
              <w:jc w:val="right"/>
            </w:pPr>
            <w:r>
              <w:rPr>
                <w:b/>
                <w:color w:val="1C3A36"/>
                <w:sz w:val="17"/>
              </w:rPr>
              <w:t>-57%</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69.13</w:t>
            </w:r>
          </w:p>
        </w:tc>
        <w:tc>
          <w:tcPr>
            <w:tcW w:type="dxa" w:w="907"/>
          </w:tcPr>
          <w:p>
            <w:pPr>
              <w:spacing w:after="20"/>
              <w:jc w:val="right"/>
            </w:pPr>
            <w:r>
              <w:rPr>
                <w:color w:val="1C3A36"/>
                <w:sz w:val="17"/>
              </w:rPr>
              <w:t>-47%</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66.19</w:t>
            </w:r>
          </w:p>
        </w:tc>
        <w:tc>
          <w:tcPr>
            <w:tcW w:type="dxa" w:w="907"/>
          </w:tcPr>
          <w:p>
            <w:pPr>
              <w:spacing w:after="20"/>
              <w:jc w:val="right"/>
            </w:pPr>
            <w:r>
              <w:rPr>
                <w:color w:val="1C3A36"/>
                <w:sz w:val="17"/>
              </w:rPr>
              <w:t>-49%</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27.66</w:t>
            </w:r>
          </w:p>
        </w:tc>
        <w:tc>
          <w:tcPr>
            <w:tcW w:type="dxa" w:w="907"/>
          </w:tcPr>
          <w:p>
            <w:pPr>
              <w:spacing w:after="20"/>
              <w:jc w:val="right"/>
            </w:pPr>
            <w:r>
              <w:rPr>
                <w:color w:val="1C3A36"/>
                <w:sz w:val="17"/>
              </w:rPr>
              <w:t>-79%</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63.22</w:t>
            </w:r>
          </w:p>
        </w:tc>
        <w:tc>
          <w:tcPr>
            <w:tcW w:type="dxa" w:w="907"/>
          </w:tcPr>
          <w:p>
            <w:pPr>
              <w:spacing w:after="20"/>
              <w:jc w:val="right"/>
            </w:pPr>
            <w:r>
              <w:rPr>
                <w:color w:val="1C3A36"/>
                <w:sz w:val="17"/>
              </w:rPr>
              <w:t>-51%</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82%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438,521</w:t>
            </w:r>
          </w:p>
        </w:tc>
        <w:tc>
          <w:tcPr>
            <w:tcW w:type="dxa" w:w="1426"/>
          </w:tcPr>
          <w:p>
            <w:pPr>
              <w:spacing w:after="20"/>
              <w:jc w:val="right"/>
            </w:pPr>
            <w:r>
              <w:rPr>
                <w:color w:val="1C3A36"/>
                <w:sz w:val="17"/>
              </w:rPr>
              <w:t>497,370</w:t>
            </w:r>
          </w:p>
        </w:tc>
        <w:tc>
          <w:tcPr>
            <w:tcW w:type="dxa" w:w="1426"/>
          </w:tcPr>
          <w:p>
            <w:pPr>
              <w:spacing w:after="20"/>
              <w:jc w:val="right"/>
            </w:pPr>
            <w:r>
              <w:rPr>
                <w:color w:val="1C3A36"/>
                <w:sz w:val="17"/>
              </w:rPr>
              <w:t>552,642</w:t>
            </w:r>
          </w:p>
        </w:tc>
        <w:tc>
          <w:tcPr>
            <w:tcW w:type="dxa" w:w="1426"/>
          </w:tcPr>
          <w:p>
            <w:pPr>
              <w:spacing w:after="20"/>
              <w:jc w:val="right"/>
            </w:pPr>
            <w:r>
              <w:rPr>
                <w:color w:val="1C3A36"/>
                <w:sz w:val="17"/>
              </w:rPr>
              <w:t>604,060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215,697</w:t>
            </w:r>
          </w:p>
        </w:tc>
        <w:tc>
          <w:tcPr>
            <w:tcW w:type="dxa" w:w="1426"/>
          </w:tcPr>
          <w:p>
            <w:pPr>
              <w:spacing w:after="20"/>
              <w:jc w:val="right"/>
            </w:pPr>
            <w:r>
              <w:rPr>
                <w:color w:val="1C3A36"/>
                <w:sz w:val="17"/>
              </w:rPr>
              <w:t>246,709</w:t>
            </w:r>
          </w:p>
        </w:tc>
        <w:tc>
          <w:tcPr>
            <w:tcW w:type="dxa" w:w="1426"/>
          </w:tcPr>
          <w:p>
            <w:pPr>
              <w:spacing w:after="20"/>
              <w:jc w:val="right"/>
            </w:pPr>
            <w:r>
              <w:rPr>
                <w:color w:val="1C3A36"/>
                <w:sz w:val="17"/>
              </w:rPr>
              <w:t>275,155</w:t>
            </w:r>
          </w:p>
        </w:tc>
        <w:tc>
          <w:tcPr>
            <w:tcW w:type="dxa" w:w="1426"/>
          </w:tcPr>
          <w:p>
            <w:pPr>
              <w:spacing w:after="20"/>
              <w:jc w:val="right"/>
            </w:pPr>
            <w:r>
              <w:rPr>
                <w:color w:val="1C3A36"/>
                <w:sz w:val="17"/>
              </w:rPr>
              <w:t>300,893</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222,824</w:t>
            </w:r>
          </w:p>
        </w:tc>
        <w:tc>
          <w:tcPr>
            <w:tcW w:type="dxa" w:w="1426"/>
          </w:tcPr>
          <w:p>
            <w:pPr>
              <w:spacing w:after="20"/>
              <w:jc w:val="right"/>
            </w:pPr>
            <w:r>
              <w:rPr>
                <w:color w:val="1C3A36"/>
                <w:sz w:val="17"/>
              </w:rPr>
              <w:t>250,662</w:t>
            </w:r>
          </w:p>
        </w:tc>
        <w:tc>
          <w:tcPr>
            <w:tcW w:type="dxa" w:w="1426"/>
          </w:tcPr>
          <w:p>
            <w:pPr>
              <w:spacing w:after="20"/>
              <w:jc w:val="right"/>
            </w:pPr>
            <w:r>
              <w:rPr>
                <w:color w:val="1C3A36"/>
                <w:sz w:val="17"/>
              </w:rPr>
              <w:t>277,487</w:t>
            </w:r>
          </w:p>
        </w:tc>
        <w:tc>
          <w:tcPr>
            <w:tcW w:type="dxa" w:w="1426"/>
          </w:tcPr>
          <w:p>
            <w:pPr>
              <w:spacing w:after="20"/>
              <w:jc w:val="right"/>
            </w:pPr>
            <w:r>
              <w:rPr>
                <w:color w:val="1C3A36"/>
                <w:sz w:val="17"/>
              </w:rPr>
              <w:t>303,167</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38,953</w:t>
            </w:r>
          </w:p>
        </w:tc>
        <w:tc>
          <w:tcPr>
            <w:tcW w:type="dxa" w:w="1426"/>
          </w:tcPr>
          <w:p>
            <w:pPr>
              <w:spacing w:after="20"/>
              <w:jc w:val="right"/>
            </w:pPr>
            <w:r>
              <w:rPr>
                <w:color w:val="1C3A36"/>
                <w:sz w:val="17"/>
              </w:rPr>
              <w:t>47,000</w:t>
            </w:r>
          </w:p>
        </w:tc>
        <w:tc>
          <w:tcPr>
            <w:tcW w:type="dxa" w:w="1426"/>
          </w:tcPr>
          <w:p>
            <w:pPr>
              <w:spacing w:after="20"/>
              <w:jc w:val="right"/>
            </w:pPr>
            <w:r>
              <w:rPr>
                <w:color w:val="1C3A36"/>
                <w:sz w:val="17"/>
              </w:rPr>
              <w:t>54,043</w:t>
            </w:r>
          </w:p>
        </w:tc>
        <w:tc>
          <w:tcPr>
            <w:tcW w:type="dxa" w:w="1426"/>
          </w:tcPr>
          <w:p>
            <w:pPr>
              <w:spacing w:after="20"/>
              <w:jc w:val="right"/>
            </w:pPr>
            <w:r>
              <w:rPr>
                <w:color w:val="1C3A36"/>
                <w:sz w:val="17"/>
              </w:rPr>
              <w:t>60,529</w:t>
            </w:r>
          </w:p>
        </w:tc>
        <w:tc>
          <w:tcPr>
            <w:tcW w:type="dxa" w:w="1426"/>
          </w:tcPr>
          <w:p>
            <w:pPr>
              <w:spacing w:after="20"/>
              <w:jc w:val="right"/>
            </w:pPr>
            <w:r>
              <w:rPr>
                <w:color w:val="1C3A36"/>
                <w:sz w:val="17"/>
              </w:rPr>
              <w:t>66,374</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10.9%</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11.0%</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(4,627)</w:t>
            </w:r>
          </w:p>
        </w:tc>
        <w:tc>
          <w:tcPr>
            <w:tcW w:type="dxa" w:w="1426"/>
          </w:tcPr>
          <w:p>
            <w:pPr>
              <w:spacing w:after="20"/>
              <w:jc w:val="right"/>
            </w:pPr>
            <w:r>
              <w:rPr>
                <w:color w:val="1C3A36"/>
                <w:sz w:val="17"/>
              </w:rPr>
              <w:t>(5,482)</w:t>
            </w:r>
          </w:p>
        </w:tc>
        <w:tc>
          <w:tcPr>
            <w:tcW w:type="dxa" w:w="1426"/>
          </w:tcPr>
          <w:p>
            <w:pPr>
              <w:spacing w:after="20"/>
              <w:jc w:val="right"/>
            </w:pPr>
            <w:r>
              <w:rPr>
                <w:color w:val="1C3A36"/>
                <w:sz w:val="17"/>
              </w:rPr>
              <w:t>(6,217)</w:t>
            </w:r>
          </w:p>
        </w:tc>
        <w:tc>
          <w:tcPr>
            <w:tcW w:type="dxa" w:w="1426"/>
          </w:tcPr>
          <w:p>
            <w:pPr>
              <w:spacing w:after="20"/>
              <w:jc w:val="right"/>
            </w:pPr>
            <w:r>
              <w:rPr>
                <w:color w:val="1C3A36"/>
                <w:sz w:val="17"/>
              </w:rPr>
              <w:t>(6,908)</w:t>
            </w:r>
          </w:p>
        </w:tc>
        <w:tc>
          <w:tcPr>
            <w:tcW w:type="dxa" w:w="1426"/>
          </w:tcPr>
          <w:p>
            <w:pPr>
              <w:spacing w:after="20"/>
              <w:jc w:val="right"/>
            </w:pPr>
            <w:r>
              <w:rPr>
                <w:color w:val="1C3A36"/>
                <w:sz w:val="17"/>
              </w:rPr>
              <w:t>(7,551)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41,518</w:t>
            </w:r>
          </w:p>
        </w:tc>
        <w:tc>
          <w:tcPr>
            <w:tcW w:type="dxa" w:w="1426"/>
          </w:tcPr>
          <w:p>
            <w:pPr>
              <w:spacing w:after="20"/>
              <w:jc w:val="right"/>
            </w:pPr>
            <w:r>
              <w:rPr>
                <w:color w:val="1C3A36"/>
                <w:sz w:val="17"/>
              </w:rPr>
              <w:t>47,826</w:t>
            </w:r>
          </w:p>
        </w:tc>
        <w:tc>
          <w:tcPr>
            <w:tcW w:type="dxa" w:w="1426"/>
          </w:tcPr>
          <w:p>
            <w:pPr>
              <w:spacing w:after="20"/>
              <w:jc w:val="right"/>
            </w:pPr>
            <w:r>
              <w:rPr>
                <w:color w:val="1C3A36"/>
                <w:sz w:val="17"/>
              </w:rPr>
              <w:t>53,621</w:t>
            </w:r>
          </w:p>
        </w:tc>
        <w:tc>
          <w:tcPr>
            <w:tcW w:type="dxa" w:w="1426"/>
          </w:tcPr>
          <w:p>
            <w:pPr>
              <w:spacing w:after="20"/>
              <w:jc w:val="right"/>
            </w:pPr>
            <w:r>
              <w:rPr>
                <w:color w:val="1C3A36"/>
                <w:sz w:val="17"/>
              </w:rPr>
              <w:t>58,823</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31,346</w:t>
            </w:r>
          </w:p>
        </w:tc>
        <w:tc>
          <w:tcPr>
            <w:tcW w:type="dxa" w:w="1426"/>
          </w:tcPr>
          <w:p>
            <w:pPr>
              <w:spacing w:after="20"/>
              <w:jc w:val="right"/>
            </w:pPr>
            <w:r>
              <w:rPr>
                <w:color w:val="1C3A36"/>
                <w:sz w:val="17"/>
              </w:rPr>
              <w:t>36,109</w:t>
            </w:r>
          </w:p>
        </w:tc>
        <w:tc>
          <w:tcPr>
            <w:tcW w:type="dxa" w:w="1426"/>
          </w:tcPr>
          <w:p>
            <w:pPr>
              <w:spacing w:after="20"/>
              <w:jc w:val="right"/>
            </w:pPr>
            <w:r>
              <w:rPr>
                <w:color w:val="1C3A36"/>
                <w:sz w:val="17"/>
              </w:rPr>
              <w:t>40,484</w:t>
            </w:r>
          </w:p>
        </w:tc>
        <w:tc>
          <w:tcPr>
            <w:tcW w:type="dxa" w:w="1426"/>
          </w:tcPr>
          <w:p>
            <w:pPr>
              <w:spacing w:after="20"/>
              <w:jc w:val="right"/>
            </w:pPr>
            <w:r>
              <w:rPr>
                <w:color w:val="1C3A36"/>
                <w:sz w:val="17"/>
              </w:rPr>
              <w:t>44,411</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4,627</w:t>
            </w:r>
          </w:p>
        </w:tc>
        <w:tc>
          <w:tcPr>
            <w:tcW w:type="dxa" w:w="1426"/>
          </w:tcPr>
          <w:p>
            <w:pPr>
              <w:spacing w:after="20"/>
              <w:jc w:val="right"/>
            </w:pPr>
            <w:r>
              <w:rPr>
                <w:color w:val="1C3A36"/>
                <w:sz w:val="17"/>
              </w:rPr>
              <w:t>5,482</w:t>
            </w:r>
          </w:p>
        </w:tc>
        <w:tc>
          <w:tcPr>
            <w:tcW w:type="dxa" w:w="1426"/>
          </w:tcPr>
          <w:p>
            <w:pPr>
              <w:spacing w:after="20"/>
              <w:jc w:val="right"/>
            </w:pPr>
            <w:r>
              <w:rPr>
                <w:color w:val="1C3A36"/>
                <w:sz w:val="17"/>
              </w:rPr>
              <w:t>6,217</w:t>
            </w:r>
          </w:p>
        </w:tc>
        <w:tc>
          <w:tcPr>
            <w:tcW w:type="dxa" w:w="1426"/>
          </w:tcPr>
          <w:p>
            <w:pPr>
              <w:spacing w:after="20"/>
              <w:jc w:val="right"/>
            </w:pPr>
            <w:r>
              <w:rPr>
                <w:color w:val="1C3A36"/>
                <w:sz w:val="17"/>
              </w:rPr>
              <w:t>6,908</w:t>
            </w:r>
          </w:p>
        </w:tc>
        <w:tc>
          <w:tcPr>
            <w:tcW w:type="dxa" w:w="1426"/>
          </w:tcPr>
          <w:p>
            <w:pPr>
              <w:spacing w:after="20"/>
              <w:jc w:val="right"/>
            </w:pPr>
            <w:r>
              <w:rPr>
                <w:color w:val="1C3A36"/>
                <w:sz w:val="17"/>
              </w:rPr>
              <w:t>7,551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(15,674)</w:t>
            </w:r>
          </w:p>
        </w:tc>
        <w:tc>
          <w:tcPr>
            <w:tcW w:type="dxa" w:w="1426"/>
          </w:tcPr>
          <w:p>
            <w:pPr>
              <w:spacing w:after="20"/>
              <w:jc w:val="right"/>
            </w:pPr>
            <w:r>
              <w:rPr>
                <w:color w:val="1C3A36"/>
                <w:sz w:val="17"/>
              </w:rPr>
              <w:t>(17,777)</w:t>
            </w:r>
          </w:p>
        </w:tc>
        <w:tc>
          <w:tcPr>
            <w:tcW w:type="dxa" w:w="1426"/>
          </w:tcPr>
          <w:p>
            <w:pPr>
              <w:spacing w:after="20"/>
              <w:jc w:val="right"/>
            </w:pPr>
            <w:r>
              <w:rPr>
                <w:color w:val="1C3A36"/>
                <w:sz w:val="17"/>
              </w:rPr>
              <w:t>(19,753)</w:t>
            </w:r>
          </w:p>
        </w:tc>
        <w:tc>
          <w:tcPr>
            <w:tcW w:type="dxa" w:w="1426"/>
          </w:tcPr>
          <w:p>
            <w:pPr>
              <w:spacing w:after="20"/>
              <w:jc w:val="right"/>
            </w:pPr>
            <w:r>
              <w:rPr>
                <w:color w:val="1C3A36"/>
                <w:sz w:val="17"/>
              </w:rPr>
              <w:t>(21,590)</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(17,816)</w:t>
            </w:r>
          </w:p>
        </w:tc>
        <w:tc>
          <w:tcPr>
            <w:tcW w:type="dxa" w:w="1426"/>
          </w:tcPr>
          <w:p>
            <w:pPr>
              <w:spacing w:after="20"/>
              <w:jc w:val="right"/>
            </w:pPr>
            <w:r>
              <w:rPr>
                <w:color w:val="1C3A36"/>
                <w:sz w:val="17"/>
              </w:rPr>
              <w:t>(13,597)</w:t>
            </w:r>
          </w:p>
        </w:tc>
        <w:tc>
          <w:tcPr>
            <w:tcW w:type="dxa" w:w="1426"/>
          </w:tcPr>
          <w:p>
            <w:pPr>
              <w:spacing w:after="20"/>
              <w:jc w:val="right"/>
            </w:pPr>
            <w:r>
              <w:rPr>
                <w:color w:val="1C3A36"/>
                <w:sz w:val="17"/>
              </w:rPr>
              <w:t>(11,711)</w:t>
            </w:r>
          </w:p>
        </w:tc>
        <w:tc>
          <w:tcPr>
            <w:tcW w:type="dxa" w:w="1426"/>
          </w:tcPr>
          <w:p>
            <w:pPr>
              <w:spacing w:after="20"/>
              <w:jc w:val="right"/>
            </w:pPr>
            <w:r>
              <w:rPr>
                <w:color w:val="1C3A36"/>
                <w:sz w:val="17"/>
              </w:rPr>
              <w:t>(10,999)</w:t>
            </w:r>
          </w:p>
        </w:tc>
        <w:tc>
          <w:tcPr>
            <w:tcW w:type="dxa" w:w="1426"/>
          </w:tcPr>
          <w:p>
            <w:pPr>
              <w:spacing w:after="20"/>
              <w:jc w:val="right"/>
            </w:pPr>
            <w:r>
              <w:rPr>
                <w:color w:val="1C3A36"/>
                <w:sz w:val="17"/>
              </w:rPr>
              <w:t>(10,232)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-505</w:t>
            </w:r>
          </w:p>
        </w:tc>
        <w:tc>
          <w:tcPr>
            <w:tcW w:type="dxa" w:w="1426"/>
            <w:shd w:val="clear" w:color="auto" w:fill="F6F1E6"/>
          </w:tcPr>
          <w:p>
            <w:pPr>
              <w:spacing w:after="20"/>
              <w:jc w:val="right"/>
            </w:pPr>
            <w:r>
              <w:rPr>
                <w:b/>
                <w:color w:val="1C3A36"/>
                <w:sz w:val="17"/>
              </w:rPr>
              <w:t>7,557</w:t>
            </w:r>
          </w:p>
        </w:tc>
        <w:tc>
          <w:tcPr>
            <w:tcW w:type="dxa" w:w="1426"/>
            <w:shd w:val="clear" w:color="auto" w:fill="F6F1E6"/>
          </w:tcPr>
          <w:p>
            <w:pPr>
              <w:spacing w:after="20"/>
              <w:jc w:val="right"/>
            </w:pPr>
            <w:r>
              <w:rPr>
                <w:b/>
                <w:color w:val="1C3A36"/>
                <w:sz w:val="17"/>
              </w:rPr>
              <w:t>12,838</w:t>
            </w:r>
          </w:p>
        </w:tc>
        <w:tc>
          <w:tcPr>
            <w:tcW w:type="dxa" w:w="1426"/>
            <w:shd w:val="clear" w:color="auto" w:fill="F6F1E6"/>
          </w:tcPr>
          <w:p>
            <w:pPr>
              <w:spacing w:after="20"/>
              <w:jc w:val="right"/>
            </w:pPr>
            <w:r>
              <w:rPr>
                <w:b/>
                <w:color w:val="1C3A36"/>
                <w:sz w:val="17"/>
              </w:rPr>
              <w:t>16,640</w:t>
            </w:r>
          </w:p>
        </w:tc>
        <w:tc>
          <w:tcPr>
            <w:tcW w:type="dxa" w:w="1426"/>
            <w:shd w:val="clear" w:color="auto" w:fill="F6F1E6"/>
          </w:tcPr>
          <w:p>
            <w:pPr>
              <w:spacing w:after="20"/>
              <w:jc w:val="right"/>
            </w:pPr>
            <w:r>
              <w:rPr>
                <w:b/>
                <w:color w:val="1C3A36"/>
                <w:sz w:val="17"/>
              </w:rPr>
              <w:t>20,140</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23.7%</w:t>
            </w:r>
          </w:p>
        </w:tc>
        <w:tc>
          <w:tcPr>
            <w:tcW w:type="dxa" w:w="1426"/>
          </w:tcPr>
          <w:p>
            <w:pPr>
              <w:spacing w:after="20"/>
              <w:jc w:val="right"/>
            </w:pPr>
            <w:r>
              <w:rPr>
                <w:color w:val="1C3A36"/>
                <w:sz w:val="17"/>
              </w:rPr>
              <w:t>21.3%</w:t>
            </w:r>
          </w:p>
        </w:tc>
        <w:tc>
          <w:tcPr>
            <w:tcW w:type="dxa" w:w="1426"/>
          </w:tcPr>
          <w:p>
            <w:pPr>
              <w:spacing w:after="20"/>
              <w:jc w:val="right"/>
            </w:pPr>
            <w:r>
              <w:rPr>
                <w:color w:val="1C3A36"/>
                <w:sz w:val="17"/>
              </w:rPr>
              <w:t>19.3%</w:t>
            </w:r>
          </w:p>
        </w:tc>
        <w:tc>
          <w:tcPr>
            <w:tcW w:type="dxa" w:w="1426"/>
          </w:tcPr>
          <w:p>
            <w:pPr>
              <w:spacing w:after="20"/>
              <w:jc w:val="right"/>
            </w:pPr>
            <w:r>
              <w:rPr>
                <w:color w:val="1C3A36"/>
                <w:sz w:val="17"/>
              </w:rPr>
              <w:t>17.9%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0.6382</w:t>
            </w:r>
          </w:p>
        </w:tc>
        <w:tc>
          <w:tcPr>
            <w:tcW w:type="dxa" w:w="1426"/>
          </w:tcPr>
          <w:p>
            <w:pPr>
              <w:spacing w:after="20"/>
              <w:jc w:val="right"/>
            </w:pPr>
            <w:r>
              <w:rPr>
                <w:color w:val="1C3A36"/>
                <w:sz w:val="17"/>
              </w:rPr>
              <w:t>0.5262</w:t>
            </w:r>
          </w:p>
        </w:tc>
        <w:tc>
          <w:tcPr>
            <w:tcW w:type="dxa" w:w="1426"/>
          </w:tcPr>
          <w:p>
            <w:pPr>
              <w:spacing w:after="20"/>
              <w:jc w:val="right"/>
            </w:pPr>
            <w:r>
              <w:rPr>
                <w:color w:val="1C3A36"/>
                <w:sz w:val="17"/>
              </w:rPr>
              <w:t>0.4410</w:t>
            </w:r>
          </w:p>
        </w:tc>
        <w:tc>
          <w:tcPr>
            <w:tcW w:type="dxa" w:w="1426"/>
          </w:tcPr>
          <w:p>
            <w:pPr>
              <w:spacing w:after="20"/>
              <w:jc w:val="right"/>
            </w:pPr>
            <w:r>
              <w:rPr>
                <w:color w:val="1C3A36"/>
                <w:sz w:val="17"/>
              </w:rPr>
              <w:t>0.3742</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-398</w:t>
            </w:r>
          </w:p>
        </w:tc>
        <w:tc>
          <w:tcPr>
            <w:tcW w:type="dxa" w:w="1426"/>
            <w:shd w:val="clear" w:color="auto" w:fill="F6F1E6"/>
          </w:tcPr>
          <w:p>
            <w:pPr>
              <w:spacing w:after="20"/>
              <w:jc w:val="right"/>
            </w:pPr>
            <w:r>
              <w:rPr>
                <w:b/>
                <w:color w:val="1C3A36"/>
                <w:sz w:val="17"/>
              </w:rPr>
              <w:t>4,823</w:t>
            </w:r>
          </w:p>
        </w:tc>
        <w:tc>
          <w:tcPr>
            <w:tcW w:type="dxa" w:w="1426"/>
            <w:shd w:val="clear" w:color="auto" w:fill="F6F1E6"/>
          </w:tcPr>
          <w:p>
            <w:pPr>
              <w:spacing w:after="20"/>
              <w:jc w:val="right"/>
            </w:pPr>
            <w:r>
              <w:rPr>
                <w:b/>
                <w:color w:val="1C3A36"/>
                <w:sz w:val="17"/>
              </w:rPr>
              <w:t>6,756</w:t>
            </w:r>
          </w:p>
        </w:tc>
        <w:tc>
          <w:tcPr>
            <w:tcW w:type="dxa" w:w="1426"/>
            <w:shd w:val="clear" w:color="auto" w:fill="F6F1E6"/>
          </w:tcPr>
          <w:p>
            <w:pPr>
              <w:spacing w:after="20"/>
              <w:jc w:val="right"/>
            </w:pPr>
            <w:r>
              <w:rPr>
                <w:b/>
                <w:color w:val="1C3A36"/>
                <w:sz w:val="17"/>
              </w:rPr>
              <w:t>7,339</w:t>
            </w:r>
          </w:p>
        </w:tc>
        <w:tc>
          <w:tcPr>
            <w:tcW w:type="dxa" w:w="1426"/>
            <w:shd w:val="clear" w:color="auto" w:fill="F6F1E6"/>
          </w:tcPr>
          <w:p>
            <w:pPr>
              <w:spacing w:after="20"/>
              <w:jc w:val="right"/>
            </w:pPr>
            <w:r>
              <w:rPr>
                <w:b/>
                <w:color w:val="1C3A36"/>
                <w:sz w:val="17"/>
              </w:rPr>
              <w:t>7,537</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438,521</w:t>
            </w:r>
          </w:p>
        </w:tc>
        <w:tc>
          <w:tcPr>
            <w:tcW w:type="dxa" w:w="893"/>
          </w:tcPr>
          <w:p>
            <w:pPr>
              <w:spacing w:after="20"/>
              <w:jc w:val="right"/>
            </w:pPr>
            <w:r>
              <w:rPr>
                <w:color w:val="1C3A36"/>
                <w:sz w:val="15"/>
              </w:rPr>
              <w:t>497,370</w:t>
            </w:r>
          </w:p>
        </w:tc>
        <w:tc>
          <w:tcPr>
            <w:tcW w:type="dxa" w:w="893"/>
          </w:tcPr>
          <w:p>
            <w:pPr>
              <w:spacing w:after="20"/>
              <w:jc w:val="right"/>
            </w:pPr>
            <w:r>
              <w:rPr>
                <w:color w:val="1C3A36"/>
                <w:sz w:val="15"/>
              </w:rPr>
              <w:t>552,642</w:t>
            </w:r>
          </w:p>
        </w:tc>
        <w:tc>
          <w:tcPr>
            <w:tcW w:type="dxa" w:w="893"/>
          </w:tcPr>
          <w:p>
            <w:pPr>
              <w:spacing w:after="20"/>
              <w:jc w:val="right"/>
            </w:pPr>
            <w:r>
              <w:rPr>
                <w:color w:val="1C3A36"/>
                <w:sz w:val="15"/>
              </w:rPr>
              <w:t>604,060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38,953</w:t>
            </w:r>
          </w:p>
        </w:tc>
        <w:tc>
          <w:tcPr>
            <w:tcW w:type="dxa" w:w="893"/>
          </w:tcPr>
          <w:p>
            <w:pPr>
              <w:spacing w:after="20"/>
              <w:jc w:val="right"/>
            </w:pPr>
            <w:r>
              <w:rPr>
                <w:color w:val="1C3A36"/>
                <w:sz w:val="15"/>
              </w:rPr>
              <w:t>47,000</w:t>
            </w:r>
          </w:p>
        </w:tc>
        <w:tc>
          <w:tcPr>
            <w:tcW w:type="dxa" w:w="893"/>
          </w:tcPr>
          <w:p>
            <w:pPr>
              <w:spacing w:after="20"/>
              <w:jc w:val="right"/>
            </w:pPr>
            <w:r>
              <w:rPr>
                <w:color w:val="1C3A36"/>
                <w:sz w:val="15"/>
              </w:rPr>
              <w:t>54,043</w:t>
            </w:r>
          </w:p>
        </w:tc>
        <w:tc>
          <w:tcPr>
            <w:tcW w:type="dxa" w:w="893"/>
          </w:tcPr>
          <w:p>
            <w:pPr>
              <w:spacing w:after="20"/>
              <w:jc w:val="right"/>
            </w:pPr>
            <w:r>
              <w:rPr>
                <w:color w:val="1C3A36"/>
                <w:sz w:val="15"/>
              </w:rPr>
              <w:t>60,529</w:t>
            </w:r>
          </w:p>
        </w:tc>
        <w:tc>
          <w:tcPr>
            <w:tcW w:type="dxa" w:w="893"/>
          </w:tcPr>
          <w:p>
            <w:pPr>
              <w:spacing w:after="20"/>
              <w:jc w:val="right"/>
            </w:pPr>
            <w:r>
              <w:rPr>
                <w:color w:val="1C3A36"/>
                <w:sz w:val="15"/>
              </w:rPr>
              <w:t>66,374</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-10,172</w:t>
            </w:r>
          </w:p>
        </w:tc>
        <w:tc>
          <w:tcPr>
            <w:tcW w:type="dxa" w:w="893"/>
          </w:tcPr>
          <w:p>
            <w:pPr>
              <w:spacing w:after="20"/>
              <w:jc w:val="right"/>
            </w:pPr>
            <w:r>
              <w:rPr>
                <w:color w:val="1C3A36"/>
                <w:sz w:val="15"/>
              </w:rPr>
              <w:t>-11,717</w:t>
            </w:r>
          </w:p>
        </w:tc>
        <w:tc>
          <w:tcPr>
            <w:tcW w:type="dxa" w:w="893"/>
          </w:tcPr>
          <w:p>
            <w:pPr>
              <w:spacing w:after="20"/>
              <w:jc w:val="right"/>
            </w:pPr>
            <w:r>
              <w:rPr>
                <w:color w:val="1C3A36"/>
                <w:sz w:val="15"/>
              </w:rPr>
              <w:t>-13,137</w:t>
            </w:r>
          </w:p>
        </w:tc>
        <w:tc>
          <w:tcPr>
            <w:tcW w:type="dxa" w:w="893"/>
          </w:tcPr>
          <w:p>
            <w:pPr>
              <w:spacing w:after="20"/>
              <w:jc w:val="right"/>
            </w:pPr>
            <w:r>
              <w:rPr>
                <w:color w:val="1C3A36"/>
                <w:sz w:val="15"/>
              </w:rPr>
              <w:t>-14,412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-15,674</w:t>
            </w:r>
          </w:p>
        </w:tc>
        <w:tc>
          <w:tcPr>
            <w:tcW w:type="dxa" w:w="893"/>
          </w:tcPr>
          <w:p>
            <w:pPr>
              <w:spacing w:after="20"/>
              <w:jc w:val="right"/>
            </w:pPr>
            <w:r>
              <w:rPr>
                <w:color w:val="1C3A36"/>
                <w:sz w:val="15"/>
              </w:rPr>
              <w:t>-17,777</w:t>
            </w:r>
          </w:p>
        </w:tc>
        <w:tc>
          <w:tcPr>
            <w:tcW w:type="dxa" w:w="893"/>
          </w:tcPr>
          <w:p>
            <w:pPr>
              <w:spacing w:after="20"/>
              <w:jc w:val="right"/>
            </w:pPr>
            <w:r>
              <w:rPr>
                <w:color w:val="1C3A36"/>
                <w:sz w:val="15"/>
              </w:rPr>
              <w:t>-19,753</w:t>
            </w:r>
          </w:p>
        </w:tc>
        <w:tc>
          <w:tcPr>
            <w:tcW w:type="dxa" w:w="893"/>
          </w:tcPr>
          <w:p>
            <w:pPr>
              <w:spacing w:after="20"/>
              <w:jc w:val="right"/>
            </w:pPr>
            <w:r>
              <w:rPr>
                <w:color w:val="1C3A36"/>
                <w:sz w:val="15"/>
              </w:rPr>
              <w:t>-21,590</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-17,816</w:t>
            </w:r>
          </w:p>
        </w:tc>
        <w:tc>
          <w:tcPr>
            <w:tcW w:type="dxa" w:w="893"/>
          </w:tcPr>
          <w:p>
            <w:pPr>
              <w:spacing w:after="20"/>
              <w:jc w:val="right"/>
            </w:pPr>
            <w:r>
              <w:rPr>
                <w:color w:val="1C3A36"/>
                <w:sz w:val="15"/>
              </w:rPr>
              <w:t>-13,597</w:t>
            </w:r>
          </w:p>
        </w:tc>
        <w:tc>
          <w:tcPr>
            <w:tcW w:type="dxa" w:w="893"/>
          </w:tcPr>
          <w:p>
            <w:pPr>
              <w:spacing w:after="20"/>
              <w:jc w:val="right"/>
            </w:pPr>
            <w:r>
              <w:rPr>
                <w:color w:val="1C3A36"/>
                <w:sz w:val="15"/>
              </w:rPr>
              <w:t>-11,711</w:t>
            </w:r>
          </w:p>
        </w:tc>
        <w:tc>
          <w:tcPr>
            <w:tcW w:type="dxa" w:w="893"/>
          </w:tcPr>
          <w:p>
            <w:pPr>
              <w:spacing w:after="20"/>
              <w:jc w:val="right"/>
            </w:pPr>
            <w:r>
              <w:rPr>
                <w:color w:val="1C3A36"/>
                <w:sz w:val="15"/>
              </w:rPr>
              <w:t>-10,999</w:t>
            </w:r>
          </w:p>
        </w:tc>
        <w:tc>
          <w:tcPr>
            <w:tcW w:type="dxa" w:w="893"/>
          </w:tcPr>
          <w:p>
            <w:pPr>
              <w:spacing w:after="20"/>
              <w:jc w:val="right"/>
            </w:pPr>
            <w:r>
              <w:rPr>
                <w:color w:val="1C3A36"/>
                <w:sz w:val="15"/>
              </w:rPr>
              <w:t>-10,232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4,627</w:t>
            </w:r>
          </w:p>
        </w:tc>
        <w:tc>
          <w:tcPr>
            <w:tcW w:type="dxa" w:w="893"/>
          </w:tcPr>
          <w:p>
            <w:pPr>
              <w:spacing w:after="20"/>
              <w:jc w:val="right"/>
            </w:pPr>
            <w:r>
              <w:rPr>
                <w:color w:val="1C3A36"/>
                <w:sz w:val="15"/>
              </w:rPr>
              <w:t>5,482</w:t>
            </w:r>
          </w:p>
        </w:tc>
        <w:tc>
          <w:tcPr>
            <w:tcW w:type="dxa" w:w="893"/>
          </w:tcPr>
          <w:p>
            <w:pPr>
              <w:spacing w:after="20"/>
              <w:jc w:val="right"/>
            </w:pPr>
            <w:r>
              <w:rPr>
                <w:color w:val="1C3A36"/>
                <w:sz w:val="15"/>
              </w:rPr>
              <w:t>6,217</w:t>
            </w:r>
          </w:p>
        </w:tc>
        <w:tc>
          <w:tcPr>
            <w:tcW w:type="dxa" w:w="893"/>
          </w:tcPr>
          <w:p>
            <w:pPr>
              <w:spacing w:after="20"/>
              <w:jc w:val="right"/>
            </w:pPr>
            <w:r>
              <w:rPr>
                <w:color w:val="1C3A36"/>
                <w:sz w:val="15"/>
              </w:rPr>
              <w:t>6,908</w:t>
            </w:r>
          </w:p>
        </w:tc>
        <w:tc>
          <w:tcPr>
            <w:tcW w:type="dxa" w:w="893"/>
          </w:tcPr>
          <w:p>
            <w:pPr>
              <w:spacing w:after="20"/>
              <w:jc w:val="right"/>
            </w:pPr>
            <w:r>
              <w:rPr>
                <w:color w:val="1C3A36"/>
                <w:sz w:val="15"/>
              </w:rPr>
              <w:t>7,551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-505</w:t>
            </w:r>
          </w:p>
        </w:tc>
        <w:tc>
          <w:tcPr>
            <w:tcW w:type="dxa" w:w="893"/>
            <w:shd w:val="clear" w:color="auto" w:fill="F6F1E6"/>
          </w:tcPr>
          <w:p>
            <w:pPr>
              <w:spacing w:after="20"/>
              <w:jc w:val="right"/>
            </w:pPr>
            <w:r>
              <w:rPr>
                <w:b/>
                <w:color w:val="1C3A36"/>
                <w:sz w:val="15"/>
              </w:rPr>
              <w:t>7,557</w:t>
            </w:r>
          </w:p>
        </w:tc>
        <w:tc>
          <w:tcPr>
            <w:tcW w:type="dxa" w:w="893"/>
            <w:shd w:val="clear" w:color="auto" w:fill="F6F1E6"/>
          </w:tcPr>
          <w:p>
            <w:pPr>
              <w:spacing w:after="20"/>
              <w:jc w:val="right"/>
            </w:pPr>
            <w:r>
              <w:rPr>
                <w:b/>
                <w:color w:val="1C3A36"/>
                <w:sz w:val="15"/>
              </w:rPr>
              <w:t>12,838</w:t>
            </w:r>
          </w:p>
        </w:tc>
        <w:tc>
          <w:tcPr>
            <w:tcW w:type="dxa" w:w="893"/>
            <w:shd w:val="clear" w:color="auto" w:fill="F6F1E6"/>
          </w:tcPr>
          <w:p>
            <w:pPr>
              <w:spacing w:after="20"/>
              <w:jc w:val="right"/>
            </w:pPr>
            <w:r>
              <w:rPr>
                <w:b/>
                <w:color w:val="1C3A36"/>
                <w:sz w:val="15"/>
              </w:rPr>
              <w:t>16,640</w:t>
            </w:r>
          </w:p>
        </w:tc>
        <w:tc>
          <w:tcPr>
            <w:tcW w:type="dxa" w:w="893"/>
            <w:shd w:val="clear" w:color="auto" w:fill="F6F1E6"/>
          </w:tcPr>
          <w:p>
            <w:pPr>
              <w:spacing w:after="20"/>
              <w:jc w:val="right"/>
            </w:pPr>
            <w:r>
              <w:rPr>
                <w:b/>
                <w:color w:val="1C3A36"/>
                <w:sz w:val="15"/>
              </w:rPr>
              <w:t>20,140</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23.72%</w:t>
            </w:r>
          </w:p>
        </w:tc>
        <w:tc>
          <w:tcPr>
            <w:tcW w:type="dxa" w:w="893"/>
          </w:tcPr>
          <w:p>
            <w:pPr>
              <w:spacing w:after="20"/>
              <w:jc w:val="right"/>
            </w:pPr>
            <w:r>
              <w:rPr>
                <w:color w:val="1C3A36"/>
                <w:sz w:val="15"/>
              </w:rPr>
              <w:t>21.28%</w:t>
            </w:r>
          </w:p>
        </w:tc>
        <w:tc>
          <w:tcPr>
            <w:tcW w:type="dxa" w:w="893"/>
          </w:tcPr>
          <w:p>
            <w:pPr>
              <w:spacing w:after="20"/>
              <w:jc w:val="right"/>
            </w:pPr>
            <w:r>
              <w:rPr>
                <w:color w:val="1C3A36"/>
                <w:sz w:val="15"/>
              </w:rPr>
              <w:t>19.32%</w:t>
            </w:r>
          </w:p>
        </w:tc>
        <w:tc>
          <w:tcPr>
            <w:tcW w:type="dxa" w:w="893"/>
          </w:tcPr>
          <w:p>
            <w:pPr>
              <w:spacing w:after="20"/>
              <w:jc w:val="right"/>
            </w:pPr>
            <w:r>
              <w:rPr>
                <w:color w:val="1C3A36"/>
                <w:sz w:val="15"/>
              </w:rPr>
              <w:t>17.85%</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0.6382</w:t>
            </w:r>
          </w:p>
        </w:tc>
        <w:tc>
          <w:tcPr>
            <w:tcW w:type="dxa" w:w="893"/>
          </w:tcPr>
          <w:p>
            <w:pPr>
              <w:spacing w:after="20"/>
              <w:jc w:val="right"/>
            </w:pPr>
            <w:r>
              <w:rPr>
                <w:color w:val="1C3A36"/>
                <w:sz w:val="15"/>
              </w:rPr>
              <w:t>0.5262</w:t>
            </w:r>
          </w:p>
        </w:tc>
        <w:tc>
          <w:tcPr>
            <w:tcW w:type="dxa" w:w="893"/>
          </w:tcPr>
          <w:p>
            <w:pPr>
              <w:spacing w:after="20"/>
              <w:jc w:val="right"/>
            </w:pPr>
            <w:r>
              <w:rPr>
                <w:color w:val="1C3A36"/>
                <w:sz w:val="15"/>
              </w:rPr>
              <w:t>0.4410</w:t>
            </w:r>
          </w:p>
        </w:tc>
        <w:tc>
          <w:tcPr>
            <w:tcW w:type="dxa" w:w="893"/>
          </w:tcPr>
          <w:p>
            <w:pPr>
              <w:spacing w:after="20"/>
              <w:jc w:val="right"/>
            </w:pPr>
            <w:r>
              <w:rPr>
                <w:color w:val="1C3A36"/>
                <w:sz w:val="15"/>
              </w:rPr>
              <w:t>0.3742</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-398</w:t>
            </w:r>
          </w:p>
        </w:tc>
        <w:tc>
          <w:tcPr>
            <w:tcW w:type="dxa" w:w="893"/>
          </w:tcPr>
          <w:p>
            <w:pPr>
              <w:spacing w:after="20"/>
              <w:jc w:val="right"/>
            </w:pPr>
            <w:r>
              <w:rPr>
                <w:color w:val="1C3A36"/>
                <w:sz w:val="15"/>
              </w:rPr>
              <w:t>4,823</w:t>
            </w:r>
          </w:p>
        </w:tc>
        <w:tc>
          <w:tcPr>
            <w:tcW w:type="dxa" w:w="893"/>
          </w:tcPr>
          <w:p>
            <w:pPr>
              <w:spacing w:after="20"/>
              <w:jc w:val="right"/>
            </w:pPr>
            <w:r>
              <w:rPr>
                <w:color w:val="1C3A36"/>
                <w:sz w:val="15"/>
              </w:rPr>
              <w:t>6,756</w:t>
            </w:r>
          </w:p>
        </w:tc>
        <w:tc>
          <w:tcPr>
            <w:tcW w:type="dxa" w:w="893"/>
          </w:tcPr>
          <w:p>
            <w:pPr>
              <w:spacing w:after="20"/>
              <w:jc w:val="right"/>
            </w:pPr>
            <w:r>
              <w:rPr>
                <w:color w:val="1C3A36"/>
                <w:sz w:val="15"/>
              </w:rPr>
              <w:t>7,339</w:t>
            </w:r>
          </w:p>
        </w:tc>
        <w:tc>
          <w:tcPr>
            <w:tcW w:type="dxa" w:w="893"/>
          </w:tcPr>
          <w:p>
            <w:pPr>
              <w:spacing w:after="20"/>
              <w:jc w:val="right"/>
            </w:pPr>
            <w:r>
              <w:rPr>
                <w:color w:val="1C3A36"/>
                <w:sz w:val="15"/>
              </w:rPr>
              <w:t>7,537</w:t>
            </w:r>
          </w:p>
        </w:tc>
      </w:tr>
      <w:tr>
        <w:tc>
          <w:tcPr>
            <w:tcW w:type="dxa" w:w="3024"/>
          </w:tcPr>
          <w:p>
            <w:pPr>
              <w:spacing w:after="20"/>
            </w:pPr>
            <w:r>
              <w:rPr>
                <w:color w:val="1C3A36"/>
                <w:sz w:val="15"/>
              </w:rPr>
              <w:t>Sum of present values, explicit window</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26,056</w:t>
            </w:r>
          </w:p>
        </w:tc>
      </w:tr>
      <w:tr>
        <w:tc>
          <w:tcPr>
            <w:tcW w:type="dxa" w:w="3024"/>
          </w:tcPr>
          <w:p>
            <w:pPr>
              <w:spacing w:after="20"/>
            </w:pPr>
            <w:r>
              <w:rPr>
                <w:color w:val="1C3A36"/>
                <w:sz w:val="15"/>
              </w:rPr>
              <w:t>Terminal value, undiscounted</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321,925</w:t>
            </w:r>
          </w:p>
        </w:tc>
      </w:tr>
      <w:tr>
        <w:tc>
          <w:tcPr>
            <w:tcW w:type="dxa" w:w="3024"/>
          </w:tcPr>
          <w:p>
            <w:pPr>
              <w:spacing w:after="20"/>
            </w:pPr>
            <w:r>
              <w:rPr>
                <w:color w:val="1C3A36"/>
                <w:sz w:val="15"/>
              </w:rPr>
              <w:t>Present value of the terminal value</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120,470</w:t>
            </w:r>
          </w:p>
        </w:tc>
      </w:tr>
      <w:tr>
        <w:tc>
          <w:tcPr>
            <w:tcW w:type="dxa" w:w="3024"/>
          </w:tcPr>
          <w:p>
            <w:pPr>
              <w:spacing w:after="20"/>
            </w:pPr>
            <w:r>
              <w:rPr>
                <w:color w:val="1C3A36"/>
                <w:sz w:val="15"/>
              </w:rPr>
              <w:t>Terminal value as a share of enterprise value</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82.22%</w:t>
            </w:r>
          </w:p>
        </w:tc>
      </w:tr>
      <w:tr>
        <w:tc>
          <w:tcPr>
            <w:tcW w:type="dxa" w:w="3024"/>
          </w:tcPr>
          <w:p>
            <w:pPr>
              <w:spacing w:after="20"/>
            </w:pPr>
            <w:r>
              <w:rPr>
                <w:color w:val="1C3A36"/>
                <w:sz w:val="15"/>
              </w:rPr>
              <w:t>Cost of capital, first explicit year</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26.65%</w:t>
            </w:r>
          </w:p>
        </w:tc>
      </w:tr>
      <w:tr>
        <w:tc>
          <w:tcPr>
            <w:tcW w:type="dxa" w:w="3024"/>
          </w:tcPr>
          <w:p>
            <w:pPr>
              <w:spacing w:after="20"/>
            </w:pPr>
            <w:r>
              <w:rPr>
                <w:color w:val="1C3A36"/>
                <w:sz w:val="15"/>
              </w:rPr>
              <w:t>Cost of capital, terminal</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17.85%</w:t>
            </w:r>
          </w:p>
        </w:tc>
      </w:tr>
      <w:tr>
        <w:tc>
          <w:tcPr>
            <w:tcW w:type="dxa" w:w="3024"/>
          </w:tcPr>
          <w:p>
            <w:pPr>
              <w:spacing w:after="20"/>
            </w:pPr>
            <w:r>
              <w:rPr>
                <w:color w:val="1C3A36"/>
                <w:sz w:val="15"/>
              </w:rPr>
              <w:t>Terminal growth</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9.14%</w:t>
            </w:r>
          </w:p>
        </w:tc>
      </w:tr>
      <w:tr>
        <w:tc>
          <w:tcPr>
            <w:tcW w:type="dxa" w:w="3024"/>
            <w:shd w:val="clear" w:color="auto" w:fill="F6F1E6"/>
          </w:tcPr>
          <w:p>
            <w:pPr>
              <w:spacing w:after="20"/>
            </w:pPr>
            <w:r>
              <w:rPr>
                <w:b/>
                <w:color w:val="1C3A36"/>
                <w:sz w:val="15"/>
              </w:rPr>
              <w:t>ENTERPRISE VALUE</w:t>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t>146,525</w:t>
            </w:r>
          </w:p>
        </w:tc>
      </w:tr>
      <w:tr>
        <w:tc>
          <w:tcPr>
            <w:tcW w:type="dxa" w:w="3024"/>
          </w:tcPr>
          <w:p>
            <w:pPr>
              <w:spacing w:after="20"/>
            </w:pPr>
            <w:r>
              <w:rPr>
                <w:color w:val="1C3A36"/>
                <w:sz w:val="15"/>
              </w:rPr>
              <w:t>Less: net debt</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-20,560</w:t>
            </w:r>
          </w:p>
        </w:tc>
      </w:tr>
      <w:tr>
        <w:tc>
          <w:tcPr>
            <w:tcW w:type="dxa" w:w="3024"/>
          </w:tcPr>
          <w:p>
            <w:pPr>
              <w:spacing w:after="20"/>
            </w:pPr>
            <w:r>
              <w:rPr>
                <w:color w:val="1C3A36"/>
                <w:sz w:val="15"/>
              </w:rPr>
              <w:t>Add: investments in associates</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6,758</w:t>
            </w:r>
          </w:p>
        </w:tc>
      </w:tr>
      <w:tr>
        <w:tc>
          <w:tcPr>
            <w:tcW w:type="dxa" w:w="3024"/>
          </w:tcPr>
          <w:p>
            <w:pPr>
              <w:spacing w:after="20"/>
            </w:pPr>
            <w:r>
              <w:rPr>
                <w:color w:val="1C3A36"/>
                <w:sz w:val="15"/>
              </w:rPr>
              <w:t>Less: minority interests</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-12,841</w:t>
            </w:r>
          </w:p>
        </w:tc>
      </w:tr>
      <w:tr>
        <w:tc>
          <w:tcPr>
            <w:tcW w:type="dxa" w:w="3024"/>
            <w:shd w:val="clear" w:color="auto" w:fill="F6F1E6"/>
          </w:tcPr>
          <w:p>
            <w:pPr>
              <w:spacing w:after="20"/>
            </w:pPr>
            <w:r>
              <w:rPr>
                <w:b/>
                <w:color w:val="1C3A36"/>
                <w:sz w:val="15"/>
              </w:rPr>
              <w:t>EQUITY VALUE</w:t>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t>105,265</w:t>
            </w:r>
          </w:p>
        </w:tc>
      </w:tr>
      <w:tr>
        <w:tc>
          <w:tcPr>
            <w:tcW w:type="dxa" w:w="3024"/>
          </w:tcPr>
          <w:p>
            <w:pPr>
              <w:spacing w:after="20"/>
            </w:pPr>
            <w:r>
              <w:rPr>
                <w:color w:val="1C3A36"/>
                <w:sz w:val="15"/>
              </w:rPr>
              <w:t>Value per share at the model date</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49.17</w:t>
            </w:r>
          </w:p>
        </w:tc>
      </w:tr>
      <w:tr>
        <w:tc>
          <w:tcPr>
            <w:tcW w:type="dxa" w:w="3024"/>
            <w:shd w:val="clear" w:color="auto" w:fill="F6F1E6"/>
          </w:tcPr>
          <w:p>
            <w:pPr>
              <w:spacing w:after="20"/>
            </w:pPr>
            <w:r>
              <w:rPr>
                <w:b/>
                <w:color w:val="1C3A36"/>
                <w:sz w:val="15"/>
              </w:rPr>
              <w:t>VALUE PER SHARE</w:t>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t>56.25</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17,816 against capital expenditure of 13,232 — which is what growth costs a working-capital-heavy industrial and is not a distress signal. The terminal value is 82.2%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15.85%</w:t>
            </w:r>
          </w:p>
        </w:tc>
        <w:tc>
          <w:tcPr>
            <w:tcW w:type="dxa" w:w="1483"/>
          </w:tcPr>
          <w:p>
            <w:pPr>
              <w:spacing w:after="20"/>
              <w:jc w:val="right"/>
            </w:pPr>
            <w:r>
              <w:rPr>
                <w:color w:val="1C3A36"/>
                <w:sz w:val="15"/>
              </w:rPr>
              <w:t>66.56</w:t>
            </w:r>
          </w:p>
        </w:tc>
        <w:tc>
          <w:tcPr>
            <w:tcW w:type="dxa" w:w="1483"/>
          </w:tcPr>
          <w:p>
            <w:pPr>
              <w:spacing w:after="20"/>
              <w:jc w:val="right"/>
            </w:pPr>
            <w:r>
              <w:rPr>
                <w:color w:val="1C3A36"/>
                <w:sz w:val="15"/>
              </w:rPr>
              <w:t>70.51</w:t>
            </w:r>
          </w:p>
        </w:tc>
        <w:tc>
          <w:tcPr>
            <w:tcW w:type="dxa" w:w="1483"/>
          </w:tcPr>
          <w:p>
            <w:pPr>
              <w:spacing w:after="20"/>
              <w:jc w:val="right"/>
            </w:pPr>
            <w:r>
              <w:rPr>
                <w:color w:val="1C3A36"/>
                <w:sz w:val="15"/>
              </w:rPr>
              <w:t>75.54</w:t>
            </w:r>
          </w:p>
        </w:tc>
        <w:tc>
          <w:tcPr>
            <w:tcW w:type="dxa" w:w="1483"/>
          </w:tcPr>
          <w:p>
            <w:pPr>
              <w:spacing w:after="20"/>
              <w:jc w:val="right"/>
            </w:pPr>
            <w:r>
              <w:rPr>
                <w:color w:val="1C3A36"/>
                <w:sz w:val="15"/>
              </w:rPr>
              <w:t>82.21</w:t>
            </w:r>
          </w:p>
        </w:tc>
        <w:tc>
          <w:tcPr>
            <w:tcW w:type="dxa" w:w="1483"/>
          </w:tcPr>
          <w:p>
            <w:pPr>
              <w:spacing w:after="20"/>
              <w:jc w:val="right"/>
            </w:pPr>
            <w:r>
              <w:rPr>
                <w:color w:val="1C3A36"/>
                <w:sz w:val="15"/>
              </w:rPr>
              <w:t>91.57</w:t>
            </w:r>
          </w:p>
        </w:tc>
      </w:tr>
      <w:tr>
        <w:tc>
          <w:tcPr>
            <w:tcW w:type="dxa" w:w="2232"/>
          </w:tcPr>
          <w:p>
            <w:pPr>
              <w:spacing w:after="20"/>
            </w:pPr>
            <w:r>
              <w:rPr>
                <w:color w:val="1C3A36"/>
                <w:sz w:val="15"/>
              </w:rPr>
              <w:t>16.85%</w:t>
            </w:r>
          </w:p>
        </w:tc>
        <w:tc>
          <w:tcPr>
            <w:tcW w:type="dxa" w:w="1483"/>
          </w:tcPr>
          <w:p>
            <w:pPr>
              <w:spacing w:after="20"/>
              <w:jc w:val="right"/>
            </w:pPr>
            <w:r>
              <w:rPr>
                <w:color w:val="1C3A36"/>
                <w:sz w:val="15"/>
              </w:rPr>
              <w:t>58.64</w:t>
            </w:r>
          </w:p>
        </w:tc>
        <w:tc>
          <w:tcPr>
            <w:tcW w:type="dxa" w:w="1483"/>
          </w:tcPr>
          <w:p>
            <w:pPr>
              <w:spacing w:after="20"/>
              <w:jc w:val="right"/>
            </w:pPr>
            <w:r>
              <w:rPr>
                <w:color w:val="1C3A36"/>
                <w:sz w:val="15"/>
              </w:rPr>
              <w:t>61.34</w:t>
            </w:r>
          </w:p>
        </w:tc>
        <w:tc>
          <w:tcPr>
            <w:tcW w:type="dxa" w:w="1483"/>
          </w:tcPr>
          <w:p>
            <w:pPr>
              <w:spacing w:after="20"/>
              <w:jc w:val="right"/>
            </w:pPr>
            <w:r>
              <w:rPr>
                <w:color w:val="1C3A36"/>
                <w:sz w:val="15"/>
              </w:rPr>
              <w:t>64.64</w:t>
            </w:r>
          </w:p>
        </w:tc>
        <w:tc>
          <w:tcPr>
            <w:tcW w:type="dxa" w:w="1483"/>
          </w:tcPr>
          <w:p>
            <w:pPr>
              <w:spacing w:after="20"/>
              <w:jc w:val="right"/>
            </w:pPr>
            <w:r>
              <w:rPr>
                <w:color w:val="1C3A36"/>
                <w:sz w:val="15"/>
              </w:rPr>
              <w:t>68.84</w:t>
            </w:r>
          </w:p>
        </w:tc>
        <w:tc>
          <w:tcPr>
            <w:tcW w:type="dxa" w:w="1483"/>
          </w:tcPr>
          <w:p>
            <w:pPr>
              <w:spacing w:after="20"/>
              <w:jc w:val="right"/>
            </w:pPr>
            <w:r>
              <w:rPr>
                <w:color w:val="1C3A36"/>
                <w:sz w:val="15"/>
              </w:rPr>
              <w:t>74.38</w:t>
            </w:r>
          </w:p>
        </w:tc>
      </w:tr>
      <w:tr>
        <w:tc>
          <w:tcPr>
            <w:tcW w:type="dxa" w:w="2232"/>
            <w:shd w:val="clear" w:color="auto" w:fill="F6F1E6"/>
          </w:tcPr>
          <w:p>
            <w:pPr>
              <w:spacing w:after="20"/>
            </w:pPr>
            <w:r>
              <w:rPr>
                <w:b/>
                <w:color w:val="1C3A36"/>
                <w:sz w:val="15"/>
              </w:rPr>
              <w:t>17.85%</w:t>
            </w:r>
          </w:p>
        </w:tc>
        <w:tc>
          <w:tcPr>
            <w:tcW w:type="dxa" w:w="1483"/>
            <w:shd w:val="clear" w:color="auto" w:fill="F6F1E6"/>
          </w:tcPr>
          <w:p>
            <w:pPr>
              <w:spacing w:after="20"/>
              <w:jc w:val="right"/>
            </w:pPr>
            <w:r>
              <w:rPr>
                <w:b/>
                <w:color w:val="1C3A36"/>
                <w:sz w:val="15"/>
              </w:rPr>
              <w:t>52.21</w:t>
            </w:r>
          </w:p>
        </w:tc>
        <w:tc>
          <w:tcPr>
            <w:tcW w:type="dxa" w:w="1483"/>
            <w:shd w:val="clear" w:color="auto" w:fill="F6F1E6"/>
          </w:tcPr>
          <w:p>
            <w:pPr>
              <w:spacing w:after="20"/>
              <w:jc w:val="right"/>
            </w:pPr>
            <w:r>
              <w:rPr>
                <w:b/>
                <w:color w:val="1C3A36"/>
                <w:sz w:val="15"/>
              </w:rPr>
              <w:t>54.05</w:t>
            </w:r>
          </w:p>
        </w:tc>
        <w:tc>
          <w:tcPr>
            <w:tcW w:type="dxa" w:w="1483"/>
            <w:shd w:val="clear" w:color="auto" w:fill="F6F1E6"/>
          </w:tcPr>
          <w:p>
            <w:pPr>
              <w:spacing w:after="20"/>
              <w:jc w:val="right"/>
            </w:pPr>
            <w:r>
              <w:rPr>
                <w:b/>
                <w:color w:val="1C3A36"/>
                <w:sz w:val="15"/>
              </w:rPr>
              <w:t>56.25</w:t>
            </w:r>
          </w:p>
        </w:tc>
        <w:tc>
          <w:tcPr>
            <w:tcW w:type="dxa" w:w="1483"/>
            <w:shd w:val="clear" w:color="auto" w:fill="F6F1E6"/>
          </w:tcPr>
          <w:p>
            <w:pPr>
              <w:spacing w:after="20"/>
              <w:jc w:val="right"/>
            </w:pPr>
            <w:r>
              <w:rPr>
                <w:b/>
                <w:color w:val="1C3A36"/>
                <w:sz w:val="15"/>
              </w:rPr>
              <w:t>58.93</w:t>
            </w:r>
          </w:p>
        </w:tc>
        <w:tc>
          <w:tcPr>
            <w:tcW w:type="dxa" w:w="1483"/>
            <w:shd w:val="clear" w:color="auto" w:fill="F6F1E6"/>
          </w:tcPr>
          <w:p>
            <w:pPr>
              <w:spacing w:after="20"/>
              <w:jc w:val="right"/>
            </w:pPr>
            <w:r>
              <w:rPr>
                <w:b/>
                <w:color w:val="1C3A36"/>
                <w:sz w:val="15"/>
              </w:rPr>
              <w:t>62.31</w:t>
            </w:r>
          </w:p>
        </w:tc>
      </w:tr>
      <w:tr>
        <w:tc>
          <w:tcPr>
            <w:tcW w:type="dxa" w:w="2232"/>
          </w:tcPr>
          <w:p>
            <w:pPr>
              <w:spacing w:after="20"/>
            </w:pPr>
            <w:r>
              <w:rPr>
                <w:color w:val="1C3A36"/>
                <w:sz w:val="15"/>
              </w:rPr>
              <w:t>18.85%</w:t>
            </w:r>
          </w:p>
        </w:tc>
        <w:tc>
          <w:tcPr>
            <w:tcW w:type="dxa" w:w="1483"/>
          </w:tcPr>
          <w:p>
            <w:pPr>
              <w:spacing w:after="20"/>
              <w:jc w:val="right"/>
            </w:pPr>
            <w:r>
              <w:rPr>
                <w:color w:val="1C3A36"/>
                <w:sz w:val="15"/>
              </w:rPr>
              <w:t>46.88</w:t>
            </w:r>
          </w:p>
        </w:tc>
        <w:tc>
          <w:tcPr>
            <w:tcW w:type="dxa" w:w="1483"/>
          </w:tcPr>
          <w:p>
            <w:pPr>
              <w:spacing w:after="20"/>
              <w:jc w:val="right"/>
            </w:pPr>
            <w:r>
              <w:rPr>
                <w:color w:val="1C3A36"/>
                <w:sz w:val="15"/>
              </w:rPr>
              <w:t>48.14</w:t>
            </w:r>
          </w:p>
        </w:tc>
        <w:tc>
          <w:tcPr>
            <w:tcW w:type="dxa" w:w="1483"/>
          </w:tcPr>
          <w:p>
            <w:pPr>
              <w:spacing w:after="20"/>
              <w:jc w:val="right"/>
            </w:pPr>
            <w:r>
              <w:rPr>
                <w:color w:val="1C3A36"/>
                <w:sz w:val="15"/>
              </w:rPr>
              <w:t>49.59</w:t>
            </w:r>
          </w:p>
        </w:tc>
        <w:tc>
          <w:tcPr>
            <w:tcW w:type="dxa" w:w="1483"/>
          </w:tcPr>
          <w:p>
            <w:pPr>
              <w:spacing w:after="20"/>
              <w:jc w:val="right"/>
            </w:pPr>
            <w:r>
              <w:rPr>
                <w:color w:val="1C3A36"/>
                <w:sz w:val="15"/>
              </w:rPr>
              <w:t>51.30</w:t>
            </w:r>
          </w:p>
        </w:tc>
        <w:tc>
          <w:tcPr>
            <w:tcW w:type="dxa" w:w="1483"/>
          </w:tcPr>
          <w:p>
            <w:pPr>
              <w:spacing w:after="20"/>
              <w:jc w:val="right"/>
            </w:pPr>
            <w:r>
              <w:rPr>
                <w:color w:val="1C3A36"/>
                <w:sz w:val="15"/>
              </w:rPr>
              <w:t>53.37</w:t>
            </w:r>
          </w:p>
        </w:tc>
      </w:tr>
      <w:tr>
        <w:tc>
          <w:tcPr>
            <w:tcW w:type="dxa" w:w="2232"/>
          </w:tcPr>
          <w:p>
            <w:pPr>
              <w:spacing w:after="20"/>
            </w:pPr>
            <w:r>
              <w:rPr>
                <w:color w:val="1C3A36"/>
                <w:sz w:val="15"/>
              </w:rPr>
              <w:t>19.85%</w:t>
            </w:r>
          </w:p>
        </w:tc>
        <w:tc>
          <w:tcPr>
            <w:tcW w:type="dxa" w:w="1483"/>
          </w:tcPr>
          <w:p>
            <w:pPr>
              <w:spacing w:after="20"/>
              <w:jc w:val="right"/>
            </w:pPr>
            <w:r>
              <w:rPr>
                <w:color w:val="1C3A36"/>
                <w:sz w:val="15"/>
              </w:rPr>
              <w:t>42.40</w:t>
            </w:r>
          </w:p>
        </w:tc>
        <w:tc>
          <w:tcPr>
            <w:tcW w:type="dxa" w:w="1483"/>
          </w:tcPr>
          <w:p>
            <w:pPr>
              <w:spacing w:after="20"/>
              <w:jc w:val="right"/>
            </w:pPr>
            <w:r>
              <w:rPr>
                <w:color w:val="1C3A36"/>
                <w:sz w:val="15"/>
              </w:rPr>
              <w:t>43.24</w:t>
            </w:r>
          </w:p>
        </w:tc>
        <w:tc>
          <w:tcPr>
            <w:tcW w:type="dxa" w:w="1483"/>
          </w:tcPr>
          <w:p>
            <w:pPr>
              <w:spacing w:after="20"/>
              <w:jc w:val="right"/>
            </w:pPr>
            <w:r>
              <w:rPr>
                <w:color w:val="1C3A36"/>
                <w:sz w:val="15"/>
              </w:rPr>
              <w:t>44.18</w:t>
            </w:r>
          </w:p>
        </w:tc>
        <w:tc>
          <w:tcPr>
            <w:tcW w:type="dxa" w:w="1483"/>
          </w:tcPr>
          <w:p>
            <w:pPr>
              <w:spacing w:after="20"/>
              <w:jc w:val="right"/>
            </w:pPr>
            <w:r>
              <w:rPr>
                <w:color w:val="1C3A36"/>
                <w:sz w:val="15"/>
              </w:rPr>
              <w:t>45.24</w:t>
            </w:r>
          </w:p>
        </w:tc>
        <w:tc>
          <w:tcPr>
            <w:tcW w:type="dxa" w:w="1483"/>
          </w:tcPr>
          <w:p>
            <w:pPr>
              <w:spacing w:after="20"/>
              <w:jc w:val="right"/>
            </w:pPr>
            <w:r>
              <w:rPr>
                <w:color w:val="1C3A36"/>
                <w:sz w:val="15"/>
              </w:rPr>
              <w:t>46.48</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56.25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26,056</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28,805</w:t>
            </w:r>
          </w:p>
        </w:tc>
        <w:tc>
          <w:tcPr>
            <w:tcW w:type="dxa" w:w="4896"/>
          </w:tcPr>
          <w:p>
            <w:pPr>
              <w:spacing w:after="20"/>
              <w:jc w:val="right"/>
            </w:pPr>
            <w:r>
              <w:rPr>
                <w:color w:val="1C3A36"/>
                <w:sz w:val="16"/>
              </w:rPr>
              <w:t>FY2030E NOPAT grown 9% × (1 − reinvestment rate 40.6%);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120,470</w:t>
            </w:r>
          </w:p>
        </w:tc>
        <w:tc>
          <w:tcPr>
            <w:tcW w:type="dxa" w:w="4896"/>
          </w:tcPr>
          <w:p>
            <w:pPr>
              <w:spacing w:after="20"/>
              <w:jc w:val="right"/>
            </w:pPr>
            <w:r>
              <w:rPr>
                <w:color w:val="1C3A36"/>
                <w:sz w:val="16"/>
              </w:rPr>
              <w:t>the terminal cash flow capitalised at 17.9% − 9% = 321,925, discounted at the year-5 factor 0.3742</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146,525</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82%</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(12,841)</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(14,617)</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105,265</w:t>
            </w:r>
          </w:p>
        </w:tc>
        <w:tc>
          <w:tcPr>
            <w:tcW w:type="dxa" w:w="4896"/>
          </w:tcPr>
          <w:p>
            <w:pPr>
              <w:spacing w:after="20"/>
              <w:jc w:val="right"/>
            </w:pPr>
            <w:r>
              <w:rPr>
                <w:color w:val="1C3A36"/>
                <w:sz w:val="16"/>
              </w:rPr>
              <w:t>EGP 49.17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56.25</w:t>
            </w:r>
          </w:p>
        </w:tc>
        <w:tc>
          <w:tcPr>
            <w:tcW w:type="dxa" w:w="4896"/>
            <w:shd w:val="clear" w:color="auto" w:fill="F6F1E6"/>
          </w:tcPr>
          <w:p>
            <w:pPr>
              <w:spacing w:after="20"/>
              <w:jc w:val="right"/>
            </w:pPr>
            <w:r>
              <w:rPr>
                <w:b/>
                <w:color w:val="1C3A36"/>
                <w:sz w:val="16"/>
              </w:rPr>
              <w:t>against a spot of 130.00 (-57%)</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19.8% — a steady-state multiple takes a steady-state rate, not a five-year transitional one. (An earlier wording called this figure an 'average' of the two windows, which it never was; the actual average, 24.0%, is the construction behind this lens's published bear bound of 34.26.) That gives 1.3× book, or EGP 47.77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(-4,424)</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79.39</w:t>
            </w:r>
          </w:p>
        </w:tc>
        <w:tc>
          <w:tcPr>
            <w:tcW w:type="dxa" w:w="5688"/>
          </w:tcPr>
          <w:p>
            <w:pPr>
              <w:spacing w:after="20"/>
              <w:jc w:val="right"/>
            </w:pPr>
            <w:r>
              <w:rPr>
                <w:color w:val="1C3A36"/>
                <w:sz w:val="17"/>
              </w:rPr>
              <w:t>bear 66.26 at 5.5× / bull 99.09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145.78 per share instead of 79.39 — a EGP 66.38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10.9%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10.9%</w:t>
            </w:r>
          </w:p>
        </w:tc>
        <w:tc>
          <w:tcPr>
            <w:tcW w:type="dxa" w:w="1944"/>
          </w:tcPr>
          <w:p>
            <w:pPr>
              <w:spacing w:after="20"/>
              <w:jc w:val="right"/>
            </w:pPr>
            <w:r>
              <w:rPr>
                <w:color w:val="1C3A36"/>
                <w:sz w:val="17"/>
              </w:rPr>
              <w:t>40,225</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(4,627)</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35,597</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(14,262)</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21,286</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9.94</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103.89</w:t>
            </w:r>
          </w:p>
        </w:tc>
      </w:tr>
    </w:tbl>
    <w:p>
      <w:pPr>
        <w:spacing w:after="40"/>
      </w:pPr>
    </w:p>
    <w:p>
      <w:pPr>
        <w:spacing w:after="200" w:before="0"/>
      </w:pPr>
      <w:r>
        <w:rPr>
          <w:b w:val="0"/>
          <w:i/>
          <w:color w:val="6E7B77"/>
          <w:sz w:val="17"/>
        </w:rPr>
        <w:t>Bear 80.39 at 7.0× and bull 133.26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21.11</w:t>
            </w:r>
          </w:p>
        </w:tc>
        <w:tc>
          <w:tcPr>
            <w:tcW w:type="dxa" w:w="1238"/>
          </w:tcPr>
          <w:p>
            <w:pPr>
              <w:spacing w:after="20"/>
              <w:jc w:val="right"/>
            </w:pPr>
            <w:r>
              <w:rPr>
                <w:color w:val="1C3A36"/>
                <w:sz w:val="17"/>
              </w:rPr>
              <w:t>56.25</w:t>
            </w:r>
          </w:p>
        </w:tc>
        <w:tc>
          <w:tcPr>
            <w:tcW w:type="dxa" w:w="1238"/>
          </w:tcPr>
          <w:p>
            <w:pPr>
              <w:spacing w:after="20"/>
              <w:jc w:val="right"/>
            </w:pPr>
            <w:r>
              <w:rPr>
                <w:color w:val="1C3A36"/>
                <w:sz w:val="17"/>
              </w:rPr>
              <w:t>92.41</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-57%</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66.26</w:t>
            </w:r>
          </w:p>
        </w:tc>
        <w:tc>
          <w:tcPr>
            <w:tcW w:type="dxa" w:w="1238"/>
          </w:tcPr>
          <w:p>
            <w:pPr>
              <w:spacing w:after="20"/>
              <w:jc w:val="right"/>
            </w:pPr>
            <w:r>
              <w:rPr>
                <w:color w:val="1C3A36"/>
                <w:sz w:val="17"/>
              </w:rPr>
              <w:t>79.39</w:t>
            </w:r>
          </w:p>
        </w:tc>
        <w:tc>
          <w:tcPr>
            <w:tcW w:type="dxa" w:w="1238"/>
          </w:tcPr>
          <w:p>
            <w:pPr>
              <w:spacing w:after="20"/>
              <w:jc w:val="right"/>
            </w:pPr>
            <w:r>
              <w:rPr>
                <w:color w:val="1C3A36"/>
                <w:sz w:val="17"/>
              </w:rPr>
              <w:t>99.09</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80.39</w:t>
            </w:r>
          </w:p>
        </w:tc>
        <w:tc>
          <w:tcPr>
            <w:tcW w:type="dxa" w:w="1238"/>
          </w:tcPr>
          <w:p>
            <w:pPr>
              <w:spacing w:after="20"/>
              <w:jc w:val="right"/>
            </w:pPr>
            <w:r>
              <w:rPr>
                <w:color w:val="1C3A36"/>
                <w:sz w:val="17"/>
              </w:rPr>
              <w:t>103.89</w:t>
            </w:r>
          </w:p>
        </w:tc>
        <w:tc>
          <w:tcPr>
            <w:tcW w:type="dxa" w:w="1238"/>
          </w:tcPr>
          <w:p>
            <w:pPr>
              <w:spacing w:after="20"/>
              <w:jc w:val="right"/>
            </w:pPr>
            <w:r>
              <w:rPr>
                <w:color w:val="1C3A36"/>
                <w:sz w:val="17"/>
              </w:rPr>
              <w:t>133.26</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34.26</w:t>
            </w:r>
          </w:p>
        </w:tc>
        <w:tc>
          <w:tcPr>
            <w:tcW w:type="dxa" w:w="1238"/>
          </w:tcPr>
          <w:p>
            <w:pPr>
              <w:spacing w:after="20"/>
              <w:jc w:val="right"/>
            </w:pPr>
            <w:r>
              <w:rPr>
                <w:color w:val="1C3A36"/>
                <w:sz w:val="17"/>
              </w:rPr>
              <w:t>47.77</w:t>
            </w:r>
          </w:p>
        </w:tc>
        <w:tc>
          <w:tcPr>
            <w:tcW w:type="dxa" w:w="1238"/>
          </w:tcPr>
          <w:p>
            <w:pPr>
              <w:spacing w:after="20"/>
              <w:jc w:val="right"/>
            </w:pPr>
            <w:r>
              <w:rPr>
                <w:color w:val="1C3A36"/>
                <w:sz w:val="17"/>
              </w:rPr>
              <w:t>54.68</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-63%</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21.11</w:t>
            </w:r>
          </w:p>
        </w:tc>
        <w:tc>
          <w:tcPr>
            <w:tcW w:type="dxa" w:w="1238"/>
            <w:shd w:val="clear" w:color="auto" w:fill="F6F1E6"/>
          </w:tcPr>
          <w:p>
            <w:pPr>
              <w:spacing w:after="20"/>
              <w:jc w:val="right"/>
            </w:pPr>
            <w:r>
              <w:rPr>
                <w:b/>
                <w:color w:val="1C3A36"/>
                <w:sz w:val="17"/>
              </w:rPr>
              <w:t>56.25</w:t>
            </w:r>
          </w:p>
        </w:tc>
        <w:tc>
          <w:tcPr>
            <w:tcW w:type="dxa" w:w="1238"/>
            <w:shd w:val="clear" w:color="auto" w:fill="F6F1E6"/>
          </w:tcPr>
          <w:p>
            <w:pPr>
              <w:spacing w:after="20"/>
              <w:jc w:val="right"/>
            </w:pPr>
            <w:r>
              <w:rPr>
                <w:b/>
                <w:color w:val="1C3A36"/>
                <w:sz w:val="17"/>
              </w:rPr>
              <w:t>92.41</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-57%</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69.13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-47%</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56.25, and the market-anchored reads are published beside it at their own values so a reader can judge the disagreement rather than receive a number in which it has already been settled by a weight. An earlier edition did settle it that way and reported EGP 69.13, -47% against the price where this study holds -57%.</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438,521</w:t>
            </w:r>
          </w:p>
        </w:tc>
        <w:tc>
          <w:tcPr>
            <w:tcW w:type="dxa" w:w="1426"/>
          </w:tcPr>
          <w:p>
            <w:pPr>
              <w:spacing w:after="20"/>
              <w:jc w:val="right"/>
            </w:pPr>
            <w:r>
              <w:rPr>
                <w:color w:val="1C3A36"/>
                <w:sz w:val="16"/>
              </w:rPr>
              <w:t>497,370</w:t>
            </w:r>
          </w:p>
        </w:tc>
        <w:tc>
          <w:tcPr>
            <w:tcW w:type="dxa" w:w="1426"/>
          </w:tcPr>
          <w:p>
            <w:pPr>
              <w:spacing w:after="20"/>
              <w:jc w:val="right"/>
            </w:pPr>
            <w:r>
              <w:rPr>
                <w:color w:val="1C3A36"/>
                <w:sz w:val="16"/>
              </w:rPr>
              <w:t>552,642</w:t>
            </w:r>
          </w:p>
        </w:tc>
        <w:tc>
          <w:tcPr>
            <w:tcW w:type="dxa" w:w="1426"/>
          </w:tcPr>
          <w:p>
            <w:pPr>
              <w:spacing w:after="20"/>
              <w:jc w:val="right"/>
            </w:pPr>
            <w:r>
              <w:rPr>
                <w:color w:val="1C3A36"/>
                <w:sz w:val="16"/>
              </w:rPr>
              <w:t>604,060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54,981</w:t>
            </w:r>
          </w:p>
        </w:tc>
        <w:tc>
          <w:tcPr>
            <w:tcW w:type="dxa" w:w="1426"/>
          </w:tcPr>
          <w:p>
            <w:pPr>
              <w:spacing w:after="20"/>
              <w:jc w:val="right"/>
            </w:pPr>
            <w:r>
              <w:rPr>
                <w:color w:val="1C3A36"/>
                <w:sz w:val="16"/>
              </w:rPr>
              <w:t>63,095</w:t>
            </w:r>
          </w:p>
        </w:tc>
        <w:tc>
          <w:tcPr>
            <w:tcW w:type="dxa" w:w="1426"/>
          </w:tcPr>
          <w:p>
            <w:pPr>
              <w:spacing w:after="20"/>
              <w:jc w:val="right"/>
            </w:pPr>
            <w:r>
              <w:rPr>
                <w:color w:val="1C3A36"/>
                <w:sz w:val="16"/>
              </w:rPr>
              <w:t>70,587</w:t>
            </w:r>
          </w:p>
        </w:tc>
        <w:tc>
          <w:tcPr>
            <w:tcW w:type="dxa" w:w="1426"/>
          </w:tcPr>
          <w:p>
            <w:pPr>
              <w:spacing w:after="20"/>
              <w:jc w:val="right"/>
            </w:pPr>
            <w:r>
              <w:rPr>
                <w:color w:val="1C3A36"/>
                <w:sz w:val="16"/>
              </w:rPr>
              <w:t>77,368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12.8%</w:t>
            </w:r>
          </w:p>
        </w:tc>
        <w:tc>
          <w:tcPr>
            <w:tcW w:type="dxa" w:w="1426"/>
          </w:tcPr>
          <w:p>
            <w:pPr>
              <w:spacing w:after="20"/>
              <w:jc w:val="right"/>
            </w:pPr>
            <w:r>
              <w:rPr>
                <w:color w:val="1C3A36"/>
                <w:sz w:val="16"/>
              </w:rPr>
              <w:t>12.8%</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(13,463)</w:t>
            </w:r>
          </w:p>
        </w:tc>
        <w:tc>
          <w:tcPr>
            <w:tcW w:type="dxa" w:w="1426"/>
          </w:tcPr>
          <w:p>
            <w:pPr>
              <w:spacing w:after="20"/>
              <w:jc w:val="right"/>
            </w:pPr>
            <w:r>
              <w:rPr>
                <w:color w:val="1C3A36"/>
                <w:sz w:val="16"/>
              </w:rPr>
              <w:t>(15,269)</w:t>
            </w:r>
          </w:p>
        </w:tc>
        <w:tc>
          <w:tcPr>
            <w:tcW w:type="dxa" w:w="1426"/>
          </w:tcPr>
          <w:p>
            <w:pPr>
              <w:spacing w:after="20"/>
              <w:jc w:val="right"/>
            </w:pPr>
            <w:r>
              <w:rPr>
                <w:color w:val="1C3A36"/>
                <w:sz w:val="16"/>
              </w:rPr>
              <w:t>(16,966)</w:t>
            </w:r>
          </w:p>
        </w:tc>
        <w:tc>
          <w:tcPr>
            <w:tcW w:type="dxa" w:w="1426"/>
          </w:tcPr>
          <w:p>
            <w:pPr>
              <w:spacing w:after="20"/>
              <w:jc w:val="right"/>
            </w:pPr>
            <w:r>
              <w:rPr>
                <w:color w:val="1C3A36"/>
                <w:sz w:val="16"/>
              </w:rPr>
              <w:t>(18,545)</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41,518</w:t>
            </w:r>
          </w:p>
        </w:tc>
        <w:tc>
          <w:tcPr>
            <w:tcW w:type="dxa" w:w="1426"/>
            <w:shd w:val="clear" w:color="auto" w:fill="F6F1E6"/>
          </w:tcPr>
          <w:p>
            <w:pPr>
              <w:spacing w:after="20"/>
              <w:jc w:val="right"/>
            </w:pPr>
            <w:r>
              <w:rPr>
                <w:b/>
                <w:color w:val="1C3A36"/>
                <w:sz w:val="16"/>
              </w:rPr>
              <w:t>47,826</w:t>
            </w:r>
          </w:p>
        </w:tc>
        <w:tc>
          <w:tcPr>
            <w:tcW w:type="dxa" w:w="1426"/>
            <w:shd w:val="clear" w:color="auto" w:fill="F6F1E6"/>
          </w:tcPr>
          <w:p>
            <w:pPr>
              <w:spacing w:after="20"/>
              <w:jc w:val="right"/>
            </w:pPr>
            <w:r>
              <w:rPr>
                <w:b/>
                <w:color w:val="1C3A36"/>
                <w:sz w:val="16"/>
              </w:rPr>
              <w:t>53,621</w:t>
            </w:r>
          </w:p>
        </w:tc>
        <w:tc>
          <w:tcPr>
            <w:tcW w:type="dxa" w:w="1426"/>
            <w:shd w:val="clear" w:color="auto" w:fill="F6F1E6"/>
          </w:tcPr>
          <w:p>
            <w:pPr>
              <w:spacing w:after="20"/>
              <w:jc w:val="right"/>
            </w:pPr>
            <w:r>
              <w:rPr>
                <w:b/>
                <w:color w:val="1C3A36"/>
                <w:sz w:val="16"/>
              </w:rPr>
              <w:t>58,823</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4,627</w:t>
            </w:r>
          </w:p>
        </w:tc>
        <w:tc>
          <w:tcPr>
            <w:tcW w:type="dxa" w:w="1426"/>
          </w:tcPr>
          <w:p>
            <w:pPr>
              <w:spacing w:after="20"/>
              <w:jc w:val="right"/>
            </w:pPr>
            <w:r>
              <w:rPr>
                <w:color w:val="1C3A36"/>
                <w:sz w:val="16"/>
              </w:rPr>
              <w:t>5,482</w:t>
            </w:r>
          </w:p>
        </w:tc>
        <w:tc>
          <w:tcPr>
            <w:tcW w:type="dxa" w:w="1426"/>
          </w:tcPr>
          <w:p>
            <w:pPr>
              <w:spacing w:after="20"/>
              <w:jc w:val="right"/>
            </w:pPr>
            <w:r>
              <w:rPr>
                <w:color w:val="1C3A36"/>
                <w:sz w:val="16"/>
              </w:rPr>
              <w:t>6,217</w:t>
            </w:r>
          </w:p>
        </w:tc>
        <w:tc>
          <w:tcPr>
            <w:tcW w:type="dxa" w:w="1426"/>
          </w:tcPr>
          <w:p>
            <w:pPr>
              <w:spacing w:after="20"/>
              <w:jc w:val="right"/>
            </w:pPr>
            <w:r>
              <w:rPr>
                <w:color w:val="1C3A36"/>
                <w:sz w:val="16"/>
              </w:rPr>
              <w:t>6,908</w:t>
            </w:r>
          </w:p>
        </w:tc>
        <w:tc>
          <w:tcPr>
            <w:tcW w:type="dxa" w:w="1426"/>
          </w:tcPr>
          <w:p>
            <w:pPr>
              <w:spacing w:after="20"/>
              <w:jc w:val="right"/>
            </w:pPr>
            <w:r>
              <w:rPr>
                <w:color w:val="1C3A36"/>
                <w:sz w:val="16"/>
              </w:rPr>
              <w:t>7,551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38,953</w:t>
            </w:r>
          </w:p>
        </w:tc>
        <w:tc>
          <w:tcPr>
            <w:tcW w:type="dxa" w:w="1426"/>
            <w:shd w:val="clear" w:color="auto" w:fill="F6F1E6"/>
          </w:tcPr>
          <w:p>
            <w:pPr>
              <w:spacing w:after="20"/>
              <w:jc w:val="right"/>
            </w:pPr>
            <w:r>
              <w:rPr>
                <w:b/>
                <w:color w:val="1C3A36"/>
                <w:sz w:val="16"/>
              </w:rPr>
              <w:t>47,000</w:t>
            </w:r>
          </w:p>
        </w:tc>
        <w:tc>
          <w:tcPr>
            <w:tcW w:type="dxa" w:w="1426"/>
            <w:shd w:val="clear" w:color="auto" w:fill="F6F1E6"/>
          </w:tcPr>
          <w:p>
            <w:pPr>
              <w:spacing w:after="20"/>
              <w:jc w:val="right"/>
            </w:pPr>
            <w:r>
              <w:rPr>
                <w:b/>
                <w:color w:val="1C3A36"/>
                <w:sz w:val="16"/>
              </w:rPr>
              <w:t>54,043</w:t>
            </w:r>
          </w:p>
        </w:tc>
        <w:tc>
          <w:tcPr>
            <w:tcW w:type="dxa" w:w="1426"/>
            <w:shd w:val="clear" w:color="auto" w:fill="F6F1E6"/>
          </w:tcPr>
          <w:p>
            <w:pPr>
              <w:spacing w:after="20"/>
              <w:jc w:val="right"/>
            </w:pPr>
            <w:r>
              <w:rPr>
                <w:b/>
                <w:color w:val="1C3A36"/>
                <w:sz w:val="16"/>
              </w:rPr>
              <w:t>60,529</w:t>
            </w:r>
          </w:p>
        </w:tc>
        <w:tc>
          <w:tcPr>
            <w:tcW w:type="dxa" w:w="1426"/>
            <w:shd w:val="clear" w:color="auto" w:fill="F6F1E6"/>
          </w:tcPr>
          <w:p>
            <w:pPr>
              <w:spacing w:after="20"/>
              <w:jc w:val="right"/>
            </w:pPr>
            <w:r>
              <w:rPr>
                <w:b/>
                <w:color w:val="1C3A36"/>
                <w:sz w:val="16"/>
              </w:rPr>
              <w:t>66,374</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10.9%</w:t>
            </w:r>
          </w:p>
        </w:tc>
        <w:tc>
          <w:tcPr>
            <w:tcW w:type="dxa" w:w="1426"/>
          </w:tcPr>
          <w:p>
            <w:pPr>
              <w:spacing w:after="20"/>
              <w:jc w:val="right"/>
            </w:pPr>
            <w:r>
              <w:rPr>
                <w:color w:val="1C3A36"/>
                <w:sz w:val="16"/>
              </w:rPr>
              <w:t>11.0%</w:t>
            </w:r>
          </w:p>
        </w:tc>
        <w:tc>
          <w:tcPr>
            <w:tcW w:type="dxa" w:w="1426"/>
          </w:tcPr>
          <w:p>
            <w:pPr>
              <w:spacing w:after="20"/>
              <w:jc w:val="right"/>
            </w:pPr>
            <w:r>
              <w:rPr>
                <w:color w:val="1C3A36"/>
                <w:sz w:val="16"/>
              </w:rPr>
              <w:t>11.0%</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302,515</w:t>
            </w:r>
          </w:p>
        </w:tc>
        <w:tc>
          <w:tcPr>
            <w:tcW w:type="dxa" w:w="1181"/>
          </w:tcPr>
          <w:p>
            <w:pPr>
              <w:spacing w:after="20"/>
              <w:jc w:val="right"/>
            </w:pPr>
            <w:r>
              <w:rPr>
                <w:color w:val="1C3A36"/>
                <w:sz w:val="16"/>
              </w:rPr>
              <w:t>50.1%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32.2%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17.7%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604,060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50.1%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17,816mn working-capital build cuts free cash flow to the firm to just EGP -505mn, against EGP 7,557mn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2.72-2.91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19.8%</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17.9%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27.66 (against 56.25)</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28.59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63.22 (6.97)</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55.95 (-0.30)</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27.66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15.9%</w:t>
            </w:r>
          </w:p>
        </w:tc>
        <w:tc>
          <w:tcPr>
            <w:tcW w:type="dxa" w:w="1541"/>
          </w:tcPr>
          <w:p>
            <w:pPr>
              <w:spacing w:after="20"/>
              <w:jc w:val="right"/>
            </w:pPr>
            <w:r>
              <w:rPr>
                <w:color w:val="1C3A36"/>
                <w:sz w:val="16"/>
              </w:rPr>
              <w:t>80.17</w:t>
            </w:r>
          </w:p>
        </w:tc>
        <w:tc>
          <w:tcPr>
            <w:tcW w:type="dxa" w:w="1541"/>
          </w:tcPr>
          <w:p>
            <w:pPr>
              <w:spacing w:after="20"/>
              <w:jc w:val="right"/>
            </w:pPr>
            <w:r>
              <w:rPr>
                <w:color w:val="1C3A36"/>
                <w:sz w:val="16"/>
              </w:rPr>
              <w:t>77.81</w:t>
            </w:r>
          </w:p>
        </w:tc>
        <w:tc>
          <w:tcPr>
            <w:tcW w:type="dxa" w:w="1541"/>
          </w:tcPr>
          <w:p>
            <w:pPr>
              <w:spacing w:after="20"/>
              <w:jc w:val="right"/>
            </w:pPr>
            <w:r>
              <w:rPr>
                <w:color w:val="1C3A36"/>
                <w:sz w:val="16"/>
              </w:rPr>
              <w:t>75.54</w:t>
            </w:r>
          </w:p>
        </w:tc>
        <w:tc>
          <w:tcPr>
            <w:tcW w:type="dxa" w:w="1541"/>
          </w:tcPr>
          <w:p>
            <w:pPr>
              <w:spacing w:after="20"/>
              <w:jc w:val="right"/>
            </w:pPr>
            <w:r>
              <w:rPr>
                <w:color w:val="1C3A36"/>
                <w:sz w:val="16"/>
              </w:rPr>
              <w:t>73.35</w:t>
            </w:r>
          </w:p>
        </w:tc>
        <w:tc>
          <w:tcPr>
            <w:tcW w:type="dxa" w:w="1541"/>
          </w:tcPr>
          <w:p>
            <w:pPr>
              <w:spacing w:after="20"/>
              <w:jc w:val="right"/>
            </w:pPr>
            <w:r>
              <w:rPr>
                <w:color w:val="1C3A36"/>
                <w:sz w:val="16"/>
              </w:rPr>
              <w:t>71.24</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68.65</w:t>
            </w:r>
          </w:p>
        </w:tc>
        <w:tc>
          <w:tcPr>
            <w:tcW w:type="dxa" w:w="1541"/>
          </w:tcPr>
          <w:p>
            <w:pPr>
              <w:spacing w:after="20"/>
              <w:jc w:val="right"/>
            </w:pPr>
            <w:r>
              <w:rPr>
                <w:color w:val="1C3A36"/>
                <w:sz w:val="16"/>
              </w:rPr>
              <w:t>66.61</w:t>
            </w:r>
          </w:p>
        </w:tc>
        <w:tc>
          <w:tcPr>
            <w:tcW w:type="dxa" w:w="1541"/>
          </w:tcPr>
          <w:p>
            <w:pPr>
              <w:spacing w:after="20"/>
              <w:jc w:val="right"/>
            </w:pPr>
            <w:r>
              <w:rPr>
                <w:color w:val="1C3A36"/>
                <w:sz w:val="16"/>
              </w:rPr>
              <w:t>64.64</w:t>
            </w:r>
          </w:p>
        </w:tc>
        <w:tc>
          <w:tcPr>
            <w:tcW w:type="dxa" w:w="1541"/>
          </w:tcPr>
          <w:p>
            <w:pPr>
              <w:spacing w:after="20"/>
              <w:jc w:val="right"/>
            </w:pPr>
            <w:r>
              <w:rPr>
                <w:color w:val="1C3A36"/>
                <w:sz w:val="16"/>
              </w:rPr>
              <w:t>62.74</w:t>
            </w:r>
          </w:p>
        </w:tc>
        <w:tc>
          <w:tcPr>
            <w:tcW w:type="dxa" w:w="1541"/>
          </w:tcPr>
          <w:p>
            <w:pPr>
              <w:spacing w:after="20"/>
              <w:jc w:val="right"/>
            </w:pPr>
            <w:r>
              <w:rPr>
                <w:color w:val="1C3A36"/>
                <w:sz w:val="16"/>
              </w:rPr>
              <w:t>60.91</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59.78</w:t>
            </w:r>
          </w:p>
        </w:tc>
        <w:tc>
          <w:tcPr>
            <w:tcW w:type="dxa" w:w="1541"/>
          </w:tcPr>
          <w:p>
            <w:pPr>
              <w:spacing w:after="20"/>
              <w:jc w:val="right"/>
            </w:pPr>
            <w:r>
              <w:rPr>
                <w:color w:val="1C3A36"/>
                <w:sz w:val="16"/>
              </w:rPr>
              <w:t>57.98</w:t>
            </w:r>
          </w:p>
        </w:tc>
        <w:tc>
          <w:tcPr>
            <w:tcW w:type="dxa" w:w="1541"/>
          </w:tcPr>
          <w:p>
            <w:pPr>
              <w:spacing w:after="20"/>
              <w:jc w:val="right"/>
            </w:pPr>
            <w:r>
              <w:rPr>
                <w:color w:val="1C3A36"/>
                <w:sz w:val="16"/>
              </w:rPr>
              <w:t>56.25</w:t>
            </w:r>
          </w:p>
        </w:tc>
        <w:tc>
          <w:tcPr>
            <w:tcW w:type="dxa" w:w="1541"/>
          </w:tcPr>
          <w:p>
            <w:pPr>
              <w:spacing w:after="20"/>
              <w:jc w:val="right"/>
            </w:pPr>
            <w:r>
              <w:rPr>
                <w:color w:val="1C3A36"/>
                <w:sz w:val="16"/>
              </w:rPr>
              <w:t>54.58</w:t>
            </w:r>
          </w:p>
        </w:tc>
        <w:tc>
          <w:tcPr>
            <w:tcW w:type="dxa" w:w="1541"/>
          </w:tcPr>
          <w:p>
            <w:pPr>
              <w:spacing w:after="20"/>
              <w:jc w:val="right"/>
            </w:pPr>
            <w:r>
              <w:rPr>
                <w:color w:val="1C3A36"/>
                <w:sz w:val="16"/>
              </w:rPr>
              <w:t>52.96</w:t>
            </w:r>
          </w:p>
        </w:tc>
      </w:tr>
      <w:tr>
        <w:tc>
          <w:tcPr>
            <w:tcW w:type="dxa" w:w="2333"/>
          </w:tcPr>
          <w:p>
            <w:pPr>
              <w:spacing w:after="20"/>
            </w:pPr>
            <w:r>
              <w:rPr>
                <w:color w:val="1C3A36"/>
                <w:sz w:val="16"/>
              </w:rPr>
              <w:t>terminal 18.9%</w:t>
            </w:r>
          </w:p>
        </w:tc>
        <w:tc>
          <w:tcPr>
            <w:tcW w:type="dxa" w:w="1541"/>
          </w:tcPr>
          <w:p>
            <w:pPr>
              <w:spacing w:after="20"/>
              <w:jc w:val="right"/>
            </w:pPr>
            <w:r>
              <w:rPr>
                <w:color w:val="1C3A36"/>
                <w:sz w:val="16"/>
              </w:rPr>
              <w:t>52.74</w:t>
            </w:r>
          </w:p>
        </w:tc>
        <w:tc>
          <w:tcPr>
            <w:tcW w:type="dxa" w:w="1541"/>
          </w:tcPr>
          <w:p>
            <w:pPr>
              <w:spacing w:after="20"/>
              <w:jc w:val="right"/>
            </w:pPr>
            <w:r>
              <w:rPr>
                <w:color w:val="1C3A36"/>
                <w:sz w:val="16"/>
              </w:rPr>
              <w:t>51.14</w:t>
            </w:r>
          </w:p>
        </w:tc>
        <w:tc>
          <w:tcPr>
            <w:tcW w:type="dxa" w:w="1541"/>
          </w:tcPr>
          <w:p>
            <w:pPr>
              <w:spacing w:after="20"/>
              <w:jc w:val="right"/>
            </w:pPr>
            <w:r>
              <w:rPr>
                <w:color w:val="1C3A36"/>
                <w:sz w:val="16"/>
              </w:rPr>
              <w:t>49.59</w:t>
            </w:r>
          </w:p>
        </w:tc>
        <w:tc>
          <w:tcPr>
            <w:tcW w:type="dxa" w:w="1541"/>
          </w:tcPr>
          <w:p>
            <w:pPr>
              <w:spacing w:after="20"/>
              <w:jc w:val="right"/>
            </w:pPr>
            <w:r>
              <w:rPr>
                <w:color w:val="1C3A36"/>
                <w:sz w:val="16"/>
              </w:rPr>
              <w:t>48.09</w:t>
            </w:r>
          </w:p>
        </w:tc>
        <w:tc>
          <w:tcPr>
            <w:tcW w:type="dxa" w:w="1541"/>
          </w:tcPr>
          <w:p>
            <w:pPr>
              <w:spacing w:after="20"/>
              <w:jc w:val="right"/>
            </w:pPr>
            <w:r>
              <w:rPr>
                <w:color w:val="1C3A36"/>
                <w:sz w:val="16"/>
              </w:rPr>
              <w:t>46.65</w:t>
            </w:r>
          </w:p>
        </w:tc>
      </w:tr>
      <w:tr>
        <w:tc>
          <w:tcPr>
            <w:tcW w:type="dxa" w:w="2333"/>
          </w:tcPr>
          <w:p>
            <w:pPr>
              <w:spacing w:after="20"/>
            </w:pPr>
            <w:r>
              <w:rPr>
                <w:color w:val="1C3A36"/>
                <w:sz w:val="16"/>
              </w:rPr>
              <w:t>terminal 19.9%</w:t>
            </w:r>
          </w:p>
        </w:tc>
        <w:tc>
          <w:tcPr>
            <w:tcW w:type="dxa" w:w="1541"/>
          </w:tcPr>
          <w:p>
            <w:pPr>
              <w:spacing w:after="20"/>
              <w:jc w:val="right"/>
            </w:pPr>
            <w:r>
              <w:rPr>
                <w:color w:val="1C3A36"/>
                <w:sz w:val="16"/>
              </w:rPr>
              <w:t>47.02</w:t>
            </w:r>
          </w:p>
        </w:tc>
        <w:tc>
          <w:tcPr>
            <w:tcW w:type="dxa" w:w="1541"/>
          </w:tcPr>
          <w:p>
            <w:pPr>
              <w:spacing w:after="20"/>
              <w:jc w:val="right"/>
            </w:pPr>
            <w:r>
              <w:rPr>
                <w:color w:val="1C3A36"/>
                <w:sz w:val="16"/>
              </w:rPr>
              <w:t>45.57</w:t>
            </w:r>
          </w:p>
        </w:tc>
        <w:tc>
          <w:tcPr>
            <w:tcW w:type="dxa" w:w="1541"/>
          </w:tcPr>
          <w:p>
            <w:pPr>
              <w:spacing w:after="20"/>
              <w:jc w:val="right"/>
            </w:pPr>
            <w:r>
              <w:rPr>
                <w:color w:val="1C3A36"/>
                <w:sz w:val="16"/>
              </w:rPr>
              <w:t>44.18</w:t>
            </w:r>
          </w:p>
        </w:tc>
        <w:tc>
          <w:tcPr>
            <w:tcW w:type="dxa" w:w="1541"/>
          </w:tcPr>
          <w:p>
            <w:pPr>
              <w:spacing w:after="20"/>
              <w:jc w:val="right"/>
            </w:pPr>
            <w:r>
              <w:rPr>
                <w:color w:val="1C3A36"/>
                <w:sz w:val="16"/>
              </w:rPr>
              <w:t>42.83</w:t>
            </w:r>
          </w:p>
        </w:tc>
        <w:tc>
          <w:tcPr>
            <w:tcW w:type="dxa" w:w="1541"/>
          </w:tcPr>
          <w:p>
            <w:pPr>
              <w:spacing w:after="20"/>
              <w:jc w:val="right"/>
            </w:pPr>
            <w:r>
              <w:rPr>
                <w:color w:val="1C3A36"/>
                <w:sz w:val="16"/>
              </w:rPr>
              <w:t>41.52</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53.97 – 82.77</w:t>
            </w:r>
          </w:p>
        </w:tc>
        <w:tc>
          <w:tcPr>
            <w:tcW w:type="dxa" w:w="1944"/>
          </w:tcPr>
          <w:p>
            <w:pPr>
              <w:spacing w:after="20"/>
              <w:jc w:val="right"/>
            </w:pPr>
            <w:r>
              <w:rPr>
                <w:color w:val="1C3A36"/>
                <w:sz w:val="17"/>
              </w:rPr>
              <w:t>28.80</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56.25 – 56.25</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30.12 – 82.38</w:t>
            </w:r>
          </w:p>
        </w:tc>
        <w:tc>
          <w:tcPr>
            <w:tcW w:type="dxa" w:w="1944"/>
          </w:tcPr>
          <w:p>
            <w:pPr>
              <w:spacing w:after="20"/>
              <w:jc w:val="right"/>
            </w:pPr>
            <w:r>
              <w:rPr>
                <w:color w:val="1C3A36"/>
                <w:sz w:val="17"/>
              </w:rPr>
              <w:t>52.26</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56.25 – 56.25</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47.22 – 64.70</w:t>
            </w:r>
          </w:p>
        </w:tc>
        <w:tc>
          <w:tcPr>
            <w:tcW w:type="dxa" w:w="1944"/>
          </w:tcPr>
          <w:p>
            <w:pPr>
              <w:spacing w:after="20"/>
              <w:jc w:val="right"/>
            </w:pPr>
            <w:r>
              <w:rPr>
                <w:color w:val="1C3A36"/>
                <w:sz w:val="17"/>
              </w:rPr>
              <w:t>17.47</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44.80 – 76.41</w:t>
            </w:r>
          </w:p>
        </w:tc>
        <w:tc>
          <w:tcPr>
            <w:tcW w:type="dxa" w:w="1944"/>
          </w:tcPr>
          <w:p>
            <w:pPr>
              <w:spacing w:after="20"/>
              <w:jc w:val="right"/>
            </w:pPr>
            <w:r>
              <w:rPr>
                <w:color w:val="1C3A36"/>
                <w:sz w:val="17"/>
              </w:rPr>
              <w:t>31.61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52.21 – 62.31</w:t>
            </w:r>
          </w:p>
        </w:tc>
        <w:tc>
          <w:tcPr>
            <w:tcW w:type="dxa" w:w="1944"/>
          </w:tcPr>
          <w:p>
            <w:pPr>
              <w:spacing w:after="20"/>
              <w:jc w:val="right"/>
            </w:pPr>
            <w:r>
              <w:rPr>
                <w:color w:val="1C3A36"/>
                <w:sz w:val="17"/>
              </w:rPr>
              <w:t>10.10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56.25 against the published central of 56.25.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56.25;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56.25 central, -57%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56.25, -57%</w:t>
            </w:r>
          </w:p>
        </w:tc>
        <w:tc>
          <w:tcPr>
            <w:tcW w:type="dxa" w:w="4248"/>
          </w:tcPr>
          <w:p>
            <w:pPr>
              <w:spacing w:after="20"/>
              <w:jc w:val="right"/>
            </w:pPr>
            <w:r>
              <w:rPr>
                <w:color w:val="1C3A36"/>
                <w:sz w:val="17"/>
              </w:rPr>
              <w:t>a cost of capital gliding 26.7% to 17.9%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66.19, -49%</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79.39,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66.19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56.25</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269,558</w:t>
            </w:r>
          </w:p>
        </w:tc>
        <w:tc>
          <w:tcPr>
            <w:tcW w:type="dxa" w:w="1728"/>
          </w:tcPr>
          <w:p>
            <w:pPr>
              <w:spacing w:after="20"/>
              <w:jc w:val="right"/>
            </w:pPr>
            <w:r>
              <w:rPr>
                <w:color w:val="1C3A36"/>
                <w:sz w:val="17"/>
              </w:rPr>
              <w:t>497,370</w:t>
            </w:r>
          </w:p>
        </w:tc>
        <w:tc>
          <w:tcPr>
            <w:tcW w:type="dxa" w:w="1728"/>
          </w:tcPr>
          <w:p>
            <w:pPr>
              <w:spacing w:after="20"/>
              <w:jc w:val="right"/>
            </w:pPr>
            <w:r>
              <w:rPr>
                <w:color w:val="1C3A36"/>
                <w:sz w:val="17"/>
              </w:rPr>
              <w:t>1,291,207</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198,239</w:t>
            </w:r>
          </w:p>
        </w:tc>
        <w:tc>
          <w:tcPr>
            <w:tcW w:type="dxa" w:w="1728"/>
          </w:tcPr>
          <w:p>
            <w:pPr>
              <w:spacing w:after="20"/>
              <w:jc w:val="right"/>
            </w:pPr>
            <w:r>
              <w:rPr>
                <w:color w:val="1C3A36"/>
                <w:sz w:val="17"/>
              </w:rPr>
              <w:t>552,642</w:t>
            </w:r>
          </w:p>
        </w:tc>
        <w:tc>
          <w:tcPr>
            <w:tcW w:type="dxa" w:w="1728"/>
          </w:tcPr>
          <w:p>
            <w:pPr>
              <w:spacing w:after="20"/>
              <w:jc w:val="right"/>
            </w:pPr>
            <w:r>
              <w:rPr>
                <w:color w:val="1C3A36"/>
                <w:sz w:val="17"/>
              </w:rPr>
              <w:t>1,874,170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212,267</w:t>
            </w:r>
          </w:p>
        </w:tc>
        <w:tc>
          <w:tcPr>
            <w:tcW w:type="dxa" w:w="1728"/>
          </w:tcPr>
          <w:p>
            <w:pPr>
              <w:spacing w:after="20"/>
              <w:jc w:val="right"/>
            </w:pPr>
            <w:r>
              <w:rPr>
                <w:color w:val="1C3A36"/>
                <w:sz w:val="17"/>
              </w:rPr>
              <w:t>604,060</w:t>
            </w:r>
          </w:p>
        </w:tc>
        <w:tc>
          <w:tcPr>
            <w:tcW w:type="dxa" w:w="1728"/>
          </w:tcPr>
          <w:p>
            <w:pPr>
              <w:spacing w:after="20"/>
              <w:jc w:val="right"/>
            </w:pPr>
            <w:r>
              <w:rPr>
                <w:color w:val="1C3A36"/>
                <w:sz w:val="17"/>
              </w:rPr>
              <w:t>2,201,693</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29,183</w:t>
            </w:r>
          </w:p>
        </w:tc>
        <w:tc>
          <w:tcPr>
            <w:tcW w:type="dxa" w:w="1728"/>
          </w:tcPr>
          <w:p>
            <w:pPr>
              <w:spacing w:after="20"/>
              <w:jc w:val="right"/>
            </w:pPr>
            <w:r>
              <w:rPr>
                <w:color w:val="1C3A36"/>
                <w:sz w:val="17"/>
              </w:rPr>
              <w:t>63,095</w:t>
            </w:r>
          </w:p>
        </w:tc>
        <w:tc>
          <w:tcPr>
            <w:tcW w:type="dxa" w:w="1728"/>
          </w:tcPr>
          <w:p>
            <w:pPr>
              <w:spacing w:after="20"/>
              <w:jc w:val="right"/>
            </w:pPr>
            <w:r>
              <w:rPr>
                <w:color w:val="1C3A36"/>
                <w:sz w:val="17"/>
              </w:rPr>
              <w:t>180,729</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27,332</w:t>
            </w:r>
          </w:p>
        </w:tc>
        <w:tc>
          <w:tcPr>
            <w:tcW w:type="dxa" w:w="1728"/>
          </w:tcPr>
          <w:p>
            <w:pPr>
              <w:spacing w:after="20"/>
              <w:jc w:val="right"/>
            </w:pPr>
            <w:r>
              <w:rPr>
                <w:color w:val="1C3A36"/>
                <w:sz w:val="17"/>
              </w:rPr>
              <w:t>70,587</w:t>
            </w:r>
          </w:p>
        </w:tc>
        <w:tc>
          <w:tcPr>
            <w:tcW w:type="dxa" w:w="1728"/>
          </w:tcPr>
          <w:p>
            <w:pPr>
              <w:spacing w:after="20"/>
              <w:jc w:val="right"/>
            </w:pPr>
            <w:r>
              <w:rPr>
                <w:color w:val="1C3A36"/>
                <w:sz w:val="17"/>
              </w:rPr>
              <w:t>299,006</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39,653</w:t>
            </w:r>
          </w:p>
        </w:tc>
        <w:tc>
          <w:tcPr>
            <w:tcW w:type="dxa" w:w="1728"/>
          </w:tcPr>
          <w:p>
            <w:pPr>
              <w:spacing w:after="20"/>
              <w:jc w:val="right"/>
            </w:pPr>
            <w:r>
              <w:rPr>
                <w:color w:val="1C3A36"/>
                <w:sz w:val="17"/>
              </w:rPr>
              <w:t>77,368</w:t>
            </w:r>
          </w:p>
        </w:tc>
        <w:tc>
          <w:tcPr>
            <w:tcW w:type="dxa" w:w="1728"/>
          </w:tcPr>
          <w:p>
            <w:pPr>
              <w:spacing w:after="20"/>
              <w:jc w:val="right"/>
            </w:pPr>
            <w:r>
              <w:rPr>
                <w:color w:val="1C3A36"/>
                <w:sz w:val="17"/>
              </w:rPr>
              <w:t>268,065</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+8.93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82%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66.19.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12,841mn (6.00 per share) from the equity value — EGP 3.61 per share MORE than deducting the audited book value of 5,119mn would (an earlier wording conflated the total charge with the excess; this states both). It is also the internally consistent choice: this study values the group's equity at 1.3×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438,521</w:t>
            </w:r>
          </w:p>
        </w:tc>
        <w:tc>
          <w:tcPr>
            <w:tcW w:type="dxa" w:w="950"/>
          </w:tcPr>
          <w:p>
            <w:pPr>
              <w:spacing w:after="20"/>
              <w:jc w:val="right"/>
            </w:pPr>
            <w:r>
              <w:rPr>
                <w:color w:val="1C3A36"/>
                <w:sz w:val="15"/>
              </w:rPr>
              <w:t>497,370</w:t>
            </w:r>
          </w:p>
        </w:tc>
        <w:tc>
          <w:tcPr>
            <w:tcW w:type="dxa" w:w="950"/>
          </w:tcPr>
          <w:p>
            <w:pPr>
              <w:spacing w:after="20"/>
              <w:jc w:val="right"/>
            </w:pPr>
            <w:r>
              <w:rPr>
                <w:color w:val="1C3A36"/>
                <w:sz w:val="15"/>
              </w:rPr>
              <w:t>552,642</w:t>
            </w:r>
          </w:p>
        </w:tc>
        <w:tc>
          <w:tcPr>
            <w:tcW w:type="dxa" w:w="950"/>
          </w:tcPr>
          <w:p>
            <w:pPr>
              <w:spacing w:after="20"/>
              <w:jc w:val="right"/>
            </w:pPr>
            <w:r>
              <w:rPr>
                <w:color w:val="1C3A36"/>
                <w:sz w:val="15"/>
              </w:rPr>
              <w:t>604,060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54,981</w:t>
            </w:r>
          </w:p>
        </w:tc>
        <w:tc>
          <w:tcPr>
            <w:tcW w:type="dxa" w:w="950"/>
          </w:tcPr>
          <w:p>
            <w:pPr>
              <w:spacing w:after="20"/>
              <w:jc w:val="right"/>
            </w:pPr>
            <w:r>
              <w:rPr>
                <w:color w:val="1C3A36"/>
                <w:sz w:val="15"/>
              </w:rPr>
              <w:t>63,095</w:t>
            </w:r>
          </w:p>
        </w:tc>
        <w:tc>
          <w:tcPr>
            <w:tcW w:type="dxa" w:w="950"/>
          </w:tcPr>
          <w:p>
            <w:pPr>
              <w:spacing w:after="20"/>
              <w:jc w:val="right"/>
            </w:pPr>
            <w:r>
              <w:rPr>
                <w:color w:val="1C3A36"/>
                <w:sz w:val="15"/>
              </w:rPr>
              <w:t>70,587</w:t>
            </w:r>
          </w:p>
        </w:tc>
        <w:tc>
          <w:tcPr>
            <w:tcW w:type="dxa" w:w="950"/>
          </w:tcPr>
          <w:p>
            <w:pPr>
              <w:spacing w:after="20"/>
              <w:jc w:val="right"/>
            </w:pPr>
            <w:r>
              <w:rPr>
                <w:color w:val="1C3A36"/>
                <w:sz w:val="15"/>
              </w:rPr>
              <w:t>77,368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38,953</w:t>
            </w:r>
          </w:p>
        </w:tc>
        <w:tc>
          <w:tcPr>
            <w:tcW w:type="dxa" w:w="950"/>
            <w:shd w:val="clear" w:color="auto" w:fill="F6F1E6"/>
          </w:tcPr>
          <w:p>
            <w:pPr>
              <w:spacing w:after="20"/>
              <w:jc w:val="right"/>
            </w:pPr>
            <w:r>
              <w:rPr>
                <w:b/>
                <w:color w:val="1C3A36"/>
                <w:sz w:val="15"/>
              </w:rPr>
              <w:t>47,000</w:t>
            </w:r>
          </w:p>
        </w:tc>
        <w:tc>
          <w:tcPr>
            <w:tcW w:type="dxa" w:w="950"/>
            <w:shd w:val="clear" w:color="auto" w:fill="F6F1E6"/>
          </w:tcPr>
          <w:p>
            <w:pPr>
              <w:spacing w:after="20"/>
              <w:jc w:val="right"/>
            </w:pPr>
            <w:r>
              <w:rPr>
                <w:b/>
                <w:color w:val="1C3A36"/>
                <w:sz w:val="15"/>
              </w:rPr>
              <w:t>54,043</w:t>
            </w:r>
          </w:p>
        </w:tc>
        <w:tc>
          <w:tcPr>
            <w:tcW w:type="dxa" w:w="950"/>
            <w:shd w:val="clear" w:color="auto" w:fill="F6F1E6"/>
          </w:tcPr>
          <w:p>
            <w:pPr>
              <w:spacing w:after="20"/>
              <w:jc w:val="right"/>
            </w:pPr>
            <w:r>
              <w:rPr>
                <w:b/>
                <w:color w:val="1C3A36"/>
                <w:sz w:val="15"/>
              </w:rPr>
              <w:t>60,529</w:t>
            </w:r>
          </w:p>
        </w:tc>
        <w:tc>
          <w:tcPr>
            <w:tcW w:type="dxa" w:w="950"/>
            <w:shd w:val="clear" w:color="auto" w:fill="F6F1E6"/>
          </w:tcPr>
          <w:p>
            <w:pPr>
              <w:spacing w:after="20"/>
              <w:jc w:val="right"/>
            </w:pPr>
            <w:r>
              <w:rPr>
                <w:b/>
                <w:color w:val="1C3A36"/>
                <w:sz w:val="15"/>
              </w:rPr>
              <w:t>66,374</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10.9%</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11.0%</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(4,627)</w:t>
            </w:r>
          </w:p>
        </w:tc>
        <w:tc>
          <w:tcPr>
            <w:tcW w:type="dxa" w:w="950"/>
          </w:tcPr>
          <w:p>
            <w:pPr>
              <w:spacing w:after="20"/>
              <w:jc w:val="right"/>
            </w:pPr>
            <w:r>
              <w:rPr>
                <w:color w:val="1C3A36"/>
                <w:sz w:val="15"/>
              </w:rPr>
              <w:t>(5,482)</w:t>
            </w:r>
          </w:p>
        </w:tc>
        <w:tc>
          <w:tcPr>
            <w:tcW w:type="dxa" w:w="950"/>
          </w:tcPr>
          <w:p>
            <w:pPr>
              <w:spacing w:after="20"/>
              <w:jc w:val="right"/>
            </w:pPr>
            <w:r>
              <w:rPr>
                <w:color w:val="1C3A36"/>
                <w:sz w:val="15"/>
              </w:rPr>
              <w:t>(6,217)</w:t>
            </w:r>
          </w:p>
        </w:tc>
        <w:tc>
          <w:tcPr>
            <w:tcW w:type="dxa" w:w="950"/>
          </w:tcPr>
          <w:p>
            <w:pPr>
              <w:spacing w:after="20"/>
              <w:jc w:val="right"/>
            </w:pPr>
            <w:r>
              <w:rPr>
                <w:color w:val="1C3A36"/>
                <w:sz w:val="15"/>
              </w:rPr>
              <w:t>(6,908)</w:t>
            </w:r>
          </w:p>
        </w:tc>
        <w:tc>
          <w:tcPr>
            <w:tcW w:type="dxa" w:w="950"/>
          </w:tcPr>
          <w:p>
            <w:pPr>
              <w:spacing w:after="20"/>
              <w:jc w:val="right"/>
            </w:pPr>
            <w:r>
              <w:rPr>
                <w:color w:val="1C3A36"/>
                <w:sz w:val="15"/>
              </w:rPr>
              <w:t>(7,551)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41,518</w:t>
            </w:r>
          </w:p>
        </w:tc>
        <w:tc>
          <w:tcPr>
            <w:tcW w:type="dxa" w:w="950"/>
            <w:shd w:val="clear" w:color="auto" w:fill="F6F1E6"/>
          </w:tcPr>
          <w:p>
            <w:pPr>
              <w:spacing w:after="20"/>
              <w:jc w:val="right"/>
            </w:pPr>
            <w:r>
              <w:rPr>
                <w:b/>
                <w:color w:val="1C3A36"/>
                <w:sz w:val="15"/>
              </w:rPr>
              <w:t>47,826</w:t>
            </w:r>
          </w:p>
        </w:tc>
        <w:tc>
          <w:tcPr>
            <w:tcW w:type="dxa" w:w="950"/>
            <w:shd w:val="clear" w:color="auto" w:fill="F6F1E6"/>
          </w:tcPr>
          <w:p>
            <w:pPr>
              <w:spacing w:after="20"/>
              <w:jc w:val="right"/>
            </w:pPr>
            <w:r>
              <w:rPr>
                <w:b/>
                <w:color w:val="1C3A36"/>
                <w:sz w:val="15"/>
              </w:rPr>
              <w:t>53,621</w:t>
            </w:r>
          </w:p>
        </w:tc>
        <w:tc>
          <w:tcPr>
            <w:tcW w:type="dxa" w:w="950"/>
            <w:shd w:val="clear" w:color="auto" w:fill="F6F1E6"/>
          </w:tcPr>
          <w:p>
            <w:pPr>
              <w:spacing w:after="20"/>
              <w:jc w:val="right"/>
            </w:pPr>
            <w:r>
              <w:rPr>
                <w:b/>
                <w:color w:val="1C3A36"/>
                <w:sz w:val="15"/>
              </w:rPr>
              <w:t>58,823</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(2,135)</w:t>
            </w:r>
          </w:p>
        </w:tc>
        <w:tc>
          <w:tcPr>
            <w:tcW w:type="dxa" w:w="950"/>
          </w:tcPr>
          <w:p>
            <w:pPr>
              <w:spacing w:after="20"/>
              <w:jc w:val="right"/>
            </w:pPr>
            <w:r>
              <w:rPr>
                <w:color w:val="1C3A36"/>
                <w:sz w:val="15"/>
              </w:rPr>
              <w:t>(1,930)</w:t>
            </w:r>
          </w:p>
        </w:tc>
        <w:tc>
          <w:tcPr>
            <w:tcW w:type="dxa" w:w="950"/>
          </w:tcPr>
          <w:p>
            <w:pPr>
              <w:spacing w:after="20"/>
              <w:jc w:val="right"/>
            </w:pPr>
            <w:r>
              <w:rPr>
                <w:color w:val="1C3A36"/>
                <w:sz w:val="15"/>
              </w:rPr>
              <w:t>(1,359)</w:t>
            </w:r>
          </w:p>
        </w:tc>
        <w:tc>
          <w:tcPr>
            <w:tcW w:type="dxa" w:w="950"/>
          </w:tcPr>
          <w:p>
            <w:pPr>
              <w:spacing w:after="20"/>
              <w:jc w:val="right"/>
            </w:pPr>
            <w:r>
              <w:rPr>
                <w:color w:val="1C3A36"/>
                <w:sz w:val="15"/>
              </w:rPr>
              <w:t>(537)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41,214</w:t>
            </w:r>
          </w:p>
        </w:tc>
        <w:tc>
          <w:tcPr>
            <w:tcW w:type="dxa" w:w="950"/>
          </w:tcPr>
          <w:p>
            <w:pPr>
              <w:spacing w:after="20"/>
              <w:jc w:val="right"/>
            </w:pPr>
            <w:r>
              <w:rPr>
                <w:color w:val="1C3A36"/>
                <w:sz w:val="15"/>
              </w:rPr>
              <w:t>47,872</w:t>
            </w:r>
          </w:p>
        </w:tc>
        <w:tc>
          <w:tcPr>
            <w:tcW w:type="dxa" w:w="950"/>
          </w:tcPr>
          <w:p>
            <w:pPr>
              <w:spacing w:after="20"/>
              <w:jc w:val="right"/>
            </w:pPr>
            <w:r>
              <w:rPr>
                <w:color w:val="1C3A36"/>
                <w:sz w:val="15"/>
              </w:rPr>
              <w:t>54,397</w:t>
            </w:r>
          </w:p>
        </w:tc>
        <w:tc>
          <w:tcPr>
            <w:tcW w:type="dxa" w:w="950"/>
          </w:tcPr>
          <w:p>
            <w:pPr>
              <w:spacing w:after="20"/>
              <w:jc w:val="right"/>
            </w:pPr>
            <w:r>
              <w:rPr>
                <w:color w:val="1C3A36"/>
                <w:sz w:val="15"/>
              </w:rPr>
              <w:t>60,591</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(10,097)</w:t>
            </w:r>
          </w:p>
        </w:tc>
        <w:tc>
          <w:tcPr>
            <w:tcW w:type="dxa" w:w="950"/>
          </w:tcPr>
          <w:p>
            <w:pPr>
              <w:spacing w:after="20"/>
              <w:jc w:val="right"/>
            </w:pPr>
            <w:r>
              <w:rPr>
                <w:color w:val="1C3A36"/>
                <w:sz w:val="15"/>
              </w:rPr>
              <w:t>(11,729)</w:t>
            </w:r>
          </w:p>
        </w:tc>
        <w:tc>
          <w:tcPr>
            <w:tcW w:type="dxa" w:w="950"/>
          </w:tcPr>
          <w:p>
            <w:pPr>
              <w:spacing w:after="20"/>
              <w:jc w:val="right"/>
            </w:pPr>
            <w:r>
              <w:rPr>
                <w:color w:val="1C3A36"/>
                <w:sz w:val="15"/>
              </w:rPr>
              <w:t>(13,327)</w:t>
            </w:r>
          </w:p>
        </w:tc>
        <w:tc>
          <w:tcPr>
            <w:tcW w:type="dxa" w:w="950"/>
          </w:tcPr>
          <w:p>
            <w:pPr>
              <w:spacing w:after="20"/>
              <w:jc w:val="right"/>
            </w:pPr>
            <w:r>
              <w:rPr>
                <w:color w:val="1C3A36"/>
                <w:sz w:val="15"/>
              </w:rPr>
              <w:t>(14,845)</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31,116</w:t>
            </w:r>
          </w:p>
        </w:tc>
        <w:tc>
          <w:tcPr>
            <w:tcW w:type="dxa" w:w="950"/>
          </w:tcPr>
          <w:p>
            <w:pPr>
              <w:spacing w:after="20"/>
              <w:jc w:val="right"/>
            </w:pPr>
            <w:r>
              <w:rPr>
                <w:color w:val="1C3A36"/>
                <w:sz w:val="15"/>
              </w:rPr>
              <w:t>36,143</w:t>
            </w:r>
          </w:p>
        </w:tc>
        <w:tc>
          <w:tcPr>
            <w:tcW w:type="dxa" w:w="950"/>
          </w:tcPr>
          <w:p>
            <w:pPr>
              <w:spacing w:after="20"/>
              <w:jc w:val="right"/>
            </w:pPr>
            <w:r>
              <w:rPr>
                <w:color w:val="1C3A36"/>
                <w:sz w:val="15"/>
              </w:rPr>
              <w:t>41,070</w:t>
            </w:r>
          </w:p>
        </w:tc>
        <w:tc>
          <w:tcPr>
            <w:tcW w:type="dxa" w:w="950"/>
          </w:tcPr>
          <w:p>
            <w:pPr>
              <w:spacing w:after="20"/>
              <w:jc w:val="right"/>
            </w:pPr>
            <w:r>
              <w:rPr>
                <w:color w:val="1C3A36"/>
                <w:sz w:val="15"/>
              </w:rPr>
              <w:t>45,746</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(3,011)</w:t>
            </w:r>
          </w:p>
        </w:tc>
        <w:tc>
          <w:tcPr>
            <w:tcW w:type="dxa" w:w="950"/>
          </w:tcPr>
          <w:p>
            <w:pPr>
              <w:spacing w:after="20"/>
              <w:jc w:val="right"/>
            </w:pPr>
            <w:r>
              <w:rPr>
                <w:color w:val="1C3A36"/>
                <w:sz w:val="15"/>
              </w:rPr>
              <w:t>(3,497)</w:t>
            </w:r>
          </w:p>
        </w:tc>
        <w:tc>
          <w:tcPr>
            <w:tcW w:type="dxa" w:w="950"/>
          </w:tcPr>
          <w:p>
            <w:pPr>
              <w:spacing w:after="20"/>
              <w:jc w:val="right"/>
            </w:pPr>
            <w:r>
              <w:rPr>
                <w:color w:val="1C3A36"/>
                <w:sz w:val="15"/>
              </w:rPr>
              <w:t>(3,974)</w:t>
            </w:r>
          </w:p>
        </w:tc>
        <w:tc>
          <w:tcPr>
            <w:tcW w:type="dxa" w:w="950"/>
          </w:tcPr>
          <w:p>
            <w:pPr>
              <w:spacing w:after="20"/>
              <w:jc w:val="right"/>
            </w:pPr>
            <w:r>
              <w:rPr>
                <w:color w:val="1C3A36"/>
                <w:sz w:val="15"/>
              </w:rPr>
              <w:t>(4,426)</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28,106</w:t>
            </w:r>
          </w:p>
        </w:tc>
        <w:tc>
          <w:tcPr>
            <w:tcW w:type="dxa" w:w="950"/>
            <w:shd w:val="clear" w:color="auto" w:fill="F6F1E6"/>
          </w:tcPr>
          <w:p>
            <w:pPr>
              <w:spacing w:after="20"/>
              <w:jc w:val="right"/>
            </w:pPr>
            <w:r>
              <w:rPr>
                <w:b/>
                <w:color w:val="1C3A36"/>
                <w:sz w:val="15"/>
              </w:rPr>
              <w:t>32,647</w:t>
            </w:r>
          </w:p>
        </w:tc>
        <w:tc>
          <w:tcPr>
            <w:tcW w:type="dxa" w:w="950"/>
            <w:shd w:val="clear" w:color="auto" w:fill="F6F1E6"/>
          </w:tcPr>
          <w:p>
            <w:pPr>
              <w:spacing w:after="20"/>
              <w:jc w:val="right"/>
            </w:pPr>
            <w:r>
              <w:rPr>
                <w:b/>
                <w:color w:val="1C3A36"/>
                <w:sz w:val="15"/>
              </w:rPr>
              <w:t>37,096</w:t>
            </w:r>
          </w:p>
        </w:tc>
        <w:tc>
          <w:tcPr>
            <w:tcW w:type="dxa" w:w="950"/>
            <w:shd w:val="clear" w:color="auto" w:fill="F6F1E6"/>
          </w:tcPr>
          <w:p>
            <w:pPr>
              <w:spacing w:after="20"/>
              <w:jc w:val="right"/>
            </w:pPr>
            <w:r>
              <w:rPr>
                <w:b/>
                <w:color w:val="1C3A36"/>
                <w:sz w:val="15"/>
              </w:rPr>
              <w:t>41,320</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13.13</w:t>
            </w:r>
          </w:p>
        </w:tc>
        <w:tc>
          <w:tcPr>
            <w:tcW w:type="dxa" w:w="950"/>
          </w:tcPr>
          <w:p>
            <w:pPr>
              <w:spacing w:after="20"/>
              <w:jc w:val="right"/>
            </w:pPr>
            <w:r>
              <w:rPr>
                <w:color w:val="1C3A36"/>
                <w:sz w:val="15"/>
              </w:rPr>
              <w:t>15.25</w:t>
            </w:r>
          </w:p>
        </w:tc>
        <w:tc>
          <w:tcPr>
            <w:tcW w:type="dxa" w:w="950"/>
          </w:tcPr>
          <w:p>
            <w:pPr>
              <w:spacing w:after="20"/>
              <w:jc w:val="right"/>
            </w:pPr>
            <w:r>
              <w:rPr>
                <w:color w:val="1C3A36"/>
                <w:sz w:val="15"/>
              </w:rPr>
              <w:t>17.33</w:t>
            </w:r>
          </w:p>
        </w:tc>
        <w:tc>
          <w:tcPr>
            <w:tcW w:type="dxa" w:w="950"/>
          </w:tcPr>
          <w:p>
            <w:pPr>
              <w:spacing w:after="20"/>
              <w:jc w:val="right"/>
            </w:pPr>
            <w:r>
              <w:rPr>
                <w:color w:val="1C3A36"/>
                <w:sz w:val="15"/>
              </w:rPr>
              <w:t>19.30</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73,669</w:t>
            </w:r>
          </w:p>
        </w:tc>
        <w:tc>
          <w:tcPr>
            <w:tcW w:type="dxa" w:w="1426"/>
          </w:tcPr>
          <w:p>
            <w:pPr>
              <w:spacing w:after="20"/>
              <w:jc w:val="right"/>
            </w:pPr>
            <w:r>
              <w:rPr>
                <w:color w:val="1C3A36"/>
                <w:sz w:val="16"/>
              </w:rPr>
              <w:t>87,266</w:t>
            </w:r>
          </w:p>
        </w:tc>
        <w:tc>
          <w:tcPr>
            <w:tcW w:type="dxa" w:w="1426"/>
          </w:tcPr>
          <w:p>
            <w:pPr>
              <w:spacing w:after="20"/>
              <w:jc w:val="right"/>
            </w:pPr>
            <w:r>
              <w:rPr>
                <w:color w:val="1C3A36"/>
                <w:sz w:val="16"/>
              </w:rPr>
              <w:t>98,977</w:t>
            </w:r>
          </w:p>
        </w:tc>
        <w:tc>
          <w:tcPr>
            <w:tcW w:type="dxa" w:w="1426"/>
          </w:tcPr>
          <w:p>
            <w:pPr>
              <w:spacing w:after="20"/>
              <w:jc w:val="right"/>
            </w:pPr>
            <w:r>
              <w:rPr>
                <w:color w:val="1C3A36"/>
                <w:sz w:val="16"/>
              </w:rPr>
              <w:t>109,976</w:t>
            </w:r>
          </w:p>
        </w:tc>
        <w:tc>
          <w:tcPr>
            <w:tcW w:type="dxa" w:w="1426"/>
          </w:tcPr>
          <w:p>
            <w:pPr>
              <w:spacing w:after="20"/>
              <w:jc w:val="right"/>
            </w:pPr>
            <w:r>
              <w:rPr>
                <w:color w:val="1C3A36"/>
                <w:sz w:val="16"/>
              </w:rPr>
              <w:t>120,208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44,565</w:t>
            </w:r>
          </w:p>
        </w:tc>
        <w:tc>
          <w:tcPr>
            <w:tcW w:type="dxa" w:w="1426"/>
          </w:tcPr>
          <w:p>
            <w:pPr>
              <w:spacing w:after="20"/>
              <w:jc w:val="right"/>
            </w:pPr>
            <w:r>
              <w:rPr>
                <w:color w:val="1C3A36"/>
                <w:sz w:val="16"/>
              </w:rPr>
              <w:t>54,757</w:t>
            </w:r>
          </w:p>
        </w:tc>
        <w:tc>
          <w:tcPr>
            <w:tcW w:type="dxa" w:w="1426"/>
          </w:tcPr>
          <w:p>
            <w:pPr>
              <w:spacing w:after="20"/>
              <w:jc w:val="right"/>
            </w:pPr>
            <w:r>
              <w:rPr>
                <w:color w:val="1C3A36"/>
                <w:sz w:val="16"/>
              </w:rPr>
              <w:t>66,317</w:t>
            </w:r>
          </w:p>
        </w:tc>
        <w:tc>
          <w:tcPr>
            <w:tcW w:type="dxa" w:w="1426"/>
          </w:tcPr>
          <w:p>
            <w:pPr>
              <w:spacing w:after="20"/>
              <w:jc w:val="right"/>
            </w:pPr>
            <w:r>
              <w:rPr>
                <w:color w:val="1C3A36"/>
                <w:sz w:val="16"/>
              </w:rPr>
              <w:t>79,162</w:t>
            </w:r>
          </w:p>
        </w:tc>
        <w:tc>
          <w:tcPr>
            <w:tcW w:type="dxa" w:w="1426"/>
          </w:tcPr>
          <w:p>
            <w:pPr>
              <w:spacing w:after="20"/>
              <w:jc w:val="right"/>
            </w:pPr>
            <w:r>
              <w:rPr>
                <w:color w:val="1C3A36"/>
                <w:sz w:val="16"/>
              </w:rPr>
              <w:t>93,202</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119,983</w:t>
            </w:r>
          </w:p>
        </w:tc>
        <w:tc>
          <w:tcPr>
            <w:tcW w:type="dxa" w:w="1426"/>
          </w:tcPr>
          <w:p>
            <w:pPr>
              <w:spacing w:after="20"/>
              <w:jc w:val="right"/>
            </w:pPr>
            <w:r>
              <w:rPr>
                <w:color w:val="1C3A36"/>
                <w:sz w:val="16"/>
              </w:rPr>
              <w:t>143,772</w:t>
            </w:r>
          </w:p>
        </w:tc>
        <w:tc>
          <w:tcPr>
            <w:tcW w:type="dxa" w:w="1426"/>
          </w:tcPr>
          <w:p>
            <w:pPr>
              <w:spacing w:after="20"/>
              <w:jc w:val="right"/>
            </w:pPr>
            <w:r>
              <w:rPr>
                <w:color w:val="1C3A36"/>
                <w:sz w:val="16"/>
              </w:rPr>
              <w:t>167,043</w:t>
            </w:r>
          </w:p>
        </w:tc>
        <w:tc>
          <w:tcPr>
            <w:tcW w:type="dxa" w:w="1426"/>
          </w:tcPr>
          <w:p>
            <w:pPr>
              <w:spacing w:after="20"/>
              <w:jc w:val="right"/>
            </w:pPr>
            <w:r>
              <w:rPr>
                <w:color w:val="1C3A36"/>
                <w:sz w:val="16"/>
              </w:rPr>
              <w:t>190,887</w:t>
            </w:r>
          </w:p>
        </w:tc>
        <w:tc>
          <w:tcPr>
            <w:tcW w:type="dxa" w:w="1426"/>
          </w:tcPr>
          <w:p>
            <w:pPr>
              <w:spacing w:after="20"/>
              <w:jc w:val="right"/>
            </w:pPr>
            <w:r>
              <w:rPr>
                <w:color w:val="1C3A36"/>
                <w:sz w:val="16"/>
              </w:rPr>
              <w:t>215,159</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(15,674)</w:t>
            </w:r>
          </w:p>
        </w:tc>
        <w:tc>
          <w:tcPr>
            <w:tcW w:type="dxa" w:w="1426"/>
          </w:tcPr>
          <w:p>
            <w:pPr>
              <w:spacing w:after="20"/>
              <w:jc w:val="right"/>
            </w:pPr>
            <w:r>
              <w:rPr>
                <w:color w:val="1C3A36"/>
                <w:sz w:val="16"/>
              </w:rPr>
              <w:t>(17,777)</w:t>
            </w:r>
          </w:p>
        </w:tc>
        <w:tc>
          <w:tcPr>
            <w:tcW w:type="dxa" w:w="1426"/>
          </w:tcPr>
          <w:p>
            <w:pPr>
              <w:spacing w:after="20"/>
              <w:jc w:val="right"/>
            </w:pPr>
            <w:r>
              <w:rPr>
                <w:color w:val="1C3A36"/>
                <w:sz w:val="16"/>
              </w:rPr>
              <w:t>(19,753)</w:t>
            </w:r>
          </w:p>
        </w:tc>
        <w:tc>
          <w:tcPr>
            <w:tcW w:type="dxa" w:w="1426"/>
          </w:tcPr>
          <w:p>
            <w:pPr>
              <w:spacing w:after="20"/>
              <w:jc w:val="right"/>
            </w:pPr>
            <w:r>
              <w:rPr>
                <w:color w:val="1C3A36"/>
                <w:sz w:val="16"/>
              </w:rPr>
              <w:t>(21,590)</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(17,816)</w:t>
            </w:r>
          </w:p>
        </w:tc>
        <w:tc>
          <w:tcPr>
            <w:tcW w:type="dxa" w:w="1426"/>
            <w:shd w:val="clear" w:color="auto" w:fill="F6F1E6"/>
          </w:tcPr>
          <w:p>
            <w:pPr>
              <w:spacing w:after="20"/>
              <w:jc w:val="right"/>
            </w:pPr>
            <w:r>
              <w:rPr>
                <w:b/>
                <w:color w:val="1C3A36"/>
                <w:sz w:val="16"/>
              </w:rPr>
              <w:t>(13,597)</w:t>
            </w:r>
          </w:p>
        </w:tc>
        <w:tc>
          <w:tcPr>
            <w:tcW w:type="dxa" w:w="1426"/>
            <w:shd w:val="clear" w:color="auto" w:fill="F6F1E6"/>
          </w:tcPr>
          <w:p>
            <w:pPr>
              <w:spacing w:after="20"/>
              <w:jc w:val="right"/>
            </w:pPr>
            <w:r>
              <w:rPr>
                <w:b/>
                <w:color w:val="1C3A36"/>
                <w:sz w:val="16"/>
              </w:rPr>
              <w:t>(11,711)</w:t>
            </w:r>
          </w:p>
        </w:tc>
        <w:tc>
          <w:tcPr>
            <w:tcW w:type="dxa" w:w="1426"/>
            <w:shd w:val="clear" w:color="auto" w:fill="F6F1E6"/>
          </w:tcPr>
          <w:p>
            <w:pPr>
              <w:spacing w:after="20"/>
              <w:jc w:val="right"/>
            </w:pPr>
            <w:r>
              <w:rPr>
                <w:b/>
                <w:color w:val="1C3A36"/>
                <w:sz w:val="16"/>
              </w:rPr>
              <w:t>(10,999)</w:t>
            </w:r>
          </w:p>
        </w:tc>
        <w:tc>
          <w:tcPr>
            <w:tcW w:type="dxa" w:w="1426"/>
            <w:shd w:val="clear" w:color="auto" w:fill="F6F1E6"/>
          </w:tcPr>
          <w:p>
            <w:pPr>
              <w:spacing w:after="20"/>
              <w:jc w:val="right"/>
            </w:pPr>
            <w:r>
              <w:rPr>
                <w:b/>
                <w:color w:val="1C3A36"/>
                <w:sz w:val="16"/>
              </w:rPr>
              <w:t>(10,232)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-505</w:t>
            </w:r>
          </w:p>
        </w:tc>
        <w:tc>
          <w:tcPr>
            <w:tcW w:type="dxa" w:w="1426"/>
          </w:tcPr>
          <w:p>
            <w:pPr>
              <w:spacing w:after="20"/>
              <w:jc w:val="right"/>
            </w:pPr>
            <w:r>
              <w:rPr>
                <w:color w:val="1C3A36"/>
                <w:sz w:val="16"/>
              </w:rPr>
              <w:t>7,557</w:t>
            </w:r>
          </w:p>
        </w:tc>
        <w:tc>
          <w:tcPr>
            <w:tcW w:type="dxa" w:w="1426"/>
          </w:tcPr>
          <w:p>
            <w:pPr>
              <w:spacing w:after="20"/>
              <w:jc w:val="right"/>
            </w:pPr>
            <w:r>
              <w:rPr>
                <w:color w:val="1C3A36"/>
                <w:sz w:val="16"/>
              </w:rPr>
              <w:t>12,838</w:t>
            </w:r>
          </w:p>
        </w:tc>
        <w:tc>
          <w:tcPr>
            <w:tcW w:type="dxa" w:w="1426"/>
          </w:tcPr>
          <w:p>
            <w:pPr>
              <w:spacing w:after="20"/>
              <w:jc w:val="right"/>
            </w:pPr>
            <w:r>
              <w:rPr>
                <w:color w:val="1C3A36"/>
                <w:sz w:val="16"/>
              </w:rPr>
              <w:t>16,640</w:t>
            </w:r>
          </w:p>
        </w:tc>
        <w:tc>
          <w:tcPr>
            <w:tcW w:type="dxa" w:w="1426"/>
          </w:tcPr>
          <w:p>
            <w:pPr>
              <w:spacing w:after="20"/>
              <w:jc w:val="right"/>
            </w:pPr>
            <w:r>
              <w:rPr>
                <w:color w:val="1C3A36"/>
                <w:sz w:val="16"/>
              </w:rPr>
              <w:t>20,140</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105,481</w:t>
            </w:r>
          </w:p>
        </w:tc>
        <w:tc>
          <w:tcPr>
            <w:tcW w:type="dxa" w:w="1426"/>
          </w:tcPr>
          <w:p>
            <w:pPr>
              <w:spacing w:after="20"/>
              <w:jc w:val="right"/>
            </w:pPr>
            <w:r>
              <w:rPr>
                <w:color w:val="1C3A36"/>
                <w:sz w:val="16"/>
              </w:rPr>
              <w:t>129,966</w:t>
            </w:r>
          </w:p>
        </w:tc>
        <w:tc>
          <w:tcPr>
            <w:tcW w:type="dxa" w:w="1426"/>
          </w:tcPr>
          <w:p>
            <w:pPr>
              <w:spacing w:after="20"/>
              <w:jc w:val="right"/>
            </w:pPr>
            <w:r>
              <w:rPr>
                <w:color w:val="1C3A36"/>
                <w:sz w:val="16"/>
              </w:rPr>
              <w:t>157,788</w:t>
            </w:r>
          </w:p>
        </w:tc>
        <w:tc>
          <w:tcPr>
            <w:tcW w:type="dxa" w:w="1426"/>
          </w:tcPr>
          <w:p>
            <w:pPr>
              <w:spacing w:after="20"/>
              <w:jc w:val="right"/>
            </w:pPr>
            <w:r>
              <w:rPr>
                <w:color w:val="1C3A36"/>
                <w:sz w:val="16"/>
              </w:rPr>
              <w:t>188,779</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28,225</w:t>
            </w:r>
          </w:p>
        </w:tc>
        <w:tc>
          <w:tcPr>
            <w:tcW w:type="dxa" w:w="1426"/>
          </w:tcPr>
          <w:p>
            <w:pPr>
              <w:spacing w:after="20"/>
              <w:jc w:val="right"/>
            </w:pPr>
            <w:r>
              <w:rPr>
                <w:color w:val="1C3A36"/>
                <w:sz w:val="16"/>
              </w:rPr>
              <w:t>29,306</w:t>
            </w:r>
          </w:p>
        </w:tc>
        <w:tc>
          <w:tcPr>
            <w:tcW w:type="dxa" w:w="1426"/>
          </w:tcPr>
          <w:p>
            <w:pPr>
              <w:spacing w:after="20"/>
              <w:jc w:val="right"/>
            </w:pPr>
            <w:r>
              <w:rPr>
                <w:color w:val="1C3A36"/>
                <w:sz w:val="16"/>
              </w:rPr>
              <w:t>26,087</w:t>
            </w:r>
          </w:p>
        </w:tc>
        <w:tc>
          <w:tcPr>
            <w:tcW w:type="dxa" w:w="1426"/>
          </w:tcPr>
          <w:p>
            <w:pPr>
              <w:spacing w:after="20"/>
              <w:jc w:val="right"/>
            </w:pPr>
            <w:r>
              <w:rPr>
                <w:color w:val="1C3A36"/>
                <w:sz w:val="16"/>
              </w:rPr>
              <w:t>19,747</w:t>
            </w:r>
          </w:p>
        </w:tc>
        <w:tc>
          <w:tcPr>
            <w:tcW w:type="dxa" w:w="1426"/>
          </w:tcPr>
          <w:p>
            <w:pPr>
              <w:spacing w:after="20"/>
              <w:jc w:val="right"/>
            </w:pPr>
            <w:r>
              <w:rPr>
                <w:color w:val="1C3A36"/>
                <w:sz w:val="16"/>
              </w:rPr>
              <w:t>10,343</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38.64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17.47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52.26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31.61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171.00 and 103.89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497,370</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10.9%</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47,826</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15.40</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171.00</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125.51 – 216.49</w:t>
            </w:r>
          </w:p>
        </w:tc>
      </w:tr>
    </w:tbl>
    <w:p>
      <w:pPr>
        <w:spacing w:after="40"/>
      </w:pPr>
    </w:p>
    <w:p>
      <w:pPr>
        <w:spacing w:after="120" w:before="0"/>
      </w:pPr>
      <w:r>
        <w:rPr>
          <w:b w:val="0"/>
          <w:i w:val="0"/>
          <w:color w:val="1C3A36"/>
          <w:sz w:val="21"/>
        </w:rPr>
        <w:t>Named sensitivity: each one-turn change in the multiple is worth EGP 15.40 per share, and each percentage point of mid-cycle EBITDA margin is worth roughly EGP 1.42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16,539</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(1,541)</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14,390</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(19.8%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79.30</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37.19 – 59.06</w:t>
            </w:r>
          </w:p>
        </w:tc>
      </w:tr>
    </w:tbl>
    <w:p>
      <w:pPr>
        <w:spacing w:after="40"/>
      </w:pPr>
    </w:p>
    <w:p>
      <w:pPr>
        <w:spacing w:after="120" w:before="0"/>
      </w:pPr>
      <w:r>
        <w:rPr>
          <w:b w:val="0"/>
          <w:i w:val="0"/>
          <w:color w:val="1C3A36"/>
          <w:sz w:val="21"/>
        </w:rPr>
        <w:t>This is the harshest of the three readings, at EGP 79.30,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13,009</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28,101</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134,673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58.41</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49.51 – 66.19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23.7%</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19.3%</w:t>
            </w:r>
          </w:p>
        </w:tc>
        <w:tc>
          <w:tcPr>
            <w:tcW w:type="dxa" w:w="1426"/>
          </w:tcPr>
          <w:p>
            <w:pPr>
              <w:spacing w:after="20"/>
              <w:jc w:val="right"/>
            </w:pPr>
            <w:r>
              <w:rPr>
                <w:color w:val="1C3A36"/>
                <w:sz w:val="16"/>
              </w:rPr>
              <w:t>17.9%</w:t>
            </w:r>
          </w:p>
        </w:tc>
      </w:tr>
      <w:tr>
        <w:tc>
          <w:tcPr>
            <w:tcW w:type="dxa" w:w="2952"/>
          </w:tcPr>
          <w:p>
            <w:pPr>
              <w:spacing w:after="20"/>
            </w:pPr>
            <w:r>
              <w:rPr>
                <w:color w:val="1C3A36"/>
                <w:sz w:val="16"/>
              </w:rPr>
              <w:t>Spread</w:t>
            </w:r>
          </w:p>
        </w:tc>
        <w:tc>
          <w:tcPr>
            <w:tcW w:type="dxa" w:w="1426"/>
          </w:tcPr>
          <w:p>
            <w:pPr>
              <w:spacing w:after="20"/>
              <w:jc w:val="right"/>
            </w:pPr>
            <w:r>
              <w:rPr>
                <w:color w:val="1C3A36"/>
                <w:sz w:val="16"/>
              </w:rPr>
              <w:t>-5.1pp</w:t>
            </w:r>
          </w:p>
        </w:tc>
        <w:tc>
          <w:tcPr>
            <w:tcW w:type="dxa" w:w="1426"/>
          </w:tcPr>
          <w:p>
            <w:pPr>
              <w:spacing w:after="20"/>
              <w:jc w:val="right"/>
            </w:pPr>
            <w:r>
              <w:rPr>
                <w:color w:val="1C3A36"/>
                <w:sz w:val="16"/>
              </w:rPr>
              <w:t>-1.9pp</w:t>
            </w:r>
          </w:p>
        </w:tc>
        <w:tc>
          <w:tcPr>
            <w:tcW w:type="dxa" w:w="1426"/>
          </w:tcPr>
          <w:p>
            <w:pPr>
              <w:spacing w:after="20"/>
              <w:jc w:val="right"/>
            </w:pPr>
            <w:r>
              <w:rPr>
                <w:color w:val="1C3A36"/>
                <w:sz w:val="16"/>
              </w:rPr>
              <w:t>+0.3pp</w:t>
            </w:r>
          </w:p>
        </w:tc>
        <w:tc>
          <w:tcPr>
            <w:tcW w:type="dxa" w:w="1426"/>
          </w:tcPr>
          <w:p>
            <w:pPr>
              <w:spacing w:after="20"/>
              <w:jc w:val="right"/>
            </w:pPr>
            <w:r>
              <w:rPr>
                <w:color w:val="1C3A36"/>
                <w:sz w:val="16"/>
              </w:rPr>
              <w:t>+1.9pp</w:t>
            </w:r>
          </w:p>
        </w:tc>
        <w:tc>
          <w:tcPr>
            <w:tcW w:type="dxa" w:w="1426"/>
          </w:tcPr>
          <w:p>
            <w:pPr>
              <w:spacing w:after="20"/>
              <w:jc w:val="right"/>
            </w:pPr>
            <w:r>
              <w:rPr>
                <w:color w:val="1C3A36"/>
                <w:sz w:val="16"/>
              </w:rPr>
              <w:t>+2.8pp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2,888</w:t>
            </w:r>
          </w:p>
        </w:tc>
        <w:tc>
          <w:tcPr>
            <w:tcW w:type="dxa" w:w="1426"/>
            <w:shd w:val="clear" w:color="auto" w:fill="F6F1E6"/>
          </w:tcPr>
          <w:p>
            <w:pPr>
              <w:spacing w:after="20"/>
              <w:jc w:val="right"/>
            </w:pPr>
            <w:r>
              <w:rPr>
                <w:b/>
                <w:color w:val="1C3A36"/>
                <w:sz w:val="16"/>
              </w:rPr>
              <w:t>5,521</w:t>
            </w:r>
          </w:p>
        </w:tc>
        <w:tc>
          <w:tcPr>
            <w:tcW w:type="dxa" w:w="1426"/>
            <w:shd w:val="clear" w:color="auto" w:fill="F6F1E6"/>
          </w:tcPr>
          <w:p>
            <w:pPr>
              <w:spacing w:after="20"/>
              <w:jc w:val="right"/>
            </w:pPr>
            <w:r>
              <w:rPr>
                <w:b/>
                <w:color w:val="1C3A36"/>
                <w:sz w:val="16"/>
              </w:rPr>
              <w:t>8,211</w:t>
            </w:r>
          </w:p>
        </w:tc>
        <w:tc>
          <w:tcPr>
            <w:tcW w:type="dxa" w:w="1426"/>
            <w:shd w:val="clear" w:color="auto" w:fill="F6F1E6"/>
          </w:tcPr>
          <w:p>
            <w:pPr>
              <w:spacing w:after="20"/>
              <w:jc w:val="right"/>
            </w:pPr>
            <w:r>
              <w:rPr>
                <w:b/>
                <w:color w:val="1C3A36"/>
                <w:sz w:val="16"/>
              </w:rPr>
              <w:t>10,330</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(134,673) and the DCF's (146,525) differ by 11,852: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79.30; the vertical line is the market price of 130.00.</w:t>
      </w:r>
    </w:p>
    <w:p>
      <w:pPr>
        <w:spacing w:after="120" w:before="0"/>
      </w:pPr>
      <w:r>
        <w:rPr>
          <w:b w:val="0"/>
          <w:i w:val="0"/>
          <w:color w:val="1C3A36"/>
          <w:sz w:val="21"/>
        </w:rPr>
        <w:t>The panel spans EGP 58.41 to 171.00 — a factor of 2.9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79.30 sits -39% against the market price and +41% against the study's own central of 56.25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19.8%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82%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