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80.00 per share against a market price of 105.20 — the price sits about +31% above the central estimate. That gap is not mainly an argument about the business; it is an argument about the discount rate. Discounted at an Egyptian cost of equity of 28.4%, the cash flows support roughly EGP 70.99. Discount the hard-currency share of those same cash flows at a hard-currency cost of capital of about 10.1% and the same model produces EGP 134.40,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77% of enterprise value comes from the terminal value</w:t>
            </w:r>
          </w:p>
        </w:tc>
        <w:tc>
          <w:tcPr>
            <w:tcW w:type="dxa" w:w="1656"/>
          </w:tcPr>
          <w:p>
            <w:pPr>
              <w:spacing w:after="20"/>
              <w:jc w:val="right"/>
            </w:pPr>
            <w:r>
              <w:rPr>
                <w:color w:val="1C3A36"/>
                <w:sz w:val="17"/>
              </w:rPr>
              <w:t>40.57 – 129.37</w:t>
            </w:r>
          </w:p>
        </w:tc>
        <w:tc>
          <w:tcPr>
            <w:tcW w:type="dxa" w:w="1037"/>
          </w:tcPr>
          <w:p>
            <w:pPr>
              <w:spacing w:after="20"/>
              <w:jc w:val="right"/>
            </w:pPr>
            <w:r>
              <w:rPr>
                <w:color w:val="1C3A36"/>
                <w:sz w:val="17"/>
              </w:rPr>
              <w:t>70.99</w:t>
            </w:r>
          </w:p>
        </w:tc>
        <w:tc>
          <w:tcPr>
            <w:tcW w:type="dxa" w:w="907"/>
          </w:tcPr>
          <w:p>
            <w:pPr>
              <w:spacing w:after="20"/>
              <w:jc w:val="right"/>
            </w:pPr>
            <w:r>
              <w:rPr>
                <w:color w:val="1C3A36"/>
                <w:sz w:val="17"/>
              </w:rPr>
              <w:t>-33%</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7.9×; trailing P/E 13.0×)</w:t>
            </w:r>
          </w:p>
        </w:tc>
        <w:tc>
          <w:tcPr>
            <w:tcW w:type="dxa" w:w="1656"/>
          </w:tcPr>
          <w:p>
            <w:pPr>
              <w:spacing w:after="20"/>
              <w:jc w:val="right"/>
            </w:pPr>
            <w:r>
              <w:rPr>
                <w:color w:val="1C3A36"/>
                <w:sz w:val="17"/>
              </w:rPr>
              <w:t>91.34 – 135.22</w:t>
            </w:r>
          </w:p>
        </w:tc>
        <w:tc>
          <w:tcPr>
            <w:tcW w:type="dxa" w:w="1037"/>
          </w:tcPr>
          <w:p>
            <w:pPr>
              <w:spacing w:after="20"/>
              <w:jc w:val="right"/>
            </w:pPr>
            <w:r>
              <w:rPr>
                <w:color w:val="1C3A36"/>
                <w:sz w:val="17"/>
              </w:rPr>
              <w:t>108.89</w:t>
            </w:r>
          </w:p>
        </w:tc>
        <w:tc>
          <w:tcPr>
            <w:tcW w:type="dxa" w:w="907"/>
          </w:tcPr>
          <w:p>
            <w:pPr>
              <w:spacing w:after="20"/>
              <w:jc w:val="right"/>
            </w:pPr>
            <w:r>
              <w:rPr>
                <w:color w:val="1C3A36"/>
                <w:sz w:val="17"/>
              </w:rPr>
              <w:t>+4%</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12.1% at a justified 9.0× P/E</w:t>
            </w:r>
          </w:p>
        </w:tc>
        <w:tc>
          <w:tcPr>
            <w:tcW w:type="dxa" w:w="1656"/>
          </w:tcPr>
          <w:p>
            <w:pPr>
              <w:spacing w:after="20"/>
              <w:jc w:val="right"/>
            </w:pPr>
            <w:r>
              <w:rPr>
                <w:color w:val="1C3A36"/>
                <w:sz w:val="17"/>
              </w:rPr>
              <w:t>82.45 – 135.46</w:t>
            </w:r>
          </w:p>
        </w:tc>
        <w:tc>
          <w:tcPr>
            <w:tcW w:type="dxa" w:w="1037"/>
          </w:tcPr>
          <w:p>
            <w:pPr>
              <w:spacing w:after="20"/>
              <w:jc w:val="right"/>
            </w:pPr>
            <w:r>
              <w:rPr>
                <w:color w:val="1C3A36"/>
                <w:sz w:val="17"/>
              </w:rPr>
              <w:t>106.01</w:t>
            </w:r>
          </w:p>
        </w:tc>
        <w:tc>
          <w:tcPr>
            <w:tcW w:type="dxa" w:w="907"/>
          </w:tcPr>
          <w:p>
            <w:pPr>
              <w:spacing w:after="20"/>
              <w:jc w:val="right"/>
            </w:pPr>
            <w:r>
              <w:rPr>
                <w:color w:val="1C3A36"/>
                <w:sz w:val="17"/>
              </w:rPr>
              <w:t>+1%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1.0× on book value of 32.92/share at a sustainable return on equity of 23.5%</w:t>
            </w:r>
          </w:p>
        </w:tc>
        <w:tc>
          <w:tcPr>
            <w:tcW w:type="dxa" w:w="1656"/>
          </w:tcPr>
          <w:p>
            <w:pPr>
              <w:spacing w:after="20"/>
              <w:jc w:val="right"/>
            </w:pPr>
            <w:r>
              <w:rPr>
                <w:color w:val="1C3A36"/>
                <w:sz w:val="17"/>
              </w:rPr>
              <w:t>26.56 – 48.47</w:t>
            </w:r>
          </w:p>
        </w:tc>
        <w:tc>
          <w:tcPr>
            <w:tcW w:type="dxa" w:w="1037"/>
          </w:tcPr>
          <w:p>
            <w:pPr>
              <w:spacing w:after="20"/>
              <w:jc w:val="right"/>
            </w:pPr>
            <w:r>
              <w:rPr>
                <w:color w:val="1C3A36"/>
                <w:sz w:val="17"/>
              </w:rPr>
              <w:t>33.86</w:t>
            </w:r>
          </w:p>
        </w:tc>
        <w:tc>
          <w:tcPr>
            <w:tcW w:type="dxa" w:w="907"/>
          </w:tcPr>
          <w:p>
            <w:pPr>
              <w:spacing w:after="20"/>
              <w:jc w:val="right"/>
            </w:pPr>
            <w:r>
              <w:rPr>
                <w:color w:val="1C3A36"/>
                <w:sz w:val="17"/>
              </w:rPr>
              <w:t>-68%</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26.56 – 135.46</w:t>
            </w:r>
          </w:p>
        </w:tc>
        <w:tc>
          <w:tcPr>
            <w:tcW w:type="dxa" w:w="1037"/>
            <w:shd w:val="clear" w:color="auto" w:fill="F6F1E6"/>
          </w:tcPr>
          <w:p>
            <w:pPr>
              <w:spacing w:after="20"/>
              <w:jc w:val="right"/>
            </w:pPr>
            <w:r>
              <w:rPr>
                <w:b/>
                <w:color w:val="1C3A36"/>
                <w:sz w:val="17"/>
              </w:rPr>
              <w:t>80.00</w:t>
            </w:r>
          </w:p>
        </w:tc>
        <w:tc>
          <w:tcPr>
            <w:tcW w:type="dxa" w:w="907"/>
            <w:shd w:val="clear" w:color="auto" w:fill="F6F1E6"/>
          </w:tcPr>
          <w:p>
            <w:pPr>
              <w:spacing w:after="20"/>
              <w:jc w:val="right"/>
            </w:pPr>
            <w:r>
              <w:rPr>
                <w:b/>
                <w:color w:val="1C3A36"/>
                <w:sz w:val="17"/>
              </w:rPr>
              <w:t>-24%</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134.40</w:t>
            </w:r>
          </w:p>
        </w:tc>
        <w:tc>
          <w:tcPr>
            <w:tcW w:type="dxa" w:w="907"/>
          </w:tcPr>
          <w:p>
            <w:pPr>
              <w:spacing w:after="20"/>
              <w:jc w:val="right"/>
            </w:pPr>
            <w:r>
              <w:rPr>
                <w:color w:val="1C3A36"/>
                <w:sz w:val="17"/>
              </w:rPr>
              <w:t>+28%</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Ranges are bear-to-bull within each lens; the central is the weighted base.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78.2% · free float 20.4% · Electra Investment Holding 1.5%</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proposed on the FY2024 result</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built from the two legs that actually drive it — a domestic Egyptian-pound leg and a foreign leg forecast in US dollars and translated at an explicit exchange-rate path. Margins come from a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319,084</w:t>
            </w:r>
          </w:p>
        </w:tc>
        <w:tc>
          <w:tcPr>
            <w:tcW w:type="dxa" w:w="1426"/>
          </w:tcPr>
          <w:p>
            <w:pPr>
              <w:spacing w:after="20"/>
              <w:jc w:val="right"/>
            </w:pPr>
            <w:r>
              <w:rPr>
                <w:color w:val="1C3A36"/>
                <w:sz w:val="17"/>
              </w:rPr>
              <w:t>362,621</w:t>
            </w:r>
          </w:p>
        </w:tc>
        <w:tc>
          <w:tcPr>
            <w:tcW w:type="dxa" w:w="1426"/>
          </w:tcPr>
          <w:p>
            <w:pPr>
              <w:spacing w:after="20"/>
              <w:jc w:val="right"/>
            </w:pPr>
            <w:r>
              <w:rPr>
                <w:color w:val="1C3A36"/>
                <w:sz w:val="17"/>
              </w:rPr>
              <w:t>408,916</w:t>
            </w:r>
          </w:p>
        </w:tc>
        <w:tc>
          <w:tcPr>
            <w:tcW w:type="dxa" w:w="1426"/>
          </w:tcPr>
          <w:p>
            <w:pPr>
              <w:spacing w:after="20"/>
              <w:jc w:val="right"/>
            </w:pPr>
            <w:r>
              <w:rPr>
                <w:color w:val="1C3A36"/>
                <w:sz w:val="17"/>
              </w:rPr>
              <w:t>455,747</w:t>
            </w:r>
          </w:p>
        </w:tc>
        <w:tc>
          <w:tcPr>
            <w:tcW w:type="dxa" w:w="1426"/>
          </w:tcPr>
          <w:p>
            <w:pPr>
              <w:spacing w:after="20"/>
              <w:jc w:val="right"/>
            </w:pPr>
            <w:r>
              <w:rPr>
                <w:color w:val="1C3A36"/>
                <w:sz w:val="17"/>
              </w:rPr>
              <w:t>505,542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96,119</w:t>
            </w:r>
          </w:p>
        </w:tc>
        <w:tc>
          <w:tcPr>
            <w:tcW w:type="dxa" w:w="1426"/>
          </w:tcPr>
          <w:p>
            <w:pPr>
              <w:spacing w:after="20"/>
              <w:jc w:val="right"/>
            </w:pPr>
            <w:r>
              <w:rPr>
                <w:color w:val="1C3A36"/>
                <w:sz w:val="17"/>
              </w:rPr>
              <w:t>107,653</w:t>
            </w:r>
          </w:p>
        </w:tc>
        <w:tc>
          <w:tcPr>
            <w:tcW w:type="dxa" w:w="1426"/>
          </w:tcPr>
          <w:p>
            <w:pPr>
              <w:spacing w:after="20"/>
              <w:jc w:val="right"/>
            </w:pPr>
            <w:r>
              <w:rPr>
                <w:color w:val="1C3A36"/>
                <w:sz w:val="17"/>
              </w:rPr>
              <w:t>118,418</w:t>
            </w:r>
          </w:p>
        </w:tc>
        <w:tc>
          <w:tcPr>
            <w:tcW w:type="dxa" w:w="1426"/>
          </w:tcPr>
          <w:p>
            <w:pPr>
              <w:spacing w:after="20"/>
              <w:jc w:val="right"/>
            </w:pPr>
            <w:r>
              <w:rPr>
                <w:color w:val="1C3A36"/>
                <w:sz w:val="17"/>
              </w:rPr>
              <w:t>129,076</w:t>
            </w:r>
          </w:p>
        </w:tc>
        <w:tc>
          <w:tcPr>
            <w:tcW w:type="dxa" w:w="1426"/>
          </w:tcPr>
          <w:p>
            <w:pPr>
              <w:spacing w:after="20"/>
              <w:jc w:val="right"/>
            </w:pPr>
            <w:r>
              <w:rPr>
                <w:color w:val="1C3A36"/>
                <w:sz w:val="17"/>
              </w:rPr>
              <w:t>139,402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222,966</w:t>
            </w:r>
          </w:p>
        </w:tc>
        <w:tc>
          <w:tcPr>
            <w:tcW w:type="dxa" w:w="1426"/>
          </w:tcPr>
          <w:p>
            <w:pPr>
              <w:spacing w:after="20"/>
              <w:jc w:val="right"/>
            </w:pPr>
            <w:r>
              <w:rPr>
                <w:color w:val="1C3A36"/>
                <w:sz w:val="17"/>
              </w:rPr>
              <w:t>254,968</w:t>
            </w:r>
          </w:p>
        </w:tc>
        <w:tc>
          <w:tcPr>
            <w:tcW w:type="dxa" w:w="1426"/>
          </w:tcPr>
          <w:p>
            <w:pPr>
              <w:spacing w:after="20"/>
              <w:jc w:val="right"/>
            </w:pPr>
            <w:r>
              <w:rPr>
                <w:color w:val="1C3A36"/>
                <w:sz w:val="17"/>
              </w:rPr>
              <w:t>290,498</w:t>
            </w:r>
          </w:p>
        </w:tc>
        <w:tc>
          <w:tcPr>
            <w:tcW w:type="dxa" w:w="1426"/>
          </w:tcPr>
          <w:p>
            <w:pPr>
              <w:spacing w:after="20"/>
              <w:jc w:val="right"/>
            </w:pPr>
            <w:r>
              <w:rPr>
                <w:color w:val="1C3A36"/>
                <w:sz w:val="17"/>
              </w:rPr>
              <w:t>326,671</w:t>
            </w:r>
          </w:p>
        </w:tc>
        <w:tc>
          <w:tcPr>
            <w:tcW w:type="dxa" w:w="1426"/>
          </w:tcPr>
          <w:p>
            <w:pPr>
              <w:spacing w:after="20"/>
              <w:jc w:val="right"/>
            </w:pPr>
            <w:r>
              <w:rPr>
                <w:color w:val="1C3A36"/>
                <w:sz w:val="17"/>
              </w:rPr>
              <w:t>366,139</w:t>
            </w:r>
          </w:p>
        </w:tc>
      </w:tr>
      <w:tr>
        <w:tc>
          <w:tcPr>
            <w:tcW w:type="dxa" w:w="2952"/>
          </w:tcPr>
          <w:p>
            <w:pPr>
              <w:spacing w:after="20"/>
            </w:pPr>
            <w:r>
              <w:rPr>
                <w:color w:val="1C3A36"/>
                <w:sz w:val="17"/>
              </w:rPr>
              <w:t>EBITDA</w:t>
            </w:r>
          </w:p>
        </w:tc>
        <w:tc>
          <w:tcPr>
            <w:tcW w:type="dxa" w:w="1426"/>
          </w:tcPr>
          <w:p>
            <w:pPr>
              <w:spacing w:after="20"/>
              <w:jc w:val="right"/>
            </w:pPr>
            <w:r>
              <w:rPr>
                <w:color w:val="1C3A36"/>
                <w:sz w:val="17"/>
              </w:rPr>
              <w:t>35,820</w:t>
            </w:r>
          </w:p>
        </w:tc>
        <w:tc>
          <w:tcPr>
            <w:tcW w:type="dxa" w:w="1426"/>
          </w:tcPr>
          <w:p>
            <w:pPr>
              <w:spacing w:after="20"/>
              <w:jc w:val="right"/>
            </w:pPr>
            <w:r>
              <w:rPr>
                <w:color w:val="1C3A36"/>
                <w:sz w:val="17"/>
              </w:rPr>
              <w:t>41,592</w:t>
            </w:r>
          </w:p>
        </w:tc>
        <w:tc>
          <w:tcPr>
            <w:tcW w:type="dxa" w:w="1426"/>
          </w:tcPr>
          <w:p>
            <w:pPr>
              <w:spacing w:after="20"/>
              <w:jc w:val="right"/>
            </w:pPr>
            <w:r>
              <w:rPr>
                <w:color w:val="1C3A36"/>
                <w:sz w:val="17"/>
              </w:rPr>
              <w:t>48,219</w:t>
            </w:r>
          </w:p>
        </w:tc>
        <w:tc>
          <w:tcPr>
            <w:tcW w:type="dxa" w:w="1426"/>
          </w:tcPr>
          <w:p>
            <w:pPr>
              <w:spacing w:after="20"/>
              <w:jc w:val="right"/>
            </w:pPr>
            <w:r>
              <w:rPr>
                <w:color w:val="1C3A36"/>
                <w:sz w:val="17"/>
              </w:rPr>
              <w:t>55,191</w:t>
            </w:r>
          </w:p>
        </w:tc>
        <w:tc>
          <w:tcPr>
            <w:tcW w:type="dxa" w:w="1426"/>
          </w:tcPr>
          <w:p>
            <w:pPr>
              <w:spacing w:after="20"/>
              <w:jc w:val="right"/>
            </w:pPr>
            <w:r>
              <w:rPr>
                <w:color w:val="1C3A36"/>
                <w:sz w:val="17"/>
              </w:rPr>
              <w:t>62,535</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11.5%</w:t>
            </w:r>
          </w:p>
        </w:tc>
        <w:tc>
          <w:tcPr>
            <w:tcW w:type="dxa" w:w="1426"/>
          </w:tcPr>
          <w:p>
            <w:pPr>
              <w:spacing w:after="20"/>
              <w:jc w:val="right"/>
            </w:pPr>
            <w:r>
              <w:rPr>
                <w:color w:val="1C3A36"/>
                <w:sz w:val="17"/>
              </w:rPr>
              <w:t>11.8%</w:t>
            </w:r>
          </w:p>
        </w:tc>
        <w:tc>
          <w:tcPr>
            <w:tcW w:type="dxa" w:w="1426"/>
          </w:tcPr>
          <w:p>
            <w:pPr>
              <w:spacing w:after="20"/>
              <w:jc w:val="right"/>
            </w:pPr>
            <w:r>
              <w:rPr>
                <w:color w:val="1C3A36"/>
                <w:sz w:val="17"/>
              </w:rPr>
              <w:t>12.1%</w:t>
            </w:r>
          </w:p>
        </w:tc>
        <w:tc>
          <w:tcPr>
            <w:tcW w:type="dxa" w:w="1426"/>
          </w:tcPr>
          <w:p>
            <w:pPr>
              <w:spacing w:after="20"/>
              <w:jc w:val="right"/>
            </w:pPr>
            <w:r>
              <w:rPr>
                <w:color w:val="1C3A36"/>
                <w:sz w:val="17"/>
              </w:rPr>
              <w:t>12.4%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(3,350)</w:t>
            </w:r>
          </w:p>
        </w:tc>
        <w:tc>
          <w:tcPr>
            <w:tcW w:type="dxa" w:w="1426"/>
          </w:tcPr>
          <w:p>
            <w:pPr>
              <w:spacing w:after="20"/>
              <w:jc w:val="right"/>
            </w:pPr>
            <w:r>
              <w:rPr>
                <w:color w:val="1C3A36"/>
                <w:sz w:val="17"/>
              </w:rPr>
              <w:t>(3,808)</w:t>
            </w:r>
          </w:p>
        </w:tc>
        <w:tc>
          <w:tcPr>
            <w:tcW w:type="dxa" w:w="1426"/>
          </w:tcPr>
          <w:p>
            <w:pPr>
              <w:spacing w:after="20"/>
              <w:jc w:val="right"/>
            </w:pPr>
            <w:r>
              <w:rPr>
                <w:color w:val="1C3A36"/>
                <w:sz w:val="17"/>
              </w:rPr>
              <w:t>(4,294)</w:t>
            </w:r>
          </w:p>
        </w:tc>
        <w:tc>
          <w:tcPr>
            <w:tcW w:type="dxa" w:w="1426"/>
          </w:tcPr>
          <w:p>
            <w:pPr>
              <w:spacing w:after="20"/>
              <w:jc w:val="right"/>
            </w:pPr>
            <w:r>
              <w:rPr>
                <w:color w:val="1C3A36"/>
                <w:sz w:val="17"/>
              </w:rPr>
              <w:t>(4,785)</w:t>
            </w:r>
          </w:p>
        </w:tc>
        <w:tc>
          <w:tcPr>
            <w:tcW w:type="dxa" w:w="1426"/>
          </w:tcPr>
          <w:p>
            <w:pPr>
              <w:spacing w:after="20"/>
              <w:jc w:val="right"/>
            </w:pPr>
            <w:r>
              <w:rPr>
                <w:color w:val="1C3A36"/>
                <w:sz w:val="17"/>
              </w:rPr>
              <w:t>(5,308)</w:t>
            </w:r>
          </w:p>
        </w:tc>
      </w:tr>
      <w:tr>
        <w:tc>
          <w:tcPr>
            <w:tcW w:type="dxa" w:w="2952"/>
          </w:tcPr>
          <w:p>
            <w:pPr>
              <w:spacing w:after="20"/>
            </w:pPr>
            <w:r>
              <w:rPr>
                <w:color w:val="1C3A36"/>
                <w:sz w:val="17"/>
              </w:rPr>
              <w:t>EBIT</w:t>
            </w:r>
          </w:p>
        </w:tc>
        <w:tc>
          <w:tcPr>
            <w:tcW w:type="dxa" w:w="1426"/>
          </w:tcPr>
          <w:p>
            <w:pPr>
              <w:spacing w:after="20"/>
              <w:jc w:val="right"/>
            </w:pPr>
            <w:r>
              <w:rPr>
                <w:color w:val="1C3A36"/>
                <w:sz w:val="17"/>
              </w:rPr>
              <w:t>32,470</w:t>
            </w:r>
          </w:p>
        </w:tc>
        <w:tc>
          <w:tcPr>
            <w:tcW w:type="dxa" w:w="1426"/>
          </w:tcPr>
          <w:p>
            <w:pPr>
              <w:spacing w:after="20"/>
              <w:jc w:val="right"/>
            </w:pPr>
            <w:r>
              <w:rPr>
                <w:color w:val="1C3A36"/>
                <w:sz w:val="17"/>
              </w:rPr>
              <w:t>37,784</w:t>
            </w:r>
          </w:p>
        </w:tc>
        <w:tc>
          <w:tcPr>
            <w:tcW w:type="dxa" w:w="1426"/>
          </w:tcPr>
          <w:p>
            <w:pPr>
              <w:spacing w:after="20"/>
              <w:jc w:val="right"/>
            </w:pPr>
            <w:r>
              <w:rPr>
                <w:color w:val="1C3A36"/>
                <w:sz w:val="17"/>
              </w:rPr>
              <w:t>43,925</w:t>
            </w:r>
          </w:p>
        </w:tc>
        <w:tc>
          <w:tcPr>
            <w:tcW w:type="dxa" w:w="1426"/>
          </w:tcPr>
          <w:p>
            <w:pPr>
              <w:spacing w:after="20"/>
              <w:jc w:val="right"/>
            </w:pPr>
            <w:r>
              <w:rPr>
                <w:color w:val="1C3A36"/>
                <w:sz w:val="17"/>
              </w:rPr>
              <w:t>50,406</w:t>
            </w:r>
          </w:p>
        </w:tc>
        <w:tc>
          <w:tcPr>
            <w:tcW w:type="dxa" w:w="1426"/>
          </w:tcPr>
          <w:p>
            <w:pPr>
              <w:spacing w:after="20"/>
              <w:jc w:val="right"/>
            </w:pPr>
            <w:r>
              <w:rPr>
                <w:color w:val="1C3A36"/>
                <w:sz w:val="17"/>
              </w:rPr>
              <w:t>57,227</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24,353</w:t>
            </w:r>
          </w:p>
        </w:tc>
        <w:tc>
          <w:tcPr>
            <w:tcW w:type="dxa" w:w="1426"/>
          </w:tcPr>
          <w:p>
            <w:pPr>
              <w:spacing w:after="20"/>
              <w:jc w:val="right"/>
            </w:pPr>
            <w:r>
              <w:rPr>
                <w:color w:val="1C3A36"/>
                <w:sz w:val="17"/>
              </w:rPr>
              <w:t>28,338</w:t>
            </w:r>
          </w:p>
        </w:tc>
        <w:tc>
          <w:tcPr>
            <w:tcW w:type="dxa" w:w="1426"/>
          </w:tcPr>
          <w:p>
            <w:pPr>
              <w:spacing w:after="20"/>
              <w:jc w:val="right"/>
            </w:pPr>
            <w:r>
              <w:rPr>
                <w:color w:val="1C3A36"/>
                <w:sz w:val="17"/>
              </w:rPr>
              <w:t>32,944</w:t>
            </w:r>
          </w:p>
        </w:tc>
        <w:tc>
          <w:tcPr>
            <w:tcW w:type="dxa" w:w="1426"/>
          </w:tcPr>
          <w:p>
            <w:pPr>
              <w:spacing w:after="20"/>
              <w:jc w:val="right"/>
            </w:pPr>
            <w:r>
              <w:rPr>
                <w:color w:val="1C3A36"/>
                <w:sz w:val="17"/>
              </w:rPr>
              <w:t>37,804</w:t>
            </w:r>
          </w:p>
        </w:tc>
        <w:tc>
          <w:tcPr>
            <w:tcW w:type="dxa" w:w="1426"/>
          </w:tcPr>
          <w:p>
            <w:pPr>
              <w:spacing w:after="20"/>
              <w:jc w:val="right"/>
            </w:pPr>
            <w:r>
              <w:rPr>
                <w:color w:val="1C3A36"/>
                <w:sz w:val="17"/>
              </w:rPr>
              <w:t>42,920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3,350</w:t>
            </w:r>
          </w:p>
        </w:tc>
        <w:tc>
          <w:tcPr>
            <w:tcW w:type="dxa" w:w="1426"/>
          </w:tcPr>
          <w:p>
            <w:pPr>
              <w:spacing w:after="20"/>
              <w:jc w:val="right"/>
            </w:pPr>
            <w:r>
              <w:rPr>
                <w:color w:val="1C3A36"/>
                <w:sz w:val="17"/>
              </w:rPr>
              <w:t>3,808</w:t>
            </w:r>
          </w:p>
        </w:tc>
        <w:tc>
          <w:tcPr>
            <w:tcW w:type="dxa" w:w="1426"/>
          </w:tcPr>
          <w:p>
            <w:pPr>
              <w:spacing w:after="20"/>
              <w:jc w:val="right"/>
            </w:pPr>
            <w:r>
              <w:rPr>
                <w:color w:val="1C3A36"/>
                <w:sz w:val="17"/>
              </w:rPr>
              <w:t>4,294</w:t>
            </w:r>
          </w:p>
        </w:tc>
        <w:tc>
          <w:tcPr>
            <w:tcW w:type="dxa" w:w="1426"/>
          </w:tcPr>
          <w:p>
            <w:pPr>
              <w:spacing w:after="20"/>
              <w:jc w:val="right"/>
            </w:pPr>
            <w:r>
              <w:rPr>
                <w:color w:val="1C3A36"/>
                <w:sz w:val="17"/>
              </w:rPr>
              <w:t>4,785</w:t>
            </w:r>
          </w:p>
        </w:tc>
        <w:tc>
          <w:tcPr>
            <w:tcW w:type="dxa" w:w="1426"/>
          </w:tcPr>
          <w:p>
            <w:pPr>
              <w:spacing w:after="20"/>
              <w:jc w:val="right"/>
            </w:pPr>
            <w:r>
              <w:rPr>
                <w:color w:val="1C3A36"/>
                <w:sz w:val="17"/>
              </w:rPr>
              <w:t>5,308</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(9,573)</w:t>
            </w:r>
          </w:p>
        </w:tc>
        <w:tc>
          <w:tcPr>
            <w:tcW w:type="dxa" w:w="1426"/>
          </w:tcPr>
          <w:p>
            <w:pPr>
              <w:spacing w:after="20"/>
              <w:jc w:val="right"/>
            </w:pPr>
            <w:r>
              <w:rPr>
                <w:color w:val="1C3A36"/>
                <w:sz w:val="17"/>
              </w:rPr>
              <w:t>(10,516)</w:t>
            </w:r>
          </w:p>
        </w:tc>
        <w:tc>
          <w:tcPr>
            <w:tcW w:type="dxa" w:w="1426"/>
          </w:tcPr>
          <w:p>
            <w:pPr>
              <w:spacing w:after="20"/>
              <w:jc w:val="right"/>
            </w:pPr>
            <w:r>
              <w:rPr>
                <w:color w:val="1C3A36"/>
                <w:sz w:val="17"/>
              </w:rPr>
              <w:t>(11,450)</w:t>
            </w:r>
          </w:p>
        </w:tc>
        <w:tc>
          <w:tcPr>
            <w:tcW w:type="dxa" w:w="1426"/>
          </w:tcPr>
          <w:p>
            <w:pPr>
              <w:spacing w:after="20"/>
              <w:jc w:val="right"/>
            </w:pPr>
            <w:r>
              <w:rPr>
                <w:color w:val="1C3A36"/>
                <w:sz w:val="17"/>
              </w:rPr>
              <w:t>(11,849)</w:t>
            </w:r>
          </w:p>
        </w:tc>
        <w:tc>
          <w:tcPr>
            <w:tcW w:type="dxa" w:w="1426"/>
          </w:tcPr>
          <w:p>
            <w:pPr>
              <w:spacing w:after="20"/>
              <w:jc w:val="right"/>
            </w:pPr>
            <w:r>
              <w:rPr>
                <w:color w:val="1C3A36"/>
                <w:sz w:val="17"/>
              </w:rPr>
              <w:t>(12,133)</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(8,748)</w:t>
            </w:r>
          </w:p>
        </w:tc>
        <w:tc>
          <w:tcPr>
            <w:tcW w:type="dxa" w:w="1426"/>
          </w:tcPr>
          <w:p>
            <w:pPr>
              <w:spacing w:after="20"/>
              <w:jc w:val="right"/>
            </w:pPr>
            <w:r>
              <w:rPr>
                <w:color w:val="1C3A36"/>
                <w:sz w:val="17"/>
              </w:rPr>
              <w:t>(10,013)</w:t>
            </w:r>
          </w:p>
        </w:tc>
        <w:tc>
          <w:tcPr>
            <w:tcW w:type="dxa" w:w="1426"/>
          </w:tcPr>
          <w:p>
            <w:pPr>
              <w:spacing w:after="20"/>
              <w:jc w:val="right"/>
            </w:pPr>
            <w:r>
              <w:rPr>
                <w:color w:val="1C3A36"/>
                <w:sz w:val="17"/>
              </w:rPr>
              <w:t>(10,648)</w:t>
            </w:r>
          </w:p>
        </w:tc>
        <w:tc>
          <w:tcPr>
            <w:tcW w:type="dxa" w:w="1426"/>
          </w:tcPr>
          <w:p>
            <w:pPr>
              <w:spacing w:after="20"/>
              <w:jc w:val="right"/>
            </w:pPr>
            <w:r>
              <w:rPr>
                <w:color w:val="1C3A36"/>
                <w:sz w:val="17"/>
              </w:rPr>
              <w:t>(10,771)</w:t>
            </w:r>
          </w:p>
        </w:tc>
        <w:tc>
          <w:tcPr>
            <w:tcW w:type="dxa" w:w="1426"/>
          </w:tcPr>
          <w:p>
            <w:pPr>
              <w:spacing w:after="20"/>
              <w:jc w:val="right"/>
            </w:pPr>
            <w:r>
              <w:rPr>
                <w:color w:val="1C3A36"/>
                <w:sz w:val="17"/>
              </w:rPr>
              <w:t>(11,453)</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9,382</w:t>
            </w:r>
          </w:p>
        </w:tc>
        <w:tc>
          <w:tcPr>
            <w:tcW w:type="dxa" w:w="1426"/>
            <w:shd w:val="clear" w:color="auto" w:fill="F6F1E6"/>
          </w:tcPr>
          <w:p>
            <w:pPr>
              <w:spacing w:after="20"/>
              <w:jc w:val="right"/>
            </w:pPr>
            <w:r>
              <w:rPr>
                <w:b/>
                <w:color w:val="1C3A36"/>
                <w:sz w:val="17"/>
              </w:rPr>
              <w:t>11,616</w:t>
            </w:r>
          </w:p>
        </w:tc>
        <w:tc>
          <w:tcPr>
            <w:tcW w:type="dxa" w:w="1426"/>
            <w:shd w:val="clear" w:color="auto" w:fill="F6F1E6"/>
          </w:tcPr>
          <w:p>
            <w:pPr>
              <w:spacing w:after="20"/>
              <w:jc w:val="right"/>
            </w:pPr>
            <w:r>
              <w:rPr>
                <w:b/>
                <w:color w:val="1C3A36"/>
                <w:sz w:val="17"/>
              </w:rPr>
              <w:t>15,140</w:t>
            </w:r>
          </w:p>
        </w:tc>
        <w:tc>
          <w:tcPr>
            <w:tcW w:type="dxa" w:w="1426"/>
            <w:shd w:val="clear" w:color="auto" w:fill="F6F1E6"/>
          </w:tcPr>
          <w:p>
            <w:pPr>
              <w:spacing w:after="20"/>
              <w:jc w:val="right"/>
            </w:pPr>
            <w:r>
              <w:rPr>
                <w:b/>
                <w:color w:val="1C3A36"/>
                <w:sz w:val="17"/>
              </w:rPr>
              <w:t>19,969</w:t>
            </w:r>
          </w:p>
        </w:tc>
        <w:tc>
          <w:tcPr>
            <w:tcW w:type="dxa" w:w="1426"/>
            <w:shd w:val="clear" w:color="auto" w:fill="F6F1E6"/>
          </w:tcPr>
          <w:p>
            <w:pPr>
              <w:spacing w:after="20"/>
              <w:jc w:val="right"/>
            </w:pPr>
            <w:r>
              <w:rPr>
                <w:b/>
                <w:color w:val="1C3A36"/>
                <w:sz w:val="17"/>
              </w:rPr>
              <w:t>24,643</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7,394</w:t>
            </w:r>
          </w:p>
        </w:tc>
        <w:tc>
          <w:tcPr>
            <w:tcW w:type="dxa" w:w="1426"/>
            <w:shd w:val="clear" w:color="auto" w:fill="F6F1E6"/>
          </w:tcPr>
          <w:p>
            <w:pPr>
              <w:spacing w:after="20"/>
              <w:jc w:val="right"/>
            </w:pPr>
            <w:r>
              <w:rPr>
                <w:b/>
                <w:color w:val="1C3A36"/>
                <w:sz w:val="17"/>
              </w:rPr>
              <w:t>7,443</w:t>
            </w:r>
          </w:p>
        </w:tc>
        <w:tc>
          <w:tcPr>
            <w:tcW w:type="dxa" w:w="1426"/>
            <w:shd w:val="clear" w:color="auto" w:fill="F6F1E6"/>
          </w:tcPr>
          <w:p>
            <w:pPr>
              <w:spacing w:after="20"/>
              <w:jc w:val="right"/>
            </w:pPr>
            <w:r>
              <w:rPr>
                <w:b/>
                <w:color w:val="1C3A36"/>
                <w:sz w:val="17"/>
              </w:rPr>
              <w:t>8,115</w:t>
            </w:r>
          </w:p>
        </w:tc>
        <w:tc>
          <w:tcPr>
            <w:tcW w:type="dxa" w:w="1426"/>
            <w:shd w:val="clear" w:color="auto" w:fill="F6F1E6"/>
          </w:tcPr>
          <w:p>
            <w:pPr>
              <w:spacing w:after="20"/>
              <w:jc w:val="right"/>
            </w:pPr>
            <w:r>
              <w:rPr>
                <w:b/>
                <w:color w:val="1C3A36"/>
                <w:sz w:val="17"/>
              </w:rPr>
              <w:t>9,140</w:t>
            </w:r>
          </w:p>
        </w:tc>
        <w:tc>
          <w:tcPr>
            <w:tcW w:type="dxa" w:w="1426"/>
            <w:shd w:val="clear" w:color="auto" w:fill="F6F1E6"/>
          </w:tcPr>
          <w:p>
            <w:pPr>
              <w:spacing w:after="20"/>
              <w:jc w:val="right"/>
            </w:pPr>
            <w:r>
              <w:rPr>
                <w:b/>
                <w:color w:val="1C3A36"/>
                <w:sz w:val="17"/>
              </w:rPr>
              <w:t>9,796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41,889</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138,646</w:t>
            </w:r>
          </w:p>
        </w:tc>
        <w:tc>
          <w:tcPr>
            <w:tcW w:type="dxa" w:w="4896"/>
          </w:tcPr>
          <w:p>
            <w:pPr>
              <w:spacing w:after="20"/>
              <w:jc w:val="right"/>
            </w:pPr>
            <w:r>
              <w:rPr>
                <w:color w:val="1C3A36"/>
                <w:sz w:val="17"/>
              </w:rPr>
              <w:t>terminal value 348,762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180,535</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77%</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7,445</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(16,223)</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151,968</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70.99</w:t>
            </w:r>
          </w:p>
        </w:tc>
        <w:tc>
          <w:tcPr>
            <w:tcW w:type="dxa" w:w="4896"/>
            <w:shd w:val="clear" w:color="auto" w:fill="F6F1E6"/>
          </w:tcPr>
          <w:p>
            <w:pPr>
              <w:spacing w:after="20"/>
              <w:jc w:val="right"/>
            </w:pPr>
            <w:r>
              <w:rPr>
                <w:b/>
                <w:color w:val="1C3A36"/>
                <w:sz w:val="17"/>
              </w:rPr>
              <w:t>against a spot of 105.20 (-33%)</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23.0% — the average of the explicit-window 28.4% and the terminal 17.6% — that gives 1.0× book, or EGP 33.86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7.9×</w:t>
            </w:r>
          </w:p>
        </w:tc>
        <w:tc>
          <w:tcPr>
            <w:tcW w:type="dxa" w:w="5688"/>
          </w:tcPr>
          <w:p>
            <w:pPr>
              <w:spacing w:after="20"/>
              <w:jc w:val="right"/>
            </w:pPr>
            <w:r>
              <w:rPr>
                <w:color w:val="1C3A36"/>
                <w:sz w:val="17"/>
              </w:rPr>
              <w:t>enterprise value 244,999 over FY2025 EBITDA 30,915</w:t>
            </w:r>
          </w:p>
        </w:tc>
      </w:tr>
      <w:tr>
        <w:tc>
          <w:tcPr>
            <w:tcW w:type="dxa" w:w="3096"/>
          </w:tcPr>
          <w:p>
            <w:pPr>
              <w:spacing w:after="20"/>
            </w:pPr>
            <w:r>
              <w:rPr>
                <w:color w:val="1C3A36"/>
                <w:sz w:val="17"/>
              </w:rPr>
              <w:t>Price / earnings (trailing)</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tcPr>
          <w:p>
            <w:pPr>
              <w:spacing w:after="20"/>
            </w:pPr>
            <w:r>
              <w:rPr>
                <w:color w:val="1C3A36"/>
                <w:sz w:val="17"/>
              </w:rPr>
              <w:t>Justified enterprise value / EBITDA</w:t>
            </w:r>
          </w:p>
        </w:tc>
        <w:tc>
          <w:tcPr>
            <w:tcW w:type="dxa" w:w="1296"/>
          </w:tcPr>
          <w:p>
            <w:pPr>
              <w:spacing w:after="20"/>
              <w:jc w:val="right"/>
            </w:pPr>
            <w:r>
              <w:rPr>
                <w:color w:val="1C3A36"/>
                <w:sz w:val="17"/>
              </w:rPr>
              <w:t>6.5×</w:t>
            </w:r>
          </w:p>
        </w:tc>
        <w:tc>
          <w:tcPr>
            <w:tcW w:type="dxa" w:w="5688"/>
          </w:tcPr>
          <w:p>
            <w:pPr>
              <w:spacing w:after="20"/>
              <w:jc w:val="right"/>
            </w:pPr>
            <w:r>
              <w:rPr>
                <w:color w:val="1C3A36"/>
                <w:sz w:val="17"/>
              </w:rPr>
              <w:t>applied to mid-cycle FY2027 EBITDA; an Egyptian-market discount to listed cable and electrical-equipment peers, which trade in the 8–11× region</w:t>
            </w:r>
          </w:p>
        </w:tc>
      </w:tr>
      <w:tr>
        <w:tc>
          <w:tcPr>
            <w:tcW w:type="dxa" w:w="3096"/>
            <w:shd w:val="clear" w:color="auto" w:fill="F6F1E6"/>
          </w:tcPr>
          <w:p>
            <w:pPr>
              <w:spacing w:after="20"/>
            </w:pPr>
            <w:r>
              <w:rPr>
                <w:b/>
                <w:color w:val="1C3A36"/>
                <w:sz w:val="17"/>
              </w:rPr>
              <w:t>Implied value per share</w:t>
            </w:r>
          </w:p>
        </w:tc>
        <w:tc>
          <w:tcPr>
            <w:tcW w:type="dxa" w:w="1296"/>
            <w:shd w:val="clear" w:color="auto" w:fill="F6F1E6"/>
          </w:tcPr>
          <w:p>
            <w:pPr>
              <w:spacing w:after="20"/>
              <w:jc w:val="right"/>
            </w:pPr>
            <w:r>
              <w:rPr>
                <w:b/>
                <w:color w:val="1C3A36"/>
                <w:sz w:val="17"/>
              </w:rPr>
              <w:t>108.89</w:t>
            </w:r>
          </w:p>
        </w:tc>
        <w:tc>
          <w:tcPr>
            <w:tcW w:type="dxa" w:w="5688"/>
            <w:shd w:val="clear" w:color="auto" w:fill="F6F1E6"/>
          </w:tcPr>
          <w:p>
            <w:pPr>
              <w:spacing w:after="20"/>
              <w:jc w:val="right"/>
            </w:pPr>
            <w:r>
              <w:rPr>
                <w:b/>
                <w:color w:val="1C3A36"/>
                <w:sz w:val="17"/>
              </w:rPr>
              <w:t>bear 91.34 at 5.5× / bull 135.22 at 8.0×</w:t>
            </w:r>
          </w:p>
        </w:tc>
      </w:tr>
    </w:tbl>
    <w:p>
      <w:pPr>
        <w:spacing w:after="40"/>
      </w:pP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362,621mn and the mid-cycle EBITDA margin as 12.1% — the average of the later forecast years, comfortably below the FY2024 outturn of 13.6% and above the FY2025 trough of 11.0%.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362,621</w:t>
            </w:r>
          </w:p>
        </w:tc>
      </w:tr>
      <w:tr>
        <w:tc>
          <w:tcPr>
            <w:tcW w:type="dxa" w:w="6552"/>
          </w:tcPr>
          <w:p>
            <w:pPr>
              <w:spacing w:after="20"/>
            </w:pPr>
            <w:r>
              <w:rPr>
                <w:color w:val="1C3A36"/>
                <w:sz w:val="17"/>
              </w:rPr>
              <w:t>Mid-cycle EBITDA at 12.1%</w:t>
            </w:r>
          </w:p>
        </w:tc>
        <w:tc>
          <w:tcPr>
            <w:tcW w:type="dxa" w:w="1944"/>
          </w:tcPr>
          <w:p>
            <w:pPr>
              <w:spacing w:after="20"/>
              <w:jc w:val="right"/>
            </w:pPr>
            <w:r>
              <w:rPr>
                <w:color w:val="1C3A36"/>
                <w:sz w:val="17"/>
              </w:rPr>
              <w:t>43,843</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(3,808)</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40,035</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(4,127)</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(11,994)</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25,216</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11.78</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106.01</w:t>
            </w:r>
          </w:p>
        </w:tc>
      </w:tr>
    </w:tbl>
    <w:p>
      <w:pPr>
        <w:spacing w:after="40"/>
      </w:pPr>
    </w:p>
    <w:p>
      <w:pPr>
        <w:spacing w:after="200" w:before="0"/>
      </w:pPr>
      <w:r>
        <w:rPr>
          <w:b w:val="0"/>
          <w:i/>
          <w:color w:val="6E7B77"/>
          <w:sz w:val="17"/>
        </w:rPr>
        <w:t>Bear 82.45 at 7.0× and bull 135.46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40.57</w:t>
            </w:r>
          </w:p>
        </w:tc>
        <w:tc>
          <w:tcPr>
            <w:tcW w:type="dxa" w:w="1238"/>
          </w:tcPr>
          <w:p>
            <w:pPr>
              <w:spacing w:after="20"/>
              <w:jc w:val="right"/>
            </w:pPr>
            <w:r>
              <w:rPr>
                <w:color w:val="1C3A36"/>
                <w:sz w:val="17"/>
              </w:rPr>
              <w:t>70.99</w:t>
            </w:r>
          </w:p>
        </w:tc>
        <w:tc>
          <w:tcPr>
            <w:tcW w:type="dxa" w:w="1238"/>
          </w:tcPr>
          <w:p>
            <w:pPr>
              <w:spacing w:after="20"/>
              <w:jc w:val="right"/>
            </w:pPr>
            <w:r>
              <w:rPr>
                <w:color w:val="1C3A36"/>
                <w:sz w:val="17"/>
              </w:rPr>
              <w:t>129.37</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31.94</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91.34</w:t>
            </w:r>
          </w:p>
        </w:tc>
        <w:tc>
          <w:tcPr>
            <w:tcW w:type="dxa" w:w="1238"/>
          </w:tcPr>
          <w:p>
            <w:pPr>
              <w:spacing w:after="20"/>
              <w:jc w:val="right"/>
            </w:pPr>
            <w:r>
              <w:rPr>
                <w:color w:val="1C3A36"/>
                <w:sz w:val="17"/>
              </w:rPr>
              <w:t>108.89</w:t>
            </w:r>
          </w:p>
        </w:tc>
        <w:tc>
          <w:tcPr>
            <w:tcW w:type="dxa" w:w="1238"/>
          </w:tcPr>
          <w:p>
            <w:pPr>
              <w:spacing w:after="20"/>
              <w:jc w:val="right"/>
            </w:pPr>
            <w:r>
              <w:rPr>
                <w:color w:val="1C3A36"/>
                <w:sz w:val="17"/>
              </w:rPr>
              <w:t>135.22</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21.78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82.45</w:t>
            </w:r>
          </w:p>
        </w:tc>
        <w:tc>
          <w:tcPr>
            <w:tcW w:type="dxa" w:w="1238"/>
          </w:tcPr>
          <w:p>
            <w:pPr>
              <w:spacing w:after="20"/>
              <w:jc w:val="right"/>
            </w:pPr>
            <w:r>
              <w:rPr>
                <w:color w:val="1C3A36"/>
                <w:sz w:val="17"/>
              </w:rPr>
              <w:t>106.01</w:t>
            </w:r>
          </w:p>
        </w:tc>
        <w:tc>
          <w:tcPr>
            <w:tcW w:type="dxa" w:w="1238"/>
          </w:tcPr>
          <w:p>
            <w:pPr>
              <w:spacing w:after="20"/>
              <w:jc w:val="right"/>
            </w:pPr>
            <w:r>
              <w:rPr>
                <w:color w:val="1C3A36"/>
                <w:sz w:val="17"/>
              </w:rPr>
              <w:t>135.46</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21.20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26.56</w:t>
            </w:r>
          </w:p>
        </w:tc>
        <w:tc>
          <w:tcPr>
            <w:tcW w:type="dxa" w:w="1238"/>
          </w:tcPr>
          <w:p>
            <w:pPr>
              <w:spacing w:after="20"/>
              <w:jc w:val="right"/>
            </w:pPr>
            <w:r>
              <w:rPr>
                <w:color w:val="1C3A36"/>
                <w:sz w:val="17"/>
              </w:rPr>
              <w:t>33.86</w:t>
            </w:r>
          </w:p>
        </w:tc>
        <w:tc>
          <w:tcPr>
            <w:tcW w:type="dxa" w:w="1238"/>
          </w:tcPr>
          <w:p>
            <w:pPr>
              <w:spacing w:after="20"/>
              <w:jc w:val="right"/>
            </w:pPr>
            <w:r>
              <w:rPr>
                <w:color w:val="1C3A36"/>
                <w:sz w:val="17"/>
              </w:rPr>
              <w:t>48.47</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5.08</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26.56</w:t>
            </w:r>
          </w:p>
        </w:tc>
        <w:tc>
          <w:tcPr>
            <w:tcW w:type="dxa" w:w="1238"/>
            <w:shd w:val="clear" w:color="auto" w:fill="F6F1E6"/>
          </w:tcPr>
          <w:p>
            <w:pPr>
              <w:spacing w:after="20"/>
              <w:jc w:val="right"/>
            </w:pPr>
            <w:r>
              <w:rPr>
                <w:b/>
                <w:color w:val="1C3A36"/>
                <w:sz w:val="17"/>
              </w:rPr>
              <w:t>80.00</w:t>
            </w:r>
          </w:p>
        </w:tc>
        <w:tc>
          <w:tcPr>
            <w:tcW w:type="dxa" w:w="1238"/>
            <w:shd w:val="clear" w:color="auto" w:fill="F6F1E6"/>
          </w:tcPr>
          <w:p>
            <w:pPr>
              <w:spacing w:after="20"/>
              <w:jc w:val="right"/>
            </w:pPr>
            <w:r>
              <w:rPr>
                <w:b/>
                <w:color w:val="1C3A36"/>
                <w:sz w:val="17"/>
              </w:rPr>
              <w:t>135.46</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80.00</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80.00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single growth rate. It is split into the leg that is earned and spent in Egyptian pounds and the leg that is effectively priced in hard currency, because those two legs behave completely differently when the pound moves.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Domestic revenue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14.0%</w:t>
            </w:r>
          </w:p>
        </w:tc>
        <w:tc>
          <w:tcPr>
            <w:tcW w:type="dxa" w:w="1267"/>
          </w:tcPr>
          <w:p>
            <w:pPr>
              <w:spacing w:after="20"/>
              <w:jc w:val="right"/>
            </w:pPr>
            <w:r>
              <w:rPr>
                <w:color w:val="1C3A36"/>
                <w:sz w:val="16"/>
              </w:rPr>
              <w:t>12.0%</w:t>
            </w:r>
          </w:p>
        </w:tc>
        <w:tc>
          <w:tcPr>
            <w:tcW w:type="dxa" w:w="1267"/>
          </w:tcPr>
          <w:p>
            <w:pPr>
              <w:spacing w:after="20"/>
              <w:jc w:val="right"/>
            </w:pPr>
            <w:r>
              <w:rPr>
                <w:color w:val="1C3A36"/>
                <w:sz w:val="16"/>
              </w:rPr>
              <w:t>10.0%</w:t>
            </w:r>
          </w:p>
        </w:tc>
        <w:tc>
          <w:tcPr>
            <w:tcW w:type="dxa" w:w="1267"/>
          </w:tcPr>
          <w:p>
            <w:pPr>
              <w:spacing w:after="20"/>
              <w:jc w:val="right"/>
            </w:pPr>
            <w:r>
              <w:rPr>
                <w:color w:val="1C3A36"/>
                <w:sz w:val="16"/>
              </w:rPr>
              <w:t>9.0%</w:t>
            </w:r>
          </w:p>
        </w:tc>
        <w:tc>
          <w:tcPr>
            <w:tcW w:type="dxa" w:w="1267"/>
          </w:tcPr>
          <w:p>
            <w:pPr>
              <w:spacing w:after="20"/>
              <w:jc w:val="right"/>
            </w:pPr>
            <w:r>
              <w:rPr>
                <w:color w:val="1C3A36"/>
                <w:sz w:val="16"/>
              </w:rPr>
              <w:t>8.0%</w:t>
            </w:r>
          </w:p>
        </w:tc>
      </w:tr>
      <w:tr>
        <w:tc>
          <w:tcPr>
            <w:tcW w:type="dxa" w:w="2477"/>
          </w:tcPr>
          <w:p>
            <w:pPr>
              <w:spacing w:after="20"/>
            </w:pPr>
            <w:r>
              <w:rPr>
                <w:color w:val="1C3A36"/>
                <w:sz w:val="16"/>
              </w:rPr>
              <w:t>Foreign revenue growth (USD)</w:t>
            </w:r>
          </w:p>
        </w:tc>
        <w:tc>
          <w:tcPr>
            <w:tcW w:type="dxa" w:w="1238"/>
          </w:tcPr>
          <w:p>
            <w:pPr>
              <w:spacing w:after="20"/>
              <w:jc w:val="right"/>
            </w:pPr>
            <w:r>
              <w:rPr>
                <w:color w:val="1C3A36"/>
                <w:sz w:val="16"/>
              </w:rPr>
              <w:t>—</w:t>
            </w:r>
          </w:p>
        </w:tc>
        <w:tc>
          <w:tcPr>
            <w:tcW w:type="dxa" w:w="1267"/>
          </w:tcPr>
          <w:p>
            <w:pPr>
              <w:spacing w:after="20"/>
              <w:jc w:val="right"/>
            </w:pPr>
            <w:r>
              <w:rPr>
                <w:color w:val="1C3A36"/>
                <w:sz w:val="16"/>
              </w:rPr>
              <w:t>10.0%</w:t>
            </w:r>
          </w:p>
        </w:tc>
        <w:tc>
          <w:tcPr>
            <w:tcW w:type="dxa" w:w="1267"/>
          </w:tcPr>
          <w:p>
            <w:pPr>
              <w:spacing w:after="20"/>
              <w:jc w:val="right"/>
            </w:pPr>
            <w:r>
              <w:rPr>
                <w:color w:val="1C3A36"/>
                <w:sz w:val="16"/>
              </w:rPr>
              <w:t>8.0%</w:t>
            </w:r>
          </w:p>
        </w:tc>
        <w:tc>
          <w:tcPr>
            <w:tcW w:type="dxa" w:w="1267"/>
          </w:tcPr>
          <w:p>
            <w:pPr>
              <w:spacing w:after="20"/>
              <w:jc w:val="right"/>
            </w:pPr>
            <w:r>
              <w:rPr>
                <w:color w:val="1C3A36"/>
                <w:sz w:val="16"/>
              </w:rPr>
              <w:t>7.0%</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6.0%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Domestic revenue (EGP mn)</w:t>
            </w:r>
          </w:p>
        </w:tc>
        <w:tc>
          <w:tcPr>
            <w:tcW w:type="dxa" w:w="1238"/>
          </w:tcPr>
          <w:p>
            <w:pPr>
              <w:spacing w:after="20"/>
              <w:jc w:val="right"/>
            </w:pPr>
            <w:r>
              <w:rPr>
                <w:color w:val="1C3A36"/>
                <w:sz w:val="16"/>
              </w:rPr>
              <w:t>84,315</w:t>
            </w:r>
          </w:p>
        </w:tc>
        <w:tc>
          <w:tcPr>
            <w:tcW w:type="dxa" w:w="1267"/>
          </w:tcPr>
          <w:p>
            <w:pPr>
              <w:spacing w:after="20"/>
              <w:jc w:val="right"/>
            </w:pPr>
            <w:r>
              <w:rPr>
                <w:color w:val="1C3A36"/>
                <w:sz w:val="16"/>
              </w:rPr>
              <w:t>96,119</w:t>
            </w:r>
          </w:p>
        </w:tc>
        <w:tc>
          <w:tcPr>
            <w:tcW w:type="dxa" w:w="1267"/>
          </w:tcPr>
          <w:p>
            <w:pPr>
              <w:spacing w:after="20"/>
              <w:jc w:val="right"/>
            </w:pPr>
            <w:r>
              <w:rPr>
                <w:color w:val="1C3A36"/>
                <w:sz w:val="16"/>
              </w:rPr>
              <w:t>107,653</w:t>
            </w:r>
          </w:p>
        </w:tc>
        <w:tc>
          <w:tcPr>
            <w:tcW w:type="dxa" w:w="1267"/>
          </w:tcPr>
          <w:p>
            <w:pPr>
              <w:spacing w:after="20"/>
              <w:jc w:val="right"/>
            </w:pPr>
            <w:r>
              <w:rPr>
                <w:color w:val="1C3A36"/>
                <w:sz w:val="16"/>
              </w:rPr>
              <w:t>118,418</w:t>
            </w:r>
          </w:p>
        </w:tc>
        <w:tc>
          <w:tcPr>
            <w:tcW w:type="dxa" w:w="1267"/>
          </w:tcPr>
          <w:p>
            <w:pPr>
              <w:spacing w:after="20"/>
              <w:jc w:val="right"/>
            </w:pPr>
            <w:r>
              <w:rPr>
                <w:color w:val="1C3A36"/>
                <w:sz w:val="16"/>
              </w:rPr>
              <w:t>129,076</w:t>
            </w:r>
          </w:p>
        </w:tc>
        <w:tc>
          <w:tcPr>
            <w:tcW w:type="dxa" w:w="1267"/>
          </w:tcPr>
          <w:p>
            <w:pPr>
              <w:spacing w:after="20"/>
              <w:jc w:val="right"/>
            </w:pPr>
            <w:r>
              <w:rPr>
                <w:color w:val="1C3A36"/>
                <w:sz w:val="16"/>
              </w:rPr>
              <w:t>139,402</w:t>
            </w:r>
          </w:p>
        </w:tc>
      </w:tr>
      <w:tr>
        <w:tc>
          <w:tcPr>
            <w:tcW w:type="dxa" w:w="2477"/>
          </w:tcPr>
          <w:p>
            <w:pPr>
              <w:spacing w:after="20"/>
            </w:pPr>
            <w:r>
              <w:rPr>
                <w:color w:val="1C3A36"/>
                <w:sz w:val="16"/>
              </w:rPr>
              <w:t>Foreign revenue (USD mn)</w:t>
            </w:r>
          </w:p>
        </w:tc>
        <w:tc>
          <w:tcPr>
            <w:tcW w:type="dxa" w:w="1238"/>
          </w:tcPr>
          <w:p>
            <w:pPr>
              <w:spacing w:after="20"/>
              <w:jc w:val="right"/>
            </w:pPr>
            <w:r>
              <w:rPr>
                <w:color w:val="1C3A36"/>
                <w:sz w:val="16"/>
              </w:rPr>
              <w:t>3,974</w:t>
            </w:r>
          </w:p>
        </w:tc>
        <w:tc>
          <w:tcPr>
            <w:tcW w:type="dxa" w:w="1267"/>
          </w:tcPr>
          <w:p>
            <w:pPr>
              <w:spacing w:after="20"/>
              <w:jc w:val="right"/>
            </w:pPr>
            <w:r>
              <w:rPr>
                <w:color w:val="1C3A36"/>
                <w:sz w:val="16"/>
              </w:rPr>
              <w:t>4,372</w:t>
            </w:r>
          </w:p>
        </w:tc>
        <w:tc>
          <w:tcPr>
            <w:tcW w:type="dxa" w:w="1267"/>
          </w:tcPr>
          <w:p>
            <w:pPr>
              <w:spacing w:after="20"/>
              <w:jc w:val="right"/>
            </w:pPr>
            <w:r>
              <w:rPr>
                <w:color w:val="1C3A36"/>
                <w:sz w:val="16"/>
              </w:rPr>
              <w:t>4,722</w:t>
            </w:r>
          </w:p>
        </w:tc>
        <w:tc>
          <w:tcPr>
            <w:tcW w:type="dxa" w:w="1267"/>
          </w:tcPr>
          <w:p>
            <w:pPr>
              <w:spacing w:after="20"/>
              <w:jc w:val="right"/>
            </w:pPr>
            <w:r>
              <w:rPr>
                <w:color w:val="1C3A36"/>
                <w:sz w:val="16"/>
              </w:rPr>
              <w:t>5,052</w:t>
            </w:r>
          </w:p>
        </w:tc>
        <w:tc>
          <w:tcPr>
            <w:tcW w:type="dxa" w:w="1267"/>
          </w:tcPr>
          <w:p>
            <w:pPr>
              <w:spacing w:after="20"/>
              <w:jc w:val="right"/>
            </w:pPr>
            <w:r>
              <w:rPr>
                <w:color w:val="1C3A36"/>
                <w:sz w:val="16"/>
              </w:rPr>
              <w:t>5,355</w:t>
            </w:r>
          </w:p>
        </w:tc>
        <w:tc>
          <w:tcPr>
            <w:tcW w:type="dxa" w:w="1267"/>
          </w:tcPr>
          <w:p>
            <w:pPr>
              <w:spacing w:after="20"/>
              <w:jc w:val="right"/>
            </w:pPr>
            <w:r>
              <w:rPr>
                <w:color w:val="1C3A36"/>
                <w:sz w:val="16"/>
              </w:rPr>
              <w:t>5,677</w:t>
            </w:r>
          </w:p>
        </w:tc>
      </w:tr>
      <w:tr>
        <w:tc>
          <w:tcPr>
            <w:tcW w:type="dxa" w:w="2477"/>
          </w:tcPr>
          <w:p>
            <w:pPr>
              <w:spacing w:after="20"/>
            </w:pPr>
            <w:r>
              <w:rPr>
                <w:color w:val="1C3A36"/>
                <w:sz w:val="16"/>
              </w:rPr>
              <w:t>Foreign revenue (EGP mn)</w:t>
            </w:r>
          </w:p>
        </w:tc>
        <w:tc>
          <w:tcPr>
            <w:tcW w:type="dxa" w:w="1238"/>
          </w:tcPr>
          <w:p>
            <w:pPr>
              <w:spacing w:after="20"/>
              <w:jc w:val="right"/>
            </w:pPr>
            <w:r>
              <w:rPr>
                <w:color w:val="1C3A36"/>
                <w:sz w:val="16"/>
              </w:rPr>
              <w:t>196,734</w:t>
            </w:r>
          </w:p>
        </w:tc>
        <w:tc>
          <w:tcPr>
            <w:tcW w:type="dxa" w:w="1267"/>
          </w:tcPr>
          <w:p>
            <w:pPr>
              <w:spacing w:after="20"/>
              <w:jc w:val="right"/>
            </w:pPr>
            <w:r>
              <w:rPr>
                <w:color w:val="1C3A36"/>
                <w:sz w:val="16"/>
              </w:rPr>
              <w:t>222,966</w:t>
            </w:r>
          </w:p>
        </w:tc>
        <w:tc>
          <w:tcPr>
            <w:tcW w:type="dxa" w:w="1267"/>
          </w:tcPr>
          <w:p>
            <w:pPr>
              <w:spacing w:after="20"/>
              <w:jc w:val="right"/>
            </w:pPr>
            <w:r>
              <w:rPr>
                <w:color w:val="1C3A36"/>
                <w:sz w:val="16"/>
              </w:rPr>
              <w:t>254,968</w:t>
            </w:r>
          </w:p>
        </w:tc>
        <w:tc>
          <w:tcPr>
            <w:tcW w:type="dxa" w:w="1267"/>
          </w:tcPr>
          <w:p>
            <w:pPr>
              <w:spacing w:after="20"/>
              <w:jc w:val="right"/>
            </w:pPr>
            <w:r>
              <w:rPr>
                <w:color w:val="1C3A36"/>
                <w:sz w:val="16"/>
              </w:rPr>
              <w:t>290,498</w:t>
            </w:r>
          </w:p>
        </w:tc>
        <w:tc>
          <w:tcPr>
            <w:tcW w:type="dxa" w:w="1267"/>
          </w:tcPr>
          <w:p>
            <w:pPr>
              <w:spacing w:after="20"/>
              <w:jc w:val="right"/>
            </w:pPr>
            <w:r>
              <w:rPr>
                <w:color w:val="1C3A36"/>
                <w:sz w:val="16"/>
              </w:rPr>
              <w:t>326,671</w:t>
            </w:r>
          </w:p>
        </w:tc>
        <w:tc>
          <w:tcPr>
            <w:tcW w:type="dxa" w:w="1267"/>
          </w:tcPr>
          <w:p>
            <w:pPr>
              <w:spacing w:after="20"/>
              <w:jc w:val="right"/>
            </w:pPr>
            <w:r>
              <w:rPr>
                <w:color w:val="1C3A36"/>
                <w:sz w:val="16"/>
              </w:rPr>
              <w:t>366,139</w:t>
            </w:r>
          </w:p>
        </w:tc>
      </w:tr>
      <w:tr>
        <w:tc>
          <w:tcPr>
            <w:tcW w:type="dxa" w:w="2477"/>
            <w:shd w:val="clear" w:color="auto" w:fill="F6F1E6"/>
          </w:tcPr>
          <w:p>
            <w:pPr>
              <w:spacing w:after="20"/>
            </w:pPr>
            <w:r>
              <w:rPr>
                <w:b/>
                <w:color w:val="1C3A36"/>
                <w:sz w:val="16"/>
              </w:rPr>
              <w:t>Total revenue (EGP mn)</w:t>
            </w:r>
          </w:p>
        </w:tc>
        <w:tc>
          <w:tcPr>
            <w:tcW w:type="dxa" w:w="1238"/>
            <w:shd w:val="clear" w:color="auto" w:fill="F6F1E6"/>
          </w:tcPr>
          <w:p>
            <w:pPr>
              <w:spacing w:after="20"/>
              <w:jc w:val="right"/>
            </w:pPr>
            <w:r>
              <w:rPr>
                <w:b/>
                <w:color w:val="1C3A36"/>
                <w:sz w:val="16"/>
              </w:rPr>
              <w:t>281,049</w:t>
            </w:r>
          </w:p>
        </w:tc>
        <w:tc>
          <w:tcPr>
            <w:tcW w:type="dxa" w:w="1267"/>
            <w:shd w:val="clear" w:color="auto" w:fill="F6F1E6"/>
          </w:tcPr>
          <w:p>
            <w:pPr>
              <w:spacing w:after="20"/>
              <w:jc w:val="right"/>
            </w:pPr>
            <w:r>
              <w:rPr>
                <w:b/>
                <w:color w:val="1C3A36"/>
                <w:sz w:val="16"/>
              </w:rPr>
              <w:t>319,084</w:t>
            </w:r>
          </w:p>
        </w:tc>
        <w:tc>
          <w:tcPr>
            <w:tcW w:type="dxa" w:w="1267"/>
            <w:shd w:val="clear" w:color="auto" w:fill="F6F1E6"/>
          </w:tcPr>
          <w:p>
            <w:pPr>
              <w:spacing w:after="20"/>
              <w:jc w:val="right"/>
            </w:pPr>
            <w:r>
              <w:rPr>
                <w:b/>
                <w:color w:val="1C3A36"/>
                <w:sz w:val="16"/>
              </w:rPr>
              <w:t>362,621</w:t>
            </w:r>
          </w:p>
        </w:tc>
        <w:tc>
          <w:tcPr>
            <w:tcW w:type="dxa" w:w="1267"/>
            <w:shd w:val="clear" w:color="auto" w:fill="F6F1E6"/>
          </w:tcPr>
          <w:p>
            <w:pPr>
              <w:spacing w:after="20"/>
              <w:jc w:val="right"/>
            </w:pPr>
            <w:r>
              <w:rPr>
                <w:b/>
                <w:color w:val="1C3A36"/>
                <w:sz w:val="16"/>
              </w:rPr>
              <w:t>408,916</w:t>
            </w:r>
          </w:p>
        </w:tc>
        <w:tc>
          <w:tcPr>
            <w:tcW w:type="dxa" w:w="1267"/>
            <w:shd w:val="clear" w:color="auto" w:fill="F6F1E6"/>
          </w:tcPr>
          <w:p>
            <w:pPr>
              <w:spacing w:after="20"/>
              <w:jc w:val="right"/>
            </w:pPr>
            <w:r>
              <w:rPr>
                <w:b/>
                <w:color w:val="1C3A36"/>
                <w:sz w:val="16"/>
              </w:rPr>
              <w:t>455,747</w:t>
            </w:r>
          </w:p>
        </w:tc>
        <w:tc>
          <w:tcPr>
            <w:tcW w:type="dxa" w:w="1267"/>
            <w:shd w:val="clear" w:color="auto" w:fill="F6F1E6"/>
          </w:tcPr>
          <w:p>
            <w:pPr>
              <w:spacing w:after="20"/>
              <w:jc w:val="right"/>
            </w:pPr>
            <w:r>
              <w:rPr>
                <w:b/>
                <w:color w:val="1C3A36"/>
                <w:sz w:val="16"/>
              </w:rPr>
              <w:t>505,542</w:t>
            </w:r>
          </w:p>
        </w:tc>
      </w:tr>
      <w:tr>
        <w:tc>
          <w:tcPr>
            <w:tcW w:type="dxa" w:w="2477"/>
          </w:tcPr>
          <w:p>
            <w:pPr>
              <w:spacing w:after="20"/>
            </w:pPr>
            <w:r>
              <w:rPr>
                <w:color w:val="1C3A36"/>
                <w:sz w:val="16"/>
              </w:rPr>
              <w:t>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+14%</w:t>
            </w:r>
          </w:p>
        </w:tc>
        <w:tc>
          <w:tcPr>
            <w:tcW w:type="dxa" w:w="1267"/>
          </w:tcPr>
          <w:p>
            <w:pPr>
              <w:spacing w:after="20"/>
              <w:jc w:val="right"/>
            </w:pPr>
            <w:r>
              <w:rPr>
                <w:color w:val="1C3A36"/>
                <w:sz w:val="16"/>
              </w:rPr>
              <w:t>+14%</w:t>
            </w:r>
          </w:p>
        </w:tc>
        <w:tc>
          <w:tcPr>
            <w:tcW w:type="dxa" w:w="1267"/>
          </w:tcPr>
          <w:p>
            <w:pPr>
              <w:spacing w:after="20"/>
              <w:jc w:val="right"/>
            </w:pPr>
            <w:r>
              <w:rPr>
                <w:color w:val="1C3A36"/>
                <w:sz w:val="16"/>
              </w:rPr>
              <w:t>+13%</w:t>
            </w:r>
          </w:p>
        </w:tc>
        <w:tc>
          <w:tcPr>
            <w:tcW w:type="dxa" w:w="1267"/>
          </w:tcPr>
          <w:p>
            <w:pPr>
              <w:spacing w:after="20"/>
              <w:jc w:val="right"/>
            </w:pPr>
            <w:r>
              <w:rPr>
                <w:color w:val="1C3A36"/>
                <w:sz w:val="16"/>
              </w:rPr>
              <w:t>+11%</w:t>
            </w:r>
          </w:p>
        </w:tc>
        <w:tc>
          <w:tcPr>
            <w:tcW w:type="dxa" w:w="1267"/>
          </w:tcPr>
          <w:p>
            <w:pPr>
              <w:spacing w:after="20"/>
              <w:jc w:val="right"/>
            </w:pPr>
            <w:r>
              <w:rPr>
                <w:color w:val="1C3A36"/>
                <w:sz w:val="16"/>
              </w:rPr>
              <w:t>+11%</w:t>
            </w:r>
          </w:p>
        </w:tc>
      </w:tr>
    </w:tbl>
    <w:p>
      <w:pPr>
        <w:spacing w:after="40"/>
      </w:pPr>
    </w:p>
    <w:p>
      <w:pPr>
        <w:spacing w:after="200" w:before="0"/>
      </w:pPr>
      <w:r>
        <w:rPr>
          <w:b w:val="0"/>
          <w:i/>
          <w:color w:val="6E7B77"/>
          <w:sz w:val="17"/>
        </w:rPr>
        <w:t>The exchange-rate path assumes roughly 6% a year of depreciation. That is deliberately far below what interest-rate parity implies — the 22.3% Egyptian pound rate against a dollar rate near 4.3% implies about 17% a year. The base case assumes the central bank's disinflation path closes most of that gap rather than the currency absorbing it. Because this single choice moves the answer more than any operating assumption, it is carried as an explicit sensitivity in section 1.9.</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872"/>
        <w:gridCol w:w="979"/>
        <w:gridCol w:w="1238"/>
        <w:gridCol w:w="1656"/>
        <w:gridCol w:w="1656"/>
      </w:tblGrid>
      <w:tr>
        <w:tc>
          <w:tcPr>
            <w:tcW w:type="dxa" w:w="2664"/>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238"/>
            <w:shd w:val="clear" w:color="auto" w:fill="EAF0EE"/>
          </w:tcPr>
          <w:p>
            <w:pPr>
              <w:spacing w:after="20"/>
            </w:pPr>
            <w:r>
              <w:rPr>
                <w:b/>
                <w:color w:val="1C3A36"/>
                <w:sz w:val="16"/>
              </w:rPr>
              <w:t>Gross margin</w:t>
            </w:r>
          </w:p>
        </w:tc>
        <w:tc>
          <w:tcPr>
            <w:tcW w:type="dxa" w:w="1656"/>
            <w:shd w:val="clear" w:color="auto" w:fill="EAF0EE"/>
          </w:tcPr>
          <w:p>
            <w:pPr>
              <w:spacing w:after="20"/>
            </w:pPr>
            <w:r>
              <w:rPr>
                <w:b/>
                <w:color w:val="1C3A36"/>
                <w:sz w:val="16"/>
              </w:rPr>
              <w:t>EBITDA margin FY2026E</w:t>
            </w:r>
          </w:p>
        </w:tc>
        <w:tc>
          <w:tcPr>
            <w:tcW w:type="dxa" w:w="1656"/>
            <w:shd w:val="clear" w:color="auto" w:fill="EAF0EE"/>
          </w:tcPr>
          <w:p>
            <w:pPr>
              <w:spacing w:after="20"/>
            </w:pPr>
            <w:r>
              <w:rPr>
                <w:b/>
                <w:color w:val="1C3A36"/>
                <w:sz w:val="16"/>
              </w:rPr>
              <w:t>EBITDA margin FY2030E</w:t>
            </w:r>
          </w:p>
        </w:tc>
      </w:tr>
      <w:tr>
        <w:tc>
          <w:tcPr>
            <w:tcW w:type="dxa" w:w="2664"/>
          </w:tcPr>
          <w:p>
            <w:pPr>
              <w:spacing w:after="20"/>
            </w:pPr>
            <w:r>
              <w:rPr>
                <w:color w:val="1C3A36"/>
                <w:sz w:val="16"/>
              </w:rPr>
              <w:t>Wires, Cables &amp; Accessories</w:t>
            </w:r>
          </w:p>
        </w:tc>
        <w:tc>
          <w:tcPr>
            <w:tcW w:type="dxa" w:w="1872"/>
          </w:tcPr>
          <w:p>
            <w:pPr>
              <w:spacing w:after="20"/>
              <w:jc w:val="right"/>
            </w:pPr>
            <w:r>
              <w:rPr>
                <w:color w:val="1C3A36"/>
                <w:sz w:val="16"/>
              </w:rPr>
              <w:t>165,819</w:t>
            </w:r>
          </w:p>
        </w:tc>
        <w:tc>
          <w:tcPr>
            <w:tcW w:type="dxa" w:w="979"/>
          </w:tcPr>
          <w:p>
            <w:pPr>
              <w:spacing w:after="20"/>
              <w:jc w:val="right"/>
            </w:pPr>
            <w:r>
              <w:rPr>
                <w:color w:val="1C3A36"/>
                <w:sz w:val="16"/>
              </w:rPr>
              <w:t>59.0%</w:t>
            </w:r>
          </w:p>
        </w:tc>
        <w:tc>
          <w:tcPr>
            <w:tcW w:type="dxa" w:w="1238"/>
          </w:tcPr>
          <w:p>
            <w:pPr>
              <w:spacing w:after="20"/>
              <w:jc w:val="right"/>
            </w:pPr>
            <w:r>
              <w:rPr>
                <w:color w:val="1C3A36"/>
                <w:sz w:val="16"/>
              </w:rPr>
              <w:t>12.4%</w:t>
            </w:r>
          </w:p>
        </w:tc>
        <w:tc>
          <w:tcPr>
            <w:tcW w:type="dxa" w:w="1656"/>
          </w:tcPr>
          <w:p>
            <w:pPr>
              <w:spacing w:after="20"/>
              <w:jc w:val="right"/>
            </w:pPr>
            <w:r>
              <w:rPr>
                <w:color w:val="1C3A36"/>
                <w:sz w:val="16"/>
              </w:rPr>
              <w:t>9.1%</w:t>
            </w:r>
          </w:p>
        </w:tc>
        <w:tc>
          <w:tcPr>
            <w:tcW w:type="dxa" w:w="1656"/>
          </w:tcPr>
          <w:p>
            <w:pPr>
              <w:spacing w:after="20"/>
              <w:jc w:val="right"/>
            </w:pPr>
            <w:r>
              <w:rPr>
                <w:color w:val="1C3A36"/>
                <w:sz w:val="16"/>
              </w:rPr>
              <w:t>10.0%</w:t>
            </w:r>
          </w:p>
        </w:tc>
      </w:tr>
      <w:tr>
        <w:tc>
          <w:tcPr>
            <w:tcW w:type="dxa" w:w="2664"/>
          </w:tcPr>
          <w:p>
            <w:pPr>
              <w:spacing w:after="20"/>
            </w:pPr>
            <w:r>
              <w:rPr>
                <w:color w:val="1C3A36"/>
                <w:sz w:val="16"/>
              </w:rPr>
              <w:t>Engineering &amp; Construction</w:t>
            </w:r>
          </w:p>
        </w:tc>
        <w:tc>
          <w:tcPr>
            <w:tcW w:type="dxa" w:w="1872"/>
          </w:tcPr>
          <w:p>
            <w:pPr>
              <w:spacing w:after="20"/>
              <w:jc w:val="right"/>
            </w:pPr>
            <w:r>
              <w:rPr>
                <w:color w:val="1C3A36"/>
                <w:sz w:val="16"/>
              </w:rPr>
              <w:t>75,883</w:t>
            </w:r>
          </w:p>
        </w:tc>
        <w:tc>
          <w:tcPr>
            <w:tcW w:type="dxa" w:w="979"/>
          </w:tcPr>
          <w:p>
            <w:pPr>
              <w:spacing w:after="20"/>
              <w:jc w:val="right"/>
            </w:pPr>
            <w:r>
              <w:rPr>
                <w:color w:val="1C3A36"/>
                <w:sz w:val="16"/>
              </w:rPr>
              <w:t>27.0%</w:t>
            </w:r>
          </w:p>
        </w:tc>
        <w:tc>
          <w:tcPr>
            <w:tcW w:type="dxa" w:w="1238"/>
          </w:tcPr>
          <w:p>
            <w:pPr>
              <w:spacing w:after="20"/>
              <w:jc w:val="right"/>
            </w:pPr>
            <w:r>
              <w:rPr>
                <w:color w:val="1C3A36"/>
                <w:sz w:val="16"/>
              </w:rPr>
              <w:t>9.0%</w:t>
            </w:r>
          </w:p>
        </w:tc>
        <w:tc>
          <w:tcPr>
            <w:tcW w:type="dxa" w:w="1656"/>
          </w:tcPr>
          <w:p>
            <w:pPr>
              <w:spacing w:after="20"/>
              <w:jc w:val="right"/>
            </w:pPr>
            <w:r>
              <w:rPr>
                <w:color w:val="1C3A36"/>
                <w:sz w:val="16"/>
              </w:rPr>
              <w:t>5.6%</w:t>
            </w:r>
          </w:p>
        </w:tc>
        <w:tc>
          <w:tcPr>
            <w:tcW w:type="dxa" w:w="1656"/>
          </w:tcPr>
          <w:p>
            <w:pPr>
              <w:spacing w:after="20"/>
              <w:jc w:val="right"/>
            </w:pPr>
            <w:r>
              <w:rPr>
                <w:color w:val="1C3A36"/>
                <w:sz w:val="16"/>
              </w:rPr>
              <w:t>6.5%</w:t>
            </w:r>
          </w:p>
        </w:tc>
      </w:tr>
      <w:tr>
        <w:tc>
          <w:tcPr>
            <w:tcW w:type="dxa" w:w="2664"/>
          </w:tcPr>
          <w:p>
            <w:pPr>
              <w:spacing w:after="20"/>
            </w:pPr>
            <w:r>
              <w:rPr>
                <w:color w:val="1C3A36"/>
                <w:sz w:val="16"/>
              </w:rPr>
              <w:t>Electrical Products</w:t>
            </w:r>
          </w:p>
        </w:tc>
        <w:tc>
          <w:tcPr>
            <w:tcW w:type="dxa" w:w="1872"/>
          </w:tcPr>
          <w:p>
            <w:pPr>
              <w:spacing w:after="20"/>
              <w:jc w:val="right"/>
            </w:pPr>
            <w:r>
              <w:rPr>
                <w:color w:val="1C3A36"/>
                <w:sz w:val="16"/>
              </w:rPr>
              <w:t>16,863</w:t>
            </w:r>
          </w:p>
        </w:tc>
        <w:tc>
          <w:tcPr>
            <w:tcW w:type="dxa" w:w="979"/>
          </w:tcPr>
          <w:p>
            <w:pPr>
              <w:spacing w:after="20"/>
              <w:jc w:val="right"/>
            </w:pPr>
            <w:r>
              <w:rPr>
                <w:color w:val="1C3A36"/>
                <w:sz w:val="16"/>
              </w:rPr>
              <w:t>6.0%</w:t>
            </w:r>
          </w:p>
        </w:tc>
        <w:tc>
          <w:tcPr>
            <w:tcW w:type="dxa" w:w="1238"/>
          </w:tcPr>
          <w:p>
            <w:pPr>
              <w:spacing w:after="20"/>
              <w:jc w:val="right"/>
            </w:pPr>
            <w:r>
              <w:rPr>
                <w:color w:val="1C3A36"/>
                <w:sz w:val="16"/>
              </w:rPr>
              <w:t>38.0%</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34.5%</w:t>
            </w:r>
          </w:p>
        </w:tc>
      </w:tr>
      <w:tr>
        <w:tc>
          <w:tcPr>
            <w:tcW w:type="dxa" w:w="2664"/>
          </w:tcPr>
          <w:p>
            <w:pPr>
              <w:spacing w:after="20"/>
            </w:pPr>
            <w:r>
              <w:rPr>
                <w:color w:val="1C3A36"/>
                <w:sz w:val="16"/>
              </w:rPr>
              <w:t>Digital Solutions</w:t>
            </w:r>
          </w:p>
        </w:tc>
        <w:tc>
          <w:tcPr>
            <w:tcW w:type="dxa" w:w="1872"/>
          </w:tcPr>
          <w:p>
            <w:pPr>
              <w:spacing w:after="20"/>
              <w:jc w:val="right"/>
            </w:pPr>
            <w:r>
              <w:rPr>
                <w:color w:val="1C3A36"/>
                <w:sz w:val="16"/>
              </w:rPr>
              <w:t>16,863</w:t>
            </w:r>
          </w:p>
        </w:tc>
        <w:tc>
          <w:tcPr>
            <w:tcW w:type="dxa" w:w="979"/>
          </w:tcPr>
          <w:p>
            <w:pPr>
              <w:spacing w:after="20"/>
              <w:jc w:val="right"/>
            </w:pPr>
            <w:r>
              <w:rPr>
                <w:color w:val="1C3A36"/>
                <w:sz w:val="16"/>
              </w:rPr>
              <w:t>6.0%</w:t>
            </w:r>
          </w:p>
        </w:tc>
        <w:tc>
          <w:tcPr>
            <w:tcW w:type="dxa" w:w="1238"/>
          </w:tcPr>
          <w:p>
            <w:pPr>
              <w:spacing w:after="20"/>
              <w:jc w:val="right"/>
            </w:pPr>
            <w:r>
              <w:rPr>
                <w:color w:val="1C3A36"/>
                <w:sz w:val="16"/>
              </w:rPr>
              <w:t>21.0%</w:t>
            </w:r>
          </w:p>
        </w:tc>
        <w:tc>
          <w:tcPr>
            <w:tcW w:type="dxa" w:w="1656"/>
          </w:tcPr>
          <w:p>
            <w:pPr>
              <w:spacing w:after="20"/>
              <w:jc w:val="right"/>
            </w:pPr>
            <w:r>
              <w:rPr>
                <w:color w:val="1C3A36"/>
                <w:sz w:val="16"/>
              </w:rPr>
              <w:t>17.7%</w:t>
            </w:r>
          </w:p>
        </w:tc>
        <w:tc>
          <w:tcPr>
            <w:tcW w:type="dxa" w:w="1656"/>
          </w:tcPr>
          <w:p>
            <w:pPr>
              <w:spacing w:after="20"/>
              <w:jc w:val="right"/>
            </w:pPr>
            <w:r>
              <w:rPr>
                <w:color w:val="1C3A36"/>
                <w:sz w:val="16"/>
              </w:rPr>
              <w:t>18.5%</w:t>
            </w:r>
          </w:p>
        </w:tc>
      </w:tr>
      <w:tr>
        <w:tc>
          <w:tcPr>
            <w:tcW w:type="dxa" w:w="2664"/>
          </w:tcPr>
          <w:p>
            <w:pPr>
              <w:spacing w:after="20"/>
            </w:pPr>
            <w:r>
              <w:rPr>
                <w:color w:val="1C3A36"/>
                <w:sz w:val="16"/>
              </w:rPr>
              <w:t>Infrastructure Investment</w:t>
            </w:r>
          </w:p>
        </w:tc>
        <w:tc>
          <w:tcPr>
            <w:tcW w:type="dxa" w:w="1872"/>
          </w:tcPr>
          <w:p>
            <w:pPr>
              <w:spacing w:after="20"/>
              <w:jc w:val="right"/>
            </w:pPr>
            <w:r>
              <w:rPr>
                <w:color w:val="1C3A36"/>
                <w:sz w:val="16"/>
              </w:rPr>
              <w:t>5,621</w:t>
            </w:r>
          </w:p>
        </w:tc>
        <w:tc>
          <w:tcPr>
            <w:tcW w:type="dxa" w:w="979"/>
          </w:tcPr>
          <w:p>
            <w:pPr>
              <w:spacing w:after="20"/>
              <w:jc w:val="right"/>
            </w:pPr>
            <w:r>
              <w:rPr>
                <w:color w:val="1C3A36"/>
                <w:sz w:val="16"/>
              </w:rPr>
              <w:t>2.0%</w:t>
            </w:r>
          </w:p>
        </w:tc>
        <w:tc>
          <w:tcPr>
            <w:tcW w:type="dxa" w:w="1238"/>
          </w:tcPr>
          <w:p>
            <w:pPr>
              <w:spacing w:after="20"/>
              <w:jc w:val="right"/>
            </w:pPr>
            <w:r>
              <w:rPr>
                <w:color w:val="1C3A36"/>
                <w:sz w:val="16"/>
              </w:rPr>
              <w:t>60.0%</w:t>
            </w:r>
          </w:p>
        </w:tc>
        <w:tc>
          <w:tcPr>
            <w:tcW w:type="dxa" w:w="1656"/>
          </w:tcPr>
          <w:p>
            <w:pPr>
              <w:spacing w:after="20"/>
              <w:jc w:val="right"/>
            </w:pPr>
            <w:r>
              <w:rPr>
                <w:color w:val="1C3A36"/>
                <w:sz w:val="16"/>
              </w:rPr>
              <w:t>56.5%</w:t>
            </w:r>
          </w:p>
        </w:tc>
        <w:tc>
          <w:tcPr>
            <w:tcW w:type="dxa" w:w="1656"/>
          </w:tcPr>
          <w:p>
            <w:pPr>
              <w:spacing w:after="20"/>
              <w:jc w:val="right"/>
            </w:pPr>
            <w:r>
              <w:rPr>
                <w:color w:val="1C3A36"/>
                <w:sz w:val="16"/>
              </w:rPr>
              <w:t>56.5%</w:t>
            </w:r>
          </w:p>
        </w:tc>
      </w:tr>
      <w:tr>
        <w:tc>
          <w:tcPr>
            <w:tcW w:type="dxa" w:w="2664"/>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238"/>
            <w:shd w:val="clear" w:color="auto" w:fill="F6F1E6"/>
          </w:tcPr>
          <w:p>
            <w:pPr>
              <w:spacing w:after="20"/>
              <w:jc w:val="right"/>
            </w:pPr>
            <w:r>
              <w:rPr>
                <w:b/>
                <w:color w:val="1C3A36"/>
                <w:sz w:val="16"/>
              </w:rPr>
              <w:t>14.5%</w:t>
            </w:r>
          </w:p>
        </w:tc>
        <w:tc>
          <w:tcPr>
            <w:tcW w:type="dxa" w:w="1656"/>
            <w:shd w:val="clear" w:color="auto" w:fill="F6F1E6"/>
          </w:tcPr>
          <w:p>
            <w:pPr>
              <w:spacing w:after="20"/>
              <w:jc w:val="right"/>
            </w:pPr>
            <w:r>
              <w:rPr>
                <w:b/>
                <w:color w:val="1C3A36"/>
                <w:sz w:val="16"/>
              </w:rPr>
              <w:t>11.2%</w:t>
            </w:r>
          </w:p>
        </w:tc>
        <w:tc>
          <w:tcPr>
            <w:tcW w:type="dxa" w:w="1656"/>
            <w:shd w:val="clear" w:color="auto" w:fill="F6F1E6"/>
          </w:tcPr>
          <w:p>
            <w:pPr>
              <w:spacing w:after="20"/>
              <w:jc w:val="right"/>
            </w:pPr>
            <w:r>
              <w:rPr>
                <w:b/>
                <w:color w:val="1C3A36"/>
                <w:sz w:val="16"/>
              </w:rPr>
              <w:t>12.4%</w:t>
            </w:r>
          </w:p>
        </w:tc>
      </w:tr>
    </w:tbl>
    <w:p>
      <w:pPr>
        <w:spacing w:after="40"/>
      </w:pPr>
    </w:p>
    <w:p>
      <w:pPr>
        <w:spacing w:after="200" w:before="0"/>
      </w:pPr>
      <w:r>
        <w:rPr>
          <w:b w:val="0"/>
          <w:i/>
          <w:color w:val="6E7B77"/>
          <w:sz w:val="17"/>
        </w:rPr>
        <w:t>Segment gross margins are set from the company's own disclosed segment table for the first quarter of 2025, stepped down for the further normalisation seen in the second half, and solved so that the weighted blend reproduces the group gross margin. Segment EBITDA margins deduct a uniform operating-cost load of 3.5% of revenue. Wires and cables is the largest segment and the one whose margin matters most; its terminal margin of 10.0% sits far below the FY2024 windfall.</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0.52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94.44</w:t>
            </w:r>
          </w:p>
        </w:tc>
        <w:tc>
          <w:tcPr>
            <w:tcW w:type="dxa" w:w="1541"/>
          </w:tcPr>
          <w:p>
            <w:pPr>
              <w:spacing w:after="20"/>
              <w:jc w:val="right"/>
            </w:pPr>
            <w:r>
              <w:rPr>
                <w:color w:val="1C3A36"/>
                <w:sz w:val="16"/>
              </w:rPr>
              <w:t>91.84</w:t>
            </w:r>
          </w:p>
        </w:tc>
        <w:tc>
          <w:tcPr>
            <w:tcW w:type="dxa" w:w="1541"/>
          </w:tcPr>
          <w:p>
            <w:pPr>
              <w:spacing w:after="20"/>
              <w:jc w:val="right"/>
            </w:pPr>
            <w:r>
              <w:rPr>
                <w:color w:val="1C3A36"/>
                <w:sz w:val="16"/>
              </w:rPr>
              <w:t>89.33</w:t>
            </w:r>
          </w:p>
        </w:tc>
        <w:tc>
          <w:tcPr>
            <w:tcW w:type="dxa" w:w="1541"/>
          </w:tcPr>
          <w:p>
            <w:pPr>
              <w:spacing w:after="20"/>
              <w:jc w:val="right"/>
            </w:pPr>
            <w:r>
              <w:rPr>
                <w:color w:val="1C3A36"/>
                <w:sz w:val="16"/>
              </w:rPr>
              <w:t>86.90</w:t>
            </w:r>
          </w:p>
        </w:tc>
        <w:tc>
          <w:tcPr>
            <w:tcW w:type="dxa" w:w="1541"/>
          </w:tcPr>
          <w:p>
            <w:pPr>
              <w:spacing w:after="20"/>
              <w:jc w:val="right"/>
            </w:pPr>
            <w:r>
              <w:rPr>
                <w:color w:val="1C3A36"/>
                <w:sz w:val="16"/>
              </w:rPr>
              <w:t>84.56</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83.69</w:t>
            </w:r>
          </w:p>
        </w:tc>
        <w:tc>
          <w:tcPr>
            <w:tcW w:type="dxa" w:w="1541"/>
          </w:tcPr>
          <w:p>
            <w:pPr>
              <w:spacing w:after="20"/>
              <w:jc w:val="right"/>
            </w:pPr>
            <w:r>
              <w:rPr>
                <w:color w:val="1C3A36"/>
                <w:sz w:val="16"/>
              </w:rPr>
              <w:t>81.38</w:t>
            </w:r>
          </w:p>
        </w:tc>
        <w:tc>
          <w:tcPr>
            <w:tcW w:type="dxa" w:w="1541"/>
          </w:tcPr>
          <w:p>
            <w:pPr>
              <w:spacing w:after="20"/>
              <w:jc w:val="right"/>
            </w:pPr>
            <w:r>
              <w:rPr>
                <w:color w:val="1C3A36"/>
                <w:sz w:val="16"/>
              </w:rPr>
              <w:t>79.15</w:t>
            </w:r>
          </w:p>
        </w:tc>
        <w:tc>
          <w:tcPr>
            <w:tcW w:type="dxa" w:w="1541"/>
          </w:tcPr>
          <w:p>
            <w:pPr>
              <w:spacing w:after="20"/>
              <w:jc w:val="right"/>
            </w:pPr>
            <w:r>
              <w:rPr>
                <w:color w:val="1C3A36"/>
                <w:sz w:val="16"/>
              </w:rPr>
              <w:t>77.00</w:t>
            </w:r>
          </w:p>
        </w:tc>
        <w:tc>
          <w:tcPr>
            <w:tcW w:type="dxa" w:w="1541"/>
          </w:tcPr>
          <w:p>
            <w:pPr>
              <w:spacing w:after="20"/>
              <w:jc w:val="right"/>
            </w:pPr>
            <w:r>
              <w:rPr>
                <w:color w:val="1C3A36"/>
                <w:sz w:val="16"/>
              </w:rPr>
              <w:t>74.92</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75.06</w:t>
            </w:r>
          </w:p>
        </w:tc>
        <w:tc>
          <w:tcPr>
            <w:tcW w:type="dxa" w:w="1541"/>
          </w:tcPr>
          <w:p>
            <w:pPr>
              <w:spacing w:after="20"/>
              <w:jc w:val="right"/>
            </w:pPr>
            <w:r>
              <w:rPr>
                <w:color w:val="1C3A36"/>
                <w:sz w:val="16"/>
              </w:rPr>
              <w:t>72.99</w:t>
            </w:r>
          </w:p>
        </w:tc>
        <w:tc>
          <w:tcPr>
            <w:tcW w:type="dxa" w:w="1541"/>
          </w:tcPr>
          <w:p>
            <w:pPr>
              <w:spacing w:after="20"/>
              <w:jc w:val="right"/>
            </w:pPr>
            <w:r>
              <w:rPr>
                <w:color w:val="1C3A36"/>
                <w:sz w:val="16"/>
              </w:rPr>
              <w:t>70.99</w:t>
            </w:r>
          </w:p>
        </w:tc>
        <w:tc>
          <w:tcPr>
            <w:tcW w:type="dxa" w:w="1541"/>
          </w:tcPr>
          <w:p>
            <w:pPr>
              <w:spacing w:after="20"/>
              <w:jc w:val="right"/>
            </w:pPr>
            <w:r>
              <w:rPr>
                <w:color w:val="1C3A36"/>
                <w:sz w:val="16"/>
              </w:rPr>
              <w:t>69.06</w:t>
            </w:r>
          </w:p>
        </w:tc>
        <w:tc>
          <w:tcPr>
            <w:tcW w:type="dxa" w:w="1541"/>
          </w:tcPr>
          <w:p>
            <w:pPr>
              <w:spacing w:after="20"/>
              <w:jc w:val="right"/>
            </w:pPr>
            <w:r>
              <w:rPr>
                <w:color w:val="1C3A36"/>
                <w:sz w:val="16"/>
              </w:rPr>
              <w:t>67.19</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67.99</w:t>
            </w:r>
          </w:p>
        </w:tc>
        <w:tc>
          <w:tcPr>
            <w:tcW w:type="dxa" w:w="1541"/>
          </w:tcPr>
          <w:p>
            <w:pPr>
              <w:spacing w:after="20"/>
              <w:jc w:val="right"/>
            </w:pPr>
            <w:r>
              <w:rPr>
                <w:color w:val="1C3A36"/>
                <w:sz w:val="16"/>
              </w:rPr>
              <w:t>66.11</w:t>
            </w:r>
          </w:p>
        </w:tc>
        <w:tc>
          <w:tcPr>
            <w:tcW w:type="dxa" w:w="1541"/>
          </w:tcPr>
          <w:p>
            <w:pPr>
              <w:spacing w:after="20"/>
              <w:jc w:val="right"/>
            </w:pPr>
            <w:r>
              <w:rPr>
                <w:color w:val="1C3A36"/>
                <w:sz w:val="16"/>
              </w:rPr>
              <w:t>64.30</w:t>
            </w:r>
          </w:p>
        </w:tc>
        <w:tc>
          <w:tcPr>
            <w:tcW w:type="dxa" w:w="1541"/>
          </w:tcPr>
          <w:p>
            <w:pPr>
              <w:spacing w:after="20"/>
              <w:jc w:val="right"/>
            </w:pPr>
            <w:r>
              <w:rPr>
                <w:color w:val="1C3A36"/>
                <w:sz w:val="16"/>
              </w:rPr>
              <w:t>62.55</w:t>
            </w:r>
          </w:p>
        </w:tc>
        <w:tc>
          <w:tcPr>
            <w:tcW w:type="dxa" w:w="1541"/>
          </w:tcPr>
          <w:p>
            <w:pPr>
              <w:spacing w:after="20"/>
              <w:jc w:val="right"/>
            </w:pPr>
            <w:r>
              <w:rPr>
                <w:color w:val="1C3A36"/>
                <w:sz w:val="16"/>
              </w:rPr>
              <w:t>60.85</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62.10</w:t>
            </w:r>
          </w:p>
        </w:tc>
        <w:tc>
          <w:tcPr>
            <w:tcW w:type="dxa" w:w="1541"/>
          </w:tcPr>
          <w:p>
            <w:pPr>
              <w:spacing w:after="20"/>
              <w:jc w:val="right"/>
            </w:pPr>
            <w:r>
              <w:rPr>
                <w:color w:val="1C3A36"/>
                <w:sz w:val="16"/>
              </w:rPr>
              <w:t>60.38</w:t>
            </w:r>
          </w:p>
        </w:tc>
        <w:tc>
          <w:tcPr>
            <w:tcW w:type="dxa" w:w="1541"/>
          </w:tcPr>
          <w:p>
            <w:pPr>
              <w:spacing w:after="20"/>
              <w:jc w:val="right"/>
            </w:pPr>
            <w:r>
              <w:rPr>
                <w:color w:val="1C3A36"/>
                <w:sz w:val="16"/>
              </w:rPr>
              <w:t>58.72</w:t>
            </w:r>
          </w:p>
        </w:tc>
        <w:tc>
          <w:tcPr>
            <w:tcW w:type="dxa" w:w="1541"/>
          </w:tcPr>
          <w:p>
            <w:pPr>
              <w:spacing w:after="20"/>
              <w:jc w:val="right"/>
            </w:pPr>
            <w:r>
              <w:rPr>
                <w:color w:val="1C3A36"/>
                <w:sz w:val="16"/>
              </w:rPr>
              <w:t>57.12</w:t>
            </w:r>
          </w:p>
        </w:tc>
        <w:tc>
          <w:tcPr>
            <w:tcW w:type="dxa" w:w="1541"/>
          </w:tcPr>
          <w:p>
            <w:pPr>
              <w:spacing w:after="20"/>
              <w:jc w:val="right"/>
            </w:pPr>
            <w:r>
              <w:rPr>
                <w:color w:val="1C3A36"/>
                <w:sz w:val="16"/>
              </w:rPr>
              <w:t>55.57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58.47 – 97.23</w:t>
            </w:r>
          </w:p>
        </w:tc>
        <w:tc>
          <w:tcPr>
            <w:tcW w:type="dxa" w:w="1944"/>
          </w:tcPr>
          <w:p>
            <w:pPr>
              <w:spacing w:after="20"/>
              <w:jc w:val="right"/>
            </w:pPr>
            <w:r>
              <w:rPr>
                <w:color w:val="1C3A36"/>
                <w:sz w:val="17"/>
              </w:rPr>
              <w:t>38.76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65.22 – 82.53</w:t>
            </w:r>
          </w:p>
        </w:tc>
        <w:tc>
          <w:tcPr>
            <w:tcW w:type="dxa" w:w="1944"/>
          </w:tcPr>
          <w:p>
            <w:pPr>
              <w:spacing w:after="20"/>
              <w:jc w:val="right"/>
            </w:pPr>
            <w:r>
              <w:rPr>
                <w:color w:val="1C3A36"/>
                <w:sz w:val="17"/>
              </w:rPr>
              <w:t>17.31</w:t>
            </w:r>
          </w:p>
        </w:tc>
      </w:tr>
      <w:tr>
        <w:tc>
          <w:tcPr>
            <w:tcW w:type="dxa" w:w="3168"/>
          </w:tcPr>
          <w:p>
            <w:pPr>
              <w:spacing w:after="20"/>
            </w:pPr>
            <w:r>
              <w:rPr>
                <w:color w:val="1C3A36"/>
                <w:sz w:val="17"/>
              </w:rPr>
              <w:t>EBITDA margin</w:t>
            </w:r>
          </w:p>
        </w:tc>
        <w:tc>
          <w:tcPr>
            <w:tcW w:type="dxa" w:w="2232"/>
          </w:tcPr>
          <w:p>
            <w:pPr>
              <w:spacing w:after="20"/>
              <w:jc w:val="right"/>
            </w:pPr>
            <w:r>
              <w:rPr>
                <w:color w:val="1C3A36"/>
                <w:sz w:val="17"/>
              </w:rPr>
              <w:t>−2pp to +2pp</w:t>
            </w:r>
          </w:p>
        </w:tc>
        <w:tc>
          <w:tcPr>
            <w:tcW w:type="dxa" w:w="2736"/>
          </w:tcPr>
          <w:p>
            <w:pPr>
              <w:spacing w:after="20"/>
              <w:jc w:val="right"/>
            </w:pPr>
            <w:r>
              <w:rPr>
                <w:color w:val="1C3A36"/>
                <w:sz w:val="17"/>
              </w:rPr>
              <w:t>50.77 – 91.20</w:t>
            </w:r>
          </w:p>
        </w:tc>
        <w:tc>
          <w:tcPr>
            <w:tcW w:type="dxa" w:w="1944"/>
          </w:tcPr>
          <w:p>
            <w:pPr>
              <w:spacing w:after="20"/>
              <w:jc w:val="right"/>
            </w:pPr>
            <w:r>
              <w:rPr>
                <w:color w:val="1C3A36"/>
                <w:sz w:val="17"/>
              </w:rPr>
              <w:t>40.43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69.42 – 72.56</w:t>
            </w:r>
          </w:p>
        </w:tc>
        <w:tc>
          <w:tcPr>
            <w:tcW w:type="dxa" w:w="1944"/>
          </w:tcPr>
          <w:p>
            <w:pPr>
              <w:spacing w:after="20"/>
              <w:jc w:val="right"/>
            </w:pPr>
            <w:r>
              <w:rPr>
                <w:color w:val="1C3A36"/>
                <w:sz w:val="17"/>
              </w:rPr>
              <w:t>3.14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62.18 – 74.61</w:t>
            </w:r>
          </w:p>
        </w:tc>
        <w:tc>
          <w:tcPr>
            <w:tcW w:type="dxa" w:w="1944"/>
          </w:tcPr>
          <w:p>
            <w:pPr>
              <w:spacing w:after="20"/>
              <w:jc w:val="right"/>
            </w:pPr>
            <w:r>
              <w:rPr>
                <w:color w:val="1C3A36"/>
                <w:sz w:val="17"/>
              </w:rPr>
              <w:t>12.43</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65.68 – 78.60</w:t>
            </w:r>
          </w:p>
        </w:tc>
        <w:tc>
          <w:tcPr>
            <w:tcW w:type="dxa" w:w="1944"/>
          </w:tcPr>
          <w:p>
            <w:pPr>
              <w:spacing w:after="20"/>
              <w:jc w:val="right"/>
            </w:pPr>
            <w:r>
              <w:rPr>
                <w:color w:val="1C3A36"/>
                <w:sz w:val="17"/>
              </w:rPr>
              <w:t>12.93</w:t>
            </w:r>
          </w:p>
        </w:tc>
      </w:tr>
    </w:tbl>
    <w:p>
      <w:pPr>
        <w:spacing w:after="40"/>
      </w:pPr>
    </w:p>
    <w:p>
      <w:pPr>
        <w:spacing w:after="200" w:before="0"/>
      </w:pPr>
      <w:r>
        <w:rPr>
          <w:b w:val="0"/>
          <w:i/>
          <w:color w:val="6E7B77"/>
          <w:sz w:val="17"/>
        </w:rPr>
        <w:t>Ranked by swing, the exchange-rate path and the terminal assumptions dominate every operating driver. That is the honest shape of this valuation: it is a bet on the cost of capital and the currency far more than on the company's execution.</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20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80.00;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80.00 central, -24%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70.99, -33%</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134.40, +28%</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108.89, +4%</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verdict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134.40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more than 70% of revenue is hard-currency linked, so the translated result moves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80.00</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25.9%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134.40.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16,223mn from the equity value — roughly 7.58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78.2% and the free float is 20.4%.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319,084</w:t>
            </w:r>
          </w:p>
        </w:tc>
        <w:tc>
          <w:tcPr>
            <w:tcW w:type="dxa" w:w="950"/>
          </w:tcPr>
          <w:p>
            <w:pPr>
              <w:spacing w:after="20"/>
              <w:jc w:val="right"/>
            </w:pPr>
            <w:r>
              <w:rPr>
                <w:color w:val="1C3A36"/>
                <w:sz w:val="15"/>
              </w:rPr>
              <w:t>362,621</w:t>
            </w:r>
          </w:p>
        </w:tc>
        <w:tc>
          <w:tcPr>
            <w:tcW w:type="dxa" w:w="950"/>
          </w:tcPr>
          <w:p>
            <w:pPr>
              <w:spacing w:after="20"/>
              <w:jc w:val="right"/>
            </w:pPr>
            <w:r>
              <w:rPr>
                <w:color w:val="1C3A36"/>
                <w:sz w:val="15"/>
              </w:rPr>
              <w:t>408,916</w:t>
            </w:r>
          </w:p>
        </w:tc>
        <w:tc>
          <w:tcPr>
            <w:tcW w:type="dxa" w:w="950"/>
          </w:tcPr>
          <w:p>
            <w:pPr>
              <w:spacing w:after="20"/>
              <w:jc w:val="right"/>
            </w:pPr>
            <w:r>
              <w:rPr>
                <w:color w:val="1C3A36"/>
                <w:sz w:val="15"/>
              </w:rPr>
              <w:t>455,747</w:t>
            </w:r>
          </w:p>
        </w:tc>
        <w:tc>
          <w:tcPr>
            <w:tcW w:type="dxa" w:w="950"/>
          </w:tcPr>
          <w:p>
            <w:pPr>
              <w:spacing w:after="20"/>
              <w:jc w:val="right"/>
            </w:pPr>
            <w:r>
              <w:rPr>
                <w:color w:val="1C3A36"/>
                <w:sz w:val="15"/>
              </w:rPr>
              <w:t>505,542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30,915</w:t>
            </w:r>
          </w:p>
        </w:tc>
        <w:tc>
          <w:tcPr>
            <w:tcW w:type="dxa" w:w="950"/>
            <w:shd w:val="clear" w:color="auto" w:fill="F6F1E6"/>
          </w:tcPr>
          <w:p>
            <w:pPr>
              <w:spacing w:after="20"/>
              <w:jc w:val="right"/>
            </w:pPr>
            <w:r>
              <w:rPr>
                <w:b/>
                <w:color w:val="1C3A36"/>
                <w:sz w:val="15"/>
              </w:rPr>
              <w:t>35,820</w:t>
            </w:r>
          </w:p>
        </w:tc>
        <w:tc>
          <w:tcPr>
            <w:tcW w:type="dxa" w:w="950"/>
            <w:shd w:val="clear" w:color="auto" w:fill="F6F1E6"/>
          </w:tcPr>
          <w:p>
            <w:pPr>
              <w:spacing w:after="20"/>
              <w:jc w:val="right"/>
            </w:pPr>
            <w:r>
              <w:rPr>
                <w:b/>
                <w:color w:val="1C3A36"/>
                <w:sz w:val="15"/>
              </w:rPr>
              <w:t>41,592</w:t>
            </w:r>
          </w:p>
        </w:tc>
        <w:tc>
          <w:tcPr>
            <w:tcW w:type="dxa" w:w="950"/>
            <w:shd w:val="clear" w:color="auto" w:fill="F6F1E6"/>
          </w:tcPr>
          <w:p>
            <w:pPr>
              <w:spacing w:after="20"/>
              <w:jc w:val="right"/>
            </w:pPr>
            <w:r>
              <w:rPr>
                <w:b/>
                <w:color w:val="1C3A36"/>
                <w:sz w:val="15"/>
              </w:rPr>
              <w:t>48,219</w:t>
            </w:r>
          </w:p>
        </w:tc>
        <w:tc>
          <w:tcPr>
            <w:tcW w:type="dxa" w:w="950"/>
            <w:shd w:val="clear" w:color="auto" w:fill="F6F1E6"/>
          </w:tcPr>
          <w:p>
            <w:pPr>
              <w:spacing w:after="20"/>
              <w:jc w:val="right"/>
            </w:pPr>
            <w:r>
              <w:rPr>
                <w:b/>
                <w:color w:val="1C3A36"/>
                <w:sz w:val="15"/>
              </w:rPr>
              <w:t>55,191</w:t>
            </w:r>
          </w:p>
        </w:tc>
        <w:tc>
          <w:tcPr>
            <w:tcW w:type="dxa" w:w="950"/>
            <w:shd w:val="clear" w:color="auto" w:fill="F6F1E6"/>
          </w:tcPr>
          <w:p>
            <w:pPr>
              <w:spacing w:after="20"/>
              <w:jc w:val="right"/>
            </w:pPr>
            <w:r>
              <w:rPr>
                <w:b/>
                <w:color w:val="1C3A36"/>
                <w:sz w:val="15"/>
              </w:rPr>
              <w:t>62,535</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11.5%</w:t>
            </w:r>
          </w:p>
        </w:tc>
        <w:tc>
          <w:tcPr>
            <w:tcW w:type="dxa" w:w="950"/>
          </w:tcPr>
          <w:p>
            <w:pPr>
              <w:spacing w:after="20"/>
              <w:jc w:val="right"/>
            </w:pPr>
            <w:r>
              <w:rPr>
                <w:color w:val="1C3A36"/>
                <w:sz w:val="15"/>
              </w:rPr>
              <w:t>11.8%</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12.4%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(3,350)</w:t>
            </w:r>
          </w:p>
        </w:tc>
        <w:tc>
          <w:tcPr>
            <w:tcW w:type="dxa" w:w="950"/>
          </w:tcPr>
          <w:p>
            <w:pPr>
              <w:spacing w:after="20"/>
              <w:jc w:val="right"/>
            </w:pPr>
            <w:r>
              <w:rPr>
                <w:color w:val="1C3A36"/>
                <w:sz w:val="15"/>
              </w:rPr>
              <w:t>(3,808)</w:t>
            </w:r>
          </w:p>
        </w:tc>
        <w:tc>
          <w:tcPr>
            <w:tcW w:type="dxa" w:w="950"/>
          </w:tcPr>
          <w:p>
            <w:pPr>
              <w:spacing w:after="20"/>
              <w:jc w:val="right"/>
            </w:pPr>
            <w:r>
              <w:rPr>
                <w:color w:val="1C3A36"/>
                <w:sz w:val="15"/>
              </w:rPr>
              <w:t>(4,294)</w:t>
            </w:r>
          </w:p>
        </w:tc>
        <w:tc>
          <w:tcPr>
            <w:tcW w:type="dxa" w:w="950"/>
          </w:tcPr>
          <w:p>
            <w:pPr>
              <w:spacing w:after="20"/>
              <w:jc w:val="right"/>
            </w:pPr>
            <w:r>
              <w:rPr>
                <w:color w:val="1C3A36"/>
                <w:sz w:val="15"/>
              </w:rPr>
              <w:t>(4,785)</w:t>
            </w:r>
          </w:p>
        </w:tc>
        <w:tc>
          <w:tcPr>
            <w:tcW w:type="dxa" w:w="950"/>
          </w:tcPr>
          <w:p>
            <w:pPr>
              <w:spacing w:after="20"/>
              <w:jc w:val="right"/>
            </w:pPr>
            <w:r>
              <w:rPr>
                <w:color w:val="1C3A36"/>
                <w:sz w:val="15"/>
              </w:rPr>
              <w:t>(5,308)</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27,964</w:t>
            </w:r>
          </w:p>
        </w:tc>
        <w:tc>
          <w:tcPr>
            <w:tcW w:type="dxa" w:w="950"/>
            <w:shd w:val="clear" w:color="auto" w:fill="F6F1E6"/>
          </w:tcPr>
          <w:p>
            <w:pPr>
              <w:spacing w:after="20"/>
              <w:jc w:val="right"/>
            </w:pPr>
            <w:r>
              <w:rPr>
                <w:b/>
                <w:color w:val="1C3A36"/>
                <w:sz w:val="15"/>
              </w:rPr>
              <w:t>32,470</w:t>
            </w:r>
          </w:p>
        </w:tc>
        <w:tc>
          <w:tcPr>
            <w:tcW w:type="dxa" w:w="950"/>
            <w:shd w:val="clear" w:color="auto" w:fill="F6F1E6"/>
          </w:tcPr>
          <w:p>
            <w:pPr>
              <w:spacing w:after="20"/>
              <w:jc w:val="right"/>
            </w:pPr>
            <w:r>
              <w:rPr>
                <w:b/>
                <w:color w:val="1C3A36"/>
                <w:sz w:val="15"/>
              </w:rPr>
              <w:t>37,784</w:t>
            </w:r>
          </w:p>
        </w:tc>
        <w:tc>
          <w:tcPr>
            <w:tcW w:type="dxa" w:w="950"/>
            <w:shd w:val="clear" w:color="auto" w:fill="F6F1E6"/>
          </w:tcPr>
          <w:p>
            <w:pPr>
              <w:spacing w:after="20"/>
              <w:jc w:val="right"/>
            </w:pPr>
            <w:r>
              <w:rPr>
                <w:b/>
                <w:color w:val="1C3A36"/>
                <w:sz w:val="15"/>
              </w:rPr>
              <w:t>43,925</w:t>
            </w:r>
          </w:p>
        </w:tc>
        <w:tc>
          <w:tcPr>
            <w:tcW w:type="dxa" w:w="950"/>
            <w:shd w:val="clear" w:color="auto" w:fill="F6F1E6"/>
          </w:tcPr>
          <w:p>
            <w:pPr>
              <w:spacing w:after="20"/>
              <w:jc w:val="right"/>
            </w:pPr>
            <w:r>
              <w:rPr>
                <w:b/>
                <w:color w:val="1C3A36"/>
                <w:sz w:val="15"/>
              </w:rPr>
              <w:t>50,406</w:t>
            </w:r>
          </w:p>
        </w:tc>
        <w:tc>
          <w:tcPr>
            <w:tcW w:type="dxa" w:w="950"/>
            <w:shd w:val="clear" w:color="auto" w:fill="F6F1E6"/>
          </w:tcPr>
          <w:p>
            <w:pPr>
              <w:spacing w:after="20"/>
              <w:jc w:val="right"/>
            </w:pPr>
            <w:r>
              <w:rPr>
                <w:b/>
                <w:color w:val="1C3A36"/>
                <w:sz w:val="15"/>
              </w:rPr>
              <w:t>57,227</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25,867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(6,687)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20,160</w:t>
            </w:r>
          </w:p>
        </w:tc>
        <w:tc>
          <w:tcPr>
            <w:tcW w:type="dxa" w:w="950"/>
            <w:shd w:val="clear" w:color="auto" w:fill="F6F1E6"/>
          </w:tcPr>
          <w:p>
            <w:pPr>
              <w:spacing w:after="20"/>
              <w:jc w:val="right"/>
            </w:pPr>
            <w:r>
              <w:rPr>
                <w:b/>
                <w:color w:val="1C3A36"/>
                <w:sz w:val="15"/>
              </w:rPr>
              <w:t>24,225</w:t>
            </w:r>
          </w:p>
        </w:tc>
        <w:tc>
          <w:tcPr>
            <w:tcW w:type="dxa" w:w="950"/>
            <w:shd w:val="clear" w:color="auto" w:fill="F6F1E6"/>
          </w:tcPr>
          <w:p>
            <w:pPr>
              <w:spacing w:after="20"/>
              <w:jc w:val="right"/>
            </w:pPr>
            <w:r>
              <w:rPr>
                <w:b/>
                <w:color w:val="1C3A36"/>
                <w:sz w:val="15"/>
              </w:rPr>
              <w:t>28,809</w:t>
            </w:r>
          </w:p>
        </w:tc>
        <w:tc>
          <w:tcPr>
            <w:tcW w:type="dxa" w:w="950"/>
            <w:shd w:val="clear" w:color="auto" w:fill="F6F1E6"/>
          </w:tcPr>
          <w:p>
            <w:pPr>
              <w:spacing w:after="20"/>
              <w:jc w:val="right"/>
            </w:pPr>
            <w:r>
              <w:rPr>
                <w:b/>
                <w:color w:val="1C3A36"/>
                <w:sz w:val="15"/>
              </w:rPr>
              <w:t>33,532</w:t>
            </w:r>
          </w:p>
        </w:tc>
        <w:tc>
          <w:tcPr>
            <w:tcW w:type="dxa" w:w="950"/>
            <w:shd w:val="clear" w:color="auto" w:fill="F6F1E6"/>
          </w:tcPr>
          <w:p>
            <w:pPr>
              <w:spacing w:after="20"/>
              <w:jc w:val="right"/>
            </w:pPr>
            <w:r>
              <w:rPr>
                <w:b/>
                <w:color w:val="1C3A36"/>
                <w:sz w:val="15"/>
              </w:rPr>
              <w:t>38,445</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9.42</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13.46</w:t>
            </w:r>
          </w:p>
        </w:tc>
        <w:tc>
          <w:tcPr>
            <w:tcW w:type="dxa" w:w="950"/>
          </w:tcPr>
          <w:p>
            <w:pPr>
              <w:spacing w:after="20"/>
              <w:jc w:val="right"/>
            </w:pPr>
            <w:r>
              <w:rPr>
                <w:color w:val="1C3A36"/>
                <w:sz w:val="15"/>
              </w:rPr>
              <w:t>15.66</w:t>
            </w:r>
          </w:p>
        </w:tc>
        <w:tc>
          <w:tcPr>
            <w:tcW w:type="dxa" w:w="950"/>
          </w:tcPr>
          <w:p>
            <w:pPr>
              <w:spacing w:after="20"/>
              <w:jc w:val="right"/>
            </w:pPr>
            <w:r>
              <w:rPr>
                <w:color w:val="1C3A36"/>
                <w:sz w:val="15"/>
              </w:rPr>
              <w:t>17.96</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0.64×</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73,389</w:t>
            </w:r>
          </w:p>
        </w:tc>
        <w:tc>
          <w:tcPr>
            <w:tcW w:type="dxa" w:w="1426"/>
          </w:tcPr>
          <w:p>
            <w:pPr>
              <w:spacing w:after="20"/>
              <w:jc w:val="right"/>
            </w:pPr>
            <w:r>
              <w:rPr>
                <w:color w:val="1C3A36"/>
                <w:sz w:val="16"/>
              </w:rPr>
              <w:t>83,403</w:t>
            </w:r>
          </w:p>
        </w:tc>
        <w:tc>
          <w:tcPr>
            <w:tcW w:type="dxa" w:w="1426"/>
          </w:tcPr>
          <w:p>
            <w:pPr>
              <w:spacing w:after="20"/>
              <w:jc w:val="right"/>
            </w:pPr>
            <w:r>
              <w:rPr>
                <w:color w:val="1C3A36"/>
                <w:sz w:val="16"/>
              </w:rPr>
              <w:t>94,051</w:t>
            </w:r>
          </w:p>
        </w:tc>
        <w:tc>
          <w:tcPr>
            <w:tcW w:type="dxa" w:w="1426"/>
          </w:tcPr>
          <w:p>
            <w:pPr>
              <w:spacing w:after="20"/>
              <w:jc w:val="right"/>
            </w:pPr>
            <w:r>
              <w:rPr>
                <w:color w:val="1C3A36"/>
                <w:sz w:val="16"/>
              </w:rPr>
              <w:t>104,822</w:t>
            </w:r>
          </w:p>
        </w:tc>
        <w:tc>
          <w:tcPr>
            <w:tcW w:type="dxa" w:w="1426"/>
          </w:tcPr>
          <w:p>
            <w:pPr>
              <w:spacing w:after="20"/>
              <w:jc w:val="right"/>
            </w:pPr>
            <w:r>
              <w:rPr>
                <w:color w:val="1C3A36"/>
                <w:sz w:val="16"/>
              </w:rPr>
              <w:t>116,275</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39,246</w:t>
            </w:r>
          </w:p>
        </w:tc>
        <w:tc>
          <w:tcPr>
            <w:tcW w:type="dxa" w:w="1426"/>
          </w:tcPr>
          <w:p>
            <w:pPr>
              <w:spacing w:after="20"/>
              <w:jc w:val="right"/>
            </w:pPr>
            <w:r>
              <w:rPr>
                <w:color w:val="1C3A36"/>
                <w:sz w:val="16"/>
              </w:rPr>
              <w:t>45,955</w:t>
            </w:r>
          </w:p>
        </w:tc>
        <w:tc>
          <w:tcPr>
            <w:tcW w:type="dxa" w:w="1426"/>
          </w:tcPr>
          <w:p>
            <w:pPr>
              <w:spacing w:after="20"/>
              <w:jc w:val="right"/>
            </w:pPr>
            <w:r>
              <w:rPr>
                <w:color w:val="1C3A36"/>
                <w:sz w:val="16"/>
              </w:rPr>
              <w:t>53,111</w:t>
            </w:r>
          </w:p>
        </w:tc>
        <w:tc>
          <w:tcPr>
            <w:tcW w:type="dxa" w:w="1426"/>
          </w:tcPr>
          <w:p>
            <w:pPr>
              <w:spacing w:after="20"/>
              <w:jc w:val="right"/>
            </w:pPr>
            <w:r>
              <w:rPr>
                <w:color w:val="1C3A36"/>
                <w:sz w:val="16"/>
              </w:rPr>
              <w:t>60,175</w:t>
            </w:r>
          </w:p>
        </w:tc>
        <w:tc>
          <w:tcPr>
            <w:tcW w:type="dxa" w:w="1426"/>
          </w:tcPr>
          <w:p>
            <w:pPr>
              <w:spacing w:after="20"/>
              <w:jc w:val="right"/>
            </w:pPr>
            <w:r>
              <w:rPr>
                <w:color w:val="1C3A36"/>
                <w:sz w:val="16"/>
              </w:rPr>
              <w:t>67,000</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114,095</w:t>
            </w:r>
          </w:p>
        </w:tc>
        <w:tc>
          <w:tcPr>
            <w:tcW w:type="dxa" w:w="1426"/>
          </w:tcPr>
          <w:p>
            <w:pPr>
              <w:spacing w:after="20"/>
              <w:jc w:val="right"/>
            </w:pPr>
            <w:r>
              <w:rPr>
                <w:color w:val="1C3A36"/>
                <w:sz w:val="16"/>
              </w:rPr>
              <w:t>130,817</w:t>
            </w:r>
          </w:p>
        </w:tc>
        <w:tc>
          <w:tcPr>
            <w:tcW w:type="dxa" w:w="1426"/>
          </w:tcPr>
          <w:p>
            <w:pPr>
              <w:spacing w:after="20"/>
              <w:jc w:val="right"/>
            </w:pPr>
            <w:r>
              <w:rPr>
                <w:color w:val="1C3A36"/>
                <w:sz w:val="16"/>
              </w:rPr>
              <w:t>148,621</w:t>
            </w:r>
          </w:p>
        </w:tc>
        <w:tc>
          <w:tcPr>
            <w:tcW w:type="dxa" w:w="1426"/>
          </w:tcPr>
          <w:p>
            <w:pPr>
              <w:spacing w:after="20"/>
              <w:jc w:val="right"/>
            </w:pPr>
            <w:r>
              <w:rPr>
                <w:color w:val="1C3A36"/>
                <w:sz w:val="16"/>
              </w:rPr>
              <w:t>166,456</w:t>
            </w:r>
          </w:p>
        </w:tc>
        <w:tc>
          <w:tcPr>
            <w:tcW w:type="dxa" w:w="1426"/>
          </w:tcPr>
          <w:p>
            <w:pPr>
              <w:spacing w:after="20"/>
              <w:jc w:val="right"/>
            </w:pPr>
            <w:r>
              <w:rPr>
                <w:color w:val="1C3A36"/>
                <w:sz w:val="16"/>
              </w:rPr>
              <w:t>184,734</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21.7%</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22.7%</w:t>
            </w:r>
          </w:p>
        </w:tc>
        <w:tc>
          <w:tcPr>
            <w:tcW w:type="dxa" w:w="1426"/>
          </w:tcPr>
          <w:p>
            <w:pPr>
              <w:spacing w:after="20"/>
              <w:jc w:val="right"/>
            </w:pPr>
            <w:r>
              <w:rPr>
                <w:color w:val="1C3A36"/>
                <w:sz w:val="16"/>
              </w:rPr>
              <w:t>23.2%</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(9,573)</w:t>
            </w:r>
          </w:p>
        </w:tc>
        <w:tc>
          <w:tcPr>
            <w:tcW w:type="dxa" w:w="1426"/>
          </w:tcPr>
          <w:p>
            <w:pPr>
              <w:spacing w:after="20"/>
              <w:jc w:val="right"/>
            </w:pPr>
            <w:r>
              <w:rPr>
                <w:color w:val="1C3A36"/>
                <w:sz w:val="16"/>
              </w:rPr>
              <w:t>(10,516)</w:t>
            </w:r>
          </w:p>
        </w:tc>
        <w:tc>
          <w:tcPr>
            <w:tcW w:type="dxa" w:w="1426"/>
          </w:tcPr>
          <w:p>
            <w:pPr>
              <w:spacing w:after="20"/>
              <w:jc w:val="right"/>
            </w:pPr>
            <w:r>
              <w:rPr>
                <w:color w:val="1C3A36"/>
                <w:sz w:val="16"/>
              </w:rPr>
              <w:t>(11,450)</w:t>
            </w:r>
          </w:p>
        </w:tc>
        <w:tc>
          <w:tcPr>
            <w:tcW w:type="dxa" w:w="1426"/>
          </w:tcPr>
          <w:p>
            <w:pPr>
              <w:spacing w:after="20"/>
              <w:jc w:val="right"/>
            </w:pPr>
            <w:r>
              <w:rPr>
                <w:color w:val="1C3A36"/>
                <w:sz w:val="16"/>
              </w:rPr>
              <w:t>(11,849)</w:t>
            </w:r>
          </w:p>
        </w:tc>
        <w:tc>
          <w:tcPr>
            <w:tcW w:type="dxa" w:w="1426"/>
          </w:tcPr>
          <w:p>
            <w:pPr>
              <w:spacing w:after="20"/>
              <w:jc w:val="right"/>
            </w:pPr>
            <w:r>
              <w:rPr>
                <w:color w:val="1C3A36"/>
                <w:sz w:val="16"/>
              </w:rPr>
              <w:t>(12,133)</w:t>
            </w:r>
          </w:p>
        </w:tc>
      </w:tr>
      <w:tr>
        <w:tc>
          <w:tcPr>
            <w:tcW w:type="dxa" w:w="2952"/>
          </w:tcPr>
          <w:p>
            <w:pPr>
              <w:spacing w:after="20"/>
            </w:pPr>
            <w:r>
              <w:rPr>
                <w:color w:val="1C3A36"/>
                <w:sz w:val="16"/>
              </w:rPr>
              <w:t>Change in working capital</w:t>
            </w:r>
          </w:p>
        </w:tc>
        <w:tc>
          <w:tcPr>
            <w:tcW w:type="dxa" w:w="1426"/>
          </w:tcPr>
          <w:p>
            <w:pPr>
              <w:spacing w:after="20"/>
              <w:jc w:val="right"/>
            </w:pPr>
            <w:r>
              <w:rPr>
                <w:color w:val="1C3A36"/>
                <w:sz w:val="16"/>
              </w:rPr>
              <w:t>(8,748)</w:t>
            </w:r>
          </w:p>
        </w:tc>
        <w:tc>
          <w:tcPr>
            <w:tcW w:type="dxa" w:w="1426"/>
          </w:tcPr>
          <w:p>
            <w:pPr>
              <w:spacing w:after="20"/>
              <w:jc w:val="right"/>
            </w:pPr>
            <w:r>
              <w:rPr>
                <w:color w:val="1C3A36"/>
                <w:sz w:val="16"/>
              </w:rPr>
              <w:t>(10,013)</w:t>
            </w:r>
          </w:p>
        </w:tc>
        <w:tc>
          <w:tcPr>
            <w:tcW w:type="dxa" w:w="1426"/>
          </w:tcPr>
          <w:p>
            <w:pPr>
              <w:spacing w:after="20"/>
              <w:jc w:val="right"/>
            </w:pPr>
            <w:r>
              <w:rPr>
                <w:color w:val="1C3A36"/>
                <w:sz w:val="16"/>
              </w:rPr>
              <w:t>(10,648)</w:t>
            </w:r>
          </w:p>
        </w:tc>
        <w:tc>
          <w:tcPr>
            <w:tcW w:type="dxa" w:w="1426"/>
          </w:tcPr>
          <w:p>
            <w:pPr>
              <w:spacing w:after="20"/>
              <w:jc w:val="right"/>
            </w:pPr>
            <w:r>
              <w:rPr>
                <w:color w:val="1C3A36"/>
                <w:sz w:val="16"/>
              </w:rPr>
              <w:t>(10,771)</w:t>
            </w:r>
          </w:p>
        </w:tc>
        <w:tc>
          <w:tcPr>
            <w:tcW w:type="dxa" w:w="1426"/>
          </w:tcPr>
          <w:p>
            <w:pPr>
              <w:spacing w:after="20"/>
              <w:jc w:val="right"/>
            </w:pPr>
            <w:r>
              <w:rPr>
                <w:color w:val="1C3A36"/>
                <w:sz w:val="16"/>
              </w:rPr>
              <w:t>(11,453)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9,382</w:t>
            </w:r>
          </w:p>
        </w:tc>
        <w:tc>
          <w:tcPr>
            <w:tcW w:type="dxa" w:w="1426"/>
            <w:shd w:val="clear" w:color="auto" w:fill="F6F1E6"/>
          </w:tcPr>
          <w:p>
            <w:pPr>
              <w:spacing w:after="20"/>
              <w:jc w:val="right"/>
            </w:pPr>
            <w:r>
              <w:rPr>
                <w:b/>
                <w:color w:val="1C3A36"/>
                <w:sz w:val="16"/>
              </w:rPr>
              <w:t>11,616</w:t>
            </w:r>
          </w:p>
        </w:tc>
        <w:tc>
          <w:tcPr>
            <w:tcW w:type="dxa" w:w="1426"/>
            <w:shd w:val="clear" w:color="auto" w:fill="F6F1E6"/>
          </w:tcPr>
          <w:p>
            <w:pPr>
              <w:spacing w:after="20"/>
              <w:jc w:val="right"/>
            </w:pPr>
            <w:r>
              <w:rPr>
                <w:b/>
                <w:color w:val="1C3A36"/>
                <w:sz w:val="16"/>
              </w:rPr>
              <w:t>15,140</w:t>
            </w:r>
          </w:p>
        </w:tc>
        <w:tc>
          <w:tcPr>
            <w:tcW w:type="dxa" w:w="1426"/>
            <w:shd w:val="clear" w:color="auto" w:fill="F6F1E6"/>
          </w:tcPr>
          <w:p>
            <w:pPr>
              <w:spacing w:after="20"/>
              <w:jc w:val="right"/>
            </w:pPr>
            <w:r>
              <w:rPr>
                <w:b/>
                <w:color w:val="1C3A36"/>
                <w:sz w:val="16"/>
              </w:rPr>
              <w:t>19,969</w:t>
            </w:r>
          </w:p>
        </w:tc>
        <w:tc>
          <w:tcPr>
            <w:tcW w:type="dxa" w:w="1426"/>
            <w:shd w:val="clear" w:color="auto" w:fill="F6F1E6"/>
          </w:tcPr>
          <w:p>
            <w:pPr>
              <w:spacing w:after="20"/>
              <w:jc w:val="right"/>
            </w:pPr>
            <w:r>
              <w:rPr>
                <w:b/>
                <w:color w:val="1C3A36"/>
                <w:sz w:val="16"/>
              </w:rPr>
              <w:t>24,643</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85,584</w:t>
            </w:r>
          </w:p>
        </w:tc>
        <w:tc>
          <w:tcPr>
            <w:tcW w:type="dxa" w:w="1426"/>
          </w:tcPr>
          <w:p>
            <w:pPr>
              <w:spacing w:after="20"/>
              <w:jc w:val="right"/>
            </w:pPr>
            <w:r>
              <w:rPr>
                <w:color w:val="1C3A36"/>
                <w:sz w:val="16"/>
              </w:rPr>
              <w:t>103,753</w:t>
            </w:r>
          </w:p>
        </w:tc>
        <w:tc>
          <w:tcPr>
            <w:tcW w:type="dxa" w:w="1426"/>
          </w:tcPr>
          <w:p>
            <w:pPr>
              <w:spacing w:after="20"/>
              <w:jc w:val="right"/>
            </w:pPr>
            <w:r>
              <w:rPr>
                <w:color w:val="1C3A36"/>
                <w:sz w:val="16"/>
              </w:rPr>
              <w:t>125,359</w:t>
            </w:r>
          </w:p>
        </w:tc>
        <w:tc>
          <w:tcPr>
            <w:tcW w:type="dxa" w:w="1426"/>
          </w:tcPr>
          <w:p>
            <w:pPr>
              <w:spacing w:after="20"/>
              <w:jc w:val="right"/>
            </w:pPr>
            <w:r>
              <w:rPr>
                <w:color w:val="1C3A36"/>
                <w:sz w:val="16"/>
              </w:rPr>
              <w:t>150,509</w:t>
            </w:r>
          </w:p>
        </w:tc>
        <w:tc>
          <w:tcPr>
            <w:tcW w:type="dxa" w:w="1426"/>
          </w:tcPr>
          <w:p>
            <w:pPr>
              <w:spacing w:after="20"/>
              <w:jc w:val="right"/>
            </w:pPr>
            <w:r>
              <w:rPr>
                <w:color w:val="1C3A36"/>
                <w:sz w:val="16"/>
              </w:rPr>
              <w:t>179,342</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18,542</w:t>
            </w:r>
          </w:p>
        </w:tc>
        <w:tc>
          <w:tcPr>
            <w:tcW w:type="dxa" w:w="1426"/>
          </w:tcPr>
          <w:p>
            <w:pPr>
              <w:spacing w:after="20"/>
              <w:jc w:val="right"/>
            </w:pPr>
            <w:r>
              <w:rPr>
                <w:color w:val="1C3A36"/>
                <w:sz w:val="16"/>
              </w:rPr>
              <w:t>15,648</w:t>
            </w:r>
          </w:p>
        </w:tc>
        <w:tc>
          <w:tcPr>
            <w:tcW w:type="dxa" w:w="1426"/>
          </w:tcPr>
          <w:p>
            <w:pPr>
              <w:spacing w:after="20"/>
              <w:jc w:val="right"/>
            </w:pPr>
            <w:r>
              <w:rPr>
                <w:color w:val="1C3A36"/>
                <w:sz w:val="16"/>
              </w:rPr>
              <w:t>10,001</w:t>
            </w:r>
          </w:p>
        </w:tc>
        <w:tc>
          <w:tcPr>
            <w:tcW w:type="dxa" w:w="1426"/>
          </w:tcPr>
          <w:p>
            <w:pPr>
              <w:spacing w:after="20"/>
              <w:jc w:val="right"/>
            </w:pPr>
            <w:r>
              <w:rPr>
                <w:color w:val="1C3A36"/>
                <w:sz w:val="16"/>
              </w:rPr>
              <w:t>436</w:t>
            </w:r>
          </w:p>
        </w:tc>
        <w:tc>
          <w:tcPr>
            <w:tcW w:type="dxa" w:w="1426"/>
          </w:tcPr>
          <w:p>
            <w:pPr>
              <w:spacing w:after="20"/>
              <w:jc w:val="right"/>
            </w:pPr>
            <w:r>
              <w:rPr>
                <w:color w:val="1C3A36"/>
                <w:sz w:val="16"/>
              </w:rPr>
              <w:t>-12,789</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17.31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38.87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3.14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40.43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12.43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20.4%;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408,916</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43,958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13.36</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126.93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93.53 – 160.33</w:t>
            </w:r>
          </w:p>
        </w:tc>
      </w:tr>
    </w:tbl>
    <w:p>
      <w:pPr>
        <w:spacing w:after="40"/>
      </w:pPr>
    </w:p>
    <w:p>
      <w:pPr>
        <w:spacing w:after="120" w:before="0"/>
      </w:pPr>
      <w:r>
        <w:rPr>
          <w:b w:val="0"/>
          <w:i w:val="0"/>
          <w:color w:val="1C3A36"/>
          <w:sz w:val="21"/>
        </w:rPr>
        <w:t>Named sensitivity: each one-turn change in the multiple is worth EGP 13.36 per share, and each percentage point of mid-cycle EBITDA margin is worth roughly EGP 0.97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19,917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(1,726)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16,170</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23.0%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44.10</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30.62 – 63.13</w:t>
            </w:r>
          </w:p>
        </w:tc>
      </w:tr>
    </w:tbl>
    <w:p>
      <w:pPr>
        <w:spacing w:after="40"/>
      </w:pPr>
    </w:p>
    <w:p>
      <w:pPr>
        <w:spacing w:after="120" w:before="0"/>
      </w:pPr>
      <w:r>
        <w:rPr>
          <w:b w:val="0"/>
          <w:i w:val="0"/>
          <w:color w:val="1C3A36"/>
          <w:sz w:val="21"/>
        </w:rPr>
        <w:t>This is the harshest of the three readings, at EGP 44.10,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6,205</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61,536</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166,865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65.22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52.48 – 134.40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21.7%</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22.7%</w:t>
            </w:r>
          </w:p>
        </w:tc>
        <w:tc>
          <w:tcPr>
            <w:tcW w:type="dxa" w:w="1426"/>
          </w:tcPr>
          <w:p>
            <w:pPr>
              <w:spacing w:after="20"/>
              <w:jc w:val="right"/>
            </w:pPr>
            <w:r>
              <w:rPr>
                <w:color w:val="1C3A36"/>
                <w:sz w:val="16"/>
              </w:rPr>
              <w:t>23.2%</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-5.6pp</w:t>
            </w:r>
          </w:p>
        </w:tc>
        <w:tc>
          <w:tcPr>
            <w:tcW w:type="dxa" w:w="1426"/>
          </w:tcPr>
          <w:p>
            <w:pPr>
              <w:spacing w:after="20"/>
              <w:jc w:val="right"/>
            </w:pPr>
            <w:r>
              <w:rPr>
                <w:color w:val="1C3A36"/>
                <w:sz w:val="16"/>
              </w:rPr>
              <w:t>-1.3pp</w:t>
            </w:r>
          </w:p>
        </w:tc>
        <w:tc>
          <w:tcPr>
            <w:tcW w:type="dxa" w:w="1426"/>
          </w:tcPr>
          <w:p>
            <w:pPr>
              <w:spacing w:after="20"/>
              <w:jc w:val="right"/>
            </w:pPr>
            <w:r>
              <w:rPr>
                <w:color w:val="1C3A36"/>
                <w:sz w:val="16"/>
              </w:rPr>
              <w:t>+2.6pp</w:t>
            </w:r>
          </w:p>
        </w:tc>
        <w:tc>
          <w:tcPr>
            <w:tcW w:type="dxa" w:w="1426"/>
          </w:tcPr>
          <w:p>
            <w:pPr>
              <w:spacing w:after="20"/>
              <w:jc w:val="right"/>
            </w:pPr>
            <w:r>
              <w:rPr>
                <w:color w:val="1C3A36"/>
                <w:sz w:val="16"/>
              </w:rPr>
              <w:t>+5.6pp</w:t>
            </w:r>
          </w:p>
        </w:tc>
        <w:tc>
          <w:tcPr>
            <w:tcW w:type="dxa" w:w="1426"/>
          </w:tcPr>
          <w:p>
            <w:pPr>
              <w:spacing w:after="20"/>
              <w:jc w:val="right"/>
            </w:pPr>
            <w:r>
              <w:rPr>
                <w:color w:val="1C3A36"/>
                <w:sz w:val="16"/>
              </w:rPr>
              <w:t>+8.1pp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-6,337</w:t>
            </w:r>
          </w:p>
        </w:tc>
        <w:tc>
          <w:tcPr>
            <w:tcW w:type="dxa" w:w="1426"/>
            <w:shd w:val="clear" w:color="auto" w:fill="F6F1E6"/>
          </w:tcPr>
          <w:p>
            <w:pPr>
              <w:spacing w:after="20"/>
              <w:jc w:val="right"/>
            </w:pPr>
            <w:r>
              <w:rPr>
                <w:b/>
                <w:color w:val="1C3A36"/>
                <w:sz w:val="16"/>
              </w:rPr>
              <w:t>-1,722</w:t>
            </w:r>
          </w:p>
        </w:tc>
        <w:tc>
          <w:tcPr>
            <w:tcW w:type="dxa" w:w="1426"/>
            <w:shd w:val="clear" w:color="auto" w:fill="F6F1E6"/>
          </w:tcPr>
          <w:p>
            <w:pPr>
              <w:spacing w:after="20"/>
              <w:jc w:val="right"/>
            </w:pPr>
            <w:r>
              <w:rPr>
                <w:b/>
                <w:color w:val="1C3A36"/>
                <w:sz w:val="16"/>
              </w:rPr>
              <w:t>3,889</w:t>
            </w:r>
          </w:p>
        </w:tc>
        <w:tc>
          <w:tcPr>
            <w:tcW w:type="dxa" w:w="1426"/>
            <w:shd w:val="clear" w:color="auto" w:fill="F6F1E6"/>
          </w:tcPr>
          <w:p>
            <w:pPr>
              <w:spacing w:after="20"/>
              <w:jc w:val="right"/>
            </w:pPr>
            <w:r>
              <w:rPr>
                <w:b/>
                <w:color w:val="1C3A36"/>
                <w:sz w:val="16"/>
              </w:rPr>
              <w:t>9,339</w:t>
            </w:r>
          </w:p>
        </w:tc>
        <w:tc>
          <w:tcPr>
            <w:tcW w:type="dxa" w:w="1426"/>
            <w:shd w:val="clear" w:color="auto" w:fill="F6F1E6"/>
          </w:tcPr>
          <w:p>
            <w:pPr>
              <w:spacing w:after="20"/>
              <w:jc w:val="right"/>
            </w:pPr>
            <w:r>
              <w:rPr>
                <w:b/>
                <w:color w:val="1C3A36"/>
                <w:sz w:val="16"/>
              </w:rPr>
              <w:t>14,950</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21%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65.22; the vertical line is the market price of 105.20.</w:t>
      </w:r>
    </w:p>
    <w:p>
      <w:pPr>
        <w:spacing w:after="120" w:before="0"/>
      </w:pPr>
      <w:r>
        <w:rPr>
          <w:b w:val="0"/>
          <w:i w:val="0"/>
          <w:color w:val="1C3A36"/>
          <w:sz w:val="21"/>
        </w:rPr>
        <w:t>The panel spans EGP 44.10 to 126.93 — a factor of 2.9 between the most and least generous reading. That is a wide disagreement and it is not noise. Expert 1 values earnings and finds the company reasonably priced. Expert 2 values cash and finds it expensive by a wide margin. Expert 3 values the spread between returns and the cost of capital and finds that the answer depends entirely on which cost of capital applies. The panel median of 65.22 sits -38% against the market price and close to the study's own weighted central of 80.00.</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23.0%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