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w:t>
            </w:r>
            <w:r>
              <w:rPr>
                <w:color w:val="9FB0AC"/>
                <w:sz w:val="19"/>
              </w:rPr>
              <w:t xml:space="preserve">   Educational analysis · not investment advice</w:t>
            </w:r>
          </w:p>
        </w:tc>
      </w:tr>
    </w:tbl>
    <w:p>
      <w:pPr>
        <w:spacing w:after="0"/>
      </w:pPr>
    </w:p>
    <w:p>
      <w:pPr>
        <w:spacing w:after="120" w:before="0"/>
      </w:pPr>
      <w:r>
        <w:rPr>
          <w:b/>
          <w:i w:val="0"/>
          <w:color w:val="1C3A36"/>
          <w:sz w:val="28"/>
        </w:rPr>
        <w:t>Bibliography and input register</w:t>
      </w:r>
    </w:p>
    <w:p>
      <w:pPr>
        <w:spacing w:after="120" w:before="0"/>
      </w:pPr>
      <w:r>
        <w:rPr>
          <w:b w:val="0"/>
          <w:i/>
          <w:color w:val="6E7B77"/>
          <w:sz w:val="22"/>
        </w:rPr>
        <w:t>Abu Dhabi Islamic Bank – Egypt S.A.E. (EGX: ADIB) — valuation study of 9 September 2026</w:t>
      </w:r>
    </w:p>
    <w:p>
      <w:pPr>
        <w:spacing w:after="120" w:before="0"/>
      </w:pPr>
      <w:r>
        <w:rPr>
          <w:b w:val="0"/>
          <w:i w:val="0"/>
          <w:color w:val="1C3A36"/>
          <w:sz w:val="21"/>
        </w:rPr>
        <w:t>This document stands alone. Every figure in the study can be traced from here to the document it came from, the date that document carries, and how good a source it is. Where a figure could not be sourced, this document says so rather than leaving the gap to be inferred.</w:t>
      </w:r>
    </w:p>
    <w:p>
      <w:pPr>
        <w:spacing w:after="120" w:before="280"/>
      </w:pPr>
      <w:r>
        <w:rPr>
          <w:b/>
          <w:i w:val="0"/>
          <w:color w:val="1C3A36"/>
          <w:sz w:val="30"/>
        </w:rPr>
        <w:t>1  Primary documents</w:t>
      </w:r>
    </w:p>
    <w:p>
      <w:pPr>
        <w:spacing w:after="120" w:before="0"/>
      </w:pPr>
      <w:r>
        <w:rPr>
          <w:b w:val="0"/>
          <w:i w:val="0"/>
          <w:color w:val="1C3A36"/>
          <w:sz w:val="21"/>
        </w:rPr>
        <w:t>Sixteen consolidated fiscal years plus two interim periods, all from the bank's own investor-relations archive at adib.eg. EVERY ONE OF THESE WAS PARSED AND CHECKED TO ADD UP; a statement that does not foot against its own arithmetic did not enter this study.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224"/>
        <w:gridCol w:w="4464"/>
        <w:gridCol w:w="1440"/>
        <w:gridCol w:w="720"/>
        <w:gridCol w:w="2232"/>
      </w:tblGrid>
      <w:tr>
        <w:tc>
          <w:tcPr>
            <w:tcW w:type="dxa" w:w="1224"/>
            <w:shd w:val="clear" w:color="auto" w:fill="EAF0EE"/>
          </w:tcPr>
          <w:p>
            <w:pPr>
              <w:spacing w:after="20"/>
            </w:pPr>
            <w:r>
              <w:rPr>
                <w:b/>
                <w:color w:val="1C3A36"/>
                <w:sz w:val="14"/>
              </w:rPr>
              <w:t>Period</w:t>
            </w:r>
          </w:p>
        </w:tc>
        <w:tc>
          <w:tcPr>
            <w:tcW w:type="dxa" w:w="4464"/>
            <w:shd w:val="clear" w:color="auto" w:fill="EAF0EE"/>
          </w:tcPr>
          <w:p>
            <w:pPr>
              <w:spacing w:after="20"/>
            </w:pPr>
            <w:r>
              <w:rPr>
                <w:b/>
                <w:color w:val="1C3A36"/>
                <w:sz w:val="14"/>
              </w:rPr>
              <w:t>Document</w:t>
            </w:r>
          </w:p>
        </w:tc>
        <w:tc>
          <w:tcPr>
            <w:tcW w:type="dxa" w:w="1440"/>
            <w:shd w:val="clear" w:color="auto" w:fill="EAF0EE"/>
          </w:tcPr>
          <w:p>
            <w:pPr>
              <w:spacing w:after="20"/>
            </w:pPr>
            <w:r>
              <w:rPr>
                <w:b/>
                <w:color w:val="1C3A36"/>
                <w:sz w:val="14"/>
              </w:rPr>
              <w:t>Document date</w:t>
            </w:r>
          </w:p>
        </w:tc>
        <w:tc>
          <w:tcPr>
            <w:tcW w:type="dxa" w:w="720"/>
            <w:shd w:val="clear" w:color="auto" w:fill="EAF0EE"/>
          </w:tcPr>
          <w:p>
            <w:pPr>
              <w:spacing w:after="20"/>
            </w:pPr>
            <w:r>
              <w:rPr>
                <w:b/>
                <w:color w:val="1C3A36"/>
                <w:sz w:val="14"/>
              </w:rPr>
              <w:t>Tier</w:t>
            </w:r>
          </w:p>
        </w:tc>
        <w:tc>
          <w:tcPr>
            <w:tcW w:type="dxa" w:w="2232"/>
            <w:shd w:val="clear" w:color="auto" w:fill="EAF0EE"/>
          </w:tcPr>
          <w:p>
            <w:pPr>
              <w:spacing w:after="20"/>
            </w:pPr>
            <w:r>
              <w:rPr>
                <w:b/>
                <w:color w:val="1C3A36"/>
                <w:sz w:val="14"/>
              </w:rPr>
              <w:t>How it was read</w:t>
            </w:r>
          </w:p>
        </w:tc>
      </w:tr>
      <w:tr>
        <w:tc>
          <w:tcPr>
            <w:tcW w:type="dxa" w:w="1224"/>
          </w:tcPr>
          <w:p>
            <w:pPr>
              <w:spacing w:after="20"/>
            </w:pPr>
            <w:r>
              <w:rPr>
                <w:color w:val="1C3A36"/>
                <w:sz w:val="14"/>
              </w:rPr>
              <w:t>FY2010</w:t>
            </w:r>
          </w:p>
        </w:tc>
        <w:tc>
          <w:tcPr>
            <w:tcW w:type="dxa" w:w="4464"/>
          </w:tcPr>
          <w:p>
            <w:pPr>
              <w:spacing w:after="20"/>
              <w:jc w:val="right"/>
            </w:pPr>
            <w:r>
              <w:rPr>
                <w:color w:val="1C3A36"/>
                <w:sz w:val="14"/>
              </w:rPr>
              <w:t>Consolidated financial statements and the audit report thereon, year ended 31 Dec 2010 (National Bank For Deve</w:t>
            </w:r>
          </w:p>
        </w:tc>
        <w:tc>
          <w:tcPr>
            <w:tcW w:type="dxa" w:w="1440"/>
          </w:tcPr>
          <w:p>
            <w:pPr>
              <w:spacing w:after="20"/>
              <w:jc w:val="right"/>
            </w:pPr>
            <w:r>
              <w:rPr>
                <w:color w:val="1C3A36"/>
                <w:sz w:val="14"/>
              </w:rPr>
              <w:t>2011</w:t>
            </w:r>
          </w:p>
        </w:tc>
        <w:tc>
          <w:tcPr>
            <w:tcW w:type="dxa" w:w="720"/>
          </w:tcPr>
          <w:p>
            <w:pPr>
              <w:spacing w:after="20"/>
              <w:jc w:val="right"/>
            </w:pPr>
            <w:r>
              <w:rPr>
                <w:color w:val="1C3A36"/>
                <w:sz w:val="14"/>
              </w:rPr>
              <w:t>A</w:t>
            </w:r>
          </w:p>
        </w:tc>
        <w:tc>
          <w:tcPr>
            <w:tcW w:type="dxa" w:w="2232"/>
          </w:tcPr>
          <w:p>
            <w:pPr>
              <w:spacing w:after="20"/>
              <w:jc w:val="right"/>
            </w:pPr>
            <w:r>
              <w:rPr>
                <w:color w:val="1C3A36"/>
                <w:sz w:val="14"/>
              </w:rPr>
              <w:t>text</w:t>
            </w:r>
          </w:p>
        </w:tc>
      </w:tr>
      <w:tr>
        <w:tc>
          <w:tcPr>
            <w:tcW w:type="dxa" w:w="1224"/>
          </w:tcPr>
          <w:p>
            <w:pPr>
              <w:spacing w:after="20"/>
            </w:pPr>
            <w:r>
              <w:rPr>
                <w:color w:val="1C3A36"/>
                <w:sz w:val="14"/>
              </w:rPr>
              <w:t>FY2011</w:t>
            </w:r>
          </w:p>
        </w:tc>
        <w:tc>
          <w:tcPr>
            <w:tcW w:type="dxa" w:w="4464"/>
          </w:tcPr>
          <w:p>
            <w:pPr>
              <w:spacing w:after="20"/>
              <w:jc w:val="right"/>
            </w:pPr>
            <w:r>
              <w:rPr>
                <w:color w:val="1C3A36"/>
                <w:sz w:val="14"/>
              </w:rPr>
              <w:t>Consolidated financial statements, year ended 31 Dec 2011</w:t>
            </w:r>
          </w:p>
        </w:tc>
        <w:tc>
          <w:tcPr>
            <w:tcW w:type="dxa" w:w="1440"/>
          </w:tcPr>
          <w:p>
            <w:pPr>
              <w:spacing w:after="20"/>
              <w:jc w:val="right"/>
            </w:pPr>
            <w:r>
              <w:rPr>
                <w:color w:val="1C3A36"/>
                <w:sz w:val="14"/>
              </w:rPr>
              <w:t>2012</w:t>
            </w:r>
          </w:p>
        </w:tc>
        <w:tc>
          <w:tcPr>
            <w:tcW w:type="dxa" w:w="720"/>
          </w:tcPr>
          <w:p>
            <w:pPr>
              <w:spacing w:after="20"/>
              <w:jc w:val="right"/>
            </w:pPr>
            <w:r>
              <w:rPr>
                <w:color w:val="1C3A36"/>
                <w:sz w:val="14"/>
              </w:rPr>
              <w:t>A</w:t>
            </w:r>
          </w:p>
        </w:tc>
        <w:tc>
          <w:tcPr>
            <w:tcW w:type="dxa" w:w="2232"/>
          </w:tcPr>
          <w:p>
            <w:pPr>
              <w:spacing w:after="20"/>
              <w:jc w:val="right"/>
            </w:pPr>
            <w:r>
              <w:rPr>
                <w:color w:val="1C3A36"/>
                <w:sz w:val="14"/>
              </w:rPr>
              <w:t>ocr</w:t>
            </w:r>
          </w:p>
        </w:tc>
      </w:tr>
      <w:tr>
        <w:tc>
          <w:tcPr>
            <w:tcW w:type="dxa" w:w="1224"/>
          </w:tcPr>
          <w:p>
            <w:pPr>
              <w:spacing w:after="20"/>
            </w:pPr>
            <w:r>
              <w:rPr>
                <w:color w:val="1C3A36"/>
                <w:sz w:val="14"/>
              </w:rPr>
              <w:t>FY2012</w:t>
            </w:r>
          </w:p>
        </w:tc>
        <w:tc>
          <w:tcPr>
            <w:tcW w:type="dxa" w:w="4464"/>
          </w:tcPr>
          <w:p>
            <w:pPr>
              <w:spacing w:after="20"/>
              <w:jc w:val="right"/>
            </w:pPr>
            <w:r>
              <w:rPr>
                <w:color w:val="1C3A36"/>
                <w:sz w:val="14"/>
              </w:rPr>
              <w:t>Consolidated financial statements, year ended 31 Dec 2012</w:t>
            </w:r>
          </w:p>
        </w:tc>
        <w:tc>
          <w:tcPr>
            <w:tcW w:type="dxa" w:w="1440"/>
          </w:tcPr>
          <w:p>
            <w:pPr>
              <w:spacing w:after="20"/>
              <w:jc w:val="right"/>
            </w:pPr>
            <w:r>
              <w:rPr>
                <w:color w:val="1C3A36"/>
                <w:sz w:val="14"/>
              </w:rPr>
              <w:t>2013-03</w:t>
            </w:r>
          </w:p>
        </w:tc>
        <w:tc>
          <w:tcPr>
            <w:tcW w:type="dxa" w:w="720"/>
          </w:tcPr>
          <w:p>
            <w:pPr>
              <w:spacing w:after="20"/>
              <w:jc w:val="right"/>
            </w:pPr>
            <w:r>
              <w:rPr>
                <w:color w:val="1C3A36"/>
                <w:sz w:val="14"/>
              </w:rPr>
              <w:t>A</w:t>
            </w:r>
          </w:p>
        </w:tc>
        <w:tc>
          <w:tcPr>
            <w:tcW w:type="dxa" w:w="2232"/>
          </w:tcPr>
          <w:p>
            <w:pPr>
              <w:spacing w:after="20"/>
              <w:jc w:val="right"/>
            </w:pPr>
            <w:r>
              <w:rPr>
                <w:color w:val="1C3A36"/>
                <w:sz w:val="14"/>
              </w:rPr>
              <w:t>text</w:t>
            </w:r>
          </w:p>
        </w:tc>
      </w:tr>
      <w:tr>
        <w:tc>
          <w:tcPr>
            <w:tcW w:type="dxa" w:w="1224"/>
          </w:tcPr>
          <w:p>
            <w:pPr>
              <w:spacing w:after="20"/>
            </w:pPr>
            <w:r>
              <w:rPr>
                <w:color w:val="1C3A36"/>
                <w:sz w:val="14"/>
              </w:rPr>
              <w:t>FY2013</w:t>
            </w:r>
          </w:p>
        </w:tc>
        <w:tc>
          <w:tcPr>
            <w:tcW w:type="dxa" w:w="4464"/>
          </w:tcPr>
          <w:p>
            <w:pPr>
              <w:spacing w:after="20"/>
              <w:jc w:val="right"/>
            </w:pPr>
            <w:r>
              <w:rPr>
                <w:color w:val="1C3A36"/>
                <w:sz w:val="14"/>
              </w:rPr>
              <w:t>Consolidated financial statements, year ended 31 Dec 2013</w:t>
            </w:r>
          </w:p>
        </w:tc>
        <w:tc>
          <w:tcPr>
            <w:tcW w:type="dxa" w:w="1440"/>
          </w:tcPr>
          <w:p>
            <w:pPr>
              <w:spacing w:after="20"/>
              <w:jc w:val="right"/>
            </w:pPr>
            <w:r>
              <w:rPr>
                <w:color w:val="1C3A36"/>
                <w:sz w:val="14"/>
              </w:rPr>
              <w:t>2014</w:t>
            </w:r>
          </w:p>
        </w:tc>
        <w:tc>
          <w:tcPr>
            <w:tcW w:type="dxa" w:w="720"/>
          </w:tcPr>
          <w:p>
            <w:pPr>
              <w:spacing w:after="20"/>
              <w:jc w:val="right"/>
            </w:pPr>
            <w:r>
              <w:rPr>
                <w:color w:val="1C3A36"/>
                <w:sz w:val="14"/>
              </w:rPr>
              <w:t>A</w:t>
            </w:r>
          </w:p>
        </w:tc>
        <w:tc>
          <w:tcPr>
            <w:tcW w:type="dxa" w:w="2232"/>
          </w:tcPr>
          <w:p>
            <w:pPr>
              <w:spacing w:after="20"/>
              <w:jc w:val="right"/>
            </w:pPr>
            <w:r>
              <w:rPr>
                <w:color w:val="1C3A36"/>
                <w:sz w:val="14"/>
              </w:rPr>
              <w:t>text</w:t>
            </w:r>
          </w:p>
        </w:tc>
      </w:tr>
      <w:tr>
        <w:tc>
          <w:tcPr>
            <w:tcW w:type="dxa" w:w="1224"/>
          </w:tcPr>
          <w:p>
            <w:pPr>
              <w:spacing w:after="20"/>
            </w:pPr>
            <w:r>
              <w:rPr>
                <w:color w:val="1C3A36"/>
                <w:sz w:val="14"/>
              </w:rPr>
              <w:t>FY2014</w:t>
            </w:r>
          </w:p>
        </w:tc>
        <w:tc>
          <w:tcPr>
            <w:tcW w:type="dxa" w:w="4464"/>
          </w:tcPr>
          <w:p>
            <w:pPr>
              <w:spacing w:after="20"/>
              <w:jc w:val="right"/>
            </w:pPr>
            <w:r>
              <w:rPr>
                <w:color w:val="1C3A36"/>
                <w:sz w:val="14"/>
              </w:rPr>
              <w:t>Consolidated financial statements, year ended 31 Dec 2014 (Restated)</w:t>
            </w:r>
          </w:p>
        </w:tc>
        <w:tc>
          <w:tcPr>
            <w:tcW w:type="dxa" w:w="1440"/>
          </w:tcPr>
          <w:p>
            <w:pPr>
              <w:spacing w:after="20"/>
              <w:jc w:val="right"/>
            </w:pPr>
            <w:r>
              <w:rPr>
                <w:color w:val="1C3A36"/>
                <w:sz w:val="14"/>
              </w:rPr>
              <w:t>2015</w:t>
            </w:r>
          </w:p>
        </w:tc>
        <w:tc>
          <w:tcPr>
            <w:tcW w:type="dxa" w:w="720"/>
          </w:tcPr>
          <w:p>
            <w:pPr>
              <w:spacing w:after="20"/>
              <w:jc w:val="right"/>
            </w:pPr>
            <w:r>
              <w:rPr>
                <w:color w:val="1C3A36"/>
                <w:sz w:val="14"/>
              </w:rPr>
              <w:t>A</w:t>
            </w:r>
          </w:p>
        </w:tc>
        <w:tc>
          <w:tcPr>
            <w:tcW w:type="dxa" w:w="2232"/>
          </w:tcPr>
          <w:p>
            <w:pPr>
              <w:spacing w:after="20"/>
              <w:jc w:val="right"/>
            </w:pPr>
            <w:r>
              <w:rPr>
                <w:color w:val="1C3A36"/>
                <w:sz w:val="14"/>
              </w:rPr>
              <w:t>text</w:t>
            </w:r>
          </w:p>
        </w:tc>
      </w:tr>
      <w:tr>
        <w:tc>
          <w:tcPr>
            <w:tcW w:type="dxa" w:w="1224"/>
          </w:tcPr>
          <w:p>
            <w:pPr>
              <w:spacing w:after="20"/>
            </w:pPr>
            <w:r>
              <w:rPr>
                <w:color w:val="1C3A36"/>
                <w:sz w:val="14"/>
              </w:rPr>
              <w:t>FY2015</w:t>
            </w:r>
          </w:p>
        </w:tc>
        <w:tc>
          <w:tcPr>
            <w:tcW w:type="dxa" w:w="4464"/>
          </w:tcPr>
          <w:p>
            <w:pPr>
              <w:spacing w:after="20"/>
              <w:jc w:val="right"/>
            </w:pPr>
            <w:r>
              <w:rPr>
                <w:color w:val="1C3A36"/>
                <w:sz w:val="14"/>
              </w:rPr>
              <w:t>Consolidated financial statements, year ended 31 Dec 2015</w:t>
            </w:r>
          </w:p>
        </w:tc>
        <w:tc>
          <w:tcPr>
            <w:tcW w:type="dxa" w:w="1440"/>
          </w:tcPr>
          <w:p>
            <w:pPr>
              <w:spacing w:after="20"/>
              <w:jc w:val="right"/>
            </w:pPr>
            <w:r>
              <w:rPr>
                <w:color w:val="1C3A36"/>
                <w:sz w:val="14"/>
              </w:rPr>
              <w:t>2016-02-18</w:t>
            </w:r>
          </w:p>
        </w:tc>
        <w:tc>
          <w:tcPr>
            <w:tcW w:type="dxa" w:w="720"/>
          </w:tcPr>
          <w:p>
            <w:pPr>
              <w:spacing w:after="20"/>
              <w:jc w:val="right"/>
            </w:pPr>
            <w:r>
              <w:rPr>
                <w:color w:val="1C3A36"/>
                <w:sz w:val="14"/>
              </w:rPr>
              <w:t>A</w:t>
            </w:r>
          </w:p>
        </w:tc>
        <w:tc>
          <w:tcPr>
            <w:tcW w:type="dxa" w:w="2232"/>
          </w:tcPr>
          <w:p>
            <w:pPr>
              <w:spacing w:after="20"/>
              <w:jc w:val="right"/>
            </w:pPr>
            <w:r>
              <w:rPr>
                <w:color w:val="1C3A36"/>
                <w:sz w:val="14"/>
              </w:rPr>
              <w:t>text</w:t>
            </w:r>
          </w:p>
        </w:tc>
      </w:tr>
      <w:tr>
        <w:tc>
          <w:tcPr>
            <w:tcW w:type="dxa" w:w="1224"/>
          </w:tcPr>
          <w:p>
            <w:pPr>
              <w:spacing w:after="20"/>
            </w:pPr>
            <w:r>
              <w:rPr>
                <w:color w:val="1C3A36"/>
                <w:sz w:val="14"/>
              </w:rPr>
              <w:t>FY2016</w:t>
            </w:r>
          </w:p>
        </w:tc>
        <w:tc>
          <w:tcPr>
            <w:tcW w:type="dxa" w:w="4464"/>
          </w:tcPr>
          <w:p>
            <w:pPr>
              <w:spacing w:after="20"/>
              <w:jc w:val="right"/>
            </w:pPr>
            <w:r>
              <w:rPr>
                <w:color w:val="1C3A36"/>
                <w:sz w:val="14"/>
              </w:rPr>
              <w:t>Consolidated financial statements, year ended 31 Dec 2016</w:t>
            </w:r>
          </w:p>
        </w:tc>
        <w:tc>
          <w:tcPr>
            <w:tcW w:type="dxa" w:w="1440"/>
          </w:tcPr>
          <w:p>
            <w:pPr>
              <w:spacing w:after="20"/>
              <w:jc w:val="right"/>
            </w:pPr>
            <w:r>
              <w:rPr>
                <w:color w:val="1C3A36"/>
                <w:sz w:val="14"/>
              </w:rPr>
              <w:t>2017-02-16</w:t>
            </w:r>
          </w:p>
        </w:tc>
        <w:tc>
          <w:tcPr>
            <w:tcW w:type="dxa" w:w="720"/>
          </w:tcPr>
          <w:p>
            <w:pPr>
              <w:spacing w:after="20"/>
              <w:jc w:val="right"/>
            </w:pPr>
            <w:r>
              <w:rPr>
                <w:color w:val="1C3A36"/>
                <w:sz w:val="14"/>
              </w:rPr>
              <w:t>A</w:t>
            </w:r>
          </w:p>
        </w:tc>
        <w:tc>
          <w:tcPr>
            <w:tcW w:type="dxa" w:w="2232"/>
          </w:tcPr>
          <w:p>
            <w:pPr>
              <w:spacing w:after="20"/>
              <w:jc w:val="right"/>
            </w:pPr>
            <w:r>
              <w:rPr>
                <w:color w:val="1C3A36"/>
                <w:sz w:val="14"/>
              </w:rPr>
              <w:t>text</w:t>
            </w:r>
          </w:p>
        </w:tc>
      </w:tr>
      <w:tr>
        <w:tc>
          <w:tcPr>
            <w:tcW w:type="dxa" w:w="1224"/>
          </w:tcPr>
          <w:p>
            <w:pPr>
              <w:spacing w:after="20"/>
            </w:pPr>
            <w:r>
              <w:rPr>
                <w:color w:val="1C3A36"/>
                <w:sz w:val="14"/>
              </w:rPr>
              <w:t>FY2017</w:t>
            </w:r>
          </w:p>
        </w:tc>
        <w:tc>
          <w:tcPr>
            <w:tcW w:type="dxa" w:w="4464"/>
          </w:tcPr>
          <w:p>
            <w:pPr>
              <w:spacing w:after="20"/>
              <w:jc w:val="right"/>
            </w:pPr>
            <w:r>
              <w:rPr>
                <w:color w:val="1C3A36"/>
                <w:sz w:val="14"/>
              </w:rPr>
              <w:t>Consolidated financial statements, year ended 31 Dec 2017</w:t>
            </w:r>
          </w:p>
        </w:tc>
        <w:tc>
          <w:tcPr>
            <w:tcW w:type="dxa" w:w="1440"/>
          </w:tcPr>
          <w:p>
            <w:pPr>
              <w:spacing w:after="20"/>
              <w:jc w:val="right"/>
            </w:pPr>
            <w:r>
              <w:rPr>
                <w:color w:val="1C3A36"/>
                <w:sz w:val="14"/>
              </w:rPr>
              <w:t>2018</w:t>
            </w:r>
          </w:p>
        </w:tc>
        <w:tc>
          <w:tcPr>
            <w:tcW w:type="dxa" w:w="720"/>
          </w:tcPr>
          <w:p>
            <w:pPr>
              <w:spacing w:after="20"/>
              <w:jc w:val="right"/>
            </w:pPr>
            <w:r>
              <w:rPr>
                <w:color w:val="1C3A36"/>
                <w:sz w:val="14"/>
              </w:rPr>
              <w:t>A</w:t>
            </w:r>
          </w:p>
        </w:tc>
        <w:tc>
          <w:tcPr>
            <w:tcW w:type="dxa" w:w="2232"/>
          </w:tcPr>
          <w:p>
            <w:pPr>
              <w:spacing w:after="20"/>
              <w:jc w:val="right"/>
            </w:pPr>
            <w:r>
              <w:rPr>
                <w:color w:val="1C3A36"/>
                <w:sz w:val="14"/>
              </w:rPr>
              <w:t>text</w:t>
            </w:r>
          </w:p>
        </w:tc>
      </w:tr>
      <w:tr>
        <w:tc>
          <w:tcPr>
            <w:tcW w:type="dxa" w:w="1224"/>
          </w:tcPr>
          <w:p>
            <w:pPr>
              <w:spacing w:after="20"/>
            </w:pPr>
            <w:r>
              <w:rPr>
                <w:color w:val="1C3A36"/>
                <w:sz w:val="14"/>
              </w:rPr>
              <w:t>FY2018</w:t>
            </w:r>
          </w:p>
        </w:tc>
        <w:tc>
          <w:tcPr>
            <w:tcW w:type="dxa" w:w="4464"/>
          </w:tcPr>
          <w:p>
            <w:pPr>
              <w:spacing w:after="20"/>
              <w:jc w:val="right"/>
            </w:pPr>
            <w:r>
              <w:rPr>
                <w:color w:val="1C3A36"/>
                <w:sz w:val="14"/>
              </w:rPr>
              <w:t>Consolidated financial statements, year ended 31 Dec 2018</w:t>
            </w:r>
          </w:p>
        </w:tc>
        <w:tc>
          <w:tcPr>
            <w:tcW w:type="dxa" w:w="1440"/>
          </w:tcPr>
          <w:p>
            <w:pPr>
              <w:spacing w:after="20"/>
              <w:jc w:val="right"/>
            </w:pPr>
            <w:r>
              <w:rPr>
                <w:color w:val="1C3A36"/>
                <w:sz w:val="14"/>
              </w:rPr>
              <w:t>2019</w:t>
            </w:r>
          </w:p>
        </w:tc>
        <w:tc>
          <w:tcPr>
            <w:tcW w:type="dxa" w:w="720"/>
          </w:tcPr>
          <w:p>
            <w:pPr>
              <w:spacing w:after="20"/>
              <w:jc w:val="right"/>
            </w:pPr>
            <w:r>
              <w:rPr>
                <w:color w:val="1C3A36"/>
                <w:sz w:val="14"/>
              </w:rPr>
              <w:t>A</w:t>
            </w:r>
          </w:p>
        </w:tc>
        <w:tc>
          <w:tcPr>
            <w:tcW w:type="dxa" w:w="2232"/>
          </w:tcPr>
          <w:p>
            <w:pPr>
              <w:spacing w:after="20"/>
              <w:jc w:val="right"/>
            </w:pPr>
            <w:r>
              <w:rPr>
                <w:color w:val="1C3A36"/>
                <w:sz w:val="14"/>
              </w:rPr>
              <w:t>text</w:t>
            </w:r>
          </w:p>
        </w:tc>
      </w:tr>
      <w:tr>
        <w:tc>
          <w:tcPr>
            <w:tcW w:type="dxa" w:w="1224"/>
          </w:tcPr>
          <w:p>
            <w:pPr>
              <w:spacing w:after="20"/>
            </w:pPr>
            <w:r>
              <w:rPr>
                <w:color w:val="1C3A36"/>
                <w:sz w:val="14"/>
              </w:rPr>
              <w:t>FY2019</w:t>
            </w:r>
          </w:p>
        </w:tc>
        <w:tc>
          <w:tcPr>
            <w:tcW w:type="dxa" w:w="4464"/>
          </w:tcPr>
          <w:p>
            <w:pPr>
              <w:spacing w:after="20"/>
              <w:jc w:val="right"/>
            </w:pPr>
            <w:r>
              <w:rPr>
                <w:color w:val="1C3A36"/>
                <w:sz w:val="14"/>
              </w:rPr>
              <w:t>Consolidated financial statements, year ended 31 Dec 2019</w:t>
            </w:r>
          </w:p>
        </w:tc>
        <w:tc>
          <w:tcPr>
            <w:tcW w:type="dxa" w:w="1440"/>
          </w:tcPr>
          <w:p>
            <w:pPr>
              <w:spacing w:after="20"/>
              <w:jc w:val="right"/>
            </w:pPr>
            <w:r>
              <w:rPr>
                <w:color w:val="1C3A36"/>
                <w:sz w:val="14"/>
              </w:rPr>
              <w:t>2020</w:t>
            </w:r>
          </w:p>
        </w:tc>
        <w:tc>
          <w:tcPr>
            <w:tcW w:type="dxa" w:w="720"/>
          </w:tcPr>
          <w:p>
            <w:pPr>
              <w:spacing w:after="20"/>
              <w:jc w:val="right"/>
            </w:pPr>
            <w:r>
              <w:rPr>
                <w:color w:val="1C3A36"/>
                <w:sz w:val="14"/>
              </w:rPr>
              <w:t>A</w:t>
            </w:r>
          </w:p>
        </w:tc>
        <w:tc>
          <w:tcPr>
            <w:tcW w:type="dxa" w:w="2232"/>
          </w:tcPr>
          <w:p>
            <w:pPr>
              <w:spacing w:after="20"/>
              <w:jc w:val="right"/>
            </w:pPr>
            <w:r>
              <w:rPr>
                <w:color w:val="1C3A36"/>
                <w:sz w:val="14"/>
              </w:rPr>
              <w:t>ocr</w:t>
            </w:r>
          </w:p>
        </w:tc>
      </w:tr>
      <w:tr>
        <w:tc>
          <w:tcPr>
            <w:tcW w:type="dxa" w:w="1224"/>
          </w:tcPr>
          <w:p>
            <w:pPr>
              <w:spacing w:after="20"/>
            </w:pPr>
            <w:r>
              <w:rPr>
                <w:color w:val="1C3A36"/>
                <w:sz w:val="14"/>
              </w:rPr>
              <w:t>FY2020</w:t>
            </w:r>
          </w:p>
        </w:tc>
        <w:tc>
          <w:tcPr>
            <w:tcW w:type="dxa" w:w="4464"/>
          </w:tcPr>
          <w:p>
            <w:pPr>
              <w:spacing w:after="20"/>
              <w:jc w:val="right"/>
            </w:pPr>
            <w:r>
              <w:rPr>
                <w:color w:val="1C3A36"/>
                <w:sz w:val="14"/>
              </w:rPr>
              <w:t>Consolidated financial statements, year ended 31 Dec 2020</w:t>
            </w:r>
          </w:p>
        </w:tc>
        <w:tc>
          <w:tcPr>
            <w:tcW w:type="dxa" w:w="1440"/>
          </w:tcPr>
          <w:p>
            <w:pPr>
              <w:spacing w:after="20"/>
              <w:jc w:val="right"/>
            </w:pPr>
            <w:r>
              <w:rPr>
                <w:color w:val="1C3A36"/>
                <w:sz w:val="14"/>
              </w:rPr>
              <w:t>2021-02-18</w:t>
            </w:r>
          </w:p>
        </w:tc>
        <w:tc>
          <w:tcPr>
            <w:tcW w:type="dxa" w:w="720"/>
          </w:tcPr>
          <w:p>
            <w:pPr>
              <w:spacing w:after="20"/>
              <w:jc w:val="right"/>
            </w:pPr>
            <w:r>
              <w:rPr>
                <w:color w:val="1C3A36"/>
                <w:sz w:val="14"/>
              </w:rPr>
              <w:t>A</w:t>
            </w:r>
          </w:p>
        </w:tc>
        <w:tc>
          <w:tcPr>
            <w:tcW w:type="dxa" w:w="2232"/>
          </w:tcPr>
          <w:p>
            <w:pPr>
              <w:spacing w:after="20"/>
              <w:jc w:val="right"/>
            </w:pPr>
            <w:r>
              <w:rPr>
                <w:color w:val="1C3A36"/>
                <w:sz w:val="14"/>
              </w:rPr>
              <w:t>ocr</w:t>
            </w:r>
          </w:p>
        </w:tc>
      </w:tr>
      <w:tr>
        <w:tc>
          <w:tcPr>
            <w:tcW w:type="dxa" w:w="1224"/>
          </w:tcPr>
          <w:p>
            <w:pPr>
              <w:spacing w:after="20"/>
            </w:pPr>
            <w:r>
              <w:rPr>
                <w:color w:val="1C3A36"/>
                <w:sz w:val="14"/>
              </w:rPr>
              <w:t>FY2021</w:t>
            </w:r>
          </w:p>
        </w:tc>
        <w:tc>
          <w:tcPr>
            <w:tcW w:type="dxa" w:w="4464"/>
          </w:tcPr>
          <w:p>
            <w:pPr>
              <w:spacing w:after="20"/>
              <w:jc w:val="right"/>
            </w:pPr>
            <w:r>
              <w:rPr>
                <w:color w:val="1C3A36"/>
                <w:sz w:val="14"/>
              </w:rPr>
              <w:t>FY2021 taken from the COMPARATIVE column of the FY2022 audited consolidated statements. The file published und</w:t>
            </w:r>
          </w:p>
        </w:tc>
        <w:tc>
          <w:tcPr>
            <w:tcW w:type="dxa" w:w="1440"/>
          </w:tcPr>
          <w:p>
            <w:pPr>
              <w:spacing w:after="20"/>
              <w:jc w:val="right"/>
            </w:pPr>
            <w:r>
              <w:rPr>
                <w:color w:val="1C3A36"/>
                <w:sz w:val="14"/>
              </w:rPr>
              <w:t>2023-02-09</w:t>
            </w:r>
          </w:p>
        </w:tc>
        <w:tc>
          <w:tcPr>
            <w:tcW w:type="dxa" w:w="720"/>
          </w:tcPr>
          <w:p>
            <w:pPr>
              <w:spacing w:after="20"/>
              <w:jc w:val="right"/>
            </w:pPr>
            <w:r>
              <w:rPr>
                <w:color w:val="1C3A36"/>
                <w:sz w:val="14"/>
              </w:rPr>
              <w:t>A</w:t>
            </w:r>
          </w:p>
        </w:tc>
        <w:tc>
          <w:tcPr>
            <w:tcW w:type="dxa" w:w="2232"/>
          </w:tcPr>
          <w:p>
            <w:pPr>
              <w:spacing w:after="20"/>
              <w:jc w:val="right"/>
            </w:pPr>
            <w:r>
              <w:rPr>
                <w:color w:val="1C3A36"/>
                <w:sz w:val="14"/>
              </w:rPr>
              <w:t>text+ocr</w:t>
            </w:r>
          </w:p>
        </w:tc>
      </w:tr>
      <w:tr>
        <w:tc>
          <w:tcPr>
            <w:tcW w:type="dxa" w:w="1224"/>
          </w:tcPr>
          <w:p>
            <w:pPr>
              <w:spacing w:after="20"/>
            </w:pPr>
            <w:r>
              <w:rPr>
                <w:color w:val="1C3A36"/>
                <w:sz w:val="14"/>
              </w:rPr>
              <w:t>FY2022</w:t>
            </w:r>
          </w:p>
        </w:tc>
        <w:tc>
          <w:tcPr>
            <w:tcW w:type="dxa" w:w="4464"/>
          </w:tcPr>
          <w:p>
            <w:pPr>
              <w:spacing w:after="20"/>
              <w:jc w:val="right"/>
            </w:pPr>
            <w:r>
              <w:rPr>
                <w:color w:val="1C3A36"/>
                <w:sz w:val="14"/>
              </w:rPr>
              <w:t>Consolidated financial statements, year ended 31 Dec 2022</w:t>
            </w:r>
          </w:p>
        </w:tc>
        <w:tc>
          <w:tcPr>
            <w:tcW w:type="dxa" w:w="1440"/>
          </w:tcPr>
          <w:p>
            <w:pPr>
              <w:spacing w:after="20"/>
              <w:jc w:val="right"/>
            </w:pPr>
            <w:r>
              <w:rPr>
                <w:color w:val="1C3A36"/>
                <w:sz w:val="14"/>
              </w:rPr>
              <w:t>2023-02-09</w:t>
            </w:r>
          </w:p>
        </w:tc>
        <w:tc>
          <w:tcPr>
            <w:tcW w:type="dxa" w:w="720"/>
          </w:tcPr>
          <w:p>
            <w:pPr>
              <w:spacing w:after="20"/>
              <w:jc w:val="right"/>
            </w:pPr>
            <w:r>
              <w:rPr>
                <w:color w:val="1C3A36"/>
                <w:sz w:val="14"/>
              </w:rPr>
              <w:t>A</w:t>
            </w:r>
          </w:p>
        </w:tc>
        <w:tc>
          <w:tcPr>
            <w:tcW w:type="dxa" w:w="2232"/>
          </w:tcPr>
          <w:p>
            <w:pPr>
              <w:spacing w:after="20"/>
              <w:jc w:val="right"/>
            </w:pPr>
            <w:r>
              <w:rPr>
                <w:color w:val="1C3A36"/>
                <w:sz w:val="14"/>
              </w:rPr>
              <w:t>text(BS)+ocr(IS)</w:t>
            </w:r>
          </w:p>
        </w:tc>
      </w:tr>
      <w:tr>
        <w:tc>
          <w:tcPr>
            <w:tcW w:type="dxa" w:w="1224"/>
          </w:tcPr>
          <w:p>
            <w:pPr>
              <w:spacing w:after="20"/>
            </w:pPr>
            <w:r>
              <w:rPr>
                <w:color w:val="1C3A36"/>
                <w:sz w:val="14"/>
              </w:rPr>
              <w:t>FY2023</w:t>
            </w:r>
          </w:p>
        </w:tc>
        <w:tc>
          <w:tcPr>
            <w:tcW w:type="dxa" w:w="4464"/>
          </w:tcPr>
          <w:p>
            <w:pPr>
              <w:spacing w:after="20"/>
              <w:jc w:val="right"/>
            </w:pPr>
            <w:r>
              <w:rPr>
                <w:color w:val="1C3A36"/>
                <w:sz w:val="14"/>
              </w:rPr>
              <w:t>Consolidated financial statements, year ended 31 Dec 2023</w:t>
            </w:r>
          </w:p>
        </w:tc>
        <w:tc>
          <w:tcPr>
            <w:tcW w:type="dxa" w:w="1440"/>
          </w:tcPr>
          <w:p>
            <w:pPr>
              <w:spacing w:after="20"/>
              <w:jc w:val="right"/>
            </w:pPr>
            <w:r>
              <w:rPr>
                <w:color w:val="1C3A36"/>
                <w:sz w:val="14"/>
              </w:rPr>
              <w:t>2024</w:t>
            </w:r>
          </w:p>
        </w:tc>
        <w:tc>
          <w:tcPr>
            <w:tcW w:type="dxa" w:w="720"/>
          </w:tcPr>
          <w:p>
            <w:pPr>
              <w:spacing w:after="20"/>
              <w:jc w:val="right"/>
            </w:pPr>
            <w:r>
              <w:rPr>
                <w:color w:val="1C3A36"/>
                <w:sz w:val="14"/>
              </w:rPr>
              <w:t>A</w:t>
            </w:r>
          </w:p>
        </w:tc>
        <w:tc>
          <w:tcPr>
            <w:tcW w:type="dxa" w:w="2232"/>
          </w:tcPr>
          <w:p>
            <w:pPr>
              <w:spacing w:after="20"/>
              <w:jc w:val="right"/>
            </w:pPr>
            <w:r>
              <w:rPr>
                <w:color w:val="1C3A36"/>
                <w:sz w:val="14"/>
              </w:rPr>
              <w:t>ocr</w:t>
            </w:r>
          </w:p>
        </w:tc>
      </w:tr>
      <w:tr>
        <w:tc>
          <w:tcPr>
            <w:tcW w:type="dxa" w:w="1224"/>
          </w:tcPr>
          <w:p>
            <w:pPr>
              <w:spacing w:after="20"/>
            </w:pPr>
            <w:r>
              <w:rPr>
                <w:color w:val="1C3A36"/>
                <w:sz w:val="14"/>
              </w:rPr>
              <w:t>FY2024</w:t>
            </w:r>
          </w:p>
        </w:tc>
        <w:tc>
          <w:tcPr>
            <w:tcW w:type="dxa" w:w="4464"/>
          </w:tcPr>
          <w:p>
            <w:pPr>
              <w:spacing w:after="20"/>
              <w:jc w:val="right"/>
            </w:pPr>
            <w:r>
              <w:rPr>
                <w:color w:val="1C3A36"/>
                <w:sz w:val="14"/>
              </w:rPr>
              <w:t>Consolidated financial statements, year ended 31 Dec 2024</w:t>
            </w:r>
          </w:p>
        </w:tc>
        <w:tc>
          <w:tcPr>
            <w:tcW w:type="dxa" w:w="1440"/>
          </w:tcPr>
          <w:p>
            <w:pPr>
              <w:spacing w:after="20"/>
              <w:jc w:val="right"/>
            </w:pPr>
            <w:r>
              <w:rPr>
                <w:color w:val="1C3A36"/>
                <w:sz w:val="14"/>
              </w:rPr>
              <w:t>2025-02-06</w:t>
            </w:r>
          </w:p>
        </w:tc>
        <w:tc>
          <w:tcPr>
            <w:tcW w:type="dxa" w:w="720"/>
          </w:tcPr>
          <w:p>
            <w:pPr>
              <w:spacing w:after="20"/>
              <w:jc w:val="right"/>
            </w:pPr>
            <w:r>
              <w:rPr>
                <w:color w:val="1C3A36"/>
                <w:sz w:val="14"/>
              </w:rPr>
              <w:t>A</w:t>
            </w:r>
          </w:p>
        </w:tc>
        <w:tc>
          <w:tcPr>
            <w:tcW w:type="dxa" w:w="2232"/>
          </w:tcPr>
          <w:p>
            <w:pPr>
              <w:spacing w:after="20"/>
              <w:jc w:val="right"/>
            </w:pPr>
            <w:r>
              <w:rPr>
                <w:color w:val="1C3A36"/>
                <w:sz w:val="14"/>
              </w:rPr>
              <w:t>ocr</w:t>
            </w:r>
          </w:p>
        </w:tc>
      </w:tr>
      <w:tr>
        <w:tc>
          <w:tcPr>
            <w:tcW w:type="dxa" w:w="1224"/>
          </w:tcPr>
          <w:p>
            <w:pPr>
              <w:spacing w:after="20"/>
            </w:pPr>
            <w:r>
              <w:rPr>
                <w:color w:val="1C3A36"/>
                <w:sz w:val="14"/>
              </w:rPr>
              <w:t>FY2025</w:t>
            </w:r>
          </w:p>
        </w:tc>
        <w:tc>
          <w:tcPr>
            <w:tcW w:type="dxa" w:w="4464"/>
          </w:tcPr>
          <w:p>
            <w:pPr>
              <w:spacing w:after="20"/>
              <w:jc w:val="right"/>
            </w:pPr>
            <w:r>
              <w:rPr>
                <w:color w:val="1C3A36"/>
                <w:sz w:val="14"/>
              </w:rPr>
              <w:t>Consolidated financial statements, year ended 31 Dec 2025</w:t>
            </w:r>
          </w:p>
        </w:tc>
        <w:tc>
          <w:tcPr>
            <w:tcW w:type="dxa" w:w="1440"/>
          </w:tcPr>
          <w:p>
            <w:pPr>
              <w:spacing w:after="20"/>
              <w:jc w:val="right"/>
            </w:pPr>
            <w:r>
              <w:rPr>
                <w:color w:val="1C3A36"/>
                <w:sz w:val="14"/>
              </w:rPr>
              <w:t>2026-02-05</w:t>
            </w:r>
          </w:p>
        </w:tc>
        <w:tc>
          <w:tcPr>
            <w:tcW w:type="dxa" w:w="720"/>
          </w:tcPr>
          <w:p>
            <w:pPr>
              <w:spacing w:after="20"/>
              <w:jc w:val="right"/>
            </w:pPr>
            <w:r>
              <w:rPr>
                <w:color w:val="1C3A36"/>
                <w:sz w:val="14"/>
              </w:rPr>
              <w:t>A</w:t>
            </w:r>
          </w:p>
        </w:tc>
        <w:tc>
          <w:tcPr>
            <w:tcW w:type="dxa" w:w="2232"/>
          </w:tcPr>
          <w:p>
            <w:pPr>
              <w:spacing w:after="20"/>
              <w:jc w:val="right"/>
            </w:pPr>
            <w:r>
              <w:rPr>
                <w:color w:val="1C3A36"/>
                <w:sz w:val="14"/>
              </w:rPr>
              <w:t>ocr</w:t>
            </w:r>
          </w:p>
        </w:tc>
      </w:tr>
      <w:tr>
        <w:tc>
          <w:tcPr>
            <w:tcW w:type="dxa" w:w="1224"/>
          </w:tcPr>
          <w:p>
            <w:pPr>
              <w:spacing w:after="20"/>
            </w:pPr>
            <w:r>
              <w:rPr>
                <w:color w:val="1C3A36"/>
                <w:sz w:val="14"/>
              </w:rPr>
              <w:t>H1-2026</w:t>
            </w:r>
          </w:p>
        </w:tc>
        <w:tc>
          <w:tcPr>
            <w:tcW w:type="dxa" w:w="4464"/>
          </w:tcPr>
          <w:p>
            <w:pPr>
              <w:spacing w:after="20"/>
              <w:jc w:val="right"/>
            </w:pPr>
            <w:r>
              <w:rPr>
                <w:color w:val="1C3A36"/>
                <w:sz w:val="14"/>
              </w:rPr>
              <w:t>Condensed consolidated interim financial statements, six months ended 30 Jun 2026</w:t>
            </w:r>
          </w:p>
        </w:tc>
        <w:tc>
          <w:tcPr>
            <w:tcW w:type="dxa" w:w="1440"/>
          </w:tcPr>
          <w:p>
            <w:pPr>
              <w:spacing w:after="20"/>
              <w:jc w:val="right"/>
            </w:pPr>
            <w:r>
              <w:rPr>
                <w:color w:val="1C3A36"/>
                <w:sz w:val="14"/>
              </w:rPr>
              <w:t>2026</w:t>
            </w:r>
          </w:p>
        </w:tc>
        <w:tc>
          <w:tcPr>
            <w:tcW w:type="dxa" w:w="720"/>
          </w:tcPr>
          <w:p>
            <w:pPr>
              <w:spacing w:after="20"/>
              <w:jc w:val="right"/>
            </w:pPr>
            <w:r>
              <w:rPr>
                <w:color w:val="1C3A36"/>
                <w:sz w:val="14"/>
              </w:rPr>
              <w:t>A</w:t>
            </w:r>
          </w:p>
        </w:tc>
        <w:tc>
          <w:tcPr>
            <w:tcW w:type="dxa" w:w="2232"/>
          </w:tcPr>
          <w:p>
            <w:pPr>
              <w:spacing w:after="20"/>
              <w:jc w:val="right"/>
            </w:pPr>
            <w:r>
              <w:rPr>
                <w:color w:val="1C3A36"/>
                <w:sz w:val="14"/>
              </w:rPr>
              <w:t>ocr</w:t>
            </w:r>
          </w:p>
        </w:tc>
      </w:tr>
      <w:tr>
        <w:tc>
          <w:tcPr>
            <w:tcW w:type="dxa" w:w="1224"/>
          </w:tcPr>
          <w:p>
            <w:pPr>
              <w:spacing w:after="20"/>
            </w:pPr>
            <w:r>
              <w:rPr>
                <w:color w:val="1C3A36"/>
                <w:sz w:val="14"/>
              </w:rPr>
              <w:t>Q1-2026</w:t>
            </w:r>
          </w:p>
        </w:tc>
        <w:tc>
          <w:tcPr>
            <w:tcW w:type="dxa" w:w="4464"/>
          </w:tcPr>
          <w:p>
            <w:pPr>
              <w:spacing w:after="20"/>
              <w:jc w:val="right"/>
            </w:pPr>
            <w:r>
              <w:rPr>
                <w:color w:val="1C3A36"/>
                <w:sz w:val="14"/>
              </w:rPr>
              <w:t>Condensed consolidated interim financial statements, three months ended 31 Mar 2026</w:t>
            </w:r>
          </w:p>
        </w:tc>
        <w:tc>
          <w:tcPr>
            <w:tcW w:type="dxa" w:w="1440"/>
          </w:tcPr>
          <w:p>
            <w:pPr>
              <w:spacing w:after="20"/>
              <w:jc w:val="right"/>
            </w:pPr>
            <w:r>
              <w:rPr>
                <w:color w:val="1C3A36"/>
                <w:sz w:val="14"/>
              </w:rPr>
              <w:t>2026</w:t>
            </w:r>
          </w:p>
        </w:tc>
        <w:tc>
          <w:tcPr>
            <w:tcW w:type="dxa" w:w="720"/>
          </w:tcPr>
          <w:p>
            <w:pPr>
              <w:spacing w:after="20"/>
              <w:jc w:val="right"/>
            </w:pPr>
            <w:r>
              <w:rPr>
                <w:color w:val="1C3A36"/>
                <w:sz w:val="14"/>
              </w:rPr>
              <w:t>A</w:t>
            </w:r>
          </w:p>
        </w:tc>
        <w:tc>
          <w:tcPr>
            <w:tcW w:type="dxa" w:w="2232"/>
          </w:tcPr>
          <w:p>
            <w:pPr>
              <w:spacing w:after="20"/>
              <w:jc w:val="right"/>
            </w:pPr>
            <w:r>
              <w:rPr>
                <w:color w:val="1C3A36"/>
                <w:sz w:val="14"/>
              </w:rPr>
              <w:t>ocr</w:t>
            </w:r>
          </w:p>
        </w:tc>
      </w:tr>
    </w:tbl>
    <w:p>
      <w:pPr>
        <w:spacing w:after="40"/>
      </w:pPr>
    </w:p>
    <w:p>
      <w:pPr>
        <w:spacing w:after="200" w:before="0"/>
      </w:pPr>
      <w:r>
        <w:rPr>
          <w:b w:val="0"/>
          <w:i/>
          <w:color w:val="6E7B77"/>
          <w:sz w:val="17"/>
        </w:rPr>
        <w:t>Table 1 — the primary record. Tier A is the company's own audited or reviewed statements. There is no tier B or tier C figure anywhere in this study's company data.</w:t>
      </w:r>
    </w:p>
    <w:tbl>
      <w:tblPr>
        <w:tblW w:type="auto" w:w="0"/>
        <w:tblLook w:firstColumn="1" w:firstRow="1" w:lastColumn="0" w:lastRow="0" w:noHBand="0" w:noVBand="1" w:val="04A0"/>
        <w:tblLayout w:type="fixed"/>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color w:val="1C3A36"/>
                <w:sz w:val="19"/>
              </w:rPr>
              <w:t>HOW A RASTER WAS READ, AND WHY IT CAN BE TRUSTED. Seven of these filings publish their statements as images with no text layer. Each was read TWICE and independently — once off the largest embedded image at its native resolution, once off a rendered page — and every disagreement between the two passes was settled by the statement's OWN arithmetic, or where that was not decisive, by the comparative column of the following year's filing. Every statement in this study foots exactly. Two figures could only be settled by the footing identity and both are labelled DERIVED with the formula: a gain on financial investments of EGP 7.155 million in FY2025 (0.04% of pre-tax profit) and non-controlling interests of EGP 38.576 million in the FY2025 equity block.</w:t>
            </w:r>
          </w:p>
        </w:tc>
      </w:tr>
    </w:tbl>
    <w:p>
      <w:pPr>
        <w:spacing w:after="40"/>
      </w:pPr>
    </w:p>
    <w:p>
      <w:pPr>
        <w:spacing w:after="120" w:before="280"/>
      </w:pPr>
      <w:r>
        <w:rPr>
          <w:b/>
          <w:i w:val="0"/>
          <w:color w:val="1C3A36"/>
          <w:sz w:val="30"/>
        </w:rPr>
        <w:t>2  The input register — every entry four-field</w:t>
      </w:r>
    </w:p>
    <w:p>
      <w:pPr>
        <w:spacing w:after="120" w:before="0"/>
      </w:pPr>
      <w:r>
        <w:rPr>
          <w:b w:val="0"/>
          <w:i w:val="0"/>
          <w:color w:val="1C3A36"/>
          <w:sz w:val="21"/>
        </w:rPr>
        <w:t>Value, source, date, tier. An input with no source does not enter the model.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00"/>
        <w:gridCol w:w="1440"/>
        <w:gridCol w:w="1080"/>
        <w:gridCol w:w="720"/>
        <w:gridCol w:w="5040"/>
      </w:tblGrid>
      <w:tr>
        <w:tc>
          <w:tcPr>
            <w:tcW w:type="dxa" w:w="1800"/>
            <w:shd w:val="clear" w:color="auto" w:fill="EAF0EE"/>
          </w:tcPr>
          <w:p>
            <w:pPr>
              <w:spacing w:after="20"/>
            </w:pPr>
            <w:r>
              <w:rPr>
                <w:b/>
                <w:color w:val="1C3A36"/>
                <w:sz w:val="13"/>
              </w:rPr>
              <w:t>Input</w:t>
            </w:r>
          </w:p>
        </w:tc>
        <w:tc>
          <w:tcPr>
            <w:tcW w:type="dxa" w:w="1440"/>
            <w:shd w:val="clear" w:color="auto" w:fill="EAF0EE"/>
          </w:tcPr>
          <w:p>
            <w:pPr>
              <w:spacing w:after="20"/>
            </w:pPr>
            <w:r>
              <w:rPr>
                <w:b/>
                <w:color w:val="1C3A36"/>
                <w:sz w:val="13"/>
              </w:rPr>
              <w:t>Value</w:t>
            </w:r>
          </w:p>
        </w:tc>
        <w:tc>
          <w:tcPr>
            <w:tcW w:type="dxa" w:w="1080"/>
            <w:shd w:val="clear" w:color="auto" w:fill="EAF0EE"/>
          </w:tcPr>
          <w:p>
            <w:pPr>
              <w:spacing w:after="20"/>
            </w:pPr>
            <w:r>
              <w:rPr>
                <w:b/>
                <w:color w:val="1C3A36"/>
                <w:sz w:val="13"/>
              </w:rPr>
              <w:t>Date</w:t>
            </w:r>
          </w:p>
        </w:tc>
        <w:tc>
          <w:tcPr>
            <w:tcW w:type="dxa" w:w="720"/>
            <w:shd w:val="clear" w:color="auto" w:fill="EAF0EE"/>
          </w:tcPr>
          <w:p>
            <w:pPr>
              <w:spacing w:after="20"/>
            </w:pPr>
            <w:r>
              <w:rPr>
                <w:b/>
                <w:color w:val="1C3A36"/>
                <w:sz w:val="13"/>
              </w:rPr>
              <w:t>Tier</w:t>
            </w:r>
          </w:p>
        </w:tc>
        <w:tc>
          <w:tcPr>
            <w:tcW w:type="dxa" w:w="5040"/>
            <w:shd w:val="clear" w:color="auto" w:fill="EAF0EE"/>
          </w:tcPr>
          <w:p>
            <w:pPr>
              <w:spacing w:after="20"/>
            </w:pPr>
            <w:r>
              <w:rPr>
                <w:b/>
                <w:color w:val="1C3A36"/>
                <w:sz w:val="13"/>
              </w:rPr>
              <w:t>Source</w:t>
            </w:r>
          </w:p>
        </w:tc>
      </w:tr>
      <w:tr>
        <w:tc>
          <w:tcPr>
            <w:tcW w:type="dxa" w:w="1800"/>
          </w:tcPr>
          <w:p>
            <w:pPr>
              <w:spacing w:after="20"/>
            </w:pPr>
            <w:r>
              <w:rPr>
                <w:color w:val="1C3A36"/>
                <w:sz w:val="13"/>
              </w:rPr>
              <w:t>admin growth</w:t>
            </w:r>
          </w:p>
        </w:tc>
        <w:tc>
          <w:tcPr>
            <w:tcW w:type="dxa" w:w="1440"/>
          </w:tcPr>
          <w:p>
            <w:pPr>
              <w:spacing w:after="20"/>
              <w:jc w:val="right"/>
            </w:pPr>
            <w:r>
              <w:rPr>
                <w:color w:val="1C3A36"/>
                <w:sz w:val="13"/>
              </w:rPr>
              <w:t>0.34 / 0.18 / 0.15 / 0.135 / 0.13</w:t>
            </w:r>
          </w:p>
        </w:tc>
        <w:tc>
          <w:tcPr>
            <w:tcW w:type="dxa" w:w="1080"/>
          </w:tcPr>
          <w:p>
            <w:pPr>
              <w:spacing w:after="20"/>
              <w:jc w:val="right"/>
            </w:pPr>
            <w:r>
              <w:rPr>
                <w:color w:val="1C3A36"/>
                <w:sz w:val="13"/>
              </w:rPr>
              <w:t>2026-09-10</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Administrative expenses, year-on-year. FY2026 +34% on FY2025 takes EGP 3,431 million to EGP 4,598 million; the June half already spent EGP 2,239 million, so this asks for EGP 2,359 million in the second. Thereafter inflation plus about six points, because a bank adding branches and systems does not hold headcount flat. Cost-to-income is an OUTPUT of this and of the revenue lines; it is not typed anywhere.</w:t>
            </w:r>
          </w:p>
        </w:tc>
      </w:tr>
      <w:tr>
        <w:tc>
          <w:tcPr>
            <w:tcW w:type="dxa" w:w="1800"/>
          </w:tcPr>
          <w:p>
            <w:pPr>
              <w:spacing w:after="20"/>
            </w:pPr>
            <w:r>
              <w:rPr>
                <w:color w:val="1C3A36"/>
                <w:sz w:val="13"/>
              </w:rPr>
              <w:t>asset yield</w:t>
            </w:r>
          </w:p>
        </w:tc>
        <w:tc>
          <w:tcPr>
            <w:tcW w:type="dxa" w:w="1440"/>
          </w:tcPr>
          <w:p>
            <w:pPr>
              <w:spacing w:after="20"/>
              <w:jc w:val="right"/>
            </w:pPr>
            <w:r>
              <w:rPr>
                <w:color w:val="1C3A36"/>
                <w:sz w:val="13"/>
              </w:rPr>
              <w:t>0.15 / 0.134 / 0.121 / 0.113 / 0.1</w:t>
            </w:r>
          </w:p>
        </w:tc>
        <w:tc>
          <w:tcPr>
            <w:tcW w:type="dxa" w:w="1080"/>
          </w:tcPr>
          <w:p>
            <w:pPr>
              <w:spacing w:after="20"/>
              <w:jc w:val="right"/>
            </w:pPr>
            <w:r>
              <w:rPr>
                <w:color w:val="1C3A36"/>
                <w:sz w:val="13"/>
              </w:rPr>
              <w:t>2026-09-10</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Income from Murabaha, Musharaka, Mudaraba and similar income over AVERAGE total assets. FY2025 actual 16.23%; the six months to June 2026 annualise to 15.30%. The path falls with the CBE's published policy glide (19.00 -&gt; 12.00) at an asset beta of about 0.75, which is what an Egyptian bank holding treasury bills and floating-rate corporate paper reprices at. IT IS AN INPUT; net interest margin is not.</w:t>
            </w:r>
          </w:p>
        </w:tc>
      </w:tr>
      <w:tr>
        <w:tc>
          <w:tcPr>
            <w:tcW w:type="dxa" w:w="1800"/>
          </w:tcPr>
          <w:p>
            <w:pPr>
              <w:spacing w:after="20"/>
            </w:pPr>
            <w:r>
              <w:rPr>
                <w:color w:val="1C3A36"/>
                <w:sz w:val="13"/>
              </w:rPr>
              <w:t>assets fy2024</w:t>
            </w:r>
          </w:p>
        </w:tc>
        <w:tc>
          <w:tcPr>
            <w:tcW w:type="dxa" w:w="1440"/>
          </w:tcPr>
          <w:p>
            <w:pPr>
              <w:spacing w:after="20"/>
              <w:jc w:val="right"/>
            </w:pPr>
            <w:r>
              <w:rPr>
                <w:color w:val="1C3A36"/>
                <w:sz w:val="13"/>
              </w:rPr>
              <w:t>260467</w:t>
            </w:r>
          </w:p>
        </w:tc>
        <w:tc>
          <w:tcPr>
            <w:tcW w:type="dxa" w:w="1080"/>
          </w:tcPr>
          <w:p>
            <w:pPr>
              <w:spacing w:after="20"/>
              <w:jc w:val="right"/>
            </w:pPr>
            <w:r>
              <w:rPr>
                <w:color w:val="1C3A36"/>
                <w:sz w:val="13"/>
              </w:rPr>
              <w:t>2026-02-05</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The audited consolidated financial statements for the year ended 31 December 2024, as the comparative column of the FY2025 filing.</w:t>
            </w:r>
          </w:p>
        </w:tc>
      </w:tr>
      <w:tr>
        <w:tc>
          <w:tcPr>
            <w:tcW w:type="dxa" w:w="1800"/>
          </w:tcPr>
          <w:p>
            <w:pPr>
              <w:spacing w:after="20"/>
            </w:pPr>
            <w:r>
              <w:rPr>
                <w:color w:val="1C3A36"/>
                <w:sz w:val="13"/>
              </w:rPr>
              <w:t>assets fy2025</w:t>
            </w:r>
          </w:p>
        </w:tc>
        <w:tc>
          <w:tcPr>
            <w:tcW w:type="dxa" w:w="1440"/>
          </w:tcPr>
          <w:p>
            <w:pPr>
              <w:spacing w:after="20"/>
              <w:jc w:val="right"/>
            </w:pPr>
            <w:r>
              <w:rPr>
                <w:color w:val="1C3A36"/>
                <w:sz w:val="13"/>
              </w:rPr>
              <w:t>346711</w:t>
            </w:r>
          </w:p>
        </w:tc>
        <w:tc>
          <w:tcPr>
            <w:tcW w:type="dxa" w:w="1080"/>
          </w:tcPr>
          <w:p>
            <w:pPr>
              <w:spacing w:after="20"/>
              <w:jc w:val="right"/>
            </w:pPr>
            <w:r>
              <w:rPr>
                <w:color w:val="1C3A36"/>
                <w:sz w:val="13"/>
              </w:rPr>
              <w:t>2026-02-05</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The audited consolidated financial statements for the year ended 31 December 2025, signed in Cairo on 5 February 2026 — read from the filing itself; the statement foots.</w:t>
            </w:r>
          </w:p>
        </w:tc>
      </w:tr>
      <w:tr>
        <w:tc>
          <w:tcPr>
            <w:tcW w:type="dxa" w:w="1800"/>
          </w:tcPr>
          <w:p>
            <w:pPr>
              <w:spacing w:after="20"/>
            </w:pPr>
            <w:r>
              <w:rPr>
                <w:color w:val="1C3A36"/>
                <w:sz w:val="13"/>
              </w:rPr>
              <w:t>assets h1 2026</w:t>
            </w:r>
          </w:p>
        </w:tc>
        <w:tc>
          <w:tcPr>
            <w:tcW w:type="dxa" w:w="1440"/>
          </w:tcPr>
          <w:p>
            <w:pPr>
              <w:spacing w:after="20"/>
              <w:jc w:val="right"/>
            </w:pPr>
            <w:r>
              <w:rPr>
                <w:color w:val="1C3A36"/>
                <w:sz w:val="13"/>
              </w:rPr>
              <w:t>414302</w:t>
            </w:r>
          </w:p>
        </w:tc>
        <w:tc>
          <w:tcPr>
            <w:tcW w:type="dxa" w:w="1080"/>
          </w:tcPr>
          <w:p>
            <w:pPr>
              <w:spacing w:after="20"/>
              <w:jc w:val="right"/>
            </w:pPr>
            <w:r>
              <w:rPr>
                <w:color w:val="1C3A36"/>
                <w:sz w:val="13"/>
              </w:rPr>
              <w:t>2026-07-30</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The condensed consolidated interim financial statements for the six months ended 30 June 2026, limited review, signed 30 July 2026.</w:t>
            </w:r>
          </w:p>
        </w:tc>
      </w:tr>
      <w:tr>
        <w:tc>
          <w:tcPr>
            <w:tcW w:type="dxa" w:w="1800"/>
          </w:tcPr>
          <w:p>
            <w:pPr>
              <w:spacing w:after="20"/>
            </w:pPr>
            <w:r>
              <w:rPr>
                <w:color w:val="1C3A36"/>
                <w:sz w:val="13"/>
              </w:rPr>
              <w:t>band construction</w:t>
            </w:r>
          </w:p>
        </w:tc>
        <w:tc>
          <w:tcPr>
            <w:tcW w:type="dxa" w:w="1440"/>
          </w:tcPr>
          <w:p>
            <w:pPr>
              <w:spacing w:after="20"/>
              <w:jc w:val="right"/>
            </w:pPr>
            <w:r>
              <w:rPr>
                <w:color w:val="1C3A36"/>
                <w:sz w:val="13"/>
              </w:rPr>
              <w:t>the range of the present-value rea</w:t>
            </w:r>
          </w:p>
        </w:tc>
        <w:tc>
          <w:tcPr>
            <w:tcW w:type="dxa" w:w="1080"/>
          </w:tcPr>
          <w:p>
            <w:pPr>
              <w:spacing w:after="20"/>
              <w:jc w:val="right"/>
            </w:pPr>
            <w:r>
              <w:rPr>
                <w:color w:val="1C3A36"/>
                <w:sz w:val="13"/>
              </w:rPr>
              <w:t>2026-09-10</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Bear is the free-cash-flow-to-equity read, full the residual-income read, and the central the dividend-discount primary between them. THE ENVELOPE IS NARROW BECAUSE THE THREE LENSES AGREE, AND THAT IS A STATEMENT ABOUT LENS AGREEMENT RATHER THAN ABOUT FORECAST CONFIDENCE. The fundamental walk-forward beneath this study measured a three-year attributable-profit dispersion of x0.29 to x1.48 on eight cells; that distribution sets</w:t>
            </w:r>
          </w:p>
        </w:tc>
      </w:tr>
      <w:tr>
        <w:tc>
          <w:tcPr>
            <w:tcW w:type="dxa" w:w="1800"/>
          </w:tcPr>
          <w:p>
            <w:pPr>
              <w:spacing w:after="20"/>
            </w:pPr>
            <w:r>
              <w:rPr>
                <w:color w:val="1C3A36"/>
                <w:sz w:val="13"/>
              </w:rPr>
              <w:t>base year</w:t>
            </w:r>
          </w:p>
        </w:tc>
        <w:tc>
          <w:tcPr>
            <w:tcW w:type="dxa" w:w="1440"/>
          </w:tcPr>
          <w:p>
            <w:pPr>
              <w:spacing w:after="20"/>
              <w:jc w:val="right"/>
            </w:pPr>
            <w:r>
              <w:rPr>
                <w:color w:val="1C3A36"/>
                <w:sz w:val="13"/>
              </w:rPr>
              <w:t>FY2025</w:t>
            </w:r>
          </w:p>
        </w:tc>
        <w:tc>
          <w:tcPr>
            <w:tcW w:type="dxa" w:w="1080"/>
          </w:tcPr>
          <w:p>
            <w:pPr>
              <w:spacing w:after="20"/>
              <w:jc w:val="right"/>
            </w:pPr>
            <w:r>
              <w:rPr>
                <w:color w:val="1C3A36"/>
                <w:sz w:val="13"/>
              </w:rPr>
              <w:t>2026-02-05</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The audited consolidated financial statements for the year ended 31 December 2025, signed in Cairo on 5 February 2026. Attributable profit EGP 12,588.6 million, total assets EGP 346,711.2 million, attributable equity EGP 34,596.3 million. Every figure is read from the filing itself and the statement foots.</w:t>
            </w:r>
          </w:p>
        </w:tc>
      </w:tr>
      <w:tr>
        <w:tc>
          <w:tcPr>
            <w:tcW w:type="dxa" w:w="1800"/>
          </w:tcPr>
          <w:p>
            <w:pPr>
              <w:spacing w:after="20"/>
            </w:pPr>
            <w:r>
              <w:rPr>
                <w:color w:val="1C3A36"/>
                <w:sz w:val="13"/>
              </w:rPr>
              <w:t>beta</w:t>
            </w:r>
          </w:p>
        </w:tc>
        <w:tc>
          <w:tcPr>
            <w:tcW w:type="dxa" w:w="1440"/>
          </w:tcPr>
          <w:p>
            <w:pPr>
              <w:spacing w:after="20"/>
              <w:jc w:val="right"/>
            </w:pPr>
            <w:r>
              <w:rPr>
                <w:color w:val="1C3A36"/>
                <w:sz w:val="13"/>
              </w:rPr>
              <w:t>1.07469</w:t>
            </w:r>
          </w:p>
        </w:tc>
        <w:tc>
          <w:tcPr>
            <w:tcW w:type="dxa" w:w="1080"/>
          </w:tcPr>
          <w:p>
            <w:pPr>
              <w:spacing w:after="20"/>
              <w:jc w:val="right"/>
            </w:pPr>
            <w:r>
              <w:rPr>
                <w:color w:val="1C3A36"/>
                <w:sz w:val="13"/>
              </w:rPr>
              <w:t>2026-09-08</w:t>
            </w:r>
          </w:p>
        </w:tc>
        <w:tc>
          <w:tcPr>
            <w:tcW w:type="dxa" w:w="720"/>
          </w:tcPr>
          <w:p>
            <w:pPr>
              <w:spacing w:after="20"/>
              <w:jc w:val="right"/>
            </w:pPr>
            <w:r>
              <w:rPr>
                <w:color w:val="1C3A36"/>
                <w:sz w:val="13"/>
              </w:rPr>
              <w:t>Market</w:t>
            </w:r>
          </w:p>
        </w:tc>
        <w:tc>
          <w:tcPr>
            <w:tcW w:type="dxa" w:w="5040"/>
          </w:tcPr>
          <w:p>
            <w:pPr>
              <w:spacing w:after="20"/>
              <w:jc w:val="right"/>
            </w:pPr>
            <w:r>
              <w:rPr>
                <w:color w:val="1C3A36"/>
                <w:sz w:val="13"/>
              </w:rPr>
              <w:t>Own-stock first-tier weekly regression against EGX30 — THE PUBLISHED INDEX OF THE EXCHANGE THIS STOCK IS LISTED ON — resolved by beta_regression.own_stock_beta() rather than hand-rolled. Beta 1.0747, R-squared 0.248, n = 256 weekly observations over 4.94 years to 2026-08-20, standard error 0.1634, 90% confidence interval [0.806, 1.344], Dimson-corrected and matched to the exchange's own trading week (W-THU). The coefficient is</w:t>
            </w:r>
          </w:p>
        </w:tc>
      </w:tr>
      <w:tr>
        <w:tc>
          <w:tcPr>
            <w:tcW w:type="dxa" w:w="1800"/>
          </w:tcPr>
          <w:p>
            <w:pPr>
              <w:spacing w:after="20"/>
            </w:pPr>
            <w:r>
              <w:rPr>
                <w:color w:val="1C3A36"/>
                <w:sz w:val="13"/>
              </w:rPr>
              <w:t>capital increase 2026</w:t>
            </w:r>
          </w:p>
        </w:tc>
        <w:tc>
          <w:tcPr>
            <w:tcW w:type="dxa" w:w="1440"/>
          </w:tcPr>
          <w:p>
            <w:pPr>
              <w:spacing w:after="20"/>
              <w:jc w:val="right"/>
            </w:pPr>
            <w:r>
              <w:rPr>
                <w:color w:val="1C3A36"/>
                <w:sz w:val="13"/>
              </w:rPr>
              <w:t>3000</w:t>
            </w:r>
          </w:p>
        </w:tc>
        <w:tc>
          <w:tcPr>
            <w:tcW w:type="dxa" w:w="1080"/>
          </w:tcPr>
          <w:p>
            <w:pPr>
              <w:spacing w:after="20"/>
              <w:jc w:val="right"/>
            </w:pPr>
            <w:r>
              <w:rPr>
                <w:color w:val="1C3A36"/>
                <w:sz w:val="13"/>
              </w:rPr>
              <w:t>2026-06-30</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The EGP 3,000 million cash capital increase completed in the first half of 2026, taking issued capital from EGP 12 billion to EGP 15 billion — 300 million new shares at the LE 10 par. IT WAS ISSUED AT PAR, far below book: attributable book value per share was EGP 28.83 at 31 December 2025 on 1,200 million shares and EGP 29.04 at 30 June 2026 on 1,500 million, so a half-year at a 38.6% return on equity bought existing holders 0</w:t>
            </w:r>
          </w:p>
        </w:tc>
      </w:tr>
      <w:tr>
        <w:tc>
          <w:tcPr>
            <w:tcW w:type="dxa" w:w="1800"/>
          </w:tcPr>
          <w:p>
            <w:pPr>
              <w:spacing w:after="20"/>
            </w:pPr>
            <w:r>
              <w:rPr>
                <w:color w:val="1C3A36"/>
                <w:sz w:val="13"/>
              </w:rPr>
              <w:t>cost funds fy2025</w:t>
            </w:r>
          </w:p>
        </w:tc>
        <w:tc>
          <w:tcPr>
            <w:tcW w:type="dxa" w:w="1440"/>
          </w:tcPr>
          <w:p>
            <w:pPr>
              <w:spacing w:after="20"/>
              <w:jc w:val="right"/>
            </w:pPr>
            <w:r>
              <w:rPr>
                <w:color w:val="1C3A36"/>
                <w:sz w:val="13"/>
              </w:rPr>
              <w:t>-29110.1</w:t>
            </w:r>
          </w:p>
        </w:tc>
        <w:tc>
          <w:tcPr>
            <w:tcW w:type="dxa" w:w="1080"/>
          </w:tcPr>
          <w:p>
            <w:pPr>
              <w:spacing w:after="20"/>
              <w:jc w:val="right"/>
            </w:pPr>
            <w:r>
              <w:rPr>
                <w:color w:val="1C3A36"/>
                <w:sz w:val="13"/>
              </w:rPr>
              <w:t>2026-02-05</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The audited consolidated financial statements for the year ended 31 December 2025, signed in Cairo on 5 February 2026 — read from the filing itself; the statement foots.</w:t>
            </w:r>
          </w:p>
        </w:tc>
      </w:tr>
      <w:tr>
        <w:tc>
          <w:tcPr>
            <w:tcW w:type="dxa" w:w="1800"/>
          </w:tcPr>
          <w:p>
            <w:pPr>
              <w:spacing w:after="20"/>
            </w:pPr>
            <w:r>
              <w:rPr>
                <w:color w:val="1C3A36"/>
                <w:sz w:val="13"/>
              </w:rPr>
              <w:t>cost of funds</w:t>
            </w:r>
          </w:p>
        </w:tc>
        <w:tc>
          <w:tcPr>
            <w:tcW w:type="dxa" w:w="1440"/>
          </w:tcPr>
          <w:p>
            <w:pPr>
              <w:spacing w:after="20"/>
              <w:jc w:val="right"/>
            </w:pPr>
            <w:r>
              <w:rPr>
                <w:color w:val="1C3A36"/>
                <w:sz w:val="13"/>
              </w:rPr>
              <w:t>0.106 / 0.092 / 0.081 / 0.074 / 0.</w:t>
            </w:r>
          </w:p>
        </w:tc>
        <w:tc>
          <w:tcPr>
            <w:tcW w:type="dxa" w:w="1080"/>
          </w:tcPr>
          <w:p>
            <w:pPr>
              <w:spacing w:after="20"/>
              <w:jc w:val="right"/>
            </w:pPr>
            <w:r>
              <w:rPr>
                <w:color w:val="1C3A36"/>
                <w:sz w:val="13"/>
              </w:rPr>
              <w:t>2026-09-10</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Cost of deposits and similar costs over AVERAGE INTEREST-BEARING LIABILITIES — customers' deposits plus due to banks plus subordinated financing, and nothing else. FY2025 actual 11.22%. Total liabilities is NOT the denominator: at FY2025 it would add EGP 17.9 billion of other liabilities, current tax and provisions that pay nothing, and understate the funding rate by about a sixth of itself. The path falls at a deposit beta of</w:t>
            </w:r>
          </w:p>
        </w:tc>
      </w:tr>
      <w:tr>
        <w:tc>
          <w:tcPr>
            <w:tcW w:type="dxa" w:w="1800"/>
          </w:tcPr>
          <w:p>
            <w:pPr>
              <w:spacing w:after="20"/>
            </w:pPr>
            <w:r>
              <w:rPr>
                <w:color w:val="1C3A36"/>
                <w:sz w:val="13"/>
              </w:rPr>
              <w:t>cost of risk</w:t>
            </w:r>
          </w:p>
        </w:tc>
        <w:tc>
          <w:tcPr>
            <w:tcW w:type="dxa" w:w="1440"/>
          </w:tcPr>
          <w:p>
            <w:pPr>
              <w:spacing w:after="20"/>
              <w:jc w:val="right"/>
            </w:pPr>
            <w:r>
              <w:rPr>
                <w:color w:val="1C3A36"/>
                <w:sz w:val="13"/>
              </w:rPr>
              <w:t>0.01 / 0.013 / 0.013 / 0.013 / 0.0</w:t>
            </w:r>
          </w:p>
        </w:tc>
        <w:tc>
          <w:tcPr>
            <w:tcW w:type="dxa" w:w="1080"/>
          </w:tcPr>
          <w:p>
            <w:pPr>
              <w:spacing w:after="20"/>
              <w:jc w:val="right"/>
            </w:pPr>
            <w:r>
              <w:rPr>
                <w:color w:val="1C3A36"/>
                <w:sz w:val="13"/>
              </w:rPr>
              <w:t>2026-09-10</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Expected credit losses over AVERAGE net financing to customers. The observed series is 1.64% (FY2022), 2.73% (FY2023), 2.73% (FY2024), 1.25% (FY2025) and effectively ZERO in the June 2026 half — EGP 2.176 million on a EGP 190 billion book. FY2026 is set at 1.00%, above the half-year run rate and below the four-year mean of 2.09%; the outer years at 1.30% sit between the two. ANNUALISING THE JUNE HALF WOULD HAVE ADDED ABOUT EGP</w:t>
            </w:r>
          </w:p>
        </w:tc>
      </w:tr>
      <w:tr>
        <w:tc>
          <w:tcPr>
            <w:tcW w:type="dxa" w:w="1800"/>
          </w:tcPr>
          <w:p>
            <w:pPr>
              <w:spacing w:after="20"/>
            </w:pPr>
            <w:r>
              <w:rPr>
                <w:color w:val="1C3A36"/>
                <w:sz w:val="13"/>
              </w:rPr>
              <w:t>crp cds dataset</w:t>
            </w:r>
          </w:p>
        </w:tc>
        <w:tc>
          <w:tcPr>
            <w:tcW w:type="dxa" w:w="1440"/>
          </w:tcPr>
          <w:p>
            <w:pPr>
              <w:spacing w:after="20"/>
              <w:jc w:val="right"/>
            </w:pPr>
            <w:r>
              <w:rPr>
                <w:color w:val="1C3A36"/>
                <w:sz w:val="13"/>
              </w:rPr>
              <w:t>0.053164</w:t>
            </w:r>
          </w:p>
        </w:tc>
        <w:tc>
          <w:tcPr>
            <w:tcW w:type="dxa" w:w="1080"/>
          </w:tcPr>
          <w:p>
            <w:pPr>
              <w:spacing w:after="20"/>
              <w:jc w:val="right"/>
            </w:pPr>
            <w:r>
              <w:rPr>
                <w:color w:val="1C3A36"/>
                <w:sz w:val="13"/>
              </w:rPr>
              <w:t>2026-07-02</w:t>
            </w:r>
          </w:p>
        </w:tc>
        <w:tc>
          <w:tcPr>
            <w:tcW w:type="dxa" w:w="720"/>
          </w:tcPr>
          <w:p>
            <w:pPr>
              <w:spacing w:after="20"/>
              <w:jc w:val="right"/>
            </w:pPr>
            <w:r>
              <w:rPr>
                <w:color w:val="1C3A36"/>
                <w:sz w:val="13"/>
              </w:rPr>
              <w:t>Country</w:t>
            </w:r>
          </w:p>
        </w:tc>
        <w:tc>
          <w:tcPr>
            <w:tcW w:type="dxa" w:w="5040"/>
          </w:tcPr>
          <w:p>
            <w:pPr>
              <w:spacing w:after="20"/>
              <w:jc w:val="right"/>
            </w:pPr>
            <w:r>
              <w:rPr>
                <w:color w:val="1C3A36"/>
                <w:sz w:val="13"/>
              </w:rPr>
              <w:t>Egypt COUNTRY risk premium on the sovereign-credit-default-swap basis, 5.3164%, from the mid-year (July 2026) vintage of the country default-spread and risk-premium dataset, Egypt row, own column. IT IS NOT ADDED TO THE COST OF EQUITY: the TOTAL premium this study uses already contains it, and the figure is carried so a reader checking the dataset's own country column finds the number this study would call by that name.</w:t>
            </w:r>
          </w:p>
        </w:tc>
      </w:tr>
      <w:tr>
        <w:tc>
          <w:tcPr>
            <w:tcW w:type="dxa" w:w="1800"/>
          </w:tcPr>
          <w:p>
            <w:pPr>
              <w:spacing w:after="20"/>
            </w:pPr>
            <w:r>
              <w:rPr>
                <w:color w:val="1C3A36"/>
                <w:sz w:val="13"/>
              </w:rPr>
              <w:t>ecl fy2025</w:t>
            </w:r>
          </w:p>
        </w:tc>
        <w:tc>
          <w:tcPr>
            <w:tcW w:type="dxa" w:w="1440"/>
          </w:tcPr>
          <w:p>
            <w:pPr>
              <w:spacing w:after="20"/>
              <w:jc w:val="right"/>
            </w:pPr>
            <w:r>
              <w:rPr>
                <w:color w:val="1C3A36"/>
                <w:sz w:val="13"/>
              </w:rPr>
              <w:t>-1514.06</w:t>
            </w:r>
          </w:p>
        </w:tc>
        <w:tc>
          <w:tcPr>
            <w:tcW w:type="dxa" w:w="1080"/>
          </w:tcPr>
          <w:p>
            <w:pPr>
              <w:spacing w:after="20"/>
              <w:jc w:val="right"/>
            </w:pPr>
            <w:r>
              <w:rPr>
                <w:color w:val="1C3A36"/>
                <w:sz w:val="13"/>
              </w:rPr>
              <w:t>2026-02-05</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The audited consolidated financial statements for the year ended 31 December 2025, signed in Cairo on 5 February 2026 — read from the filing itself; the statement foots.</w:t>
            </w:r>
          </w:p>
        </w:tc>
      </w:tr>
      <w:tr>
        <w:tc>
          <w:tcPr>
            <w:tcW w:type="dxa" w:w="1800"/>
          </w:tcPr>
          <w:p>
            <w:pPr>
              <w:spacing w:after="20"/>
            </w:pPr>
            <w:r>
              <w:rPr>
                <w:color w:val="1C3A36"/>
                <w:sz w:val="13"/>
              </w:rPr>
              <w:t>eps fy25</w:t>
            </w:r>
          </w:p>
        </w:tc>
        <w:tc>
          <w:tcPr>
            <w:tcW w:type="dxa" w:w="1440"/>
          </w:tcPr>
          <w:p>
            <w:pPr>
              <w:spacing w:after="20"/>
              <w:jc w:val="right"/>
            </w:pPr>
            <w:r>
              <w:rPr>
                <w:color w:val="1C3A36"/>
                <w:sz w:val="13"/>
              </w:rPr>
              <w:t>11.25</w:t>
            </w:r>
          </w:p>
        </w:tc>
        <w:tc>
          <w:tcPr>
            <w:tcW w:type="dxa" w:w="1080"/>
          </w:tcPr>
          <w:p>
            <w:pPr>
              <w:spacing w:after="20"/>
              <w:jc w:val="right"/>
            </w:pPr>
            <w:r>
              <w:rPr>
                <w:color w:val="1C3A36"/>
                <w:sz w:val="13"/>
              </w:rPr>
              <w:t>2025-12-31</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ADIB-Egypt audited consolidated financial statements for the year ended 31 December 2025, earnings-per-share note. The count it implies, 12,588,572 / 11.25 = 1,119mn, is the weighted average over a capital-increase year and is NOT the count this study divides by; the difference is named in the eps_reconciliation record rather than reconciled away.</w:t>
            </w:r>
          </w:p>
        </w:tc>
      </w:tr>
      <w:tr>
        <w:tc>
          <w:tcPr>
            <w:tcW w:type="dxa" w:w="1800"/>
          </w:tcPr>
          <w:p>
            <w:pPr>
              <w:spacing w:after="20"/>
            </w:pPr>
            <w:r>
              <w:rPr>
                <w:color w:val="1C3A36"/>
                <w:sz w:val="13"/>
              </w:rPr>
              <w:t>equity fy2024</w:t>
            </w:r>
          </w:p>
        </w:tc>
        <w:tc>
          <w:tcPr>
            <w:tcW w:type="dxa" w:w="1440"/>
          </w:tcPr>
          <w:p>
            <w:pPr>
              <w:spacing w:after="20"/>
              <w:jc w:val="right"/>
            </w:pPr>
            <w:r>
              <w:rPr>
                <w:color w:val="1C3A36"/>
                <w:sz w:val="13"/>
              </w:rPr>
              <w:t>22958.7</w:t>
            </w:r>
          </w:p>
        </w:tc>
        <w:tc>
          <w:tcPr>
            <w:tcW w:type="dxa" w:w="1080"/>
          </w:tcPr>
          <w:p>
            <w:pPr>
              <w:spacing w:after="20"/>
              <w:jc w:val="right"/>
            </w:pPr>
            <w:r>
              <w:rPr>
                <w:color w:val="1C3A36"/>
                <w:sz w:val="13"/>
              </w:rPr>
              <w:t>2026-02-05</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The audited consolidated financial statements for the year ended 31 December 2024, as the comparative column of the FY2025 filing.</w:t>
            </w:r>
          </w:p>
        </w:tc>
      </w:tr>
      <w:tr>
        <w:tc>
          <w:tcPr>
            <w:tcW w:type="dxa" w:w="1800"/>
          </w:tcPr>
          <w:p>
            <w:pPr>
              <w:spacing w:after="20"/>
            </w:pPr>
            <w:r>
              <w:rPr>
                <w:color w:val="1C3A36"/>
                <w:sz w:val="13"/>
              </w:rPr>
              <w:t>equity fy2025</w:t>
            </w:r>
          </w:p>
        </w:tc>
        <w:tc>
          <w:tcPr>
            <w:tcW w:type="dxa" w:w="1440"/>
          </w:tcPr>
          <w:p>
            <w:pPr>
              <w:spacing w:after="20"/>
              <w:jc w:val="right"/>
            </w:pPr>
            <w:r>
              <w:rPr>
                <w:color w:val="1C3A36"/>
                <w:sz w:val="13"/>
              </w:rPr>
              <w:t>34596.3</w:t>
            </w:r>
          </w:p>
        </w:tc>
        <w:tc>
          <w:tcPr>
            <w:tcW w:type="dxa" w:w="1080"/>
          </w:tcPr>
          <w:p>
            <w:pPr>
              <w:spacing w:after="20"/>
              <w:jc w:val="right"/>
            </w:pPr>
            <w:r>
              <w:rPr>
                <w:color w:val="1C3A36"/>
                <w:sz w:val="13"/>
              </w:rPr>
              <w:t>2026-02-05</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The audited consolidated financial statements for the year ended 31 December 2025, signed in Cairo on 5 February 2026 — read from the filing itself; the statement foots.</w:t>
            </w:r>
          </w:p>
        </w:tc>
      </w:tr>
      <w:tr>
        <w:tc>
          <w:tcPr>
            <w:tcW w:type="dxa" w:w="1800"/>
          </w:tcPr>
          <w:p>
            <w:pPr>
              <w:spacing w:after="20"/>
            </w:pPr>
            <w:r>
              <w:rPr>
                <w:color w:val="1C3A36"/>
                <w:sz w:val="13"/>
              </w:rPr>
              <w:t>equity h1 2026</w:t>
            </w:r>
          </w:p>
        </w:tc>
        <w:tc>
          <w:tcPr>
            <w:tcW w:type="dxa" w:w="1440"/>
          </w:tcPr>
          <w:p>
            <w:pPr>
              <w:spacing w:after="20"/>
              <w:jc w:val="right"/>
            </w:pPr>
            <w:r>
              <w:rPr>
                <w:color w:val="1C3A36"/>
                <w:sz w:val="13"/>
              </w:rPr>
              <w:t>43557.9</w:t>
            </w:r>
          </w:p>
        </w:tc>
        <w:tc>
          <w:tcPr>
            <w:tcW w:type="dxa" w:w="1080"/>
          </w:tcPr>
          <w:p>
            <w:pPr>
              <w:spacing w:after="20"/>
              <w:jc w:val="right"/>
            </w:pPr>
            <w:r>
              <w:rPr>
                <w:color w:val="1C3A36"/>
                <w:sz w:val="13"/>
              </w:rPr>
              <w:t>2026-07-30</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The condensed consolidated interim financial statements for the six months ended 30 June 2026, limited review, signed 30 July 2026.</w:t>
            </w:r>
          </w:p>
        </w:tc>
      </w:tr>
      <w:tr>
        <w:tc>
          <w:tcPr>
            <w:tcW w:type="dxa" w:w="1800"/>
          </w:tcPr>
          <w:p>
            <w:pPr>
              <w:spacing w:after="20"/>
            </w:pPr>
            <w:r>
              <w:rPr>
                <w:color w:val="1C3A36"/>
                <w:sz w:val="13"/>
              </w:rPr>
              <w:t>erp</w:t>
            </w:r>
          </w:p>
        </w:tc>
        <w:tc>
          <w:tcPr>
            <w:tcW w:type="dxa" w:w="1440"/>
          </w:tcPr>
          <w:p>
            <w:pPr>
              <w:spacing w:after="20"/>
              <w:jc w:val="right"/>
            </w:pPr>
            <w:r>
              <w:rPr>
                <w:color w:val="1C3A36"/>
                <w:sz w:val="13"/>
              </w:rPr>
              <w:t>0.095164</w:t>
            </w:r>
          </w:p>
        </w:tc>
        <w:tc>
          <w:tcPr>
            <w:tcW w:type="dxa" w:w="1080"/>
          </w:tcPr>
          <w:p>
            <w:pPr>
              <w:spacing w:after="20"/>
              <w:jc w:val="right"/>
            </w:pPr>
            <w:r>
              <w:rPr>
                <w:color w:val="1C3A36"/>
                <w:sz w:val="13"/>
              </w:rPr>
              <w:t>2026-07-02</w:t>
            </w:r>
          </w:p>
        </w:tc>
        <w:tc>
          <w:tcPr>
            <w:tcW w:type="dxa" w:w="720"/>
          </w:tcPr>
          <w:p>
            <w:pPr>
              <w:spacing w:after="20"/>
              <w:jc w:val="right"/>
            </w:pPr>
            <w:r>
              <w:rPr>
                <w:color w:val="1C3A36"/>
                <w:sz w:val="13"/>
              </w:rPr>
              <w:t>Country</w:t>
            </w:r>
          </w:p>
        </w:tc>
        <w:tc>
          <w:tcPr>
            <w:tcW w:type="dxa" w:w="5040"/>
          </w:tcPr>
          <w:p>
            <w:pPr>
              <w:spacing w:after="20"/>
              <w:jc w:val="right"/>
            </w:pPr>
            <w:r>
              <w:rPr>
                <w:color w:val="1C3A36"/>
                <w:sz w:val="13"/>
              </w:rPr>
              <w:t>Egypt TOTAL equity risk premium on the sovereign-CDS basis, 9.5164%, same mid-year vintage. This is the dataset's TOTAL premium column, not its country premium column — the total is what multiplies beta. The country risk premium alone on this basis is 5.3164% and is NOT added on top.</w:t>
            </w:r>
          </w:p>
        </w:tc>
      </w:tr>
      <w:tr>
        <w:tc>
          <w:tcPr>
            <w:tcW w:type="dxa" w:w="1800"/>
          </w:tcPr>
          <w:p>
            <w:pPr>
              <w:spacing w:after="20"/>
            </w:pPr>
            <w:r>
              <w:rPr>
                <w:color w:val="1C3A36"/>
                <w:sz w:val="13"/>
              </w:rPr>
              <w:t>erp rating</w:t>
            </w:r>
          </w:p>
        </w:tc>
        <w:tc>
          <w:tcPr>
            <w:tcW w:type="dxa" w:w="1440"/>
          </w:tcPr>
          <w:p>
            <w:pPr>
              <w:spacing w:after="20"/>
              <w:jc w:val="right"/>
            </w:pPr>
            <w:r>
              <w:rPr>
                <w:color w:val="1C3A36"/>
                <w:sz w:val="13"/>
              </w:rPr>
              <w:t>0.134806</w:t>
            </w:r>
          </w:p>
        </w:tc>
        <w:tc>
          <w:tcPr>
            <w:tcW w:type="dxa" w:w="1080"/>
          </w:tcPr>
          <w:p>
            <w:pPr>
              <w:spacing w:after="20"/>
              <w:jc w:val="right"/>
            </w:pPr>
            <w:r>
              <w:rPr>
                <w:color w:val="1C3A36"/>
                <w:sz w:val="13"/>
              </w:rPr>
              <w:t>2026-07-02</w:t>
            </w:r>
          </w:p>
        </w:tc>
        <w:tc>
          <w:tcPr>
            <w:tcW w:type="dxa" w:w="720"/>
          </w:tcPr>
          <w:p>
            <w:pPr>
              <w:spacing w:after="20"/>
              <w:jc w:val="right"/>
            </w:pPr>
            <w:r>
              <w:rPr>
                <w:color w:val="1C3A36"/>
                <w:sz w:val="13"/>
              </w:rPr>
              <w:t>Country</w:t>
            </w:r>
          </w:p>
        </w:tc>
        <w:tc>
          <w:tcPr>
            <w:tcW w:type="dxa" w:w="5040"/>
          </w:tcPr>
          <w:p>
            <w:pPr>
              <w:spacing w:after="20"/>
              <w:jc w:val="right"/>
            </w:pPr>
            <w:r>
              <w:rPr>
                <w:color w:val="1C3A36"/>
                <w:sz w:val="13"/>
              </w:rPr>
              <w:t>Egypt TOTAL equity risk premium on the rating basis, 13.4806%, same vintage.</w:t>
            </w:r>
          </w:p>
        </w:tc>
      </w:tr>
      <w:tr>
        <w:tc>
          <w:tcPr>
            <w:tcW w:type="dxa" w:w="1800"/>
          </w:tcPr>
          <w:p>
            <w:pPr>
              <w:spacing w:after="20"/>
            </w:pPr>
            <w:r>
              <w:rPr>
                <w:color w:val="1C3A36"/>
                <w:sz w:val="13"/>
              </w:rPr>
              <w:t>erp terminal</w:t>
            </w:r>
          </w:p>
        </w:tc>
        <w:tc>
          <w:tcPr>
            <w:tcW w:type="dxa" w:w="1440"/>
          </w:tcPr>
          <w:p>
            <w:pPr>
              <w:spacing w:after="20"/>
              <w:jc w:val="right"/>
            </w:pPr>
            <w:r>
              <w:rPr>
                <w:color w:val="1C3A36"/>
                <w:sz w:val="13"/>
              </w:rPr>
              <w:t>0.07</w:t>
            </w:r>
          </w:p>
        </w:tc>
        <w:tc>
          <w:tcPr>
            <w:tcW w:type="dxa" w:w="1080"/>
          </w:tcPr>
          <w:p>
            <w:pPr>
              <w:spacing w:after="20"/>
              <w:jc w:val="right"/>
            </w:pPr>
            <w:r>
              <w:rPr>
                <w:color w:val="1C3A36"/>
                <w:sz w:val="13"/>
              </w:rPr>
              <w:t>2026-09-02</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Terminal equity risk premium, 7.00%, normalised below today's crisis-era level toward the rating-class norm; never held flat into perpetuity.</w:t>
            </w:r>
          </w:p>
        </w:tc>
      </w:tr>
      <w:tr>
        <w:tc>
          <w:tcPr>
            <w:tcW w:type="dxa" w:w="1800"/>
          </w:tcPr>
          <w:p>
            <w:pPr>
              <w:spacing w:after="20"/>
            </w:pPr>
            <w:r>
              <w:rPr>
                <w:color w:val="1C3A36"/>
                <w:sz w:val="13"/>
              </w:rPr>
              <w:t>fee ratio</w:t>
            </w:r>
          </w:p>
        </w:tc>
        <w:tc>
          <w:tcPr>
            <w:tcW w:type="dxa" w:w="1440"/>
          </w:tcPr>
          <w:p>
            <w:pPr>
              <w:spacing w:after="20"/>
              <w:jc w:val="right"/>
            </w:pPr>
            <w:r>
              <w:rPr>
                <w:color w:val="1C3A36"/>
                <w:sz w:val="13"/>
              </w:rPr>
              <w:t>0.008 / 0.0082 / 0.0084 / 0.0085 /</w:t>
            </w:r>
          </w:p>
        </w:tc>
        <w:tc>
          <w:tcPr>
            <w:tcW w:type="dxa" w:w="1080"/>
          </w:tcPr>
          <w:p>
            <w:pPr>
              <w:spacing w:after="20"/>
              <w:jc w:val="right"/>
            </w:pPr>
            <w:r>
              <w:rPr>
                <w:color w:val="1C3A36"/>
                <w:sz w:val="13"/>
              </w:rPr>
              <w:t>2026-09-10</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Net fees and commissions over average total assets. FY2025 actual 0.899%; the June 2026 half annualises to 0.797%. The path opens at the reviewed half's level and recovers slowly as trade finance and card income grow with the branch network.</w:t>
            </w:r>
          </w:p>
        </w:tc>
      </w:tr>
      <w:tr>
        <w:tc>
          <w:tcPr>
            <w:tcW w:type="dxa" w:w="1800"/>
          </w:tcPr>
          <w:p>
            <w:pPr>
              <w:spacing w:after="20"/>
            </w:pPr>
            <w:r>
              <w:rPr>
                <w:color w:val="1C3A36"/>
                <w:sz w:val="13"/>
              </w:rPr>
              <w:t>fin income fy2025</w:t>
            </w:r>
          </w:p>
        </w:tc>
        <w:tc>
          <w:tcPr>
            <w:tcW w:type="dxa" w:w="1440"/>
          </w:tcPr>
          <w:p>
            <w:pPr>
              <w:spacing w:after="20"/>
              <w:jc w:val="right"/>
            </w:pPr>
            <w:r>
              <w:rPr>
                <w:color w:val="1C3A36"/>
                <w:sz w:val="13"/>
              </w:rPr>
              <w:t>49262.5</w:t>
            </w:r>
          </w:p>
        </w:tc>
        <w:tc>
          <w:tcPr>
            <w:tcW w:type="dxa" w:w="1080"/>
          </w:tcPr>
          <w:p>
            <w:pPr>
              <w:spacing w:after="20"/>
              <w:jc w:val="right"/>
            </w:pPr>
            <w:r>
              <w:rPr>
                <w:color w:val="1C3A36"/>
                <w:sz w:val="13"/>
              </w:rPr>
              <w:t>2026-02-05</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The audited consolidated financial statements for the year ended 31 December 2025, signed in Cairo on 5 February 2026 — read from the filing itself; the statement foots.</w:t>
            </w:r>
          </w:p>
        </w:tc>
      </w:tr>
      <w:tr>
        <w:tc>
          <w:tcPr>
            <w:tcW w:type="dxa" w:w="1800"/>
          </w:tcPr>
          <w:p>
            <w:pPr>
              <w:spacing w:after="20"/>
            </w:pPr>
            <w:r>
              <w:rPr>
                <w:color w:val="1C3A36"/>
                <w:sz w:val="13"/>
              </w:rPr>
              <w:t>fin income h1 2026</w:t>
            </w:r>
          </w:p>
        </w:tc>
        <w:tc>
          <w:tcPr>
            <w:tcW w:type="dxa" w:w="1440"/>
          </w:tcPr>
          <w:p>
            <w:pPr>
              <w:spacing w:after="20"/>
              <w:jc w:val="right"/>
            </w:pPr>
            <w:r>
              <w:rPr>
                <w:color w:val="1C3A36"/>
                <w:sz w:val="13"/>
              </w:rPr>
              <w:t>29117.9</w:t>
            </w:r>
          </w:p>
        </w:tc>
        <w:tc>
          <w:tcPr>
            <w:tcW w:type="dxa" w:w="1080"/>
          </w:tcPr>
          <w:p>
            <w:pPr>
              <w:spacing w:after="20"/>
              <w:jc w:val="right"/>
            </w:pPr>
            <w:r>
              <w:rPr>
                <w:color w:val="1C3A36"/>
                <w:sz w:val="13"/>
              </w:rPr>
              <w:t>2026-07-30</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The condensed consolidated interim financial statements for the six months ended 30 June 2026, limited review, signed 30 July 2026.</w:t>
            </w:r>
          </w:p>
        </w:tc>
      </w:tr>
      <w:tr>
        <w:tc>
          <w:tcPr>
            <w:tcW w:type="dxa" w:w="1800"/>
          </w:tcPr>
          <w:p>
            <w:pPr>
              <w:spacing w:after="20"/>
            </w:pPr>
            <w:r>
              <w:rPr>
                <w:color w:val="1C3A36"/>
                <w:sz w:val="13"/>
              </w:rPr>
              <w:t>financing growth</w:t>
            </w:r>
          </w:p>
        </w:tc>
        <w:tc>
          <w:tcPr>
            <w:tcW w:type="dxa" w:w="1440"/>
          </w:tcPr>
          <w:p>
            <w:pPr>
              <w:spacing w:after="20"/>
              <w:jc w:val="right"/>
            </w:pPr>
            <w:r>
              <w:rPr>
                <w:color w:val="1C3A36"/>
                <w:sz w:val="13"/>
              </w:rPr>
              <w:t>0.48 / 0.26 / 0.19 / 0.15 / 0.12</w:t>
            </w:r>
          </w:p>
        </w:tc>
        <w:tc>
          <w:tcPr>
            <w:tcW w:type="dxa" w:w="1080"/>
          </w:tcPr>
          <w:p>
            <w:pPr>
              <w:spacing w:after="20"/>
              <w:jc w:val="right"/>
            </w:pPr>
            <w:r>
              <w:rPr>
                <w:color w:val="1C3A36"/>
                <w:sz w:val="13"/>
              </w:rPr>
              <w:t>2026-09-10</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Net financing to customers, year-on-year. FY2026 +48% takes the FY2025 close of EGP 147,226 million to EGP 217,895 million — and the bank was ALREADY at EGP 190,427 million on 30 June, so this asks for only +14.4% in the second half against +29.3% in the first. The path then decays toward nominal GDP. IT IS NOT A FLAT SHARE OF SYSTEM CREDIT, and that is the walk-forward's doing: a flat-share rule under-forecast this name at ev</w:t>
            </w:r>
          </w:p>
        </w:tc>
      </w:tr>
      <w:tr>
        <w:tc>
          <w:tcPr>
            <w:tcW w:type="dxa" w:w="1800"/>
          </w:tcPr>
          <w:p>
            <w:pPr>
              <w:spacing w:after="20"/>
            </w:pPr>
            <w:r>
              <w:rPr>
                <w:color w:val="1C3A36"/>
                <w:sz w:val="13"/>
              </w:rPr>
              <w:t>financing over assets</w:t>
            </w:r>
          </w:p>
        </w:tc>
        <w:tc>
          <w:tcPr>
            <w:tcW w:type="dxa" w:w="1440"/>
          </w:tcPr>
          <w:p>
            <w:pPr>
              <w:spacing w:after="20"/>
              <w:jc w:val="right"/>
            </w:pPr>
            <w:r>
              <w:rPr>
                <w:color w:val="1C3A36"/>
                <w:sz w:val="13"/>
              </w:rPr>
              <w:t>0.47 / 0.485 / 0.5 / 0.51 / 0.52</w:t>
            </w:r>
          </w:p>
        </w:tc>
        <w:tc>
          <w:tcPr>
            <w:tcW w:type="dxa" w:w="1080"/>
          </w:tcPr>
          <w:p>
            <w:pPr>
              <w:spacing w:after="20"/>
              <w:jc w:val="right"/>
            </w:pPr>
            <w:r>
              <w:rPr>
                <w:color w:val="1C3A36"/>
                <w:sz w:val="13"/>
              </w:rPr>
              <w:t>2026-09-10</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Financing to customers over total assets. FY2025 actual 42.46%; 30 June 2026 actual 45.96%. The bank is rotating out of treasury bills into customer financing as policy rates fall and bill yields compress, and the path continues that observed rotation at a decelerating pace. Every point is above both observations, which is the assumption, and it is sensitised.</w:t>
            </w:r>
          </w:p>
        </w:tc>
      </w:tr>
      <w:tr>
        <w:tc>
          <w:tcPr>
            <w:tcW w:type="dxa" w:w="1800"/>
          </w:tcPr>
          <w:p>
            <w:pPr>
              <w:spacing w:after="20"/>
            </w:pPr>
            <w:r>
              <w:rPr>
                <w:color w:val="1C3A36"/>
                <w:sz w:val="13"/>
              </w:rPr>
              <w:t>ga fy2025</w:t>
            </w:r>
          </w:p>
        </w:tc>
        <w:tc>
          <w:tcPr>
            <w:tcW w:type="dxa" w:w="1440"/>
          </w:tcPr>
          <w:p>
            <w:pPr>
              <w:spacing w:after="20"/>
              <w:jc w:val="right"/>
            </w:pPr>
            <w:r>
              <w:rPr>
                <w:color w:val="1C3A36"/>
                <w:sz w:val="13"/>
              </w:rPr>
              <w:t>-3431.22</w:t>
            </w:r>
          </w:p>
        </w:tc>
        <w:tc>
          <w:tcPr>
            <w:tcW w:type="dxa" w:w="1080"/>
          </w:tcPr>
          <w:p>
            <w:pPr>
              <w:spacing w:after="20"/>
              <w:jc w:val="right"/>
            </w:pPr>
            <w:r>
              <w:rPr>
                <w:color w:val="1C3A36"/>
                <w:sz w:val="13"/>
              </w:rPr>
              <w:t>2026-02-05</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The audited consolidated financial statements for the year ended 31 December 2025, signed in Cairo on 5 February 2026 — read from the filing itself; the statement foots.</w:t>
            </w:r>
          </w:p>
        </w:tc>
      </w:tr>
      <w:tr>
        <w:tc>
          <w:tcPr>
            <w:tcW w:type="dxa" w:w="1800"/>
          </w:tcPr>
          <w:p>
            <w:pPr>
              <w:spacing w:after="20"/>
            </w:pPr>
            <w:r>
              <w:rPr>
                <w:color w:val="1C3A36"/>
                <w:sz w:val="13"/>
              </w:rPr>
              <w:t>h1 2026 ecl</w:t>
            </w:r>
          </w:p>
        </w:tc>
        <w:tc>
          <w:tcPr>
            <w:tcW w:type="dxa" w:w="1440"/>
          </w:tcPr>
          <w:p>
            <w:pPr>
              <w:spacing w:after="20"/>
              <w:jc w:val="right"/>
            </w:pPr>
            <w:r>
              <w:rPr>
                <w:color w:val="1C3A36"/>
                <w:sz w:val="13"/>
              </w:rPr>
              <w:t>2.176</w:t>
            </w:r>
          </w:p>
        </w:tc>
        <w:tc>
          <w:tcPr>
            <w:tcW w:type="dxa" w:w="1080"/>
          </w:tcPr>
          <w:p>
            <w:pPr>
              <w:spacing w:after="20"/>
              <w:jc w:val="right"/>
            </w:pPr>
            <w:r>
              <w:rPr>
                <w:color w:val="1C3A36"/>
                <w:sz w:val="13"/>
              </w:rPr>
              <w:t>2026-07-30</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THE SINGLE MOST IMPORTANT FACT IN THE BASE YEAR. ADIB-Egypt charged EGP 2.176 million of expected credit losses in the six months to 30 June 2026 — an annualised 0.003% of average financing — against EGP 732.193 million in the same half of 2025 and EGP 1,514.062 million for the whole of FY2025. The line is filed as "Release / (Charge) Expected credit losses", note 11, and the income statement foots on it: every other line on t</w:t>
            </w:r>
          </w:p>
        </w:tc>
      </w:tr>
      <w:tr>
        <w:tc>
          <w:tcPr>
            <w:tcW w:type="dxa" w:w="1800"/>
          </w:tcPr>
          <w:p>
            <w:pPr>
              <w:spacing w:after="20"/>
            </w:pPr>
            <w:r>
              <w:rPr>
                <w:color w:val="1C3A36"/>
                <w:sz w:val="13"/>
              </w:rPr>
              <w:t>ibl over assets</w:t>
            </w:r>
          </w:p>
        </w:tc>
        <w:tc>
          <w:tcPr>
            <w:tcW w:type="dxa" w:w="1440"/>
          </w:tcPr>
          <w:p>
            <w:pPr>
              <w:spacing w:after="20"/>
              <w:jc w:val="right"/>
            </w:pPr>
            <w:r>
              <w:rPr>
                <w:color w:val="1C3A36"/>
                <w:sz w:val="13"/>
              </w:rPr>
              <w:t>0.855</w:t>
            </w:r>
          </w:p>
        </w:tc>
        <w:tc>
          <w:tcPr>
            <w:tcW w:type="dxa" w:w="1080"/>
          </w:tcPr>
          <w:p>
            <w:pPr>
              <w:spacing w:after="20"/>
              <w:jc w:val="right"/>
            </w:pPr>
            <w:r>
              <w:rPr>
                <w:color w:val="1C3A36"/>
                <w:sz w:val="13"/>
              </w:rPr>
              <w:t>2026-09-10</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Average interest-bearing liabilities over average total assets, held at the FY2025 observed 85.5%. The bank funds itself with deposits and that ratio has moved within two points across the whole panel.</w:t>
            </w:r>
          </w:p>
        </w:tc>
      </w:tr>
      <w:tr>
        <w:tc>
          <w:tcPr>
            <w:tcW w:type="dxa" w:w="1800"/>
          </w:tcPr>
          <w:p>
            <w:pPr>
              <w:spacing w:after="20"/>
            </w:pPr>
            <w:r>
              <w:rPr>
                <w:color w:val="1C3A36"/>
                <w:sz w:val="13"/>
              </w:rPr>
              <w:t>inflation path</w:t>
            </w:r>
          </w:p>
        </w:tc>
        <w:tc>
          <w:tcPr>
            <w:tcW w:type="dxa" w:w="1440"/>
          </w:tcPr>
          <w:p>
            <w:pPr>
              <w:spacing w:after="20"/>
              <w:jc w:val="right"/>
            </w:pPr>
            <w:r>
              <w:rPr>
                <w:color w:val="1C3A36"/>
                <w:sz w:val="13"/>
              </w:rPr>
              <w:t>0.16 / 0.12 / 0.09 / 0.075 / 0.07</w:t>
            </w:r>
          </w:p>
        </w:tc>
        <w:tc>
          <w:tcPr>
            <w:tcW w:type="dxa" w:w="1080"/>
          </w:tcPr>
          <w:p>
            <w:pPr>
              <w:spacing w:after="20"/>
              <w:jc w:val="right"/>
            </w:pPr>
            <w:r>
              <w:rPr>
                <w:color w:val="1C3A36"/>
                <w:sz w:val="13"/>
              </w:rPr>
              <w:t>2026-09-02</w:t>
            </w:r>
          </w:p>
        </w:tc>
        <w:tc>
          <w:tcPr>
            <w:tcW w:type="dxa" w:w="720"/>
          </w:tcPr>
          <w:p>
            <w:pPr>
              <w:spacing w:after="20"/>
              <w:jc w:val="right"/>
            </w:pPr>
            <w:r>
              <w:rPr>
                <w:color w:val="1C3A36"/>
                <w:sz w:val="13"/>
              </w:rPr>
              <w:t>Country</w:t>
            </w:r>
          </w:p>
        </w:tc>
        <w:tc>
          <w:tcPr>
            <w:tcW w:type="dxa" w:w="5040"/>
          </w:tcPr>
          <w:p>
            <w:pPr>
              <w:spacing w:after="20"/>
              <w:jc w:val="right"/>
            </w:pPr>
            <w:r>
              <w:rPr>
                <w:color w:val="1C3A36"/>
                <w:sz w:val="13"/>
              </w:rPr>
              <w:t>Central Bank of Egypt baseline average annual headline inflation, 16.0% in 2026 and 12.0% in 2027 (Q1-2026 Monetary Policy Report as reported 11 May 2026); 2028-2030 interpolated on the bank's own glide between the published 2027 baseline and the 7% target-band midpoint, labelled as interpolation and never presented as a central-bank forecast. Held in the house macroeconomic path, the path every Egyptian study runs on.</w:t>
            </w:r>
          </w:p>
        </w:tc>
      </w:tr>
      <w:tr>
        <w:tc>
          <w:tcPr>
            <w:tcW w:type="dxa" w:w="1800"/>
          </w:tcPr>
          <w:p>
            <w:pPr>
              <w:spacing w:after="20"/>
            </w:pPr>
            <w:r>
              <w:rPr>
                <w:color w:val="1C3A36"/>
                <w:sz w:val="13"/>
              </w:rPr>
              <w:t>ke construction</w:t>
            </w:r>
          </w:p>
        </w:tc>
        <w:tc>
          <w:tcPr>
            <w:tcW w:type="dxa" w:w="1440"/>
          </w:tcPr>
          <w:p>
            <w:pPr>
              <w:spacing w:after="20"/>
              <w:jc w:val="right"/>
            </w:pPr>
            <w:r>
              <w:rPr>
                <w:color w:val="1C3A36"/>
                <w:sz w:val="13"/>
              </w:rPr>
              <w:t>same_beta</w:t>
            </w:r>
          </w:p>
        </w:tc>
        <w:tc>
          <w:tcPr>
            <w:tcW w:type="dxa" w:w="1080"/>
          </w:tcPr>
          <w:p>
            <w:pPr>
              <w:spacing w:after="20"/>
              <w:jc w:val="right"/>
            </w:pPr>
            <w:r>
              <w:rPr>
                <w:color w:val="1C3A36"/>
                <w:sz w:val="13"/>
              </w:rPr>
              <w:t>2026-09-10</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The terminal cost of equity uses the SAME regression beta as the explicit window. ADIB-Egypt is a deposit-funded bank whose capital structure is its business, so there is no leverage to relever: the beta already embeds the balance sheet it is measured on. The record names the construction from a closed list so that two right answers a hundred basis points apart are not indistinguishable from a typo.</w:t>
            </w:r>
          </w:p>
        </w:tc>
      </w:tr>
      <w:tr>
        <w:tc>
          <w:tcPr>
            <w:tcW w:type="dxa" w:w="1800"/>
          </w:tcPr>
          <w:p>
            <w:pPr>
              <w:spacing w:after="20"/>
            </w:pPr>
            <w:r>
              <w:rPr>
                <w:color w:val="1C3A36"/>
                <w:sz w:val="13"/>
              </w:rPr>
              <w:t>latest reviewed</w:t>
            </w:r>
          </w:p>
        </w:tc>
        <w:tc>
          <w:tcPr>
            <w:tcW w:type="dxa" w:w="1440"/>
          </w:tcPr>
          <w:p>
            <w:pPr>
              <w:spacing w:after="20"/>
              <w:jc w:val="right"/>
            </w:pPr>
            <w:r>
              <w:rPr>
                <w:color w:val="1C3A36"/>
                <w:sz w:val="13"/>
              </w:rPr>
              <w:t>H1-2026</w:t>
            </w:r>
          </w:p>
        </w:tc>
        <w:tc>
          <w:tcPr>
            <w:tcW w:type="dxa" w:w="1080"/>
          </w:tcPr>
          <w:p>
            <w:pPr>
              <w:spacing w:after="20"/>
              <w:jc w:val="right"/>
            </w:pPr>
            <w:r>
              <w:rPr>
                <w:color w:val="1C3A36"/>
                <w:sz w:val="13"/>
              </w:rPr>
              <w:t>2026-07-30</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The condensed consolidated interim statements for the six months ended 30 June 2026, signed 30 July 2026. Attributable profit EGP 7,536.8 million, total assets EGP 414,302.1 million, financing to customers EGP 190,427.1 million, attributable equity EGP 43,557.9 million. This is the period the forecast is anchored on.</w:t>
            </w:r>
          </w:p>
        </w:tc>
      </w:tr>
      <w:tr>
        <w:tc>
          <w:tcPr>
            <w:tcW w:type="dxa" w:w="1800"/>
          </w:tcPr>
          <w:p>
            <w:pPr>
              <w:spacing w:after="20"/>
            </w:pPr>
            <w:r>
              <w:rPr>
                <w:color w:val="1C3A36"/>
                <w:sz w:val="13"/>
              </w:rPr>
              <w:t>lens architecture</w:t>
            </w:r>
          </w:p>
        </w:tc>
        <w:tc>
          <w:tcPr>
            <w:tcW w:type="dxa" w:w="1440"/>
          </w:tcPr>
          <w:p>
            <w:pPr>
              <w:spacing w:after="20"/>
              <w:jc w:val="right"/>
            </w:pPr>
            <w:r>
              <w:rPr>
                <w:color w:val="1C3A36"/>
                <w:sz w:val="13"/>
              </w:rPr>
              <w:t>class primary = dividend discount;</w:t>
            </w:r>
          </w:p>
        </w:tc>
        <w:tc>
          <w:tcPr>
            <w:tcW w:type="dxa" w:w="1080"/>
          </w:tcPr>
          <w:p>
            <w:pPr>
              <w:spacing w:after="20"/>
              <w:jc w:val="right"/>
            </w:pPr>
            <w:r>
              <w:rPr>
                <w:color w:val="1C3A36"/>
                <w:sz w:val="13"/>
              </w:rPr>
              <w:t>2026-09-10</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The bank class is keyed to a dividend-discount PRIMARY with residual income, a relative multiple and book value beside it. The central IS the primary. The envelope is the range of the three present-value reads and no spread is invented around it.</w:t>
            </w:r>
          </w:p>
        </w:tc>
      </w:tr>
      <w:tr>
        <w:tc>
          <w:tcPr>
            <w:tcW w:type="dxa" w:w="1800"/>
          </w:tcPr>
          <w:p>
            <w:pPr>
              <w:spacing w:after="20"/>
            </w:pPr>
            <w:r>
              <w:rPr>
                <w:color w:val="1C3A36"/>
                <w:sz w:val="13"/>
              </w:rPr>
              <w:t>nci share</w:t>
            </w:r>
          </w:p>
        </w:tc>
        <w:tc>
          <w:tcPr>
            <w:tcW w:type="dxa" w:w="1440"/>
          </w:tcPr>
          <w:p>
            <w:pPr>
              <w:spacing w:after="20"/>
              <w:jc w:val="right"/>
            </w:pPr>
            <w:r>
              <w:rPr>
                <w:color w:val="1C3A36"/>
                <w:sz w:val="13"/>
              </w:rPr>
              <w:t>0.001</w:t>
            </w:r>
          </w:p>
        </w:tc>
        <w:tc>
          <w:tcPr>
            <w:tcW w:type="dxa" w:w="1080"/>
          </w:tcPr>
          <w:p>
            <w:pPr>
              <w:spacing w:after="20"/>
              <w:jc w:val="right"/>
            </w:pPr>
            <w:r>
              <w:rPr>
                <w:color w:val="1C3A36"/>
                <w:sz w:val="13"/>
              </w:rPr>
              <w:t>2026-09-10</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Non-controlling interests take 0.10% of net profit — EGP 12.4 million of EGP 12,601.0 million in FY2025. Held at that level; it is immaterial and is carried rather than dropped so the bridge to attributable profit closes.</w:t>
            </w:r>
          </w:p>
        </w:tc>
      </w:tr>
      <w:tr>
        <w:tc>
          <w:tcPr>
            <w:tcW w:type="dxa" w:w="1800"/>
          </w:tcPr>
          <w:p>
            <w:pPr>
              <w:spacing w:after="20"/>
            </w:pPr>
            <w:r>
              <w:rPr>
                <w:color w:val="1C3A36"/>
                <w:sz w:val="13"/>
              </w:rPr>
              <w:t>net fees fy2025</w:t>
            </w:r>
          </w:p>
        </w:tc>
        <w:tc>
          <w:tcPr>
            <w:tcW w:type="dxa" w:w="1440"/>
          </w:tcPr>
          <w:p>
            <w:pPr>
              <w:spacing w:after="20"/>
              <w:jc w:val="right"/>
            </w:pPr>
            <w:r>
              <w:rPr>
                <w:color w:val="1C3A36"/>
                <w:sz w:val="13"/>
              </w:rPr>
              <w:t>2729.85</w:t>
            </w:r>
          </w:p>
        </w:tc>
        <w:tc>
          <w:tcPr>
            <w:tcW w:type="dxa" w:w="1080"/>
          </w:tcPr>
          <w:p>
            <w:pPr>
              <w:spacing w:after="20"/>
              <w:jc w:val="right"/>
            </w:pPr>
            <w:r>
              <w:rPr>
                <w:color w:val="1C3A36"/>
                <w:sz w:val="13"/>
              </w:rPr>
              <w:t>2026-02-05</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The audited consolidated financial statements for the year ended 31 December 2025, signed in Cairo on 5 February 2026 — read from the filing itself; the statement foots.</w:t>
            </w:r>
          </w:p>
        </w:tc>
      </w:tr>
      <w:tr>
        <w:tc>
          <w:tcPr>
            <w:tcW w:type="dxa" w:w="1800"/>
          </w:tcPr>
          <w:p>
            <w:pPr>
              <w:spacing w:after="20"/>
            </w:pPr>
            <w:r>
              <w:rPr>
                <w:color w:val="1C3A36"/>
                <w:sz w:val="13"/>
              </w:rPr>
              <w:t>net fees h1 2026</w:t>
            </w:r>
          </w:p>
        </w:tc>
        <w:tc>
          <w:tcPr>
            <w:tcW w:type="dxa" w:w="1440"/>
          </w:tcPr>
          <w:p>
            <w:pPr>
              <w:spacing w:after="20"/>
              <w:jc w:val="right"/>
            </w:pPr>
            <w:r>
              <w:rPr>
                <w:color w:val="1C3A36"/>
                <w:sz w:val="13"/>
              </w:rPr>
              <w:t>1516.56</w:t>
            </w:r>
          </w:p>
        </w:tc>
        <w:tc>
          <w:tcPr>
            <w:tcW w:type="dxa" w:w="1080"/>
          </w:tcPr>
          <w:p>
            <w:pPr>
              <w:spacing w:after="20"/>
              <w:jc w:val="right"/>
            </w:pPr>
            <w:r>
              <w:rPr>
                <w:color w:val="1C3A36"/>
                <w:sz w:val="13"/>
              </w:rPr>
              <w:t>2026-07-30</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The condensed consolidated interim financial statements for the six months ended 30 June 2026, limited review, signed 30 July 2026.</w:t>
            </w:r>
          </w:p>
        </w:tc>
      </w:tr>
      <w:tr>
        <w:tc>
          <w:tcPr>
            <w:tcW w:type="dxa" w:w="1800"/>
          </w:tcPr>
          <w:p>
            <w:pPr>
              <w:spacing w:after="20"/>
            </w:pPr>
            <w:r>
              <w:rPr>
                <w:color w:val="1C3A36"/>
                <w:sz w:val="13"/>
              </w:rPr>
              <w:t>net funds fy2025</w:t>
            </w:r>
          </w:p>
        </w:tc>
        <w:tc>
          <w:tcPr>
            <w:tcW w:type="dxa" w:w="1440"/>
          </w:tcPr>
          <w:p>
            <w:pPr>
              <w:spacing w:after="20"/>
              <w:jc w:val="right"/>
            </w:pPr>
            <w:r>
              <w:rPr>
                <w:color w:val="1C3A36"/>
                <w:sz w:val="13"/>
              </w:rPr>
              <w:t>20152.3</w:t>
            </w:r>
          </w:p>
        </w:tc>
        <w:tc>
          <w:tcPr>
            <w:tcW w:type="dxa" w:w="1080"/>
          </w:tcPr>
          <w:p>
            <w:pPr>
              <w:spacing w:after="20"/>
              <w:jc w:val="right"/>
            </w:pPr>
            <w:r>
              <w:rPr>
                <w:color w:val="1C3A36"/>
                <w:sz w:val="13"/>
              </w:rPr>
              <w:t>2026-02-05</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The audited consolidated financial statements for the year ended 31 December 2025, signed in Cairo on 5 February 2026 — read from the filing itself; the statement foots.</w:t>
            </w:r>
          </w:p>
        </w:tc>
      </w:tr>
      <w:tr>
        <w:tc>
          <w:tcPr>
            <w:tcW w:type="dxa" w:w="1800"/>
          </w:tcPr>
          <w:p>
            <w:pPr>
              <w:spacing w:after="20"/>
            </w:pPr>
            <w:r>
              <w:rPr>
                <w:color w:val="1C3A36"/>
                <w:sz w:val="13"/>
              </w:rPr>
              <w:t>net funds h1 2026</w:t>
            </w:r>
          </w:p>
        </w:tc>
        <w:tc>
          <w:tcPr>
            <w:tcW w:type="dxa" w:w="1440"/>
          </w:tcPr>
          <w:p>
            <w:pPr>
              <w:spacing w:after="20"/>
              <w:jc w:val="right"/>
            </w:pPr>
            <w:r>
              <w:rPr>
                <w:color w:val="1C3A36"/>
                <w:sz w:val="13"/>
              </w:rPr>
              <w:t>12253.9</w:t>
            </w:r>
          </w:p>
        </w:tc>
        <w:tc>
          <w:tcPr>
            <w:tcW w:type="dxa" w:w="1080"/>
          </w:tcPr>
          <w:p>
            <w:pPr>
              <w:spacing w:after="20"/>
              <w:jc w:val="right"/>
            </w:pPr>
            <w:r>
              <w:rPr>
                <w:color w:val="1C3A36"/>
                <w:sz w:val="13"/>
              </w:rPr>
              <w:t>2026-07-30</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The condensed consolidated interim financial statements for the six months ended 30 June 2026, limited review, signed 30 July 2026.</w:t>
            </w:r>
          </w:p>
        </w:tc>
      </w:tr>
      <w:tr>
        <w:tc>
          <w:tcPr>
            <w:tcW w:type="dxa" w:w="1800"/>
          </w:tcPr>
          <w:p>
            <w:pPr>
              <w:spacing w:after="20"/>
            </w:pPr>
            <w:r>
              <w:rPr>
                <w:color w:val="1C3A36"/>
                <w:sz w:val="13"/>
              </w:rPr>
              <w:t>np fy2025</w:t>
            </w:r>
          </w:p>
        </w:tc>
        <w:tc>
          <w:tcPr>
            <w:tcW w:type="dxa" w:w="1440"/>
          </w:tcPr>
          <w:p>
            <w:pPr>
              <w:spacing w:after="20"/>
              <w:jc w:val="right"/>
            </w:pPr>
            <w:r>
              <w:rPr>
                <w:color w:val="1C3A36"/>
                <w:sz w:val="13"/>
              </w:rPr>
              <w:t>12601</w:t>
            </w:r>
          </w:p>
        </w:tc>
        <w:tc>
          <w:tcPr>
            <w:tcW w:type="dxa" w:w="1080"/>
          </w:tcPr>
          <w:p>
            <w:pPr>
              <w:spacing w:after="20"/>
              <w:jc w:val="right"/>
            </w:pPr>
            <w:r>
              <w:rPr>
                <w:color w:val="1C3A36"/>
                <w:sz w:val="13"/>
              </w:rPr>
              <w:t>2026-02-05</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The audited consolidated financial statements for the year ended 31 December 2025, signed in Cairo on 5 February 2026 — read from the filing itself; the statement foots.</w:t>
            </w:r>
          </w:p>
        </w:tc>
      </w:tr>
      <w:tr>
        <w:tc>
          <w:tcPr>
            <w:tcW w:type="dxa" w:w="1800"/>
          </w:tcPr>
          <w:p>
            <w:pPr>
              <w:spacing w:after="20"/>
            </w:pPr>
            <w:r>
              <w:rPr>
                <w:color w:val="1C3A36"/>
                <w:sz w:val="13"/>
              </w:rPr>
              <w:t>np fy25</w:t>
            </w:r>
          </w:p>
        </w:tc>
        <w:tc>
          <w:tcPr>
            <w:tcW w:type="dxa" w:w="1440"/>
          </w:tcPr>
          <w:p>
            <w:pPr>
              <w:spacing w:after="20"/>
              <w:jc w:val="right"/>
            </w:pPr>
            <w:r>
              <w:rPr>
                <w:color w:val="1C3A36"/>
                <w:sz w:val="13"/>
              </w:rPr>
              <w:t>12588.6</w:t>
            </w:r>
          </w:p>
        </w:tc>
        <w:tc>
          <w:tcPr>
            <w:tcW w:type="dxa" w:w="1080"/>
          </w:tcPr>
          <w:p>
            <w:pPr>
              <w:spacing w:after="20"/>
              <w:jc w:val="right"/>
            </w:pPr>
            <w:r>
              <w:rPr>
                <w:color w:val="1C3A36"/>
                <w:sz w:val="13"/>
              </w:rPr>
              <w:t>2025-12-31</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ADIB-Egypt audited consolidated financial statements for the year ended 31 December 2025 — profit attributable to the bank's shareholders, EGP 12,588,572 thousand.</w:t>
            </w:r>
          </w:p>
        </w:tc>
      </w:tr>
      <w:tr>
        <w:tc>
          <w:tcPr>
            <w:tcW w:type="dxa" w:w="1800"/>
          </w:tcPr>
          <w:p>
            <w:pPr>
              <w:spacing w:after="20"/>
            </w:pPr>
            <w:r>
              <w:rPr>
                <w:color w:val="1C3A36"/>
                <w:sz w:val="13"/>
              </w:rPr>
              <w:t>npa fy2024</w:t>
            </w:r>
          </w:p>
        </w:tc>
        <w:tc>
          <w:tcPr>
            <w:tcW w:type="dxa" w:w="1440"/>
          </w:tcPr>
          <w:p>
            <w:pPr>
              <w:spacing w:after="20"/>
              <w:jc w:val="right"/>
            </w:pPr>
            <w:r>
              <w:rPr>
                <w:color w:val="1C3A36"/>
                <w:sz w:val="13"/>
              </w:rPr>
              <w:t>9008.93</w:t>
            </w:r>
          </w:p>
        </w:tc>
        <w:tc>
          <w:tcPr>
            <w:tcW w:type="dxa" w:w="1080"/>
          </w:tcPr>
          <w:p>
            <w:pPr>
              <w:spacing w:after="20"/>
              <w:jc w:val="right"/>
            </w:pPr>
            <w:r>
              <w:rPr>
                <w:color w:val="1C3A36"/>
                <w:sz w:val="13"/>
              </w:rPr>
              <w:t>2026-02-05</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The audited consolidated financial statements for the year ended 31 December 2024, as the comparative column of the FY2025 filing.</w:t>
            </w:r>
          </w:p>
        </w:tc>
      </w:tr>
      <w:tr>
        <w:tc>
          <w:tcPr>
            <w:tcW w:type="dxa" w:w="1800"/>
          </w:tcPr>
          <w:p>
            <w:pPr>
              <w:spacing w:after="20"/>
            </w:pPr>
            <w:r>
              <w:rPr>
                <w:color w:val="1C3A36"/>
                <w:sz w:val="13"/>
              </w:rPr>
              <w:t>npa fy2025</w:t>
            </w:r>
          </w:p>
        </w:tc>
        <w:tc>
          <w:tcPr>
            <w:tcW w:type="dxa" w:w="1440"/>
          </w:tcPr>
          <w:p>
            <w:pPr>
              <w:spacing w:after="20"/>
              <w:jc w:val="right"/>
            </w:pPr>
            <w:r>
              <w:rPr>
                <w:color w:val="1C3A36"/>
                <w:sz w:val="13"/>
              </w:rPr>
              <w:t>12588.6</w:t>
            </w:r>
          </w:p>
        </w:tc>
        <w:tc>
          <w:tcPr>
            <w:tcW w:type="dxa" w:w="1080"/>
          </w:tcPr>
          <w:p>
            <w:pPr>
              <w:spacing w:after="20"/>
              <w:jc w:val="right"/>
            </w:pPr>
            <w:r>
              <w:rPr>
                <w:color w:val="1C3A36"/>
                <w:sz w:val="13"/>
              </w:rPr>
              <w:t>2026-02-05</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The audited consolidated financial statements for the year ended 31 December 2025, signed in Cairo on 5 February 2026 — read from the filing itself; the statement foots.</w:t>
            </w:r>
          </w:p>
        </w:tc>
      </w:tr>
      <w:tr>
        <w:tc>
          <w:tcPr>
            <w:tcW w:type="dxa" w:w="1800"/>
          </w:tcPr>
          <w:p>
            <w:pPr>
              <w:spacing w:after="20"/>
            </w:pPr>
            <w:r>
              <w:rPr>
                <w:color w:val="1C3A36"/>
                <w:sz w:val="13"/>
              </w:rPr>
              <w:t>npa h1 2026</w:t>
            </w:r>
          </w:p>
        </w:tc>
        <w:tc>
          <w:tcPr>
            <w:tcW w:type="dxa" w:w="1440"/>
          </w:tcPr>
          <w:p>
            <w:pPr>
              <w:spacing w:after="20"/>
              <w:jc w:val="right"/>
            </w:pPr>
            <w:r>
              <w:rPr>
                <w:color w:val="1C3A36"/>
                <w:sz w:val="13"/>
              </w:rPr>
              <w:t>7536.8</w:t>
            </w:r>
          </w:p>
        </w:tc>
        <w:tc>
          <w:tcPr>
            <w:tcW w:type="dxa" w:w="1080"/>
          </w:tcPr>
          <w:p>
            <w:pPr>
              <w:spacing w:after="20"/>
              <w:jc w:val="right"/>
            </w:pPr>
            <w:r>
              <w:rPr>
                <w:color w:val="1C3A36"/>
                <w:sz w:val="13"/>
              </w:rPr>
              <w:t>2026-07-30</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The condensed consolidated interim financial statements for the six months ended 30 June 2026, limited review, signed 30 July 2026.</w:t>
            </w:r>
          </w:p>
        </w:tc>
      </w:tr>
      <w:tr>
        <w:tc>
          <w:tcPr>
            <w:tcW w:type="dxa" w:w="1800"/>
          </w:tcPr>
          <w:p>
            <w:pPr>
              <w:spacing w:after="20"/>
            </w:pPr>
            <w:r>
              <w:rPr>
                <w:color w:val="1C3A36"/>
                <w:sz w:val="13"/>
              </w:rPr>
              <w:t>other nii ratio</w:t>
            </w:r>
          </w:p>
        </w:tc>
        <w:tc>
          <w:tcPr>
            <w:tcW w:type="dxa" w:w="1440"/>
          </w:tcPr>
          <w:p>
            <w:pPr>
              <w:spacing w:after="20"/>
              <w:jc w:val="right"/>
            </w:pPr>
            <w:r>
              <w:rPr>
                <w:color w:val="1C3A36"/>
                <w:sz w:val="13"/>
              </w:rPr>
              <w:t xml:space="preserve">0.0028 / 0.0026 / 0.0024 / 0.0023 </w:t>
            </w:r>
          </w:p>
        </w:tc>
        <w:tc>
          <w:tcPr>
            <w:tcW w:type="dxa" w:w="1080"/>
          </w:tcPr>
          <w:p>
            <w:pPr>
              <w:spacing w:after="20"/>
              <w:jc w:val="right"/>
            </w:pPr>
            <w:r>
              <w:rPr>
                <w:color w:val="1C3A36"/>
                <w:sz w:val="13"/>
              </w:rPr>
              <w:t>2026-09-10</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Dividends, net trading, share of associates and gains on investments, as one block, over average total assets. FY2025 actual 0.238%; the June 2026 half annualises to 0.372%, flattered by trading gains on a moving currency. The path normalises DOWN toward the FY2022-FY2024 average as the pound settles.</w:t>
            </w:r>
          </w:p>
        </w:tc>
      </w:tr>
      <w:tr>
        <w:tc>
          <w:tcPr>
            <w:tcW w:type="dxa" w:w="1800"/>
          </w:tcPr>
          <w:p>
            <w:pPr>
              <w:spacing w:after="20"/>
            </w:pPr>
            <w:r>
              <w:rPr>
                <w:color w:val="1C3A36"/>
                <w:sz w:val="13"/>
              </w:rPr>
              <w:t>other op ratio</w:t>
            </w:r>
          </w:p>
        </w:tc>
        <w:tc>
          <w:tcPr>
            <w:tcW w:type="dxa" w:w="1440"/>
          </w:tcPr>
          <w:p>
            <w:pPr>
              <w:spacing w:after="20"/>
              <w:jc w:val="right"/>
            </w:pPr>
            <w:r>
              <w:rPr>
                <w:color w:val="1C3A36"/>
                <w:sz w:val="13"/>
              </w:rPr>
              <w:t>-0.0075 / -0.007 / -0.0065 / -0.00</w:t>
            </w:r>
          </w:p>
        </w:tc>
        <w:tc>
          <w:tcPr>
            <w:tcW w:type="dxa" w:w="1080"/>
          </w:tcPr>
          <w:p>
            <w:pPr>
              <w:spacing w:after="20"/>
              <w:jc w:val="right"/>
            </w:pPr>
            <w:r>
              <w:rPr>
                <w:color w:val="1C3A36"/>
                <w:sz w:val="13"/>
              </w:rPr>
              <w:t>2026-09-10</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Other operating expenses over average total assets — deposit insurance, central-bank charges and the operating-provision line. FY2025 actual -0.387%; the June 2026 half annualises to -0.797%, more than double. The path opens at the reviewed level and decays, which is the conservative reading of a line that has doubled.</w:t>
            </w:r>
          </w:p>
        </w:tc>
      </w:tr>
      <w:tr>
        <w:tc>
          <w:tcPr>
            <w:tcW w:type="dxa" w:w="1800"/>
          </w:tcPr>
          <w:p>
            <w:pPr>
              <w:spacing w:after="20"/>
            </w:pPr>
            <w:r>
              <w:rPr>
                <w:color w:val="1C3A36"/>
                <w:sz w:val="13"/>
              </w:rPr>
              <w:t>payout</w:t>
            </w:r>
          </w:p>
        </w:tc>
        <w:tc>
          <w:tcPr>
            <w:tcW w:type="dxa" w:w="1440"/>
          </w:tcPr>
          <w:p>
            <w:pPr>
              <w:spacing w:after="20"/>
              <w:jc w:val="right"/>
            </w:pPr>
            <w:r>
              <w:rPr>
                <w:color w:val="1C3A36"/>
                <w:sz w:val="13"/>
              </w:rPr>
              <w:t>DERIVED — see below</w:t>
            </w:r>
          </w:p>
        </w:tc>
        <w:tc>
          <w:tcPr>
            <w:tcW w:type="dxa" w:w="1080"/>
          </w:tcPr>
          <w:p>
            <w:pPr>
              <w:spacing w:after="20"/>
              <w:jc w:val="right"/>
            </w:pPr>
            <w:r>
              <w:rPr>
                <w:color w:val="1C3A36"/>
                <w:sz w:val="13"/>
              </w:rPr>
              <w:t>2026-09-10</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THE PAYOUT IS NOT TYPED. It is what is left after the balance sheet has taken the capital it needs: payout(t) = 1 - (target equity/assets x the year's asset growth) / attributable profit, floored at zero and capped at 80%. A typed payout path is an assumption about the single thing a growing bank has least discretion over, and typing one made this model's dividend and free-cash-flow lenses disagree by EGP 7 a share while its e</w:t>
            </w:r>
          </w:p>
        </w:tc>
      </w:tr>
      <w:tr>
        <w:tc>
          <w:tcPr>
            <w:tcW w:type="dxa" w:w="1800"/>
          </w:tcPr>
          <w:p>
            <w:pPr>
              <w:spacing w:after="20"/>
            </w:pPr>
            <w:r>
              <w:rPr>
                <w:color w:val="1C3A36"/>
                <w:sz w:val="13"/>
              </w:rPr>
              <w:t>pbt fy2025</w:t>
            </w:r>
          </w:p>
        </w:tc>
        <w:tc>
          <w:tcPr>
            <w:tcW w:type="dxa" w:w="1440"/>
          </w:tcPr>
          <w:p>
            <w:pPr>
              <w:spacing w:after="20"/>
              <w:jc w:val="right"/>
            </w:pPr>
            <w:r>
              <w:rPr>
                <w:color w:val="1C3A36"/>
                <w:sz w:val="13"/>
              </w:rPr>
              <w:t>17482.1</w:t>
            </w:r>
          </w:p>
        </w:tc>
        <w:tc>
          <w:tcPr>
            <w:tcW w:type="dxa" w:w="1080"/>
          </w:tcPr>
          <w:p>
            <w:pPr>
              <w:spacing w:after="20"/>
              <w:jc w:val="right"/>
            </w:pPr>
            <w:r>
              <w:rPr>
                <w:color w:val="1C3A36"/>
                <w:sz w:val="13"/>
              </w:rPr>
              <w:t>2026-02-05</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The audited consolidated financial statements for the year ended 31 December 2025, signed in Cairo on 5 February 2026 — read from the filing itself; the statement foots.</w:t>
            </w:r>
          </w:p>
        </w:tc>
      </w:tr>
      <w:tr>
        <w:tc>
          <w:tcPr>
            <w:tcW w:type="dxa" w:w="1800"/>
          </w:tcPr>
          <w:p>
            <w:pPr>
              <w:spacing w:after="20"/>
            </w:pPr>
            <w:r>
              <w:rPr>
                <w:color w:val="1C3A36"/>
                <w:sz w:val="13"/>
              </w:rPr>
              <w:t>peer comi price</w:t>
            </w:r>
          </w:p>
        </w:tc>
        <w:tc>
          <w:tcPr>
            <w:tcW w:type="dxa" w:w="1440"/>
          </w:tcPr>
          <w:p>
            <w:pPr>
              <w:spacing w:after="20"/>
              <w:jc w:val="right"/>
            </w:pPr>
            <w:r>
              <w:rPr>
                <w:color w:val="1C3A36"/>
                <w:sz w:val="13"/>
              </w:rPr>
              <w:t>138.98</w:t>
            </w:r>
          </w:p>
        </w:tc>
        <w:tc>
          <w:tcPr>
            <w:tcW w:type="dxa" w:w="1080"/>
          </w:tcPr>
          <w:p>
            <w:pPr>
              <w:spacing w:after="20"/>
              <w:jc w:val="right"/>
            </w:pPr>
            <w:r>
              <w:rPr>
                <w:color w:val="1C3A36"/>
                <w:sz w:val="13"/>
              </w:rPr>
              <w:t>2026-09-03</w:t>
            </w:r>
          </w:p>
        </w:tc>
        <w:tc>
          <w:tcPr>
            <w:tcW w:type="dxa" w:w="720"/>
          </w:tcPr>
          <w:p>
            <w:pPr>
              <w:spacing w:after="20"/>
              <w:jc w:val="right"/>
            </w:pPr>
            <w:r>
              <w:rPr>
                <w:color w:val="1C3A36"/>
                <w:sz w:val="13"/>
              </w:rPr>
              <w:t>Market</w:t>
            </w:r>
          </w:p>
        </w:tc>
        <w:tc>
          <w:tcPr>
            <w:tcW w:type="dxa" w:w="5040"/>
          </w:tcPr>
          <w:p>
            <w:pPr>
              <w:spacing w:after="20"/>
              <w:jc w:val="right"/>
            </w:pPr>
            <w:r>
              <w:rPr>
                <w:color w:val="1C3A36"/>
                <w:sz w:val="13"/>
              </w:rPr>
              <w:t>Commercial International Bank (EGX: COMI), EGP 138.98, the close on 3 September 2026 from the committed price file — the same file, the same date and the same supplier as ADIB's own price, so the two are struck on one day.</w:t>
            </w:r>
          </w:p>
        </w:tc>
      </w:tr>
      <w:tr>
        <w:tc>
          <w:tcPr>
            <w:tcW w:type="dxa" w:w="1800"/>
          </w:tcPr>
          <w:p>
            <w:pPr>
              <w:spacing w:after="20"/>
            </w:pPr>
            <w:r>
              <w:rPr>
                <w:color w:val="1C3A36"/>
                <w:sz w:val="13"/>
              </w:rPr>
              <w:t>peer pb band</w:t>
            </w:r>
          </w:p>
        </w:tc>
        <w:tc>
          <w:tcPr>
            <w:tcW w:type="dxa" w:w="1440"/>
          </w:tcPr>
          <w:p>
            <w:pPr>
              <w:spacing w:after="20"/>
              <w:jc w:val="right"/>
            </w:pPr>
            <w:r>
              <w:rPr>
                <w:color w:val="1C3A36"/>
                <w:sz w:val="13"/>
              </w:rPr>
              <w:t>1.4 / 2.2</w:t>
            </w:r>
          </w:p>
        </w:tc>
        <w:tc>
          <w:tcPr>
            <w:tcW w:type="dxa" w:w="1080"/>
          </w:tcPr>
          <w:p>
            <w:pPr>
              <w:spacing w:after="20"/>
              <w:jc w:val="right"/>
            </w:pPr>
            <w:r>
              <w:rPr>
                <w:color w:val="1C3A36"/>
                <w:sz w:val="13"/>
              </w:rPr>
              <w:t>2026-09-10</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The price-to-book band Egyptian large-cap banks trade in. It is a BAND and not a point because this study could not source a same-day book value for any Egyptian bank other than ADIB itself: the only peer whose price it holds on the same day is CIB, and CIB's own book value is not in this repository. The band is carried as a cross-check on the two cash-flow lenses, weighted at 15%, and it is NOT allowed to set the answer. Wher</w:t>
            </w:r>
          </w:p>
        </w:tc>
      </w:tr>
      <w:tr>
        <w:tc>
          <w:tcPr>
            <w:tcW w:type="dxa" w:w="1800"/>
          </w:tcPr>
          <w:p>
            <w:pPr>
              <w:spacing w:after="20"/>
            </w:pPr>
            <w:r>
              <w:rPr>
                <w:color w:val="1C3A36"/>
                <w:sz w:val="13"/>
              </w:rPr>
              <w:t>peer pe band</w:t>
            </w:r>
          </w:p>
        </w:tc>
        <w:tc>
          <w:tcPr>
            <w:tcW w:type="dxa" w:w="1440"/>
          </w:tcPr>
          <w:p>
            <w:pPr>
              <w:spacing w:after="20"/>
              <w:jc w:val="right"/>
            </w:pPr>
            <w:r>
              <w:rPr>
                <w:color w:val="1C3A36"/>
                <w:sz w:val="13"/>
              </w:rPr>
              <w:t>5.5 / 8.5</w:t>
            </w:r>
          </w:p>
        </w:tc>
        <w:tc>
          <w:tcPr>
            <w:tcW w:type="dxa" w:w="1080"/>
          </w:tcPr>
          <w:p>
            <w:pPr>
              <w:spacing w:after="20"/>
              <w:jc w:val="right"/>
            </w:pPr>
            <w:r>
              <w:rPr>
                <w:color w:val="1C3A36"/>
                <w:sz w:val="13"/>
              </w:rPr>
              <w:t>2026-09-10</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The trailing price-to-earnings band for the same group, on the same caveat.</w:t>
            </w:r>
          </w:p>
        </w:tc>
      </w:tr>
      <w:tr>
        <w:tc>
          <w:tcPr>
            <w:tcW w:type="dxa" w:w="1800"/>
          </w:tcPr>
          <w:p>
            <w:pPr>
              <w:spacing w:after="20"/>
            </w:pPr>
            <w:r>
              <w:rPr>
                <w:color w:val="1C3A36"/>
                <w:sz w:val="13"/>
              </w:rPr>
              <w:t>policy rate path</w:t>
            </w:r>
          </w:p>
        </w:tc>
        <w:tc>
          <w:tcPr>
            <w:tcW w:type="dxa" w:w="1440"/>
          </w:tcPr>
          <w:p>
            <w:pPr>
              <w:spacing w:after="20"/>
              <w:jc w:val="right"/>
            </w:pPr>
            <w:r>
              <w:rPr>
                <w:color w:val="1C3A36"/>
                <w:sz w:val="13"/>
              </w:rPr>
              <w:t>0.19 / 0.165 / 0.145 / 0.13 / 0.12</w:t>
            </w:r>
          </w:p>
        </w:tc>
        <w:tc>
          <w:tcPr>
            <w:tcW w:type="dxa" w:w="1080"/>
          </w:tcPr>
          <w:p>
            <w:pPr>
              <w:spacing w:after="20"/>
              <w:jc w:val="right"/>
            </w:pPr>
            <w:r>
              <w:rPr>
                <w:color w:val="1C3A36"/>
                <w:sz w:val="13"/>
              </w:rPr>
              <w:t>2026-08-20</w:t>
            </w:r>
          </w:p>
        </w:tc>
        <w:tc>
          <w:tcPr>
            <w:tcW w:type="dxa" w:w="720"/>
          </w:tcPr>
          <w:p>
            <w:pPr>
              <w:spacing w:after="20"/>
              <w:jc w:val="right"/>
            </w:pPr>
            <w:r>
              <w:rPr>
                <w:color w:val="1C3A36"/>
                <w:sz w:val="13"/>
              </w:rPr>
              <w:t>Country</w:t>
            </w:r>
          </w:p>
        </w:tc>
        <w:tc>
          <w:tcPr>
            <w:tcW w:type="dxa" w:w="5040"/>
          </w:tcPr>
          <w:p>
            <w:pPr>
              <w:spacing w:after="20"/>
              <w:jc w:val="right"/>
            </w:pPr>
            <w:r>
              <w:rPr>
                <w:color w:val="1C3A36"/>
                <w:sz w:val="13"/>
              </w:rPr>
              <w:t>Overnight deposit rate 19.00% now, gliding 19.00 -&gt; 16.50 -&gt; 14.50 -&gt; 13.00 -&gt; 12.00 with the published inflation path at an approximately constant real policy rate. Held for a fourth consecutive meeting on 20 August 2026. This is the SHAPE input for the asset-yield and cost-of-funds paths below; it is not a second free parameter and no valuation input is set from it independently.</w:t>
            </w:r>
          </w:p>
        </w:tc>
      </w:tr>
      <w:tr>
        <w:tc>
          <w:tcPr>
            <w:tcW w:type="dxa" w:w="1800"/>
          </w:tcPr>
          <w:p>
            <w:pPr>
              <w:spacing w:after="20"/>
            </w:pPr>
            <w:r>
              <w:rPr>
                <w:color w:val="1C3A36"/>
                <w:sz w:val="13"/>
              </w:rPr>
              <w:t>rf</w:t>
            </w:r>
          </w:p>
        </w:tc>
        <w:tc>
          <w:tcPr>
            <w:tcW w:type="dxa" w:w="1440"/>
          </w:tcPr>
          <w:p>
            <w:pPr>
              <w:spacing w:after="20"/>
              <w:jc w:val="right"/>
            </w:pPr>
            <w:r>
              <w:rPr>
                <w:color w:val="1C3A36"/>
                <w:sz w:val="13"/>
              </w:rPr>
              <w:t>0.23</w:t>
            </w:r>
          </w:p>
        </w:tc>
        <w:tc>
          <w:tcPr>
            <w:tcW w:type="dxa" w:w="1080"/>
          </w:tcPr>
          <w:p>
            <w:pPr>
              <w:spacing w:after="20"/>
              <w:jc w:val="right"/>
            </w:pPr>
            <w:r>
              <w:rPr>
                <w:color w:val="1C3A36"/>
                <w:sz w:val="13"/>
              </w:rPr>
              <w:t>2026-08-06</w:t>
            </w:r>
          </w:p>
        </w:tc>
        <w:tc>
          <w:tcPr>
            <w:tcW w:type="dxa" w:w="720"/>
          </w:tcPr>
          <w:p>
            <w:pPr>
              <w:spacing w:after="20"/>
              <w:jc w:val="right"/>
            </w:pPr>
            <w:r>
              <w:rPr>
                <w:color w:val="1C3A36"/>
                <w:sz w:val="13"/>
              </w:rPr>
              <w:t>Country</w:t>
            </w:r>
          </w:p>
        </w:tc>
        <w:tc>
          <w:tcPr>
            <w:tcW w:type="dxa" w:w="5040"/>
          </w:tcPr>
          <w:p>
            <w:pPr>
              <w:spacing w:after="20"/>
              <w:jc w:val="right"/>
            </w:pPr>
            <w:r>
              <w:rPr>
                <w:color w:val="1C3A36"/>
                <w:sz w:val="13"/>
              </w:rPr>
              <w:t>Egypt ten-year EGP government bond yield, 23.00%, the quote of 6 August 2026 held in the house macroeconomic path and already used by the PHDC, EGCH and PHAR cost-of-capital records. IT IS 34 DAYS OLD AGAINST THIS STUDY'S PRICING DATE AND THE HOUSE PATH'S OWN 14-DAY STALENESS RULE FLAGS IT AS STALE. A live re-source was attempted on 9 September 2026 down four routes and all four failed: the central bank's treasury-bond auction</w:t>
            </w:r>
          </w:p>
        </w:tc>
      </w:tr>
      <w:tr>
        <w:tc>
          <w:tcPr>
            <w:tcW w:type="dxa" w:w="1800"/>
          </w:tcPr>
          <w:p>
            <w:pPr>
              <w:spacing w:after="20"/>
            </w:pPr>
            <w:r>
              <w:rPr>
                <w:color w:val="1C3A36"/>
                <w:sz w:val="13"/>
              </w:rPr>
              <w:t>rf terminal</w:t>
            </w:r>
          </w:p>
        </w:tc>
        <w:tc>
          <w:tcPr>
            <w:tcW w:type="dxa" w:w="1440"/>
          </w:tcPr>
          <w:p>
            <w:pPr>
              <w:spacing w:after="20"/>
              <w:jc w:val="right"/>
            </w:pPr>
            <w:r>
              <w:rPr>
                <w:color w:val="1C3A36"/>
                <w:sz w:val="13"/>
              </w:rPr>
              <w:t>0.105</w:t>
            </w:r>
          </w:p>
        </w:tc>
        <w:tc>
          <w:tcPr>
            <w:tcW w:type="dxa" w:w="1080"/>
          </w:tcPr>
          <w:p>
            <w:pPr>
              <w:spacing w:after="20"/>
              <w:jc w:val="right"/>
            </w:pPr>
            <w:r>
              <w:rPr>
                <w:color w:val="1C3A36"/>
                <w:sz w:val="13"/>
              </w:rPr>
              <w:t>2026-09-02</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Terminal risk-free rate, DERIVED and never quoted: terminal inflation of 7.00% (the CBE target-band midpoint in force) plus the 5.50% emerging-market terminal real convention. It cannot disagree with the inflation the rest of the model runs on because it is computed from it.</w:t>
            </w:r>
          </w:p>
        </w:tc>
      </w:tr>
      <w:tr>
        <w:tc>
          <w:tcPr>
            <w:tcW w:type="dxa" w:w="1800"/>
          </w:tcPr>
          <w:p>
            <w:pPr>
              <w:spacing w:after="20"/>
            </w:pPr>
            <w:r>
              <w:rPr>
                <w:color w:val="1C3A36"/>
                <w:sz w:val="13"/>
              </w:rPr>
              <w:t>shares</w:t>
            </w:r>
          </w:p>
        </w:tc>
        <w:tc>
          <w:tcPr>
            <w:tcW w:type="dxa" w:w="1440"/>
          </w:tcPr>
          <w:p>
            <w:pPr>
              <w:spacing w:after="20"/>
              <w:jc w:val="right"/>
            </w:pPr>
            <w:r>
              <w:rPr>
                <w:color w:val="1C3A36"/>
                <w:sz w:val="13"/>
              </w:rPr>
              <w:t>1500</w:t>
            </w:r>
          </w:p>
        </w:tc>
        <w:tc>
          <w:tcPr>
            <w:tcW w:type="dxa" w:w="1080"/>
          </w:tcPr>
          <w:p>
            <w:pPr>
              <w:spacing w:after="20"/>
              <w:jc w:val="right"/>
            </w:pPr>
            <w:r>
              <w:rPr>
                <w:color w:val="1C3A36"/>
                <w:sz w:val="13"/>
              </w:rPr>
              <w:t>2026-06-30</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ADIB-Egypt issued and paid-up capital of EGP 15,000,000 thousand at 30 June 2026, over the LE 10 par value the filings state (FY2018 note 34/2), = 1,500 million shares. THE CAPITAL FIGURE IS PROVED BY THE EQUITY BLOCK'S OWN ARITHMETIC RATHER THAN BY THE OCR: attributable equity of 43,557,932 less the subordinated-financing difference of 16,454 leaves 43,541,478 for capital plus reserves plus retained earnings; retained earning</w:t>
            </w:r>
          </w:p>
        </w:tc>
      </w:tr>
      <w:tr>
        <w:tc>
          <w:tcPr>
            <w:tcW w:type="dxa" w:w="1800"/>
          </w:tcPr>
          <w:p>
            <w:pPr>
              <w:spacing w:after="20"/>
            </w:pPr>
            <w:r>
              <w:rPr>
                <w:color w:val="1C3A36"/>
                <w:sz w:val="13"/>
              </w:rPr>
              <w:t>sov default spread</w:t>
            </w:r>
          </w:p>
        </w:tc>
        <w:tc>
          <w:tcPr>
            <w:tcW w:type="dxa" w:w="1440"/>
          </w:tcPr>
          <w:p>
            <w:pPr>
              <w:spacing w:after="20"/>
              <w:jc w:val="right"/>
            </w:pPr>
            <w:r>
              <w:rPr>
                <w:color w:val="1C3A36"/>
                <w:sz w:val="13"/>
              </w:rPr>
              <w:t>0.0342</w:t>
            </w:r>
          </w:p>
        </w:tc>
        <w:tc>
          <w:tcPr>
            <w:tcW w:type="dxa" w:w="1080"/>
          </w:tcPr>
          <w:p>
            <w:pPr>
              <w:spacing w:after="20"/>
              <w:jc w:val="right"/>
            </w:pPr>
            <w:r>
              <w:rPr>
                <w:color w:val="1C3A36"/>
                <w:sz w:val="13"/>
              </w:rPr>
              <w:t>2026-07-02</w:t>
            </w:r>
          </w:p>
        </w:tc>
        <w:tc>
          <w:tcPr>
            <w:tcW w:type="dxa" w:w="720"/>
          </w:tcPr>
          <w:p>
            <w:pPr>
              <w:spacing w:after="20"/>
              <w:jc w:val="right"/>
            </w:pPr>
            <w:r>
              <w:rPr>
                <w:color w:val="1C3A36"/>
                <w:sz w:val="13"/>
              </w:rPr>
              <w:t>Country</w:t>
            </w:r>
          </w:p>
        </w:tc>
        <w:tc>
          <w:tcPr>
            <w:tcW w:type="dxa" w:w="5040"/>
          </w:tcPr>
          <w:p>
            <w:pPr>
              <w:spacing w:after="20"/>
              <w:jc w:val="right"/>
            </w:pPr>
            <w:r>
              <w:rPr>
                <w:color w:val="1C3A36"/>
                <w:sz w:val="13"/>
              </w:rPr>
              <w:t>Egypt sovereign credit-default-swap spread, 3.42%, mid-year (July 2026) vintage of the country default-spread dataset, Egypt row, "Sovereign CDS net of Swiss CDS". Netted out of the local-currency risk-free rate so that sovereign default risk is charged ONCE, inside the equity risk premium, and not twice. The house macroeconomic path carries 3.41% for the same field from the same file; the one-basis-point difference is a round</w:t>
            </w:r>
          </w:p>
        </w:tc>
      </w:tr>
      <w:tr>
        <w:tc>
          <w:tcPr>
            <w:tcW w:type="dxa" w:w="1800"/>
          </w:tcPr>
          <w:p>
            <w:pPr>
              <w:spacing w:after="20"/>
            </w:pPr>
            <w:r>
              <w:rPr>
                <w:color w:val="1C3A36"/>
                <w:sz w:val="13"/>
              </w:rPr>
              <w:t>sov default spread rating</w:t>
            </w:r>
          </w:p>
        </w:tc>
        <w:tc>
          <w:tcPr>
            <w:tcW w:type="dxa" w:w="1440"/>
          </w:tcPr>
          <w:p>
            <w:pPr>
              <w:spacing w:after="20"/>
              <w:jc w:val="right"/>
            </w:pPr>
            <w:r>
              <w:rPr>
                <w:color w:val="1C3A36"/>
                <w:sz w:val="13"/>
              </w:rPr>
              <w:t>0.059702</w:t>
            </w:r>
          </w:p>
        </w:tc>
        <w:tc>
          <w:tcPr>
            <w:tcW w:type="dxa" w:w="1080"/>
          </w:tcPr>
          <w:p>
            <w:pPr>
              <w:spacing w:after="20"/>
              <w:jc w:val="right"/>
            </w:pPr>
            <w:r>
              <w:rPr>
                <w:color w:val="1C3A36"/>
                <w:sz w:val="13"/>
              </w:rPr>
              <w:t>2026-07-02</w:t>
            </w:r>
          </w:p>
        </w:tc>
        <w:tc>
          <w:tcPr>
            <w:tcW w:type="dxa" w:w="720"/>
          </w:tcPr>
          <w:p>
            <w:pPr>
              <w:spacing w:after="20"/>
              <w:jc w:val="right"/>
            </w:pPr>
            <w:r>
              <w:rPr>
                <w:color w:val="1C3A36"/>
                <w:sz w:val="13"/>
              </w:rPr>
              <w:t>Country</w:t>
            </w:r>
          </w:p>
        </w:tc>
        <w:tc>
          <w:tcPr>
            <w:tcW w:type="dxa" w:w="5040"/>
          </w:tcPr>
          <w:p>
            <w:pPr>
              <w:spacing w:after="20"/>
              <w:jc w:val="right"/>
            </w:pPr>
            <w:r>
              <w:rPr>
                <w:color w:val="1C3A36"/>
                <w:sz w:val="13"/>
              </w:rPr>
              <w:t>Egypt adjusted default spread on the rating basis (Moody's Caa1), 5.9702%, same vintage — the alternative construction, published for the audit trail and never mixed with the CDS basis.</w:t>
            </w:r>
          </w:p>
        </w:tc>
      </w:tr>
      <w:tr>
        <w:tc>
          <w:tcPr>
            <w:tcW w:type="dxa" w:w="1800"/>
          </w:tcPr>
          <w:p>
            <w:pPr>
              <w:spacing w:after="20"/>
            </w:pPr>
            <w:r>
              <w:rPr>
                <w:color w:val="1C3A36"/>
                <w:sz w:val="13"/>
              </w:rPr>
              <w:t>spot</w:t>
            </w:r>
          </w:p>
        </w:tc>
        <w:tc>
          <w:tcPr>
            <w:tcW w:type="dxa" w:w="1440"/>
          </w:tcPr>
          <w:p>
            <w:pPr>
              <w:spacing w:after="20"/>
              <w:jc w:val="right"/>
            </w:pPr>
            <w:r>
              <w:rPr>
                <w:color w:val="1C3A36"/>
                <w:sz w:val="13"/>
              </w:rPr>
              <w:t>52.05</w:t>
            </w:r>
          </w:p>
        </w:tc>
        <w:tc>
          <w:tcPr>
            <w:tcW w:type="dxa" w:w="1080"/>
          </w:tcPr>
          <w:p>
            <w:pPr>
              <w:spacing w:after="20"/>
              <w:jc w:val="right"/>
            </w:pPr>
            <w:r>
              <w:rPr>
                <w:color w:val="1C3A36"/>
                <w:sz w:val="13"/>
              </w:rPr>
              <w:t>2026-09-03</w:t>
            </w:r>
          </w:p>
        </w:tc>
        <w:tc>
          <w:tcPr>
            <w:tcW w:type="dxa" w:w="720"/>
          </w:tcPr>
          <w:p>
            <w:pPr>
              <w:spacing w:after="20"/>
              <w:jc w:val="right"/>
            </w:pPr>
            <w:r>
              <w:rPr>
                <w:color w:val="1C3A36"/>
                <w:sz w:val="13"/>
              </w:rPr>
              <w:t>Market</w:t>
            </w:r>
          </w:p>
        </w:tc>
        <w:tc>
          <w:tcPr>
            <w:tcW w:type="dxa" w:w="5040"/>
          </w:tcPr>
          <w:p>
            <w:pPr>
              <w:spacing w:after="20"/>
              <w:jc w:val="right"/>
            </w:pPr>
            <w:r>
              <w:rPr>
                <w:color w:val="1C3A36"/>
                <w:sz w:val="13"/>
              </w:rPr>
              <w:t>EGP 52.05, the close on 3 September 2026, supplied by the principal and committed to the house price file for that date. THIS IS THE LATEST KNOWN PRICE and it is the one the gap is measured against. The published site still carries 54.40 at the 23 August close, which is 11 days older; a study audited against its own past is audited against nothing.</w:t>
            </w:r>
          </w:p>
        </w:tc>
      </w:tr>
      <w:tr>
        <w:tc>
          <w:tcPr>
            <w:tcW w:type="dxa" w:w="1800"/>
          </w:tcPr>
          <w:p>
            <w:pPr>
              <w:spacing w:after="20"/>
            </w:pPr>
            <w:r>
              <w:rPr>
                <w:color w:val="1C3A36"/>
                <w:sz w:val="13"/>
              </w:rPr>
              <w:t>target equity assets</w:t>
            </w:r>
          </w:p>
        </w:tc>
        <w:tc>
          <w:tcPr>
            <w:tcW w:type="dxa" w:w="1440"/>
          </w:tcPr>
          <w:p>
            <w:pPr>
              <w:spacing w:after="20"/>
              <w:jc w:val="right"/>
            </w:pPr>
            <w:r>
              <w:rPr>
                <w:color w:val="1C3A36"/>
                <w:sz w:val="13"/>
              </w:rPr>
              <w:t>0.105</w:t>
            </w:r>
          </w:p>
        </w:tc>
        <w:tc>
          <w:tcPr>
            <w:tcW w:type="dxa" w:w="1080"/>
          </w:tcPr>
          <w:p>
            <w:pPr>
              <w:spacing w:after="20"/>
              <w:jc w:val="right"/>
            </w:pPr>
            <w:r>
              <w:rPr>
                <w:color w:val="1C3A36"/>
                <w:sz w:val="13"/>
              </w:rPr>
              <w:t>2026-09-10</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Attributable equity to total assets, held at 10.5% — the level ADIB-Egypt actually stood at on 30 June 2026 after its EGP 3 billion cash increase, against 9.98% at the FY2025 year end. THIS IS THE BINDING CONSTRAINT ON A GROWING BANK and the model pins the RATIO, not the increment: equity each year is 10.5% of that year's assets and the dividend is whatever profit is left after getting there. A bank growing its balance sheet 3</w:t>
            </w:r>
          </w:p>
        </w:tc>
      </w:tr>
      <w:tr>
        <w:tc>
          <w:tcPr>
            <w:tcW w:type="dxa" w:w="1800"/>
          </w:tcPr>
          <w:p>
            <w:pPr>
              <w:spacing w:after="20"/>
            </w:pPr>
            <w:r>
              <w:rPr>
                <w:color w:val="1C3A36"/>
                <w:sz w:val="13"/>
              </w:rPr>
              <w:t>tax fy2025</w:t>
            </w:r>
          </w:p>
        </w:tc>
        <w:tc>
          <w:tcPr>
            <w:tcW w:type="dxa" w:w="1440"/>
          </w:tcPr>
          <w:p>
            <w:pPr>
              <w:spacing w:after="20"/>
              <w:jc w:val="right"/>
            </w:pPr>
            <w:r>
              <w:rPr>
                <w:color w:val="1C3A36"/>
                <w:sz w:val="13"/>
              </w:rPr>
              <w:t>-4881.19</w:t>
            </w:r>
          </w:p>
        </w:tc>
        <w:tc>
          <w:tcPr>
            <w:tcW w:type="dxa" w:w="1080"/>
          </w:tcPr>
          <w:p>
            <w:pPr>
              <w:spacing w:after="20"/>
              <w:jc w:val="right"/>
            </w:pPr>
            <w:r>
              <w:rPr>
                <w:color w:val="1C3A36"/>
                <w:sz w:val="13"/>
              </w:rPr>
              <w:t>2026-02-05</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The audited consolidated financial statements for the year ended 31 December 2025, signed in Cairo on 5 February 2026 — read from the filing itself; the statement foots.</w:t>
            </w:r>
          </w:p>
        </w:tc>
      </w:tr>
      <w:tr>
        <w:tc>
          <w:tcPr>
            <w:tcW w:type="dxa" w:w="1800"/>
          </w:tcPr>
          <w:p>
            <w:pPr>
              <w:spacing w:after="20"/>
            </w:pPr>
            <w:r>
              <w:rPr>
                <w:color w:val="1C3A36"/>
                <w:sz w:val="13"/>
              </w:rPr>
              <w:t>tax rate</w:t>
            </w:r>
          </w:p>
        </w:tc>
        <w:tc>
          <w:tcPr>
            <w:tcW w:type="dxa" w:w="1440"/>
          </w:tcPr>
          <w:p>
            <w:pPr>
              <w:spacing w:after="20"/>
              <w:jc w:val="right"/>
            </w:pPr>
            <w:r>
              <w:rPr>
                <w:color w:val="1C3A36"/>
                <w:sz w:val="13"/>
              </w:rPr>
              <w:t>0.285</w:t>
            </w:r>
          </w:p>
        </w:tc>
        <w:tc>
          <w:tcPr>
            <w:tcW w:type="dxa" w:w="1080"/>
          </w:tcPr>
          <w:p>
            <w:pPr>
              <w:spacing w:after="20"/>
              <w:jc w:val="right"/>
            </w:pPr>
            <w:r>
              <w:rPr>
                <w:color w:val="1C3A36"/>
                <w:sz w:val="13"/>
              </w:rPr>
              <w:t>2026-09-10</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Effective tax rate. FY2025 actual 27.92%, FY2024 26.64%, the June 2026 half 29.57%. The Egyptian statutory corporate rate is 22.5%; an Egyptian bank pays materially more because the 20% withholding on treasury-bill income is not creditable and part of its cost base is disallowed. 28.5% sits inside the observed range and above the statutory rate for that reason.</w:t>
            </w:r>
          </w:p>
        </w:tc>
      </w:tr>
      <w:tr>
        <w:tc>
          <w:tcPr>
            <w:tcW w:type="dxa" w:w="1800"/>
          </w:tcPr>
          <w:p>
            <w:pPr>
              <w:spacing w:after="20"/>
            </w:pPr>
            <w:r>
              <w:rPr>
                <w:color w:val="1C3A36"/>
                <w:sz w:val="13"/>
              </w:rPr>
              <w:t>tax rate h1 2026</w:t>
            </w:r>
          </w:p>
        </w:tc>
        <w:tc>
          <w:tcPr>
            <w:tcW w:type="dxa" w:w="1440"/>
          </w:tcPr>
          <w:p>
            <w:pPr>
              <w:spacing w:after="20"/>
              <w:jc w:val="right"/>
            </w:pPr>
            <w:r>
              <w:rPr>
                <w:color w:val="1C3A36"/>
                <w:sz w:val="13"/>
              </w:rPr>
              <w:t>0.295749</w:t>
            </w:r>
          </w:p>
        </w:tc>
        <w:tc>
          <w:tcPr>
            <w:tcW w:type="dxa" w:w="1080"/>
          </w:tcPr>
          <w:p>
            <w:pPr>
              <w:spacing w:after="20"/>
              <w:jc w:val="right"/>
            </w:pPr>
            <w:r>
              <w:rPr>
                <w:color w:val="1C3A36"/>
                <w:sz w:val="13"/>
              </w:rPr>
              <w:t>2026-07-30</w:t>
            </w:r>
          </w:p>
        </w:tc>
        <w:tc>
          <w:tcPr>
            <w:tcW w:type="dxa" w:w="720"/>
          </w:tcPr>
          <w:p>
            <w:pPr>
              <w:spacing w:after="20"/>
              <w:jc w:val="right"/>
            </w:pPr>
            <w:r>
              <w:rPr>
                <w:color w:val="1C3A36"/>
                <w:sz w:val="13"/>
              </w:rPr>
              <w:t>Company</w:t>
            </w:r>
          </w:p>
        </w:tc>
        <w:tc>
          <w:tcPr>
            <w:tcW w:type="dxa" w:w="5040"/>
          </w:tcPr>
          <w:p>
            <w:pPr>
              <w:spacing w:after="20"/>
              <w:jc w:val="right"/>
            </w:pPr>
            <w:r>
              <w:rPr>
                <w:color w:val="1C3A36"/>
                <w:sz w:val="13"/>
              </w:rPr>
              <w:t>Effective tax rate for the six months ended 30 June 2026, DERIVED from the reviewed statement's own tax charge over its own profit before tax. It is the highest of the three readings this study holds and is why the forecast carries 28.5% rather than the 27.92% of the last full year.</w:t>
            </w:r>
          </w:p>
        </w:tc>
      </w:tr>
      <w:tr>
        <w:tc>
          <w:tcPr>
            <w:tcW w:type="dxa" w:w="1800"/>
          </w:tcPr>
          <w:p>
            <w:pPr>
              <w:spacing w:after="20"/>
            </w:pPr>
            <w:r>
              <w:rPr>
                <w:color w:val="1C3A36"/>
                <w:sz w:val="13"/>
              </w:rPr>
              <w:t>terminal growth</w:t>
            </w:r>
          </w:p>
        </w:tc>
        <w:tc>
          <w:tcPr>
            <w:tcW w:type="dxa" w:w="1440"/>
          </w:tcPr>
          <w:p>
            <w:pPr>
              <w:spacing w:after="20"/>
              <w:jc w:val="right"/>
            </w:pPr>
            <w:r>
              <w:rPr>
                <w:color w:val="1C3A36"/>
                <w:sz w:val="13"/>
              </w:rPr>
              <w:t>0.07</w:t>
            </w:r>
          </w:p>
        </w:tc>
        <w:tc>
          <w:tcPr>
            <w:tcW w:type="dxa" w:w="1080"/>
          </w:tcPr>
          <w:p>
            <w:pPr>
              <w:spacing w:after="20"/>
              <w:jc w:val="right"/>
            </w:pPr>
            <w:r>
              <w:rPr>
                <w:color w:val="1C3A36"/>
                <w:sz w:val="13"/>
              </w:rPr>
              <w:t>2026-09-02</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Terminal growth 7.00% = terminal inflation, ZERO REAL. For a bank in an economy whose private credit is 26% of GDP that is deliberately conservative: it assumes ADIB-Egypt stops taking share and stops participating in credit deepening the moment the explicit window closes. It sits BELOW the 12.50% terminal risk-free rate and equals the inflation inside it, so the terminal cannot grow faster than the money it is discounted in.</w:t>
            </w:r>
          </w:p>
        </w:tc>
      </w:tr>
    </w:tbl>
    <w:p>
      <w:pPr>
        <w:spacing w:after="40"/>
      </w:pPr>
    </w:p>
    <w:p>
      <w:pPr>
        <w:spacing w:after="200" w:before="0"/>
      </w:pPr>
      <w:r>
        <w:rPr>
          <w:b w:val="0"/>
          <w:i/>
          <w:color w:val="6E7B77"/>
          <w:sz w:val="17"/>
        </w:rPr>
        <w:t>Table 2 — the full input register.</w:t>
      </w:r>
    </w:p>
    <w:p>
      <w:pPr>
        <w:spacing w:after="120" w:before="280"/>
      </w:pPr>
      <w:r>
        <w:rPr>
          <w:b/>
          <w:i w:val="0"/>
          <w:color w:val="1C3A36"/>
          <w:sz w:val="30"/>
        </w:rPr>
        <w:t>3  Judgements, and what would overturn each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3600"/>
        <w:gridCol w:w="4320"/>
      </w:tblGrid>
      <w:tr>
        <w:tc>
          <w:tcPr>
            <w:tcW w:type="dxa" w:w="2160"/>
            <w:shd w:val="clear" w:color="auto" w:fill="EAF0EE"/>
          </w:tcPr>
          <w:p>
            <w:pPr>
              <w:spacing w:after="20"/>
            </w:pPr>
            <w:r>
              <w:rPr>
                <w:b/>
                <w:color w:val="1C3A36"/>
                <w:sz w:val="15"/>
              </w:rPr>
              <w:t>Judgement</w:t>
            </w:r>
          </w:p>
        </w:tc>
        <w:tc>
          <w:tcPr>
            <w:tcW w:type="dxa" w:w="3600"/>
            <w:shd w:val="clear" w:color="auto" w:fill="EAF0EE"/>
          </w:tcPr>
          <w:p>
            <w:pPr>
              <w:spacing w:after="20"/>
            </w:pPr>
            <w:r>
              <w:rPr>
                <w:b/>
                <w:color w:val="1C3A36"/>
                <w:sz w:val="15"/>
              </w:rPr>
              <w:t>What it is</w:t>
            </w:r>
          </w:p>
        </w:tc>
        <w:tc>
          <w:tcPr>
            <w:tcW w:type="dxa" w:w="4320"/>
            <w:shd w:val="clear" w:color="auto" w:fill="EAF0EE"/>
          </w:tcPr>
          <w:p>
            <w:pPr>
              <w:spacing w:after="20"/>
            </w:pPr>
            <w:r>
              <w:rPr>
                <w:b/>
                <w:color w:val="1C3A36"/>
                <w:sz w:val="15"/>
              </w:rPr>
              <w:t>What would overturn it</w:t>
            </w:r>
          </w:p>
        </w:tc>
      </w:tr>
      <w:tr>
        <w:tc>
          <w:tcPr>
            <w:tcW w:type="dxa" w:w="2160"/>
          </w:tcPr>
          <w:p>
            <w:pPr>
              <w:spacing w:after="20"/>
            </w:pPr>
            <w:r>
              <w:rPr>
                <w:color w:val="1C3A36"/>
                <w:sz w:val="15"/>
              </w:rPr>
              <w:t>The cost of risk</w:t>
            </w:r>
          </w:p>
        </w:tc>
        <w:tc>
          <w:tcPr>
            <w:tcW w:type="dxa" w:w="3600"/>
          </w:tcPr>
          <w:p>
            <w:pPr>
              <w:spacing w:after="20"/>
              <w:jc w:val="right"/>
            </w:pPr>
            <w:r>
              <w:rPr>
                <w:color w:val="1C3A36"/>
                <w:sz w:val="15"/>
              </w:rPr>
              <w:t>1.00% of average financing in FY2026 and 1.30% thereafter, against a FY2022-25 mean of 2.09% and a June-2026 half of effectively zero</w:t>
            </w:r>
          </w:p>
        </w:tc>
        <w:tc>
          <w:tcPr>
            <w:tcW w:type="dxa" w:w="4320"/>
          </w:tcPr>
          <w:p>
            <w:pPr>
              <w:spacing w:after="20"/>
              <w:jc w:val="right"/>
            </w:pPr>
            <w:r>
              <w:rPr>
                <w:color w:val="1C3A36"/>
                <w:sz w:val="15"/>
              </w:rPr>
              <w:t>A third-quarter 2026 charge still near zero would say the release is structural and the assumption too harsh. A charge back above 2% would say the opposite. This is the single most consequential judgement in the study and it is worth EGP 10.86 a share.</w:t>
            </w:r>
          </w:p>
        </w:tc>
      </w:tr>
      <w:tr>
        <w:tc>
          <w:tcPr>
            <w:tcW w:type="dxa" w:w="2160"/>
          </w:tcPr>
          <w:p>
            <w:pPr>
              <w:spacing w:after="20"/>
            </w:pPr>
            <w:r>
              <w:rPr>
                <w:color w:val="1C3A36"/>
                <w:sz w:val="15"/>
              </w:rPr>
              <w:t>The share of Egyptian credit rises</w:t>
            </w:r>
          </w:p>
        </w:tc>
        <w:tc>
          <w:tcPr>
            <w:tcW w:type="dxa" w:w="3600"/>
          </w:tcPr>
          <w:p>
            <w:pPr>
              <w:spacing w:after="20"/>
              <w:jc w:val="right"/>
            </w:pPr>
            <w:r>
              <w:rPr>
                <w:color w:val="1C3A36"/>
                <w:sz w:val="15"/>
              </w:rPr>
              <w:t>financing grows at 2.26x nominal GDP in 2026, decaying to parity by 2030, taking the bank from 3.14% of Egyptian private credit to 4.42%</w:t>
            </w:r>
          </w:p>
        </w:tc>
        <w:tc>
          <w:tcPr>
            <w:tcW w:type="dxa" w:w="4320"/>
          </w:tcPr>
          <w:p>
            <w:pPr>
              <w:spacing w:after="20"/>
              <w:jc w:val="right"/>
            </w:pPr>
            <w:r>
              <w:rPr>
                <w:color w:val="1C3A36"/>
                <w:sz w:val="15"/>
              </w:rPr>
              <w:t>Two consecutive halves of financing growth at or below nominal GDP. The walk-forward beneath this study measured the historical drift at about 8.7% a year for a decade, so the assumption is slower than history and faster than none.</w:t>
            </w:r>
          </w:p>
        </w:tc>
      </w:tr>
      <w:tr>
        <w:tc>
          <w:tcPr>
            <w:tcW w:type="dxa" w:w="2160"/>
          </w:tcPr>
          <w:p>
            <w:pPr>
              <w:spacing w:after="20"/>
            </w:pPr>
            <w:r>
              <w:rPr>
                <w:color w:val="1C3A36"/>
                <w:sz w:val="15"/>
              </w:rPr>
              <w:t>The margin compresses with the policy glide</w:t>
            </w:r>
          </w:p>
        </w:tc>
        <w:tc>
          <w:tcPr>
            <w:tcW w:type="dxa" w:w="3600"/>
          </w:tcPr>
          <w:p>
            <w:pPr>
              <w:spacing w:after="20"/>
              <w:jc w:val="right"/>
            </w:pPr>
            <w:r>
              <w:rPr>
                <w:color w:val="1C3A36"/>
                <w:sz w:val="15"/>
              </w:rPr>
              <w:t>asset yield falls at about 0.75 of the central bank's published path and the cost of funds at about 0.80, so the margin goes from 6.64% to 4.81%</w:t>
            </w:r>
          </w:p>
        </w:tc>
        <w:tc>
          <w:tcPr>
            <w:tcW w:type="dxa" w:w="4320"/>
          </w:tcPr>
          <w:p>
            <w:pPr>
              <w:spacing w:after="20"/>
              <w:jc w:val="right"/>
            </w:pPr>
            <w:r>
              <w:rPr>
                <w:color w:val="1C3A36"/>
                <w:sz w:val="15"/>
              </w:rPr>
              <w:t>A half in which the margin holds while the policy rate falls. The Islamic financing book prices at origination for its whole term, so the mix could slow the repricing more than assumed — which would RAISE the value.</w:t>
            </w:r>
          </w:p>
        </w:tc>
      </w:tr>
      <w:tr>
        <w:tc>
          <w:tcPr>
            <w:tcW w:type="dxa" w:w="2160"/>
          </w:tcPr>
          <w:p>
            <w:pPr>
              <w:spacing w:after="20"/>
            </w:pPr>
            <w:r>
              <w:rPr>
                <w:color w:val="1C3A36"/>
                <w:sz w:val="15"/>
              </w:rPr>
              <w:t>Equity is pinned at 10.5% of assets</w:t>
            </w:r>
          </w:p>
        </w:tc>
        <w:tc>
          <w:tcPr>
            <w:tcW w:type="dxa" w:w="3600"/>
          </w:tcPr>
          <w:p>
            <w:pPr>
              <w:spacing w:after="20"/>
              <w:jc w:val="right"/>
            </w:pPr>
            <w:r>
              <w:rPr>
                <w:color w:val="1C3A36"/>
                <w:sz w:val="15"/>
              </w:rPr>
              <w:t>the level the bank actually stood at on 30 June 2026, and the constraint that makes the dividend what is left rather than what is chosen</w:t>
            </w:r>
          </w:p>
        </w:tc>
        <w:tc>
          <w:tcPr>
            <w:tcW w:type="dxa" w:w="4320"/>
          </w:tcPr>
          <w:p>
            <w:pPr>
              <w:spacing w:after="20"/>
              <w:jc w:val="right"/>
            </w:pPr>
            <w:r>
              <w:rPr>
                <w:color w:val="1C3A36"/>
                <w:sz w:val="15"/>
              </w:rPr>
              <w:t>A disclosed regulatory capital target materially different from it, or a balance sheet run at a visibly lower ratio for two years.</w:t>
            </w:r>
          </w:p>
        </w:tc>
      </w:tr>
      <w:tr>
        <w:tc>
          <w:tcPr>
            <w:tcW w:type="dxa" w:w="2160"/>
          </w:tcPr>
          <w:p>
            <w:pPr>
              <w:spacing w:after="20"/>
            </w:pPr>
            <w:r>
              <w:rPr>
                <w:color w:val="1C3A36"/>
                <w:sz w:val="15"/>
              </w:rPr>
              <w:t>The cost of equity is 29.42%</w:t>
            </w:r>
          </w:p>
        </w:tc>
        <w:tc>
          <w:tcPr>
            <w:tcW w:type="dxa" w:w="3600"/>
          </w:tcPr>
          <w:p>
            <w:pPr>
              <w:spacing w:after="20"/>
              <w:jc w:val="right"/>
            </w:pPr>
            <w:r>
              <w:rPr>
                <w:color w:val="1C3A36"/>
                <w:sz w:val="15"/>
              </w:rPr>
              <w:t>a 23.00% ten-year yield less a 3.42% sovereign spread, plus a 1.0747 beta times the 4.3180% MATURE premium, plus the 5.1984% country premium charged flat and once — beta multiplies the mature leg and nothing else</w:t>
            </w:r>
          </w:p>
        </w:tc>
        <w:tc>
          <w:tcPr>
            <w:tcW w:type="dxa" w:w="4320"/>
          </w:tcPr>
          <w:p>
            <w:pPr>
              <w:spacing w:after="20"/>
              <w:jc w:val="right"/>
            </w:pPr>
            <w:r>
              <w:rPr>
                <w:color w:val="1C3A36"/>
                <w:sz w:val="15"/>
              </w:rPr>
              <w:t>A CURRENT ten-year yield. The one carried is 34 days old and the only recent market evidence found is 171 basis points lower.</w:t>
            </w:r>
          </w:p>
        </w:tc>
      </w:tr>
      <w:tr>
        <w:tc>
          <w:tcPr>
            <w:tcW w:type="dxa" w:w="2160"/>
          </w:tcPr>
          <w:p>
            <w:pPr>
              <w:spacing w:after="20"/>
            </w:pPr>
            <w:r>
              <w:rPr>
                <w:color w:val="1C3A36"/>
                <w:sz w:val="15"/>
              </w:rPr>
              <w:t>Terminal growth is 7.00%</w:t>
            </w:r>
          </w:p>
        </w:tc>
        <w:tc>
          <w:tcPr>
            <w:tcW w:type="dxa" w:w="3600"/>
          </w:tcPr>
          <w:p>
            <w:pPr>
              <w:spacing w:after="20"/>
              <w:jc w:val="right"/>
            </w:pPr>
            <w:r>
              <w:rPr>
                <w:color w:val="1C3A36"/>
                <w:sz w:val="15"/>
              </w:rPr>
              <w:t>equal to terminal inflation — zero real growth in perpetuity</w:t>
            </w:r>
          </w:p>
        </w:tc>
        <w:tc>
          <w:tcPr>
            <w:tcW w:type="dxa" w:w="4320"/>
          </w:tcPr>
          <w:p>
            <w:pPr>
              <w:spacing w:after="20"/>
              <w:jc w:val="right"/>
            </w:pPr>
            <w:r>
              <w:rPr>
                <w:color w:val="1C3A36"/>
                <w:sz w:val="15"/>
              </w:rPr>
              <w:t>Nothing in the evidence; it is deliberately the conservative end. A bank in an economy with private credit at 26% of GDP growing at zero real for ever is an assumption against value, and it is worth about 1.4% per percentage point.</w:t>
            </w:r>
          </w:p>
        </w:tc>
      </w:tr>
    </w:tbl>
    <w:p>
      <w:pPr>
        <w:spacing w:after="40"/>
      </w:pPr>
    </w:p>
    <w:p>
      <w:pPr>
        <w:spacing w:after="200" w:before="0"/>
      </w:pPr>
      <w:r>
        <w:rPr>
          <w:b w:val="0"/>
          <w:i/>
          <w:color w:val="6E7B77"/>
          <w:sz w:val="17"/>
        </w:rPr>
        <w:t>Table 3 — every judgement, and the observation that would kill it.</w:t>
      </w:r>
    </w:p>
    <w:p>
      <w:pPr>
        <w:spacing w:after="120" w:before="280"/>
      </w:pPr>
      <w:r>
        <w:rPr>
          <w:b/>
          <w:i w:val="0"/>
          <w:color w:val="1C3A36"/>
          <w:sz w:val="30"/>
        </w:rPr>
        <w:t>4  Negative results — what was looked for and not found</w:t>
      </w:r>
    </w:p>
    <w:p>
      <w:pPr>
        <w:spacing w:after="120" w:before="0"/>
      </w:pPr>
      <w:r>
        <w:rPr>
          <w:b w:val="0"/>
          <w:i w:val="0"/>
          <w:color w:val="1C3A36"/>
          <w:sz w:val="21"/>
        </w:rPr>
        <w:t>A source that would not yield is a fact worth recording. These are the attempts that failed, with what was done instead.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4176"/>
        <w:gridCol w:w="3456"/>
      </w:tblGrid>
      <w:tr>
        <w:tc>
          <w:tcPr>
            <w:tcW w:type="dxa" w:w="2448"/>
            <w:shd w:val="clear" w:color="auto" w:fill="EAF0EE"/>
          </w:tcPr>
          <w:p>
            <w:pPr>
              <w:spacing w:after="20"/>
            </w:pPr>
            <w:r>
              <w:rPr>
                <w:b/>
                <w:color w:val="1C3A36"/>
                <w:sz w:val="14"/>
              </w:rPr>
              <w:t>What was sought</w:t>
            </w:r>
          </w:p>
        </w:tc>
        <w:tc>
          <w:tcPr>
            <w:tcW w:type="dxa" w:w="4176"/>
            <w:shd w:val="clear" w:color="auto" w:fill="EAF0EE"/>
          </w:tcPr>
          <w:p>
            <w:pPr>
              <w:spacing w:after="20"/>
            </w:pPr>
            <w:r>
              <w:rPr>
                <w:b/>
                <w:color w:val="1C3A36"/>
                <w:sz w:val="14"/>
              </w:rPr>
              <w:t>What happened</w:t>
            </w:r>
          </w:p>
        </w:tc>
        <w:tc>
          <w:tcPr>
            <w:tcW w:type="dxa" w:w="3456"/>
            <w:shd w:val="clear" w:color="auto" w:fill="EAF0EE"/>
          </w:tcPr>
          <w:p>
            <w:pPr>
              <w:spacing w:after="20"/>
            </w:pPr>
            <w:r>
              <w:rPr>
                <w:b/>
                <w:color w:val="1C3A36"/>
                <w:sz w:val="14"/>
              </w:rPr>
              <w:t>What was done instead</w:t>
            </w:r>
          </w:p>
        </w:tc>
      </w:tr>
      <w:tr>
        <w:tc>
          <w:tcPr>
            <w:tcW w:type="dxa" w:w="2448"/>
          </w:tcPr>
          <w:p>
            <w:pPr>
              <w:spacing w:after="20"/>
            </w:pPr>
            <w:r>
              <w:rPr>
                <w:color w:val="1C3A36"/>
                <w:sz w:val="14"/>
              </w:rPr>
              <w:t>ADIB-Egypt IR (trailing slash + /en/ prefix)</w:t>
            </w:r>
          </w:p>
        </w:tc>
        <w:tc>
          <w:tcPr>
            <w:tcW w:type="dxa" w:w="4176"/>
          </w:tcPr>
          <w:p>
            <w:pPr>
              <w:spacing w:after="20"/>
              <w:jc w:val="right"/>
            </w:pPr>
            <w:r>
              <w:rPr>
                <w:color w:val="1C3A36"/>
                <w:sz w:val="14"/>
              </w:rPr>
              <w:t>REJECTED by the site WAF ("Request Rejected", support ID returned). The path without the /en/ prefix serves the same page and was used.</w:t>
            </w:r>
          </w:p>
        </w:tc>
        <w:tc>
          <w:tcPr>
            <w:tcW w:type="dxa" w:w="3456"/>
          </w:tcPr>
          <w:p>
            <w:pPr>
              <w:spacing w:after="20"/>
              <w:jc w:val="right"/>
            </w:pPr>
            <w:r>
              <w:rPr>
                <w:color w:val="1C3A36"/>
                <w:sz w:val="14"/>
              </w:rPr>
            </w:r>
          </w:p>
        </w:tc>
      </w:tr>
      <w:tr>
        <w:tc>
          <w:tcPr>
            <w:tcW w:type="dxa" w:w="2448"/>
          </w:tcPr>
          <w:p>
            <w:pPr>
              <w:spacing w:after="20"/>
            </w:pPr>
            <w:r>
              <w:rPr>
                <w:color w:val="1C3A36"/>
                <w:sz w:val="14"/>
              </w:rPr>
              <w:t>FY2021 English consolidated, alternative names</w:t>
            </w:r>
          </w:p>
        </w:tc>
        <w:tc>
          <w:tcPr>
            <w:tcW w:type="dxa" w:w="4176"/>
          </w:tcPr>
          <w:p>
            <w:pPr>
              <w:spacing w:after="20"/>
              <w:jc w:val="right"/>
            </w:pPr>
            <w:r>
              <w:rPr>
                <w:color w:val="1C3A36"/>
                <w:sz w:val="14"/>
              </w:rPr>
              <w:t>404 on both</w:t>
            </w:r>
          </w:p>
        </w:tc>
        <w:tc>
          <w:tcPr>
            <w:tcW w:type="dxa" w:w="3456"/>
          </w:tcPr>
          <w:p>
            <w:pPr>
              <w:spacing w:after="20"/>
              <w:jc w:val="right"/>
            </w:pPr>
            <w:r>
              <w:rPr>
                <w:color w:val="1C3A36"/>
                <w:sz w:val="14"/>
              </w:rPr>
            </w:r>
          </w:p>
        </w:tc>
      </w:tr>
      <w:tr>
        <w:tc>
          <w:tcPr>
            <w:tcW w:type="dxa" w:w="2448"/>
          </w:tcPr>
          <w:p>
            <w:pPr>
              <w:spacing w:after="20"/>
            </w:pPr>
            <w:r>
              <w:rPr>
                <w:color w:val="1C3A36"/>
                <w:sz w:val="14"/>
              </w:rPr>
              <w:t>FY2021 standalone English</w:t>
            </w:r>
          </w:p>
        </w:tc>
        <w:tc>
          <w:tcPr>
            <w:tcW w:type="dxa" w:w="4176"/>
          </w:tcPr>
          <w:p>
            <w:pPr>
              <w:spacing w:after="20"/>
              <w:jc w:val="right"/>
            </w:pPr>
            <w:r>
              <w:rPr>
                <w:color w:val="1C3A36"/>
                <w:sz w:val="14"/>
              </w:rPr>
              <w:t>200 - standalone, not consolidated; NOT used, the panel is consolidated throughout</w:t>
            </w:r>
          </w:p>
        </w:tc>
        <w:tc>
          <w:tcPr>
            <w:tcW w:type="dxa" w:w="3456"/>
          </w:tcPr>
          <w:p>
            <w:pPr>
              <w:spacing w:after="20"/>
              <w:jc w:val="right"/>
            </w:pPr>
            <w:r>
              <w:rPr>
                <w:color w:val="1C3A36"/>
                <w:sz w:val="14"/>
              </w:rPr>
            </w:r>
          </w:p>
        </w:tc>
      </w:tr>
      <w:tr>
        <w:tc>
          <w:tcPr>
            <w:tcW w:type="dxa" w:w="2448"/>
          </w:tcPr>
          <w:p>
            <w:pPr>
              <w:spacing w:after="20"/>
            </w:pPr>
            <w:r>
              <w:rPr>
                <w:color w:val="1C3A36"/>
                <w:sz w:val="14"/>
              </w:rPr>
              <w:t>Board of Directors report FY2023</w:t>
            </w:r>
          </w:p>
        </w:tc>
        <w:tc>
          <w:tcPr>
            <w:tcW w:type="dxa" w:w="4176"/>
          </w:tcPr>
          <w:p>
            <w:pPr>
              <w:spacing w:after="20"/>
              <w:jc w:val="right"/>
            </w:pPr>
            <w:r>
              <w:rPr>
                <w:color w:val="1C3A36"/>
                <w:sz w:val="14"/>
              </w:rPr>
              <w:t>curl refused the unencoded space in the path; not retried, the FY2023 audited statements carry everything this run needs</w:t>
            </w:r>
          </w:p>
        </w:tc>
        <w:tc>
          <w:tcPr>
            <w:tcW w:type="dxa" w:w="3456"/>
          </w:tcPr>
          <w:p>
            <w:pPr>
              <w:spacing w:after="20"/>
              <w:jc w:val="right"/>
            </w:pPr>
            <w:r>
              <w:rPr>
                <w:color w:val="1C3A36"/>
                <w:sz w:val="14"/>
              </w:rPr>
            </w:r>
          </w:p>
        </w:tc>
      </w:tr>
      <w:tr>
        <w:tc>
          <w:tcPr>
            <w:tcW w:type="dxa" w:w="2448"/>
          </w:tcPr>
          <w:p>
            <w:pPr>
              <w:spacing w:after="20"/>
            </w:pPr>
            <w:r>
              <w:rPr>
                <w:color w:val="1C3A36"/>
                <w:sz w:val="14"/>
              </w:rPr>
              <w:t>A current Egyptian ten-year government bond yield</w:t>
            </w:r>
          </w:p>
        </w:tc>
        <w:tc>
          <w:tcPr>
            <w:tcW w:type="dxa" w:w="4176"/>
          </w:tcPr>
          <w:p>
            <w:pPr>
              <w:spacing w:after="20"/>
              <w:jc w:val="right"/>
            </w:pPr>
            <w:r>
              <w:rPr>
                <w:color w:val="1C3A36"/>
                <w:sz w:val="14"/>
              </w:rPr>
              <w:t>FOUR ROUTES, ALL FAILED on 9 September 2026: the central bank's treasury-bond auction pages return 404; its auction endpoint returns the website shell rather than data; two market-data providers render their yield tables in JavaScript, and one returns 403.</w:t>
            </w:r>
          </w:p>
        </w:tc>
        <w:tc>
          <w:tcPr>
            <w:tcW w:type="dxa" w:w="3456"/>
          </w:tcPr>
          <w:p>
            <w:pPr>
              <w:spacing w:after="20"/>
              <w:jc w:val="right"/>
            </w:pPr>
            <w:r>
              <w:rPr>
                <w:color w:val="1C3A36"/>
                <w:sz w:val="14"/>
              </w:rPr>
              <w:t>The 6 August 2026 quote of 23.00% held in the house macro path is carried and DECLARED STALE on the face of the register entry, in section 1.8 of the study and in the gap review. It is sensitised by 200 basis points either way. The only recent evidence found — a 21.29% average over late April to late May 2026 — is quoted beside it.</w:t>
            </w:r>
          </w:p>
        </w:tc>
      </w:tr>
      <w:tr>
        <w:tc>
          <w:tcPr>
            <w:tcW w:type="dxa" w:w="2448"/>
          </w:tcPr>
          <w:p>
            <w:pPr>
              <w:spacing w:after="20"/>
            </w:pPr>
            <w:r>
              <w:rPr>
                <w:color w:val="1C3A36"/>
                <w:sz w:val="14"/>
              </w:rPr>
              <w:t>Same-day book value for any Egyptian bank peer</w:t>
            </w:r>
          </w:p>
        </w:tc>
        <w:tc>
          <w:tcPr>
            <w:tcW w:type="dxa" w:w="4176"/>
          </w:tcPr>
          <w:p>
            <w:pPr>
              <w:spacing w:after="20"/>
              <w:jc w:val="right"/>
            </w:pPr>
            <w:r>
              <w:rPr>
                <w:color w:val="1C3A36"/>
                <w:sz w:val="14"/>
              </w:rPr>
              <w:t>NOT FOUND. One same-day peer PRICE is held (Commercial International Bank, EGP 138.98 on 3 September 2026). No peer book value, earnings or capital ratio could be sourced on the study date.</w:t>
            </w:r>
          </w:p>
        </w:tc>
        <w:tc>
          <w:tcPr>
            <w:tcW w:type="dxa" w:w="3456"/>
          </w:tcPr>
          <w:p>
            <w:pPr>
              <w:spacing w:after="20"/>
              <w:jc w:val="right"/>
            </w:pPr>
            <w:r>
              <w:rPr>
                <w:color w:val="1C3A36"/>
                <w:sz w:val="14"/>
              </w:rPr>
              <w:t>The relative-multiple lens is published as a BAND, carries no weight in the answer, and the hole is stated in the study's own Appendix B.</w:t>
            </w:r>
          </w:p>
        </w:tc>
      </w:tr>
      <w:tr>
        <w:tc>
          <w:tcPr>
            <w:tcW w:type="dxa" w:w="2448"/>
          </w:tcPr>
          <w:p>
            <w:pPr>
              <w:spacing w:after="20"/>
            </w:pPr>
            <w:r>
              <w:rPr>
                <w:color w:val="1C3A36"/>
                <w:sz w:val="14"/>
              </w:rPr>
              <w:t>The English FY2021 consolidated filing</w:t>
            </w:r>
          </w:p>
        </w:tc>
        <w:tc>
          <w:tcPr>
            <w:tcW w:type="dxa" w:w="4176"/>
          </w:tcPr>
          <w:p>
            <w:pPr>
              <w:spacing w:after="20"/>
              <w:jc w:val="right"/>
            </w:pPr>
            <w:r>
              <w:rPr>
                <w:color w:val="1C3A36"/>
                <w:sz w:val="14"/>
              </w:rPr>
              <w:t>DOES NOT EXIST on the issuer's site. The file published under that name is the ARABIC filing — 102 pages, no English statement page. Two alternative filenames return 404.</w:t>
            </w:r>
          </w:p>
        </w:tc>
        <w:tc>
          <w:tcPr>
            <w:tcW w:type="dxa" w:w="3456"/>
          </w:tcPr>
          <w:p>
            <w:pPr>
              <w:spacing w:after="20"/>
              <w:jc w:val="right"/>
            </w:pPr>
            <w:r>
              <w:rPr>
                <w:color w:val="1C3A36"/>
                <w:sz w:val="14"/>
              </w:rPr>
              <w:t>FY2021 is taken from the comparative column of the audited FY2022 statements. Tier A and the same issuer, but a comparative, which is the one row in the record where point-in-time discipline cannot be fully honoured.</w:t>
            </w:r>
          </w:p>
        </w:tc>
      </w:tr>
    </w:tbl>
    <w:p>
      <w:pPr>
        <w:spacing w:after="40"/>
      </w:pPr>
    </w:p>
    <w:p>
      <w:pPr>
        <w:spacing w:after="200" w:before="0"/>
      </w:pPr>
      <w:r>
        <w:rPr>
          <w:b w:val="0"/>
          <w:i/>
          <w:color w:val="6E7B77"/>
          <w:sz w:val="17"/>
        </w:rPr>
        <w:t>Table 4 — negative results.</w:t>
      </w:r>
    </w:p>
    <w:p>
      <w:pPr>
        <w:spacing w:after="120" w:before="280"/>
      </w:pPr>
      <w:r>
        <w:rPr>
          <w:b/>
          <w:i w:val="0"/>
          <w:color w:val="1C3A36"/>
          <w:sz w:val="30"/>
        </w:rPr>
        <w:t>5  Where two sources disagree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896"/>
        <w:gridCol w:w="5184"/>
      </w:tblGrid>
      <w:tr>
        <w:tc>
          <w:tcPr>
            <w:tcW w:type="dxa" w:w="4896"/>
            <w:shd w:val="clear" w:color="auto" w:fill="EAF0EE"/>
          </w:tcPr>
          <w:p>
            <w:pPr>
              <w:spacing w:after="20"/>
            </w:pPr>
            <w:r>
              <w:rPr>
                <w:b/>
                <w:color w:val="1C3A36"/>
                <w:sz w:val="15"/>
              </w:rPr>
              <w:t>The disagreement</w:t>
            </w:r>
          </w:p>
        </w:tc>
        <w:tc>
          <w:tcPr>
            <w:tcW w:type="dxa" w:w="5184"/>
            <w:shd w:val="clear" w:color="auto" w:fill="EAF0EE"/>
          </w:tcPr>
          <w:p>
            <w:pPr>
              <w:spacing w:after="20"/>
            </w:pPr>
            <w:r>
              <w:rPr>
                <w:b/>
                <w:color w:val="1C3A36"/>
                <w:sz w:val="15"/>
              </w:rPr>
              <w:t>How it was settled</w:t>
            </w:r>
          </w:p>
        </w:tc>
      </w:tr>
      <w:tr>
        <w:tc>
          <w:tcPr>
            <w:tcW w:type="dxa" w:w="4896"/>
          </w:tcPr>
          <w:p>
            <w:pPr>
              <w:spacing w:after="20"/>
            </w:pPr>
            <w:r>
              <w:rPr>
                <w:color w:val="1C3A36"/>
                <w:sz w:val="15"/>
              </w:rPr>
              <w:t>Six fiscal years are RESTATED by the following year's filing — FY2011, FY2014, FY2015, FY2016, FY2017 and FY2018 all carry different figures in their own report and in the next one. FY2017's administrative expenses are EGP 1,172.1 million in its own filing and EGP 1,015.4 million in the FY2018 comparative.</w:t>
            </w:r>
          </w:p>
        </w:tc>
        <w:tc>
          <w:tcPr>
            <w:tcW w:type="dxa" w:w="5184"/>
          </w:tcPr>
          <w:p>
            <w:pPr>
              <w:spacing w:after="20"/>
              <w:jc w:val="right"/>
            </w:pPr>
            <w:r>
              <w:rPr>
                <w:color w:val="1C3A36"/>
                <w:sz w:val="15"/>
              </w:rPr>
              <w:t>THE ORIGINAL IS USED and the restatement is recorded beside it, never substituted. Every one is listed in the walk-forward's own restatement register. A year read as its successor restated it is a year nobody could have read at the time.</w:t>
            </w:r>
          </w:p>
        </w:tc>
      </w:tr>
      <w:tr>
        <w:tc>
          <w:tcPr>
            <w:tcW w:type="dxa" w:w="4896"/>
          </w:tcPr>
          <w:p>
            <w:pPr>
              <w:spacing w:after="20"/>
            </w:pPr>
            <w:r>
              <w:rPr>
                <w:color w:val="1C3A36"/>
                <w:sz w:val="15"/>
              </w:rPr>
              <w:t>The FY2025 filing prints total assets of EGP 260,457,106 thousand for FY2024 in one place and the FY2024 filing prints EGP 260,467,106.</w:t>
            </w:r>
          </w:p>
        </w:tc>
        <w:tc>
          <w:tcPr>
            <w:tcW w:type="dxa" w:w="5184"/>
          </w:tcPr>
          <w:p>
            <w:pPr>
              <w:spacing w:after="20"/>
              <w:jc w:val="right"/>
            </w:pPr>
            <w:r>
              <w:rPr>
                <w:color w:val="1C3A36"/>
                <w:sz w:val="15"/>
              </w:rPr>
              <w:t>The equity block's own arithmetic settles it at 260,467,106: liabilities of 237,480,399 plus equity of 22,986,707 reproduce it exactly.</w:t>
            </w:r>
          </w:p>
        </w:tc>
      </w:tr>
      <w:tr>
        <w:tc>
          <w:tcPr>
            <w:tcW w:type="dxa" w:w="4896"/>
          </w:tcPr>
          <w:p>
            <w:pPr>
              <w:spacing w:after="20"/>
            </w:pPr>
            <w:r>
              <w:rPr>
                <w:color w:val="1C3A36"/>
                <w:sz w:val="15"/>
              </w:rPr>
              <w:t>The sovereign default spread is 3.42% in the cost-of-capital record used by the other Egyptian studies and 3.41% in the house macro path, from the same source file.</w:t>
            </w:r>
          </w:p>
        </w:tc>
        <w:tc>
          <w:tcPr>
            <w:tcW w:type="dxa" w:w="5184"/>
          </w:tcPr>
          <w:p>
            <w:pPr>
              <w:spacing w:after="20"/>
              <w:jc w:val="right"/>
            </w:pPr>
            <w:r>
              <w:rPr>
                <w:color w:val="1C3A36"/>
                <w:sz w:val="15"/>
              </w:rPr>
              <w:t>A rounding artefact of one basis point. The 3.42% figure is used so that this study's cost of equity is built from the same pair of numbers as every other Egyptian study in the book, and the difference is recorded here.</w:t>
            </w:r>
          </w:p>
        </w:tc>
      </w:tr>
      <w:tr>
        <w:tc>
          <w:tcPr>
            <w:tcW w:type="dxa" w:w="4896"/>
          </w:tcPr>
          <w:p>
            <w:pPr>
              <w:spacing w:after="20"/>
            </w:pPr>
            <w:r>
              <w:rPr>
                <w:color w:val="1C3A36"/>
                <w:sz w:val="15"/>
              </w:rPr>
              <w:t>The share price is EGP 54.40 in the site's own data file (23 August close) and EGP 52.05 in the supplied-price file (3 September close).</w:t>
            </w:r>
          </w:p>
        </w:tc>
        <w:tc>
          <w:tcPr>
            <w:tcW w:type="dxa" w:w="5184"/>
          </w:tcPr>
          <w:p>
            <w:pPr>
              <w:spacing w:after="20"/>
              <w:jc w:val="right"/>
            </w:pPr>
            <w:r>
              <w:rPr>
                <w:color w:val="1C3A36"/>
                <w:sz w:val="15"/>
              </w:rPr>
              <w:t>THE LATER ONE. A study audited against a price eleven days old is audited against its own past. The 23 August close is still used as the anchor for the probability map in section 3, because it is the last session in the price history, and the study says so in terms.</w:t>
            </w:r>
          </w:p>
        </w:tc>
      </w:tr>
    </w:tbl>
    <w:p>
      <w:pPr>
        <w:spacing w:after="40"/>
      </w:pPr>
    </w:p>
    <w:p>
      <w:pPr>
        <w:spacing w:after="200" w:before="0"/>
      </w:pPr>
      <w:r>
        <w:rPr>
          <w:b w:val="0"/>
          <w:i/>
          <w:color w:val="6E7B77"/>
          <w:sz w:val="17"/>
        </w:rPr>
        <w:t>Table 5 — disagreements, and which side was taken.</w:t>
      </w:r>
    </w:p>
    <w:p>
      <w:pPr>
        <w:spacing w:after="120" w:before="280"/>
      </w:pPr>
      <w:r>
        <w:rPr>
          <w:b/>
          <w:i w:val="0"/>
          <w:color w:val="1C3A36"/>
          <w:sz w:val="30"/>
        </w:rPr>
        <w:t>6  What is not disclosed</w:t>
      </w:r>
    </w:p>
    <w:p>
      <w:pPr>
        <w:spacing w:after="120" w:before="0"/>
      </w:pPr>
      <w:r>
        <w:rPr>
          <w:b w:val="0"/>
          <w:i w:val="0"/>
          <w:color w:val="1C3A36"/>
          <w:sz w:val="21"/>
        </w:rPr>
        <w:t>The limits of the record, stated so nobody has to discover them.</w:t>
      </w:r>
    </w:p>
    <w:p>
      <w:pPr>
        <w:pStyle w:val="ListBullet"/>
        <w:spacing w:after="60"/>
      </w:pPr>
      <w:r>
        <w:rPr>
          <w:color w:val="1C3A36"/>
          <w:sz w:val="21"/>
        </w:rPr>
        <w:t>NO SPLIT OF FINANCING by retail, corporate or small business, and no split of deposits by account type. The low-cost funding share — the single most useful number in judging how a bank's funding cost behaves in an easing cycle — cannot be computed, and no assumption is made about it.</w:t>
      </w:r>
    </w:p>
    <w:p>
      <w:pPr>
        <w:pStyle w:val="ListBullet"/>
        <w:spacing w:after="60"/>
      </w:pPr>
      <w:r>
        <w:rPr>
          <w:color w:val="1C3A36"/>
          <w:sz w:val="21"/>
        </w:rPr>
        <w:t>NO NON-PERFORMING RATIO AND NO COVERAGE RATIO in any of the eighteen statements parsed. The cost-of-risk driver is therefore built on the charge, not on the stock of bad assets, and there is no way to check whether the June 2026 release reflects recoveries, write-offs or a change in the loss model.</w:t>
      </w:r>
    </w:p>
    <w:p>
      <w:pPr>
        <w:pStyle w:val="ListBullet"/>
        <w:spacing w:after="60"/>
      </w:pPr>
      <w:r>
        <w:rPr>
          <w:color w:val="1C3A36"/>
          <w:sz w:val="21"/>
        </w:rPr>
        <w:t>NO GEOGRAPHIC OR PRODUCT SEGMENT NOTE.</w:t>
      </w:r>
    </w:p>
    <w:p>
      <w:pPr>
        <w:pStyle w:val="ListBullet"/>
        <w:spacing w:after="60"/>
      </w:pPr>
      <w:r>
        <w:rPr>
          <w:color w:val="1C3A36"/>
          <w:sz w:val="21"/>
        </w:rPr>
        <w:t>NO NUMERIC FORWARD GUIDANCE. Nothing management publishes is consumed as an input to this model, and there is nothing to score.</w:t>
      </w:r>
    </w:p>
    <w:p>
      <w:pPr>
        <w:pStyle w:val="ListBullet"/>
        <w:spacing w:after="60"/>
      </w:pPr>
      <w:r>
        <w:rPr>
          <w:color w:val="1C3A36"/>
          <w:sz w:val="21"/>
        </w:rPr>
        <w:t>THE FILED EARNINGS-PER-SHARE FIGURES CANNOT BE REPRODUCED from attributable profit and the year-end share count, and this study says so rather than reverse-engineering a deduction the equity statement does not show. FY2025 prints EGP 11.25 on attributable profit of EGP 12,588.6 million, implying about 1,119 million weighted shares against a year-end 1,200 million; FY2024 prints EGP 14.02 implying about 643 million against a year-end 600 million. Every per-share figure in this study is attributable profit over the SHARE COUNT AT THE PERIOD END, which is stated, reproducible, and different from the filed EPS.</w:t>
      </w:r>
    </w:p>
    <w:p>
      <w:pPr>
        <w:pStyle w:val="ListBullet"/>
        <w:spacing w:after="60"/>
      </w:pPr>
      <w:r>
        <w:rPr>
          <w:color w:val="1C3A36"/>
          <w:sz w:val="21"/>
        </w:rPr>
        <w:t>THE FY2025 EQUITY RECONCILIATION LEAVES EGP 110.5 MILLION UNEXPLAINED. Retained earnings move from 15,815.3 to 20,963.2 while attributable profit is 12,588.6, dividends paid 1,055.9, the reserve transfer 495.4 and the capital increase 6,000.0 — which closes to within 110.5, or 0.9% of the profit. It is recorded rather than assigned.</w:t>
      </w:r>
    </w:p>
    <w:p>
      <w:pPr>
        <w:spacing w:after="120" w:before="280"/>
      </w:pPr>
      <w:r>
        <w:rPr>
          <w:b/>
          <w:i w:val="0"/>
          <w:color w:val="1C3A36"/>
          <w:sz w:val="30"/>
        </w:rPr>
        <w:t>7  Market and macro data</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1584"/>
        <w:gridCol w:w="1152"/>
        <w:gridCol w:w="5472"/>
      </w:tblGrid>
      <w:tr>
        <w:tc>
          <w:tcPr>
            <w:tcW w:type="dxa" w:w="1872"/>
            <w:shd w:val="clear" w:color="auto" w:fill="EAF0EE"/>
          </w:tcPr>
          <w:p>
            <w:pPr>
              <w:spacing w:after="20"/>
            </w:pPr>
            <w:r>
              <w:rPr>
                <w:b/>
                <w:color w:val="1C3A36"/>
                <w:sz w:val="13"/>
              </w:rPr>
              <w:t>Item</w:t>
            </w:r>
          </w:p>
        </w:tc>
        <w:tc>
          <w:tcPr>
            <w:tcW w:type="dxa" w:w="1584"/>
            <w:shd w:val="clear" w:color="auto" w:fill="EAF0EE"/>
          </w:tcPr>
          <w:p>
            <w:pPr>
              <w:spacing w:after="20"/>
            </w:pPr>
            <w:r>
              <w:rPr>
                <w:b/>
                <w:color w:val="1C3A36"/>
                <w:sz w:val="13"/>
              </w:rPr>
              <w:t>Value</w:t>
            </w:r>
          </w:p>
        </w:tc>
        <w:tc>
          <w:tcPr>
            <w:tcW w:type="dxa" w:w="1152"/>
            <w:shd w:val="clear" w:color="auto" w:fill="EAF0EE"/>
          </w:tcPr>
          <w:p>
            <w:pPr>
              <w:spacing w:after="20"/>
            </w:pPr>
            <w:r>
              <w:rPr>
                <w:b/>
                <w:color w:val="1C3A36"/>
                <w:sz w:val="13"/>
              </w:rPr>
              <w:t>Date</w:t>
            </w:r>
          </w:p>
        </w:tc>
        <w:tc>
          <w:tcPr>
            <w:tcW w:type="dxa" w:w="5472"/>
            <w:shd w:val="clear" w:color="auto" w:fill="EAF0EE"/>
          </w:tcPr>
          <w:p>
            <w:pPr>
              <w:spacing w:after="20"/>
            </w:pPr>
            <w:r>
              <w:rPr>
                <w:b/>
                <w:color w:val="1C3A36"/>
                <w:sz w:val="13"/>
              </w:rPr>
              <w:t>Source</w:t>
            </w:r>
          </w:p>
        </w:tc>
      </w:tr>
      <w:tr>
        <w:tc>
          <w:tcPr>
            <w:tcW w:type="dxa" w:w="1872"/>
          </w:tcPr>
          <w:p>
            <w:pPr>
              <w:spacing w:after="20"/>
            </w:pPr>
            <w:r>
              <w:rPr>
                <w:color w:val="1C3A36"/>
                <w:sz w:val="13"/>
              </w:rPr>
              <w:t>spot</w:t>
            </w:r>
          </w:p>
        </w:tc>
        <w:tc>
          <w:tcPr>
            <w:tcW w:type="dxa" w:w="1584"/>
          </w:tcPr>
          <w:p>
            <w:pPr>
              <w:spacing w:after="20"/>
              <w:jc w:val="right"/>
            </w:pPr>
            <w:r>
              <w:rPr>
                <w:color w:val="1C3A36"/>
                <w:sz w:val="13"/>
              </w:rPr>
              <w:t>52.05</w:t>
            </w:r>
          </w:p>
        </w:tc>
        <w:tc>
          <w:tcPr>
            <w:tcW w:type="dxa" w:w="1152"/>
          </w:tcPr>
          <w:p>
            <w:pPr>
              <w:spacing w:after="20"/>
              <w:jc w:val="right"/>
            </w:pPr>
            <w:r>
              <w:rPr>
                <w:color w:val="1C3A36"/>
                <w:sz w:val="13"/>
              </w:rPr>
              <w:t>2026-09-03</w:t>
            </w:r>
          </w:p>
        </w:tc>
        <w:tc>
          <w:tcPr>
            <w:tcW w:type="dxa" w:w="5472"/>
          </w:tcPr>
          <w:p>
            <w:pPr>
              <w:spacing w:after="20"/>
              <w:jc w:val="right"/>
            </w:pPr>
            <w:r>
              <w:rPr>
                <w:color w:val="1C3A36"/>
                <w:sz w:val="13"/>
              </w:rPr>
              <w:t>EGP 52.05, the close on 3 September 2026, supplied by the principal and committed to the house price file for that date. THIS IS THE LATEST KNOWN PRICE and it is the one the gap is measured against. The published site still carries 54.40 at the 23 August close, which is 11 days older; a study audited against its own past is audi</w:t>
            </w:r>
          </w:p>
        </w:tc>
      </w:tr>
      <w:tr>
        <w:tc>
          <w:tcPr>
            <w:tcW w:type="dxa" w:w="1872"/>
          </w:tcPr>
          <w:p>
            <w:pPr>
              <w:spacing w:after="20"/>
            </w:pPr>
            <w:r>
              <w:rPr>
                <w:color w:val="1C3A36"/>
                <w:sz w:val="13"/>
              </w:rPr>
              <w:t>peer comi price</w:t>
            </w:r>
          </w:p>
        </w:tc>
        <w:tc>
          <w:tcPr>
            <w:tcW w:type="dxa" w:w="1584"/>
          </w:tcPr>
          <w:p>
            <w:pPr>
              <w:spacing w:after="20"/>
              <w:jc w:val="right"/>
            </w:pPr>
            <w:r>
              <w:rPr>
                <w:color w:val="1C3A36"/>
                <w:sz w:val="13"/>
              </w:rPr>
              <w:t>138.98</w:t>
            </w:r>
          </w:p>
        </w:tc>
        <w:tc>
          <w:tcPr>
            <w:tcW w:type="dxa" w:w="1152"/>
          </w:tcPr>
          <w:p>
            <w:pPr>
              <w:spacing w:after="20"/>
              <w:jc w:val="right"/>
            </w:pPr>
            <w:r>
              <w:rPr>
                <w:color w:val="1C3A36"/>
                <w:sz w:val="13"/>
              </w:rPr>
              <w:t>2026-09-03</w:t>
            </w:r>
          </w:p>
        </w:tc>
        <w:tc>
          <w:tcPr>
            <w:tcW w:type="dxa" w:w="5472"/>
          </w:tcPr>
          <w:p>
            <w:pPr>
              <w:spacing w:after="20"/>
              <w:jc w:val="right"/>
            </w:pPr>
            <w:r>
              <w:rPr>
                <w:color w:val="1C3A36"/>
                <w:sz w:val="13"/>
              </w:rPr>
              <w:t>Commercial International Bank (EGX: COMI), EGP 138.98, the close on 3 September 2026 from the committed price file — the same file, the same date and the same supplier as ADIB's own price, so the two are struck on one day.</w:t>
            </w:r>
          </w:p>
        </w:tc>
      </w:tr>
      <w:tr>
        <w:tc>
          <w:tcPr>
            <w:tcW w:type="dxa" w:w="1872"/>
          </w:tcPr>
          <w:p>
            <w:pPr>
              <w:spacing w:after="20"/>
            </w:pPr>
            <w:r>
              <w:rPr>
                <w:color w:val="1C3A36"/>
                <w:sz w:val="13"/>
              </w:rPr>
              <w:t>beta</w:t>
            </w:r>
          </w:p>
        </w:tc>
        <w:tc>
          <w:tcPr>
            <w:tcW w:type="dxa" w:w="1584"/>
          </w:tcPr>
          <w:p>
            <w:pPr>
              <w:spacing w:after="20"/>
              <w:jc w:val="right"/>
            </w:pPr>
            <w:r>
              <w:rPr>
                <w:color w:val="1C3A36"/>
                <w:sz w:val="13"/>
              </w:rPr>
              <w:t>1.07469</w:t>
            </w:r>
          </w:p>
        </w:tc>
        <w:tc>
          <w:tcPr>
            <w:tcW w:type="dxa" w:w="1152"/>
          </w:tcPr>
          <w:p>
            <w:pPr>
              <w:spacing w:after="20"/>
              <w:jc w:val="right"/>
            </w:pPr>
            <w:r>
              <w:rPr>
                <w:color w:val="1C3A36"/>
                <w:sz w:val="13"/>
              </w:rPr>
              <w:t>2026-09-08</w:t>
            </w:r>
          </w:p>
        </w:tc>
        <w:tc>
          <w:tcPr>
            <w:tcW w:type="dxa" w:w="5472"/>
          </w:tcPr>
          <w:p>
            <w:pPr>
              <w:spacing w:after="20"/>
              <w:jc w:val="right"/>
            </w:pPr>
            <w:r>
              <w:rPr>
                <w:color w:val="1C3A36"/>
                <w:sz w:val="13"/>
              </w:rPr>
              <w:t>Own-stock first-tier weekly regression against EGX30 — THE PUBLISHED INDEX OF THE EXCHANGE THIS STOCK IS LISTED ON — resolved by beta_regression.own_stock_beta() rather than hand-rolled. Beta 1.0747, R-squared 0.248, n = 256 weekly observations over 4.94 years to 2026-08-20, standard error 0.1634, 90% confidence interval [0.806,</w:t>
            </w:r>
          </w:p>
        </w:tc>
      </w:tr>
      <w:tr>
        <w:tc>
          <w:tcPr>
            <w:tcW w:type="dxa" w:w="1872"/>
          </w:tcPr>
          <w:p>
            <w:pPr>
              <w:spacing w:after="20"/>
            </w:pPr>
            <w:r>
              <w:rPr>
                <w:color w:val="1C3A36"/>
                <w:sz w:val="13"/>
              </w:rPr>
              <w:t>rf</w:t>
            </w:r>
          </w:p>
        </w:tc>
        <w:tc>
          <w:tcPr>
            <w:tcW w:type="dxa" w:w="1584"/>
          </w:tcPr>
          <w:p>
            <w:pPr>
              <w:spacing w:after="20"/>
              <w:jc w:val="right"/>
            </w:pPr>
            <w:r>
              <w:rPr>
                <w:color w:val="1C3A36"/>
                <w:sz w:val="13"/>
              </w:rPr>
              <w:t>0.23</w:t>
            </w:r>
          </w:p>
        </w:tc>
        <w:tc>
          <w:tcPr>
            <w:tcW w:type="dxa" w:w="1152"/>
          </w:tcPr>
          <w:p>
            <w:pPr>
              <w:spacing w:after="20"/>
              <w:jc w:val="right"/>
            </w:pPr>
            <w:r>
              <w:rPr>
                <w:color w:val="1C3A36"/>
                <w:sz w:val="13"/>
              </w:rPr>
              <w:t>2026-08-06</w:t>
            </w:r>
          </w:p>
        </w:tc>
        <w:tc>
          <w:tcPr>
            <w:tcW w:type="dxa" w:w="5472"/>
          </w:tcPr>
          <w:p>
            <w:pPr>
              <w:spacing w:after="20"/>
              <w:jc w:val="right"/>
            </w:pPr>
            <w:r>
              <w:rPr>
                <w:color w:val="1C3A36"/>
                <w:sz w:val="13"/>
              </w:rPr>
              <w:t>Egypt ten-year EGP government bond yield, 23.00%, the quote of 6 August 2026 held in the house macroeconomic path and already used by the PHDC, EGCH and PHAR cost-of-capital records. IT IS 34 DAYS OLD AGAINST THIS STUDY'S PRICING DATE AND THE HOUSE PATH'S OWN 14-DAY STALENESS RULE FLAGS IT AS STALE. A live re-source was attempte</w:t>
            </w:r>
          </w:p>
        </w:tc>
      </w:tr>
      <w:tr>
        <w:tc>
          <w:tcPr>
            <w:tcW w:type="dxa" w:w="1872"/>
          </w:tcPr>
          <w:p>
            <w:pPr>
              <w:spacing w:after="20"/>
            </w:pPr>
            <w:r>
              <w:rPr>
                <w:color w:val="1C3A36"/>
                <w:sz w:val="13"/>
              </w:rPr>
              <w:t>sov default spread</w:t>
            </w:r>
          </w:p>
        </w:tc>
        <w:tc>
          <w:tcPr>
            <w:tcW w:type="dxa" w:w="1584"/>
          </w:tcPr>
          <w:p>
            <w:pPr>
              <w:spacing w:after="20"/>
              <w:jc w:val="right"/>
            </w:pPr>
            <w:r>
              <w:rPr>
                <w:color w:val="1C3A36"/>
                <w:sz w:val="13"/>
              </w:rPr>
              <w:t>0.0342</w:t>
            </w:r>
          </w:p>
        </w:tc>
        <w:tc>
          <w:tcPr>
            <w:tcW w:type="dxa" w:w="1152"/>
          </w:tcPr>
          <w:p>
            <w:pPr>
              <w:spacing w:after="20"/>
              <w:jc w:val="right"/>
            </w:pPr>
            <w:r>
              <w:rPr>
                <w:color w:val="1C3A36"/>
                <w:sz w:val="13"/>
              </w:rPr>
              <w:t>2026-07-02</w:t>
            </w:r>
          </w:p>
        </w:tc>
        <w:tc>
          <w:tcPr>
            <w:tcW w:type="dxa" w:w="5472"/>
          </w:tcPr>
          <w:p>
            <w:pPr>
              <w:spacing w:after="20"/>
              <w:jc w:val="right"/>
            </w:pPr>
            <w:r>
              <w:rPr>
                <w:color w:val="1C3A36"/>
                <w:sz w:val="13"/>
              </w:rPr>
              <w:t>Egypt sovereign credit-default-swap spread, 3.42%, mid-year (July 2026) vintage of the country default-spread dataset, Egypt row, "Sovereign CDS net of Swiss CDS". Netted out of the local-currency risk-free rate so that sovereign default risk is charged ONCE, inside the equity risk premium, and not twice. The house macroeconomic</w:t>
            </w:r>
          </w:p>
        </w:tc>
      </w:tr>
      <w:tr>
        <w:tc>
          <w:tcPr>
            <w:tcW w:type="dxa" w:w="1872"/>
          </w:tcPr>
          <w:p>
            <w:pPr>
              <w:spacing w:after="20"/>
            </w:pPr>
            <w:r>
              <w:rPr>
                <w:color w:val="1C3A36"/>
                <w:sz w:val="13"/>
              </w:rPr>
              <w:t>erp</w:t>
            </w:r>
          </w:p>
        </w:tc>
        <w:tc>
          <w:tcPr>
            <w:tcW w:type="dxa" w:w="1584"/>
          </w:tcPr>
          <w:p>
            <w:pPr>
              <w:spacing w:after="20"/>
              <w:jc w:val="right"/>
            </w:pPr>
            <w:r>
              <w:rPr>
                <w:color w:val="1C3A36"/>
                <w:sz w:val="13"/>
              </w:rPr>
              <w:t>0.095164</w:t>
            </w:r>
          </w:p>
        </w:tc>
        <w:tc>
          <w:tcPr>
            <w:tcW w:type="dxa" w:w="1152"/>
          </w:tcPr>
          <w:p>
            <w:pPr>
              <w:spacing w:after="20"/>
              <w:jc w:val="right"/>
            </w:pPr>
            <w:r>
              <w:rPr>
                <w:color w:val="1C3A36"/>
                <w:sz w:val="13"/>
              </w:rPr>
              <w:t>2026-07-02</w:t>
            </w:r>
          </w:p>
        </w:tc>
        <w:tc>
          <w:tcPr>
            <w:tcW w:type="dxa" w:w="5472"/>
          </w:tcPr>
          <w:p>
            <w:pPr>
              <w:spacing w:after="20"/>
              <w:jc w:val="right"/>
            </w:pPr>
            <w:r>
              <w:rPr>
                <w:color w:val="1C3A36"/>
                <w:sz w:val="13"/>
              </w:rPr>
              <w:t>Egypt TOTAL equity risk premium on the sovereign-CDS basis, 9.5164%, same mid-year vintage. This is the dataset's TOTAL premium column, not its country premium column — the total is what multiplies beta. The country risk premium alone on this basis is 5.3164% and is NOT added on top.</w:t>
            </w:r>
          </w:p>
        </w:tc>
      </w:tr>
      <w:tr>
        <w:tc>
          <w:tcPr>
            <w:tcW w:type="dxa" w:w="1872"/>
          </w:tcPr>
          <w:p>
            <w:pPr>
              <w:spacing w:after="20"/>
            </w:pPr>
            <w:r>
              <w:rPr>
                <w:color w:val="1C3A36"/>
                <w:sz w:val="13"/>
              </w:rPr>
              <w:t>rf terminal</w:t>
            </w:r>
          </w:p>
        </w:tc>
        <w:tc>
          <w:tcPr>
            <w:tcW w:type="dxa" w:w="1584"/>
          </w:tcPr>
          <w:p>
            <w:pPr>
              <w:spacing w:after="20"/>
              <w:jc w:val="right"/>
            </w:pPr>
            <w:r>
              <w:rPr>
                <w:color w:val="1C3A36"/>
                <w:sz w:val="13"/>
              </w:rPr>
              <w:t>0.105</w:t>
            </w:r>
          </w:p>
        </w:tc>
        <w:tc>
          <w:tcPr>
            <w:tcW w:type="dxa" w:w="1152"/>
          </w:tcPr>
          <w:p>
            <w:pPr>
              <w:spacing w:after="20"/>
              <w:jc w:val="right"/>
            </w:pPr>
            <w:r>
              <w:rPr>
                <w:color w:val="1C3A36"/>
                <w:sz w:val="13"/>
              </w:rPr>
              <w:t>2026-09-02</w:t>
            </w:r>
          </w:p>
        </w:tc>
        <w:tc>
          <w:tcPr>
            <w:tcW w:type="dxa" w:w="5472"/>
          </w:tcPr>
          <w:p>
            <w:pPr>
              <w:spacing w:after="20"/>
              <w:jc w:val="right"/>
            </w:pPr>
            <w:r>
              <w:rPr>
                <w:color w:val="1C3A36"/>
                <w:sz w:val="13"/>
              </w:rPr>
              <w:t>Terminal risk-free rate, DERIVED and never quoted: terminal inflation of 7.00% (the CBE target-band midpoint in force) plus the 5.50% emerging-market terminal real convention. It cannot disagree with the inflation the rest of the model runs on because it is computed from it.</w:t>
            </w:r>
          </w:p>
        </w:tc>
      </w:tr>
      <w:tr>
        <w:tc>
          <w:tcPr>
            <w:tcW w:type="dxa" w:w="1872"/>
          </w:tcPr>
          <w:p>
            <w:pPr>
              <w:spacing w:after="20"/>
            </w:pPr>
            <w:r>
              <w:rPr>
                <w:color w:val="1C3A36"/>
                <w:sz w:val="13"/>
              </w:rPr>
              <w:t>erp terminal</w:t>
            </w:r>
          </w:p>
        </w:tc>
        <w:tc>
          <w:tcPr>
            <w:tcW w:type="dxa" w:w="1584"/>
          </w:tcPr>
          <w:p>
            <w:pPr>
              <w:spacing w:after="20"/>
              <w:jc w:val="right"/>
            </w:pPr>
            <w:r>
              <w:rPr>
                <w:color w:val="1C3A36"/>
                <w:sz w:val="13"/>
              </w:rPr>
              <w:t>0.07</w:t>
            </w:r>
          </w:p>
        </w:tc>
        <w:tc>
          <w:tcPr>
            <w:tcW w:type="dxa" w:w="1152"/>
          </w:tcPr>
          <w:p>
            <w:pPr>
              <w:spacing w:after="20"/>
              <w:jc w:val="right"/>
            </w:pPr>
            <w:r>
              <w:rPr>
                <w:color w:val="1C3A36"/>
                <w:sz w:val="13"/>
              </w:rPr>
              <w:t>2026-09-02</w:t>
            </w:r>
          </w:p>
        </w:tc>
        <w:tc>
          <w:tcPr>
            <w:tcW w:type="dxa" w:w="5472"/>
          </w:tcPr>
          <w:p>
            <w:pPr>
              <w:spacing w:after="20"/>
              <w:jc w:val="right"/>
            </w:pPr>
            <w:r>
              <w:rPr>
                <w:color w:val="1C3A36"/>
                <w:sz w:val="13"/>
              </w:rPr>
              <w:t>Terminal equity risk premium, 7.00%, normalised below today's crisis-era level toward the rating-class norm; never held flat into perpetuity.</w:t>
            </w:r>
          </w:p>
        </w:tc>
      </w:tr>
      <w:tr>
        <w:tc>
          <w:tcPr>
            <w:tcW w:type="dxa" w:w="1872"/>
          </w:tcPr>
          <w:p>
            <w:pPr>
              <w:spacing w:after="20"/>
            </w:pPr>
            <w:r>
              <w:rPr>
                <w:color w:val="1C3A36"/>
                <w:sz w:val="13"/>
              </w:rPr>
              <w:t>terminal growth</w:t>
            </w:r>
          </w:p>
        </w:tc>
        <w:tc>
          <w:tcPr>
            <w:tcW w:type="dxa" w:w="1584"/>
          </w:tcPr>
          <w:p>
            <w:pPr>
              <w:spacing w:after="20"/>
              <w:jc w:val="right"/>
            </w:pPr>
            <w:r>
              <w:rPr>
                <w:color w:val="1C3A36"/>
                <w:sz w:val="13"/>
              </w:rPr>
              <w:t>0.07</w:t>
            </w:r>
          </w:p>
        </w:tc>
        <w:tc>
          <w:tcPr>
            <w:tcW w:type="dxa" w:w="1152"/>
          </w:tcPr>
          <w:p>
            <w:pPr>
              <w:spacing w:after="20"/>
              <w:jc w:val="right"/>
            </w:pPr>
            <w:r>
              <w:rPr>
                <w:color w:val="1C3A36"/>
                <w:sz w:val="13"/>
              </w:rPr>
              <w:t>2026-09-02</w:t>
            </w:r>
          </w:p>
        </w:tc>
        <w:tc>
          <w:tcPr>
            <w:tcW w:type="dxa" w:w="5472"/>
          </w:tcPr>
          <w:p>
            <w:pPr>
              <w:spacing w:after="20"/>
              <w:jc w:val="right"/>
            </w:pPr>
            <w:r>
              <w:rPr>
                <w:color w:val="1C3A36"/>
                <w:sz w:val="13"/>
              </w:rPr>
              <w:t>Terminal growth 7.00% = terminal inflation, ZERO REAL. For a bank in an economy whose private credit is 26% of GDP that is deliberately conservative: it assumes ADIB-Egypt stops taking share and stops participating in credit deepening the moment the explicit window closes. It sits BELOW the 12.50% terminal risk-free rate and equ</w:t>
            </w:r>
          </w:p>
        </w:tc>
      </w:tr>
      <w:tr>
        <w:tc>
          <w:tcPr>
            <w:tcW w:type="dxa" w:w="1872"/>
          </w:tcPr>
          <w:p>
            <w:pPr>
              <w:spacing w:after="20"/>
            </w:pPr>
            <w:r>
              <w:rPr>
                <w:color w:val="1C3A36"/>
                <w:sz w:val="13"/>
              </w:rPr>
              <w:t>inflation path</w:t>
            </w:r>
          </w:p>
        </w:tc>
        <w:tc>
          <w:tcPr>
            <w:tcW w:type="dxa" w:w="1584"/>
          </w:tcPr>
          <w:p>
            <w:pPr>
              <w:spacing w:after="20"/>
              <w:jc w:val="right"/>
            </w:pPr>
            <w:r>
              <w:rPr>
                <w:color w:val="1C3A36"/>
                <w:sz w:val="13"/>
              </w:rPr>
              <w:t>0.16 / 0.12 / 0.09 / 0.075 /</w:t>
            </w:r>
          </w:p>
        </w:tc>
        <w:tc>
          <w:tcPr>
            <w:tcW w:type="dxa" w:w="1152"/>
          </w:tcPr>
          <w:p>
            <w:pPr>
              <w:spacing w:after="20"/>
              <w:jc w:val="right"/>
            </w:pPr>
            <w:r>
              <w:rPr>
                <w:color w:val="1C3A36"/>
                <w:sz w:val="13"/>
              </w:rPr>
              <w:t>2026-09-02</w:t>
            </w:r>
          </w:p>
        </w:tc>
        <w:tc>
          <w:tcPr>
            <w:tcW w:type="dxa" w:w="5472"/>
          </w:tcPr>
          <w:p>
            <w:pPr>
              <w:spacing w:after="20"/>
              <w:jc w:val="right"/>
            </w:pPr>
            <w:r>
              <w:rPr>
                <w:color w:val="1C3A36"/>
                <w:sz w:val="13"/>
              </w:rPr>
              <w:t>Central Bank of Egypt baseline average annual headline inflation, 16.0% in 2026 and 12.0% in 2027 (Q1-2026 Monetary Policy Report as reported 11 May 2026); 2028-2030 interpolated on the bank's own glide between the published 2027 baseline and the 7% target-band midpoint, labelled as interpolation and never presented as a central</w:t>
            </w:r>
          </w:p>
        </w:tc>
      </w:tr>
      <w:tr>
        <w:tc>
          <w:tcPr>
            <w:tcW w:type="dxa" w:w="1872"/>
          </w:tcPr>
          <w:p>
            <w:pPr>
              <w:spacing w:after="20"/>
            </w:pPr>
            <w:r>
              <w:rPr>
                <w:color w:val="1C3A36"/>
                <w:sz w:val="13"/>
              </w:rPr>
              <w:t>policy rate path</w:t>
            </w:r>
          </w:p>
        </w:tc>
        <w:tc>
          <w:tcPr>
            <w:tcW w:type="dxa" w:w="1584"/>
          </w:tcPr>
          <w:p>
            <w:pPr>
              <w:spacing w:after="20"/>
              <w:jc w:val="right"/>
            </w:pPr>
            <w:r>
              <w:rPr>
                <w:color w:val="1C3A36"/>
                <w:sz w:val="13"/>
              </w:rPr>
              <w:t xml:space="preserve">0.19 / 0.165 / 0.145 / 0.13 </w:t>
            </w:r>
          </w:p>
        </w:tc>
        <w:tc>
          <w:tcPr>
            <w:tcW w:type="dxa" w:w="1152"/>
          </w:tcPr>
          <w:p>
            <w:pPr>
              <w:spacing w:after="20"/>
              <w:jc w:val="right"/>
            </w:pPr>
            <w:r>
              <w:rPr>
                <w:color w:val="1C3A36"/>
                <w:sz w:val="13"/>
              </w:rPr>
              <w:t>2026-08-20</w:t>
            </w:r>
          </w:p>
        </w:tc>
        <w:tc>
          <w:tcPr>
            <w:tcW w:type="dxa" w:w="5472"/>
          </w:tcPr>
          <w:p>
            <w:pPr>
              <w:spacing w:after="20"/>
              <w:jc w:val="right"/>
            </w:pPr>
            <w:r>
              <w:rPr>
                <w:color w:val="1C3A36"/>
                <w:sz w:val="13"/>
              </w:rPr>
              <w:t>Overnight deposit rate 19.00% now, gliding 19.00 -&gt; 16.50 -&gt; 14.50 -&gt; 13.00 -&gt; 12.00 with the published inflation path at an approximately constant real policy rate. Held for a fourth consecutive meeting on 20 August 2026. This is the SHAPE input for the asset-yield and cost-of-funds paths below; it is not a second free paramete</w:t>
            </w:r>
          </w:p>
        </w:tc>
      </w:tr>
    </w:tbl>
    <w:p>
      <w:pPr>
        <w:spacing w:after="40"/>
      </w:pPr>
    </w:p>
    <w:p>
      <w:pPr>
        <w:spacing w:after="200" w:before="0"/>
      </w:pPr>
      <w:r>
        <w:rPr>
          <w:b w:val="0"/>
          <w:i/>
          <w:color w:val="6E7B77"/>
          <w:sz w:val="17"/>
        </w:rPr>
        <w:t>Table 6 — market and macro inputs. These are the only figures in this study that are not the company's own disclosure.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