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w:t>
            </w:r>
            <w:r>
              <w:rPr>
                <w:color w:val="9FB0AC"/>
                <w:sz w:val="19"/>
              </w:rPr>
              <w:t xml:space="preserve">   Educational analysis · not investment advice</w:t>
            </w:r>
          </w:p>
        </w:tc>
      </w:tr>
    </w:tbl>
    <w:p>
      <w:pPr>
        <w:spacing w:after="0"/>
      </w:pPr>
    </w:p>
    <w:p>
      <w:pPr>
        <w:spacing w:after="120" w:before="0"/>
      </w:pPr>
      <w:r>
        <w:rPr>
          <w:b/>
          <w:i w:val="0"/>
          <w:color w:val="1C3A36"/>
          <w:sz w:val="26"/>
        </w:rPr>
        <w:t>Independent Valuation Study — Educational Analysis</w:t>
      </w:r>
    </w:p>
    <w:p>
      <w:pPr>
        <w:spacing w:after="40" w:before="0"/>
      </w:pPr>
      <w:r>
        <w:rPr>
          <w:b/>
          <w:i w:val="0"/>
          <w:color w:val="896F36"/>
          <w:sz w:val="30"/>
        </w:rPr>
        <w:t>Abu Dhabi Islamic Bank – Egypt S.A.E.  (EGX: ADIB)</w:t>
      </w:r>
    </w:p>
    <w:p>
      <w:pPr>
        <w:spacing w:after="120" w:before="0"/>
      </w:pPr>
      <w:r>
        <w:rPr>
          <w:b w:val="0"/>
          <w:i/>
          <w:color w:val="6E7B77"/>
          <w:sz w:val="20"/>
        </w:rPr>
        <w:t>Fundamental analysis · technical analysis · Monte Carlo simulation — one integrated read</w:t>
      </w:r>
    </w:p>
    <w:p>
      <w:pPr>
        <w:spacing w:after="120" w:before="0"/>
      </w:pPr>
      <w:r>
        <w:rPr>
          <w:b w:val="0"/>
          <w:i w:val="0"/>
          <w:color w:val="6E7B77"/>
          <w:sz w:val="16"/>
        </w:rPr>
        <w:t>PRICE DATE 3 September 2026 — the latest known close, the price this valuation is measured against.   ISSUE DATE 10 September 2026 — the day this edition was issued. A recalibration issues a new document carrying its own issue date; the two dates are stated separately because they are not the same fact.</w:t>
      </w:r>
    </w:p>
    <w:p>
      <w:pPr>
        <w:spacing w:after="120" w:before="0"/>
      </w:pPr>
      <w:r>
        <w:rPr>
          <w:b/>
          <w:i w:val="0"/>
          <w:color w:val="1C3A36"/>
          <w:sz w:val="19"/>
        </w:rPr>
        <w:t xml:space="preserve">Anchor: </w:t>
      </w:r>
      <w:r>
        <w:rPr>
          <w:b w:val="0"/>
          <w:i w:val="0"/>
          <w:color w:val="1C3A36"/>
          <w:sz w:val="19"/>
        </w:rPr>
        <w:t>EGP 52.05 (close 3 September 2026) · 1,500 million shares in issue · market capitalisation about EGP 78.1 billion (roughly US$1.6bn at 50.25 to the dollar) · Egypt's largest listed Islamic bank by assets · FY2025 attributable profit EGP 12.59 billion on a 43.7% return on equity, total assets EGP 346.7 billion · the six months to June 2026 added another EGP 7.54 billion of profit and took assets to EGP 414.3 billion · the swing factors are how much of that return survives the central bank's easing cycle, what a normal loss charge looks like after a half-year at almost nothing, and an Egyptian pound cost of equity near thirty per cent.</w:t>
      </w:r>
    </w:p>
    <w:p>
      <w:pPr>
        <w:spacing w:after="120" w:before="280"/>
      </w:pPr>
      <w:r>
        <w:rPr>
          <w:b/>
          <w:i w:val="0"/>
          <w:color w:val="1C3A36"/>
          <w:sz w:val="30"/>
        </w:rPr>
        <w:t>READ FIRST — what this document is, and is not</w:t>
      </w:r>
    </w:p>
    <w:p>
      <w:pPr>
        <w:spacing w:after="120" w:before="0"/>
      </w:pPr>
      <w:r>
        <w:rPr>
          <w:b w:val="0"/>
          <w:i w:val="0"/>
          <w:color w:val="6E7B77"/>
          <w:sz w:val="16"/>
        </w:rPr>
        <w:t>PRICE DATE 3 September 2026 — the latest known close, the price this valuation is measured against.   ISSUE DATE 10 September 2026 — the day this edition was issued. A recalibration issues a new document carrying its own issue date; the two dates are stated separately because they are not the same fact.</w:t>
      </w:r>
    </w:p>
    <w:tbl>
      <w:tblPr>
        <w:tblW w:type="auto" w:w="0"/>
        <w:tblLook w:firstColumn="1" w:firstRow="1" w:lastColumn="0" w:lastRow="0" w:noHBand="0" w:noVBand="1" w:val="04A0"/>
        <w:tblLayout w:type="fixed"/>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color w:val="1C3A36"/>
                <w:sz w:val="19"/>
              </w:rPr>
              <w:t>This study is a valuation exercise and an expression of personal analytical opinion, published free of charge for educational purposes. It shows how one analyst applies fundamental, technical and probabilistic methods to a listed company, and invites scrutiny of that method. It is NOT investment advice, NOT a recommendation or solicitation to buy, sell or hold any security, and NOT directed at the circumstances of any reader.</w:t>
            </w:r>
          </w:p>
          <w:p>
            <w:pPr>
              <w:spacing w:after="100"/>
            </w:pPr>
            <w:r>
              <w:rPr>
                <w:color w:val="1C3A36"/>
                <w:sz w:val="19"/>
              </w:rPr>
              <w:t>The preparer is not licensed by any securities regulator in any jurisdiction, holds no Egyptian or other brokerage authorisation, provides no financial consultancy, manages no money, and accepts no fees, funds or clients.</w:t>
            </w:r>
          </w:p>
          <w:p>
            <w:pPr>
              <w:spacing w:after="100"/>
            </w:pPr>
            <w:r>
              <w:rPr>
                <w:color w:val="1C3A36"/>
                <w:sz w:val="19"/>
              </w:rPr>
              <w:t>All values are model outputs presented as ranges and distributions, because no single number should be relied on. There is no rating and no price target anywhere in this document.</w:t>
            </w:r>
          </w:p>
          <w:p>
            <w:pPr>
              <w:spacing w:after="100"/>
            </w:pPr>
            <w:r>
              <w:rPr>
                <w:color w:val="1C3A36"/>
                <w:sz w:val="19"/>
              </w:rPr>
              <w:t>A NOTE ON IDENTITY. ADIB-Egypt (EGX: ADIB), the subject of this study, is the Cairo-listed bank formerly known as National Bank for Development. Abu Dhabi Islamic Bank PJSC (ADX: ADIB) is its Abu Dhabi-listed parent and a different company; it is covered separately and nothing here refers to it.</w:t>
            </w:r>
          </w:p>
          <w:p>
            <w:pPr>
              <w:spacing w:after="100"/>
            </w:pPr>
            <w:r>
              <w:rPr>
                <w:color w:val="1C3A36"/>
                <w:sz w:val="19"/>
              </w:rPr>
              <w:t>WHERE THE NUMBERS COME FROM. Every historical figure is ADIB-Egypt's own audited or reviewed consolidated financial statements, downloaded from adib.eg: sixteen consolidated fiscal years from 2010 to 2025, plus the three and six months to March and June 2026. Every one of those statements was checked to add up before it was used. Forward-looking inputs — the growth path, the margin path, the loss charge, the cost of equity — are the preparer's judgements and are flagged as such throughout.</w:t>
            </w:r>
          </w:p>
          <w:p>
            <w:pPr>
              <w:spacing w:after="100"/>
            </w:pPr>
            <w:r>
              <w:rPr>
                <w:color w:val="1C3A36"/>
                <w:sz w:val="19"/>
              </w:rPr>
              <w:t>TWO CLOCKS. The fair value is a risk-adjusted anchor of roughly twelve months, struck against the 3 September close. The only genuinely three-month figures are the percentiles in section 3, which are anchored on the 23 August close because that is the last session in the price history this study holds. Never read one clock as the other.</w:t>
            </w:r>
          </w:p>
        </w:tc>
      </w:tr>
    </w:tbl>
    <w:p>
      <w:pPr>
        <w:spacing w:after="40"/>
      </w:pPr>
    </w:p>
    <w:p>
      <w:pPr>
        <w:spacing w:after="120" w:before="280"/>
      </w:pPr>
      <w:r>
        <w:rPr>
          <w:b/>
          <w:i w:val="0"/>
          <w:color w:val="1C3A36"/>
          <w:sz w:val="30"/>
        </w:rPr>
        <w:t>Headline</w:t>
      </w:r>
    </w:p>
    <w:p>
      <w:pPr>
        <w:spacing w:after="120" w:before="0"/>
      </w:pPr>
      <w:r>
        <w:rPr>
          <w:b w:val="0"/>
          <w:i w:val="0"/>
          <w:color w:val="1C3A36"/>
          <w:sz w:val="21"/>
        </w:rPr>
        <w:t>ADIB-Egypt is a bank that has compounded through a currency collapse. Since 2019 it has taken total assets from EGP 60.3 billion to EGP 414.3 billion, financing to customers from EGP 30.7 billion to EGP 190.4 billion, and attributable profit from EGP 1.23 billion to EGP 12.59 billion — while the Egyptian pound went from about 16 to the dollar to about 50. Its return on equity in 2025 was 43.7%.</w:t>
      </w:r>
    </w:p>
    <w:p>
      <w:pPr>
        <w:spacing w:after="120" w:before="0"/>
      </w:pPr>
      <w:r>
        <w:rPr>
          <w:b w:val="0"/>
          <w:i w:val="0"/>
          <w:color w:val="1C3A36"/>
          <w:sz w:val="21"/>
        </w:rPr>
        <w:t>Two things make the next five years harder than the last five, and they are the whole of this study. The first is that the Central Bank of Egypt is cutting: its overnight deposit rate has come down from a peak above 27% to 19.00% and its own published path takes it to 12.00%. A bank earning a 6.64% margin on its assets in a 19% policy world does not earn it in a 12% one, and the asset side reprices faster than the deposit side. The second is the loss charge. ADIB-Egypt charged 2.176 million of expected credit losses in the six months to June 2026 — not billion, million, on a EGP 190 billion financing book. That is a release, not a run rate, and this study does not carry it forward.</w:t>
      </w:r>
    </w:p>
    <w:p>
      <w:pPr>
        <w:spacing w:after="120" w:before="0"/>
      </w:pPr>
      <w:r>
        <w:rPr>
          <w:b w:val="0"/>
          <w:i w:val="0"/>
          <w:color w:val="1C3A36"/>
          <w:sz w:val="21"/>
        </w:rPr>
        <w:t>The dividend-discount lens, which is the primary read for a bank, values the shares at EGP 44.46. Free cash flow to equity gives EGP 43.17 and residual income EGP 46.01 — a spread of EGP 2.84 across the three present-value reads. The market is at EGP 52.05. The study is 14.6% below it, the disagreement is audited in a separate review published with this document, and the two things that would close most of it are named there: a fresher Egyptian ten-year yield than the one this study is carrying, and a loss charge closer to the last six months than to the last four years.</w:t>
      </w:r>
    </w:p>
    <w:p>
      <w:pPr>
        <w:spacing w:after="120" w:before="280"/>
      </w:pPr>
      <w:r>
        <w:rPr>
          <w:b/>
          <w:i w:val="0"/>
          <w:color w:val="1C3A36"/>
          <w:sz w:val="30"/>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512"/>
        <w:gridCol w:w="4320"/>
        <w:gridCol w:w="2016"/>
      </w:tblGrid>
      <w:tr>
        <w:tc>
          <w:tcPr>
            <w:tcW w:type="dxa" w:w="2232"/>
            <w:shd w:val="clear" w:color="auto" w:fill="EAF0EE"/>
          </w:tcPr>
          <w:p>
            <w:pPr>
              <w:spacing w:after="20"/>
            </w:pPr>
            <w:r>
              <w:rPr>
                <w:b/>
                <w:color w:val="1C3A36"/>
                <w:sz w:val="17"/>
              </w:rPr>
              <w:t>Lens</w:t>
            </w:r>
          </w:p>
        </w:tc>
        <w:tc>
          <w:tcPr>
            <w:tcW w:type="dxa" w:w="1512"/>
            <w:shd w:val="clear" w:color="auto" w:fill="EAF0EE"/>
          </w:tcPr>
          <w:p>
            <w:pPr>
              <w:spacing w:after="20"/>
            </w:pPr>
            <w:r>
              <w:rPr>
                <w:b/>
                <w:color w:val="1C3A36"/>
                <w:sz w:val="17"/>
              </w:rPr>
              <w:t>Value per share</w:t>
            </w:r>
          </w:p>
        </w:tc>
        <w:tc>
          <w:tcPr>
            <w:tcW w:type="dxa" w:w="4320"/>
            <w:shd w:val="clear" w:color="auto" w:fill="EAF0EE"/>
          </w:tcPr>
          <w:p>
            <w:pPr>
              <w:spacing w:after="20"/>
            </w:pPr>
            <w:r>
              <w:rPr>
                <w:b/>
                <w:color w:val="1C3A36"/>
                <w:sz w:val="17"/>
              </w:rPr>
              <w:t>What it is</w:t>
            </w:r>
          </w:p>
        </w:tc>
        <w:tc>
          <w:tcPr>
            <w:tcW w:type="dxa" w:w="2016"/>
            <w:shd w:val="clear" w:color="auto" w:fill="EAF0EE"/>
          </w:tcPr>
          <w:p>
            <w:pPr>
              <w:spacing w:after="20"/>
            </w:pPr>
            <w:r>
              <w:rPr>
                <w:b/>
                <w:color w:val="1C3A36"/>
                <w:sz w:val="17"/>
              </w:rPr>
              <w:t>Role</w:t>
            </w:r>
          </w:p>
        </w:tc>
      </w:tr>
      <w:tr>
        <w:tc>
          <w:tcPr>
            <w:tcW w:type="dxa" w:w="2232"/>
          </w:tcPr>
          <w:p>
            <w:pPr>
              <w:spacing w:after="20"/>
            </w:pPr>
            <w:r>
              <w:rPr>
                <w:color w:val="1C3A36"/>
                <w:sz w:val="17"/>
              </w:rPr>
              <w:t>Dividend discount</w:t>
            </w:r>
          </w:p>
        </w:tc>
        <w:tc>
          <w:tcPr>
            <w:tcW w:type="dxa" w:w="1512"/>
          </w:tcPr>
          <w:p>
            <w:pPr>
              <w:spacing w:after="20"/>
              <w:jc w:val="right"/>
            </w:pPr>
            <w:r>
              <w:rPr>
                <w:color w:val="1C3A36"/>
                <w:sz w:val="17"/>
              </w:rPr>
              <w:t>EGP 44.46</w:t>
            </w:r>
          </w:p>
        </w:tc>
        <w:tc>
          <w:tcPr>
            <w:tcW w:type="dxa" w:w="4320"/>
          </w:tcPr>
          <w:p>
            <w:pPr>
              <w:spacing w:after="20"/>
              <w:jc w:val="right"/>
            </w:pPr>
            <w:r>
              <w:rPr>
                <w:color w:val="1C3A36"/>
                <w:sz w:val="17"/>
              </w:rPr>
              <w:t>the cash a shareholder can be paid, after the balance sheet has taken the capital it needs to grow</w:t>
            </w:r>
          </w:p>
        </w:tc>
        <w:tc>
          <w:tcPr>
            <w:tcW w:type="dxa" w:w="2016"/>
          </w:tcPr>
          <w:p>
            <w:pPr>
              <w:spacing w:after="20"/>
              <w:jc w:val="right"/>
            </w:pPr>
            <w:r>
              <w:rPr>
                <w:color w:val="1C3A36"/>
                <w:sz w:val="17"/>
              </w:rPr>
              <w:t>PRIMARY — this is the central</w:t>
            </w:r>
          </w:p>
        </w:tc>
      </w:tr>
      <w:tr>
        <w:tc>
          <w:tcPr>
            <w:tcW w:type="dxa" w:w="2232"/>
          </w:tcPr>
          <w:p>
            <w:pPr>
              <w:spacing w:after="20"/>
            </w:pPr>
            <w:r>
              <w:rPr>
                <w:color w:val="1C3A36"/>
                <w:sz w:val="17"/>
              </w:rPr>
              <w:t>Free cash flow to equity</w:t>
            </w:r>
          </w:p>
        </w:tc>
        <w:tc>
          <w:tcPr>
            <w:tcW w:type="dxa" w:w="1512"/>
          </w:tcPr>
          <w:p>
            <w:pPr>
              <w:spacing w:after="20"/>
              <w:jc w:val="right"/>
            </w:pPr>
            <w:r>
              <w:rPr>
                <w:color w:val="1C3A36"/>
                <w:sz w:val="17"/>
              </w:rPr>
              <w:t>EGP 43.17</w:t>
            </w:r>
          </w:p>
        </w:tc>
        <w:tc>
          <w:tcPr>
            <w:tcW w:type="dxa" w:w="4320"/>
          </w:tcPr>
          <w:p>
            <w:pPr>
              <w:spacing w:after="20"/>
              <w:jc w:val="right"/>
            </w:pPr>
            <w:r>
              <w:rPr>
                <w:color w:val="1C3A36"/>
                <w:sz w:val="17"/>
              </w:rPr>
              <w:t>the same flow built from the capital requirement rather than a payout ratio</w:t>
            </w:r>
          </w:p>
        </w:tc>
        <w:tc>
          <w:tcPr>
            <w:tcW w:type="dxa" w:w="2016"/>
          </w:tcPr>
          <w:p>
            <w:pPr>
              <w:spacing w:after="20"/>
              <w:jc w:val="right"/>
            </w:pPr>
            <w:r>
              <w:rPr>
                <w:color w:val="1C3A36"/>
                <w:sz w:val="17"/>
              </w:rPr>
              <w:t>cross-check</w:t>
            </w:r>
          </w:p>
        </w:tc>
      </w:tr>
      <w:tr>
        <w:tc>
          <w:tcPr>
            <w:tcW w:type="dxa" w:w="2232"/>
          </w:tcPr>
          <w:p>
            <w:pPr>
              <w:spacing w:after="20"/>
            </w:pPr>
            <w:r>
              <w:rPr>
                <w:color w:val="1C3A36"/>
                <w:sz w:val="17"/>
              </w:rPr>
              <w:t>Residual income</w:t>
            </w:r>
          </w:p>
        </w:tc>
        <w:tc>
          <w:tcPr>
            <w:tcW w:type="dxa" w:w="1512"/>
          </w:tcPr>
          <w:p>
            <w:pPr>
              <w:spacing w:after="20"/>
              <w:jc w:val="right"/>
            </w:pPr>
            <w:r>
              <w:rPr>
                <w:color w:val="1C3A36"/>
                <w:sz w:val="17"/>
              </w:rPr>
              <w:t>EGP 46.01</w:t>
            </w:r>
          </w:p>
        </w:tc>
        <w:tc>
          <w:tcPr>
            <w:tcW w:type="dxa" w:w="4320"/>
          </w:tcPr>
          <w:p>
            <w:pPr>
              <w:spacing w:after="20"/>
              <w:jc w:val="right"/>
            </w:pPr>
            <w:r>
              <w:rPr>
                <w:color w:val="1C3A36"/>
                <w:sz w:val="17"/>
              </w:rPr>
              <w:t>today's book value plus the value of every future year's return above the cost of equity</w:t>
            </w:r>
          </w:p>
        </w:tc>
        <w:tc>
          <w:tcPr>
            <w:tcW w:type="dxa" w:w="2016"/>
          </w:tcPr>
          <w:p>
            <w:pPr>
              <w:spacing w:after="20"/>
              <w:jc w:val="right"/>
            </w:pPr>
            <w:r>
              <w:rPr>
                <w:color w:val="1C3A36"/>
                <w:sz w:val="17"/>
              </w:rPr>
              <w:t>cross-check</w:t>
            </w:r>
          </w:p>
        </w:tc>
      </w:tr>
      <w:tr>
        <w:tc>
          <w:tcPr>
            <w:tcW w:type="dxa" w:w="2232"/>
          </w:tcPr>
          <w:p>
            <w:pPr>
              <w:spacing w:after="20"/>
            </w:pPr>
            <w:r>
              <w:rPr>
                <w:color w:val="1C3A36"/>
                <w:sz w:val="17"/>
              </w:rPr>
              <w:t>Relative multiples</w:t>
            </w:r>
          </w:p>
        </w:tc>
        <w:tc>
          <w:tcPr>
            <w:tcW w:type="dxa" w:w="1512"/>
          </w:tcPr>
          <w:p>
            <w:pPr>
              <w:spacing w:after="20"/>
              <w:jc w:val="right"/>
            </w:pPr>
            <w:r>
              <w:rPr>
                <w:color w:val="1C3A36"/>
                <w:sz w:val="17"/>
              </w:rPr>
              <w:t>EGP 60.82</w:t>
            </w:r>
          </w:p>
        </w:tc>
        <w:tc>
          <w:tcPr>
            <w:tcW w:type="dxa" w:w="4320"/>
          </w:tcPr>
          <w:p>
            <w:pPr>
              <w:spacing w:after="20"/>
              <w:jc w:val="right"/>
            </w:pPr>
            <w:r>
              <w:rPr>
                <w:color w:val="1C3A36"/>
                <w:sz w:val="17"/>
              </w:rPr>
              <w:t>Egyptian large-cap bank price-to-book and price-to-earnings bands applied to the 2026 forecast</w:t>
            </w:r>
          </w:p>
        </w:tc>
        <w:tc>
          <w:tcPr>
            <w:tcW w:type="dxa" w:w="2016"/>
          </w:tcPr>
          <w:p>
            <w:pPr>
              <w:spacing w:after="20"/>
              <w:jc w:val="right"/>
            </w:pPr>
            <w:r>
              <w:rPr>
                <w:color w:val="1C3A36"/>
                <w:sz w:val="17"/>
              </w:rPr>
              <w:t>cross-check — the weakest evidence here</w:t>
            </w:r>
          </w:p>
        </w:tc>
      </w:tr>
      <w:tr>
        <w:tc>
          <w:tcPr>
            <w:tcW w:type="dxa" w:w="2232"/>
          </w:tcPr>
          <w:p>
            <w:pPr>
              <w:spacing w:after="20"/>
            </w:pPr>
            <w:r>
              <w:rPr>
                <w:color w:val="1C3A36"/>
                <w:sz w:val="17"/>
              </w:rPr>
              <w:t>Book value and sustainable return</w:t>
            </w:r>
          </w:p>
        </w:tc>
        <w:tc>
          <w:tcPr>
            <w:tcW w:type="dxa" w:w="1512"/>
          </w:tcPr>
          <w:p>
            <w:pPr>
              <w:spacing w:after="20"/>
              <w:jc w:val="right"/>
            </w:pPr>
            <w:r>
              <w:rPr>
                <w:color w:val="1C3A36"/>
                <w:sz w:val="17"/>
              </w:rPr>
              <w:t>EGP 47.47</w:t>
            </w:r>
          </w:p>
        </w:tc>
        <w:tc>
          <w:tcPr>
            <w:tcW w:type="dxa" w:w="4320"/>
          </w:tcPr>
          <w:p>
            <w:pPr>
              <w:spacing w:after="20"/>
              <w:jc w:val="right"/>
            </w:pPr>
            <w:r>
              <w:rPr>
                <w:color w:val="1C3A36"/>
                <w:sz w:val="17"/>
              </w:rPr>
              <w:t>the June 2026 book of EGP 29.04 a share at the price-to-book its own long-run return supports</w:t>
            </w:r>
          </w:p>
        </w:tc>
        <w:tc>
          <w:tcPr>
            <w:tcW w:type="dxa" w:w="2016"/>
          </w:tcPr>
          <w:p>
            <w:pPr>
              <w:spacing w:after="20"/>
              <w:jc w:val="right"/>
            </w:pPr>
            <w:r>
              <w:rPr>
                <w:color w:val="1C3A36"/>
                <w:sz w:val="17"/>
              </w:rPr>
              <w:t>cross-check</w:t>
            </w:r>
          </w:p>
        </w:tc>
      </w:tr>
      <w:tr>
        <w:tc>
          <w:tcPr>
            <w:tcW w:type="dxa" w:w="2232"/>
          </w:tcPr>
          <w:p>
            <w:pPr>
              <w:spacing w:after="20"/>
            </w:pPr>
            <w:r>
              <w:rPr>
                <w:color w:val="1C3A36"/>
                <w:sz w:val="17"/>
              </w:rPr>
              <w:t>Normalised earnings power</w:t>
            </w:r>
          </w:p>
        </w:tc>
        <w:tc>
          <w:tcPr>
            <w:tcW w:type="dxa" w:w="1512"/>
          </w:tcPr>
          <w:p>
            <w:pPr>
              <w:spacing w:after="20"/>
              <w:jc w:val="right"/>
            </w:pPr>
            <w:r>
              <w:rPr>
                <w:color w:val="1C3A36"/>
                <w:sz w:val="17"/>
              </w:rPr>
              <w:t>EGP 34.59</w:t>
            </w:r>
          </w:p>
        </w:tc>
        <w:tc>
          <w:tcPr>
            <w:tcW w:type="dxa" w:w="4320"/>
          </w:tcPr>
          <w:p>
            <w:pPr>
              <w:spacing w:after="20"/>
              <w:jc w:val="right"/>
            </w:pPr>
            <w:r>
              <w:rPr>
                <w:color w:val="1C3A36"/>
                <w:sz w:val="17"/>
              </w:rPr>
              <w:t>what the bank earns on a mid-cycle margin and a mid-cycle loss charge, capitalised</w:t>
            </w:r>
          </w:p>
        </w:tc>
        <w:tc>
          <w:tcPr>
            <w:tcW w:type="dxa" w:w="2016"/>
          </w:tcPr>
          <w:p>
            <w:pPr>
              <w:spacing w:after="20"/>
              <w:jc w:val="right"/>
            </w:pPr>
            <w:r>
              <w:rPr>
                <w:color w:val="1C3A36"/>
                <w:sz w:val="17"/>
              </w:rPr>
              <w:t>reported only</w:t>
            </w:r>
          </w:p>
        </w:tc>
      </w:tr>
    </w:tbl>
    <w:p>
      <w:pPr>
        <w:spacing w:after="40"/>
      </w:pPr>
    </w:p>
    <w:p>
      <w:pPr>
        <w:spacing w:after="200" w:before="0"/>
      </w:pPr>
      <w:r>
        <w:rPr>
          <w:b w:val="0"/>
          <w:i/>
          <w:color w:val="6E7B77"/>
          <w:sz w:val="17"/>
        </w:rPr>
        <w:t>Table 1 — the six reads, and which one is the answer</w:t>
      </w:r>
    </w:p>
    <w:p>
      <w:pPr>
        <w:spacing w:after="120" w:before="0"/>
      </w:pPr>
      <w:r>
        <w:rPr>
          <w:b w:val="0"/>
          <w:i w:val="0"/>
          <w:color w:val="1C3A36"/>
          <w:sz w:val="21"/>
        </w:rPr>
        <w:t>One lens is the central and the others are published beside it. They are not averaged: a weighted blend of lenses is a set of numbers nobody has ever tested, and this house retired the practice after a blend on another company landed 28% away from a market its own cash-flow lens had matched within 2%. For a bank the primary read is the dividend discount, because a bank's deposits are its raw material rather than its financing and the only thing that reaches a shareholder is what the capital rules let the bank pay out.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464"/>
        <w:gridCol w:w="2448"/>
        <w:gridCol w:w="3168"/>
      </w:tblGrid>
      <w:tr>
        <w:tc>
          <w:tcPr>
            <w:tcW w:type="dxa" w:w="4464"/>
            <w:shd w:val="clear" w:color="auto" w:fill="EAF0EE"/>
          </w:tcPr>
          <w:p>
            <w:pPr>
              <w:spacing w:after="20"/>
            </w:pPr>
            <w:r>
              <w:rPr>
                <w:b/>
                <w:color w:val="1C3A36"/>
                <w:sz w:val="18"/>
              </w:rPr>
            </w:r>
          </w:p>
        </w:tc>
        <w:tc>
          <w:tcPr>
            <w:tcW w:type="dxa" w:w="2448"/>
            <w:shd w:val="clear" w:color="auto" w:fill="EAF0EE"/>
          </w:tcPr>
          <w:p>
            <w:pPr>
              <w:spacing w:after="20"/>
            </w:pPr>
            <w:r>
              <w:rPr>
                <w:b/>
                <w:color w:val="1C3A36"/>
                <w:sz w:val="18"/>
              </w:rPr>
              <w:t>Value per share</w:t>
            </w:r>
          </w:p>
        </w:tc>
        <w:tc>
          <w:tcPr>
            <w:tcW w:type="dxa" w:w="3168"/>
            <w:shd w:val="clear" w:color="auto" w:fill="EAF0EE"/>
          </w:tcPr>
          <w:p>
            <w:pPr>
              <w:spacing w:after="20"/>
            </w:pPr>
            <w:r>
              <w:rPr>
                <w:b/>
                <w:color w:val="1C3A36"/>
                <w:sz w:val="18"/>
              </w:rPr>
              <w:t>Against the 3 September close of EGP 52.05</w:t>
            </w:r>
          </w:p>
        </w:tc>
      </w:tr>
      <w:tr>
        <w:tc>
          <w:tcPr>
            <w:tcW w:type="dxa" w:w="4464"/>
          </w:tcPr>
          <w:p>
            <w:pPr>
              <w:spacing w:after="20"/>
            </w:pPr>
            <w:r>
              <w:rPr>
                <w:b/>
                <w:color w:val="1C3A36"/>
                <w:sz w:val="18"/>
              </w:rPr>
              <w:t>Low end of the present-value reads</w:t>
            </w:r>
          </w:p>
        </w:tc>
        <w:tc>
          <w:tcPr>
            <w:tcW w:type="dxa" w:w="2448"/>
          </w:tcPr>
          <w:p>
            <w:pPr>
              <w:spacing w:after="20"/>
              <w:jc w:val="right"/>
            </w:pPr>
            <w:r>
              <w:rPr>
                <w:color w:val="1C3A36"/>
                <w:sz w:val="18"/>
              </w:rPr>
              <w:t>EGP 43.17</w:t>
            </w:r>
          </w:p>
        </w:tc>
        <w:tc>
          <w:tcPr>
            <w:tcW w:type="dxa" w:w="3168"/>
          </w:tcPr>
          <w:p>
            <w:pPr>
              <w:spacing w:after="20"/>
              <w:jc w:val="right"/>
            </w:pPr>
            <w:r>
              <w:rPr>
                <w:color w:val="1C3A36"/>
                <w:sz w:val="18"/>
              </w:rPr>
              <w:t>-17.1%</w:t>
            </w:r>
          </w:p>
        </w:tc>
      </w:tr>
      <w:tr>
        <w:tc>
          <w:tcPr>
            <w:tcW w:type="dxa" w:w="4464"/>
          </w:tcPr>
          <w:p>
            <w:pPr>
              <w:spacing w:after="20"/>
            </w:pPr>
            <w:r>
              <w:rPr>
                <w:b/>
                <w:color w:val="1C3A36"/>
                <w:sz w:val="18"/>
              </w:rPr>
              <w:t>CENTRAL — dividend discount</w:t>
            </w:r>
          </w:p>
        </w:tc>
        <w:tc>
          <w:tcPr>
            <w:tcW w:type="dxa" w:w="2448"/>
          </w:tcPr>
          <w:p>
            <w:pPr>
              <w:spacing w:after="20"/>
              <w:jc w:val="right"/>
            </w:pPr>
            <w:r>
              <w:rPr>
                <w:color w:val="1C3A36"/>
                <w:sz w:val="18"/>
              </w:rPr>
              <w:t>EGP 44.46</w:t>
            </w:r>
          </w:p>
        </w:tc>
        <w:tc>
          <w:tcPr>
            <w:tcW w:type="dxa" w:w="3168"/>
          </w:tcPr>
          <w:p>
            <w:pPr>
              <w:spacing w:after="20"/>
              <w:jc w:val="right"/>
            </w:pPr>
            <w:r>
              <w:rPr>
                <w:color w:val="1C3A36"/>
                <w:sz w:val="18"/>
              </w:rPr>
              <w:t>-14.6%</w:t>
            </w:r>
          </w:p>
        </w:tc>
      </w:tr>
      <w:tr>
        <w:tc>
          <w:tcPr>
            <w:tcW w:type="dxa" w:w="4464"/>
          </w:tcPr>
          <w:p>
            <w:pPr>
              <w:spacing w:after="20"/>
            </w:pPr>
            <w:r>
              <w:rPr>
                <w:b/>
                <w:color w:val="1C3A36"/>
                <w:sz w:val="18"/>
              </w:rPr>
              <w:t>High end of the present-value reads</w:t>
            </w:r>
          </w:p>
        </w:tc>
        <w:tc>
          <w:tcPr>
            <w:tcW w:type="dxa" w:w="2448"/>
          </w:tcPr>
          <w:p>
            <w:pPr>
              <w:spacing w:after="20"/>
              <w:jc w:val="right"/>
            </w:pPr>
            <w:r>
              <w:rPr>
                <w:color w:val="1C3A36"/>
                <w:sz w:val="18"/>
              </w:rPr>
              <w:t>EGP 46.01</w:t>
            </w:r>
          </w:p>
        </w:tc>
        <w:tc>
          <w:tcPr>
            <w:tcW w:type="dxa" w:w="3168"/>
          </w:tcPr>
          <w:p>
            <w:pPr>
              <w:spacing w:after="20"/>
              <w:jc w:val="right"/>
            </w:pPr>
            <w:r>
              <w:rPr>
                <w:color w:val="1C3A36"/>
                <w:sz w:val="18"/>
              </w:rPr>
              <w:t>-11.6%</w:t>
            </w:r>
          </w:p>
        </w:tc>
      </w:tr>
    </w:tbl>
    <w:p>
      <w:pPr>
        <w:spacing w:after="40"/>
      </w:pPr>
    </w:p>
    <w:p>
      <w:pPr>
        <w:spacing w:after="200" w:before="0"/>
      </w:pPr>
      <w:r>
        <w:rPr>
          <w:b w:val="0"/>
          <w:i/>
          <w:color w:val="6E7B77"/>
          <w:sz w:val="17"/>
        </w:rPr>
        <w:t>Table 2 — the range, and what it is not</w:t>
      </w:r>
    </w:p>
    <w:p>
      <w:pPr>
        <w:spacing w:after="120" w:before="0"/>
      </w:pPr>
      <w:r>
        <w:rPr>
          <w:b w:val="0"/>
          <w:i w:val="0"/>
          <w:color w:val="1C3A36"/>
          <w:sz w:val="21"/>
        </w:rPr>
        <w:t>THE RANGE IS NARROW AND THAT IS A STATEMENT ABOUT THE LENSES, NOT ABOUT CONFIDENCE. It is the spread between the three present-value reads, and they agree because they are three ways of discounting the same capital-constrained flow. It is not a forecast confidence interval. Section 7 gives the measured one, and it is far wider: on this company's own sixteen-year history, a profit forecast made three years ahead by this method has landed anywhere between a third and one-and-a-half times the outcome.</w:t>
      </w:r>
    </w:p>
    <w:p>
      <w:pPr>
        <w:spacing w:after="120" w:before="280"/>
      </w:pPr>
      <w:r>
        <w:rPr>
          <w:b/>
          <w:i w:val="0"/>
          <w:color w:val="1C3A36"/>
          <w:sz w:val="30"/>
        </w:rPr>
        <w:t>Company overview</w:t>
      </w:r>
    </w:p>
    <w:p>
      <w:pPr>
        <w:spacing w:after="120" w:before="0"/>
      </w:pPr>
      <w:r>
        <w:rPr>
          <w:b w:val="0"/>
          <w:i w:val="0"/>
          <w:color w:val="1C3A36"/>
          <w:sz w:val="21"/>
        </w:rPr>
        <w:t>ADIB-Egypt is the Cairo-listed Islamic bank that Abu Dhabi Islamic Bank PJSC took control of in 2007, when it was called National Bank for Development. The filings tell that story plainly: the accounts are still headed "National Bank For Development (S.A.E.)" through the 2013 report, they carry a consolidated non-bank trading subsidiary with its own sales and cost-of-sale lines, and they show cumulative attributable losses of EGP 2.46 billion across 2010 to 2012 against a balance sheet of about EGP 14.4 billion. The bank was recapitalised three times, the conventional loan book was run off, and the accumulated deficit was not cleared until the end of the decade.</w:t>
      </w:r>
    </w:p>
    <w:p>
      <w:pPr>
        <w:spacing w:after="120" w:before="0"/>
      </w:pPr>
      <w:r>
        <w:rPr>
          <w:b w:val="0"/>
          <w:i w:val="0"/>
          <w:color w:val="1C3A36"/>
          <w:sz w:val="21"/>
        </w:rPr>
        <w:t>What it is now is a mid-sized Egyptian bank growing faster than the system. It funds itself with EGP 331 billion of customer deposits, lends EGP 190 billion to customers, and holds most of the difference in Egyptian treasury bills and government paper — the shape of almost every Egyptian bank, and the reason its earnings are as much a function of the policy rate as of its own lending. Financing to customers is 46.0% of total assets against 42.5% at the end of 2025, so that mix is actively shifting toward customer credit.</w:t>
      </w:r>
    </w:p>
    <w:p>
      <w:pPr>
        <w:spacing w:after="120" w:before="0"/>
      </w:pPr>
      <w:r>
        <w:rPr>
          <w:b w:val="0"/>
          <w:i w:val="0"/>
          <w:color w:val="1C3A36"/>
          <w:sz w:val="21"/>
        </w:rPr>
        <w:t>Issued capital has moved a great deal and the share count is the denominator of everything in this study, so it is worth stating once: capital rose from EGP 2.0 billion through 4.0, 5.0, 6.0 and 12.0 billion to EGP 15.0 billion at 30 June 2026, the last step a EGP 3 billion cash increase completed in the second quarter. At the LE 10 par value the filings state, that is 1,500 million shares today.</w:t>
      </w:r>
    </w:p>
    <w:p>
      <w:pPr>
        <w:spacing w:after="120" w:before="280"/>
      </w:pPr>
      <w:r>
        <w:rPr>
          <w:b/>
          <w:i w:val="0"/>
          <w:color w:val="1C3A36"/>
          <w:sz w:val="30"/>
        </w:rPr>
        <w:t>1  Fundamental valuation</w:t>
      </w:r>
    </w:p>
    <w:p>
      <w:pPr>
        <w:spacing w:after="120" w:before="0"/>
      </w:pPr>
      <w:r>
        <w:rPr>
          <w:b w:val="0"/>
          <w:i w:val="0"/>
          <w:color w:val="1C3A36"/>
          <w:sz w:val="21"/>
        </w:rPr>
        <w:t>A bank is not valued the way an industrial company is, and the difference is not cosmetic. An industrial valuation starts from enterprise value, subtracts debt and adds cash. For a bank, deposits ARE the raw material — the thing it buys and resells — so subtracting them as though they were borrowings produces a number with no meaning. Everything below is therefore built on equity: the flows are flows to the shareholder, the discount rate is the cost of equity, and there is no weighted average cost of capital and no enterprise-to-equity bridge anywhere in this study.</w:t>
      </w:r>
    </w:p>
    <w:p>
      <w:pPr>
        <w:spacing w:after="80" w:before="200"/>
      </w:pPr>
      <w:r>
        <w:rPr>
          <w:b/>
          <w:i w:val="0"/>
          <w:color w:val="1C3A36"/>
          <w:sz w:val="24"/>
        </w:rPr>
        <w:t>1.1  The cash-flow model — what the shareholder can actually be paid</w:t>
      </w:r>
    </w:p>
    <w:p>
      <w:pPr>
        <w:spacing w:after="120" w:before="0"/>
      </w:pPr>
      <w:r>
        <w:rPr>
          <w:b w:val="0"/>
          <w:i w:val="0"/>
          <w:color w:val="1C3A36"/>
          <w:sz w:val="21"/>
        </w:rPr>
        <w:t>The model projects the balance sheet first, applies a yield to the assets and a cost to the funding, and lets the margin fall out. It never sets a margin. The waterfall for each year runs: financing to customers, grossed up to total assets on the disclosed mix; income earned at the asset yield on the AVERAGE of the opening and closing balance sheet; the cost of deposits charged at the funding rate on the average of the liabilities that actually bear it; fees and other income as a rate on average assets; administrative costs grown from the FY2025 base; the loss charge as a rate on average financing; tax at the effective rate the bank actually pays.</w:t>
      </w:r>
    </w:p>
    <w:tbl>
      <w:tblPr>
        <w:tblW w:type="auto" w:w="0"/>
        <w:tblLook w:firstColumn="1" w:firstRow="1" w:lastColumn="0" w:lastRow="0" w:noHBand="0" w:noVBand="1" w:val="04A0"/>
        <w:tblLayout w:type="fixed"/>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color w:val="1C3A36"/>
                <w:sz w:val="19"/>
              </w:rPr>
              <w:t>WHY THE AVERAGE BALANCE SHEET AND NOT THE CLOSING ONE. ADIB-Egypt grew total assets 33% in 2025 and 19.5% in the first half of 2026. Applying a full year of yield to a closing balance sheet would credit twelve months of income to assets the bank held for six, and would inflate every projected profit in this study by a large and entirely artificial margin. Every rate below is applied to an average.</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1152"/>
        <w:gridCol w:w="1152"/>
        <w:gridCol w:w="1094"/>
        <w:gridCol w:w="1094"/>
        <w:gridCol w:w="1094"/>
        <w:gridCol w:w="1094"/>
        <w:gridCol w:w="1094"/>
      </w:tblGrid>
      <w:tr>
        <w:tc>
          <w:tcPr>
            <w:tcW w:type="dxa" w:w="2304"/>
            <w:shd w:val="clear" w:color="auto" w:fill="EAF0EE"/>
          </w:tcPr>
          <w:p>
            <w:pPr>
              <w:spacing w:after="20"/>
            </w:pPr>
            <w:r>
              <w:rPr>
                <w:b/>
                <w:color w:val="1C3A36"/>
                <w:sz w:val="16"/>
              </w:rPr>
              <w:t>EGP million</w:t>
            </w:r>
          </w:p>
        </w:tc>
        <w:tc>
          <w:tcPr>
            <w:tcW w:type="dxa" w:w="1152"/>
            <w:shd w:val="clear" w:color="auto" w:fill="EAF0EE"/>
          </w:tcPr>
          <w:p>
            <w:pPr>
              <w:spacing w:after="20"/>
            </w:pPr>
            <w:r>
              <w:rPr>
                <w:b/>
                <w:color w:val="1C3A36"/>
                <w:sz w:val="16"/>
              </w:rPr>
              <w:t>FY2025A</w:t>
            </w:r>
          </w:p>
        </w:tc>
        <w:tc>
          <w:tcPr>
            <w:tcW w:type="dxa" w:w="1152"/>
            <w:shd w:val="clear" w:color="auto" w:fill="EAF0EE"/>
          </w:tcPr>
          <w:p>
            <w:pPr>
              <w:spacing w:after="20"/>
            </w:pPr>
            <w:r>
              <w:rPr>
                <w:b/>
                <w:color w:val="1C3A36"/>
                <w:sz w:val="16"/>
              </w:rPr>
              <w:t>H1-2026A</w:t>
            </w:r>
          </w:p>
        </w:tc>
        <w:tc>
          <w:tcPr>
            <w:tcW w:type="dxa" w:w="1094"/>
            <w:shd w:val="clear" w:color="auto" w:fill="EAF0EE"/>
          </w:tcPr>
          <w:p>
            <w:pPr>
              <w:spacing w:after="20"/>
            </w:pPr>
            <w:r>
              <w:rPr>
                <w:b/>
                <w:color w:val="1C3A36"/>
                <w:sz w:val="16"/>
              </w:rPr>
              <w:t>FY2026E</w:t>
            </w:r>
          </w:p>
        </w:tc>
        <w:tc>
          <w:tcPr>
            <w:tcW w:type="dxa" w:w="1094"/>
            <w:shd w:val="clear" w:color="auto" w:fill="EAF0EE"/>
          </w:tcPr>
          <w:p>
            <w:pPr>
              <w:spacing w:after="20"/>
            </w:pPr>
            <w:r>
              <w:rPr>
                <w:b/>
                <w:color w:val="1C3A36"/>
                <w:sz w:val="16"/>
              </w:rPr>
              <w:t>FY2027E</w:t>
            </w:r>
          </w:p>
        </w:tc>
        <w:tc>
          <w:tcPr>
            <w:tcW w:type="dxa" w:w="1094"/>
            <w:shd w:val="clear" w:color="auto" w:fill="EAF0EE"/>
          </w:tcPr>
          <w:p>
            <w:pPr>
              <w:spacing w:after="20"/>
            </w:pPr>
            <w:r>
              <w:rPr>
                <w:b/>
                <w:color w:val="1C3A36"/>
                <w:sz w:val="16"/>
              </w:rPr>
              <w:t>FY2028E</w:t>
            </w:r>
          </w:p>
        </w:tc>
        <w:tc>
          <w:tcPr>
            <w:tcW w:type="dxa" w:w="1094"/>
            <w:shd w:val="clear" w:color="auto" w:fill="EAF0EE"/>
          </w:tcPr>
          <w:p>
            <w:pPr>
              <w:spacing w:after="20"/>
            </w:pPr>
            <w:r>
              <w:rPr>
                <w:b/>
                <w:color w:val="1C3A36"/>
                <w:sz w:val="16"/>
              </w:rPr>
              <w:t>FY2029E</w:t>
            </w:r>
          </w:p>
        </w:tc>
        <w:tc>
          <w:tcPr>
            <w:tcW w:type="dxa" w:w="1094"/>
            <w:shd w:val="clear" w:color="auto" w:fill="EAF0EE"/>
          </w:tcPr>
          <w:p>
            <w:pPr>
              <w:spacing w:after="20"/>
            </w:pPr>
            <w:r>
              <w:rPr>
                <w:b/>
                <w:color w:val="1C3A36"/>
                <w:sz w:val="16"/>
              </w:rPr>
              <w:t>FY2030E</w:t>
            </w:r>
          </w:p>
        </w:tc>
      </w:tr>
      <w:tr>
        <w:tc>
          <w:tcPr>
            <w:tcW w:type="dxa" w:w="2304"/>
          </w:tcPr>
          <w:p>
            <w:pPr>
              <w:spacing w:after="20"/>
            </w:pPr>
            <w:r>
              <w:rPr>
                <w:b/>
                <w:color w:val="1C3A36"/>
                <w:sz w:val="16"/>
              </w:rPr>
              <w:t>Financing income</w:t>
            </w:r>
          </w:p>
        </w:tc>
        <w:tc>
          <w:tcPr>
            <w:tcW w:type="dxa" w:w="1152"/>
          </w:tcPr>
          <w:p>
            <w:pPr>
              <w:spacing w:after="20"/>
              <w:jc w:val="right"/>
            </w:pPr>
            <w:r>
              <w:rPr>
                <w:color w:val="1C3A36"/>
                <w:sz w:val="16"/>
              </w:rPr>
              <w:t>49,262</w:t>
            </w:r>
          </w:p>
        </w:tc>
        <w:tc>
          <w:tcPr>
            <w:tcW w:type="dxa" w:w="1152"/>
          </w:tcPr>
          <w:p>
            <w:pPr>
              <w:spacing w:after="20"/>
              <w:jc w:val="right"/>
            </w:pPr>
            <w:r>
              <w:rPr>
                <w:color w:val="1C3A36"/>
                <w:sz w:val="16"/>
              </w:rPr>
              <w:t>29,118</w:t>
            </w:r>
          </w:p>
        </w:tc>
        <w:tc>
          <w:tcPr>
            <w:tcW w:type="dxa" w:w="1094"/>
          </w:tcPr>
          <w:p>
            <w:pPr>
              <w:spacing w:after="20"/>
              <w:jc w:val="right"/>
            </w:pPr>
            <w:r>
              <w:rPr>
                <w:color w:val="1C3A36"/>
                <w:sz w:val="16"/>
              </w:rPr>
              <w:t>60,774</w:t>
            </w:r>
          </w:p>
        </w:tc>
        <w:tc>
          <w:tcPr>
            <w:tcW w:type="dxa" w:w="1094"/>
          </w:tcPr>
          <w:p>
            <w:pPr>
              <w:spacing w:after="20"/>
              <w:jc w:val="right"/>
            </w:pPr>
            <w:r>
              <w:rPr>
                <w:color w:val="1C3A36"/>
                <w:sz w:val="16"/>
              </w:rPr>
              <w:t>68,989</w:t>
            </w:r>
          </w:p>
        </w:tc>
        <w:tc>
          <w:tcPr>
            <w:tcW w:type="dxa" w:w="1094"/>
          </w:tcPr>
          <w:p>
            <w:pPr>
              <w:spacing w:after="20"/>
              <w:jc w:val="right"/>
            </w:pPr>
            <w:r>
              <w:rPr>
                <w:color w:val="1C3A36"/>
                <w:sz w:val="16"/>
              </w:rPr>
              <w:t>73,780</w:t>
            </w:r>
          </w:p>
        </w:tc>
        <w:tc>
          <w:tcPr>
            <w:tcW w:type="dxa" w:w="1094"/>
          </w:tcPr>
          <w:p>
            <w:pPr>
              <w:spacing w:after="20"/>
              <w:jc w:val="right"/>
            </w:pPr>
            <w:r>
              <w:rPr>
                <w:color w:val="1C3A36"/>
                <w:sz w:val="16"/>
              </w:rPr>
              <w:t>78,542</w:t>
            </w:r>
          </w:p>
        </w:tc>
        <w:tc>
          <w:tcPr>
            <w:tcW w:type="dxa" w:w="1094"/>
          </w:tcPr>
          <w:p>
            <w:pPr>
              <w:spacing w:after="20"/>
              <w:jc w:val="right"/>
            </w:pPr>
            <w:r>
              <w:rPr>
                <w:color w:val="1C3A36"/>
                <w:sz w:val="16"/>
              </w:rPr>
              <w:t>83,481</w:t>
            </w:r>
          </w:p>
        </w:tc>
      </w:tr>
      <w:tr>
        <w:tc>
          <w:tcPr>
            <w:tcW w:type="dxa" w:w="2304"/>
          </w:tcPr>
          <w:p>
            <w:pPr>
              <w:spacing w:after="20"/>
            </w:pPr>
            <w:r>
              <w:rPr>
                <w:b/>
                <w:color w:val="1C3A36"/>
                <w:sz w:val="16"/>
              </w:rPr>
              <w:t>Cost of deposits</w:t>
            </w:r>
          </w:p>
        </w:tc>
        <w:tc>
          <w:tcPr>
            <w:tcW w:type="dxa" w:w="1152"/>
          </w:tcPr>
          <w:p>
            <w:pPr>
              <w:spacing w:after="20"/>
              <w:jc w:val="right"/>
            </w:pPr>
            <w:r>
              <w:rPr>
                <w:color w:val="1C3A36"/>
                <w:sz w:val="16"/>
              </w:rPr>
              <w:t>-29,110</w:t>
            </w:r>
          </w:p>
        </w:tc>
        <w:tc>
          <w:tcPr>
            <w:tcW w:type="dxa" w:w="1152"/>
          </w:tcPr>
          <w:p>
            <w:pPr>
              <w:spacing w:after="20"/>
              <w:jc w:val="right"/>
            </w:pPr>
            <w:r>
              <w:rPr>
                <w:color w:val="1C3A36"/>
                <w:sz w:val="16"/>
              </w:rPr>
              <w:t>-16,864</w:t>
            </w:r>
          </w:p>
        </w:tc>
        <w:tc>
          <w:tcPr>
            <w:tcW w:type="dxa" w:w="1094"/>
          </w:tcPr>
          <w:p>
            <w:pPr>
              <w:spacing w:after="20"/>
              <w:jc w:val="right"/>
            </w:pPr>
            <w:r>
              <w:rPr>
                <w:color w:val="1C3A36"/>
                <w:sz w:val="16"/>
              </w:rPr>
              <w:t>-36,720</w:t>
            </w:r>
          </w:p>
        </w:tc>
        <w:tc>
          <w:tcPr>
            <w:tcW w:type="dxa" w:w="1094"/>
          </w:tcPr>
          <w:p>
            <w:pPr>
              <w:spacing w:after="20"/>
              <w:jc w:val="right"/>
            </w:pPr>
            <w:r>
              <w:rPr>
                <w:color w:val="1C3A36"/>
                <w:sz w:val="16"/>
              </w:rPr>
              <w:t>-40,497</w:t>
            </w:r>
          </w:p>
        </w:tc>
        <w:tc>
          <w:tcPr>
            <w:tcW w:type="dxa" w:w="1094"/>
          </w:tcPr>
          <w:p>
            <w:pPr>
              <w:spacing w:after="20"/>
              <w:jc w:val="right"/>
            </w:pPr>
            <w:r>
              <w:rPr>
                <w:color w:val="1C3A36"/>
                <w:sz w:val="16"/>
              </w:rPr>
              <w:t>-42,228</w:t>
            </w:r>
          </w:p>
        </w:tc>
        <w:tc>
          <w:tcPr>
            <w:tcW w:type="dxa" w:w="1094"/>
          </w:tcPr>
          <w:p>
            <w:pPr>
              <w:spacing w:after="20"/>
              <w:jc w:val="right"/>
            </w:pPr>
            <w:r>
              <w:rPr>
                <w:color w:val="1C3A36"/>
                <w:sz w:val="16"/>
              </w:rPr>
              <w:t>-43,977</w:t>
            </w:r>
          </w:p>
        </w:tc>
        <w:tc>
          <w:tcPr>
            <w:tcW w:type="dxa" w:w="1094"/>
          </w:tcPr>
          <w:p>
            <w:pPr>
              <w:spacing w:after="20"/>
              <w:jc w:val="right"/>
            </w:pPr>
            <w:r>
              <w:rPr>
                <w:color w:val="1C3A36"/>
                <w:sz w:val="16"/>
              </w:rPr>
              <w:t>-46,262</w:t>
            </w:r>
          </w:p>
        </w:tc>
      </w:tr>
      <w:tr>
        <w:tc>
          <w:tcPr>
            <w:tcW w:type="dxa" w:w="2304"/>
          </w:tcPr>
          <w:p>
            <w:pPr>
              <w:spacing w:after="20"/>
            </w:pPr>
            <w:r>
              <w:rPr>
                <w:b/>
                <w:color w:val="1C3A36"/>
                <w:sz w:val="16"/>
              </w:rPr>
              <w:t>Net income from funds</w:t>
            </w:r>
          </w:p>
        </w:tc>
        <w:tc>
          <w:tcPr>
            <w:tcW w:type="dxa" w:w="1152"/>
          </w:tcPr>
          <w:p>
            <w:pPr>
              <w:spacing w:after="20"/>
              <w:jc w:val="right"/>
            </w:pPr>
            <w:r>
              <w:rPr>
                <w:color w:val="1C3A36"/>
                <w:sz w:val="16"/>
              </w:rPr>
              <w:t>20,152</w:t>
            </w:r>
          </w:p>
        </w:tc>
        <w:tc>
          <w:tcPr>
            <w:tcW w:type="dxa" w:w="1152"/>
          </w:tcPr>
          <w:p>
            <w:pPr>
              <w:spacing w:after="20"/>
              <w:jc w:val="right"/>
            </w:pPr>
            <w:r>
              <w:rPr>
                <w:color w:val="1C3A36"/>
                <w:sz w:val="16"/>
              </w:rPr>
              <w:t>12,254</w:t>
            </w:r>
          </w:p>
        </w:tc>
        <w:tc>
          <w:tcPr>
            <w:tcW w:type="dxa" w:w="1094"/>
          </w:tcPr>
          <w:p>
            <w:pPr>
              <w:spacing w:after="20"/>
              <w:jc w:val="right"/>
            </w:pPr>
            <w:r>
              <w:rPr>
                <w:color w:val="1C3A36"/>
                <w:sz w:val="16"/>
              </w:rPr>
              <w:t>24,054</w:t>
            </w:r>
          </w:p>
        </w:tc>
        <w:tc>
          <w:tcPr>
            <w:tcW w:type="dxa" w:w="1094"/>
          </w:tcPr>
          <w:p>
            <w:pPr>
              <w:spacing w:after="20"/>
              <w:jc w:val="right"/>
            </w:pPr>
            <w:r>
              <w:rPr>
                <w:color w:val="1C3A36"/>
                <w:sz w:val="16"/>
              </w:rPr>
              <w:t>28,491</w:t>
            </w:r>
          </w:p>
        </w:tc>
        <w:tc>
          <w:tcPr>
            <w:tcW w:type="dxa" w:w="1094"/>
          </w:tcPr>
          <w:p>
            <w:pPr>
              <w:spacing w:after="20"/>
              <w:jc w:val="right"/>
            </w:pPr>
            <w:r>
              <w:rPr>
                <w:color w:val="1C3A36"/>
                <w:sz w:val="16"/>
              </w:rPr>
              <w:t>31,551</w:t>
            </w:r>
          </w:p>
        </w:tc>
        <w:tc>
          <w:tcPr>
            <w:tcW w:type="dxa" w:w="1094"/>
          </w:tcPr>
          <w:p>
            <w:pPr>
              <w:spacing w:after="20"/>
              <w:jc w:val="right"/>
            </w:pPr>
            <w:r>
              <w:rPr>
                <w:color w:val="1C3A36"/>
                <w:sz w:val="16"/>
              </w:rPr>
              <w:t>34,565</w:t>
            </w:r>
          </w:p>
        </w:tc>
        <w:tc>
          <w:tcPr>
            <w:tcW w:type="dxa" w:w="1094"/>
          </w:tcPr>
          <w:p>
            <w:pPr>
              <w:spacing w:after="20"/>
              <w:jc w:val="right"/>
            </w:pPr>
            <w:r>
              <w:rPr>
                <w:color w:val="1C3A36"/>
                <w:sz w:val="16"/>
              </w:rPr>
              <w:t>37,219</w:t>
            </w:r>
          </w:p>
        </w:tc>
      </w:tr>
      <w:tr>
        <w:tc>
          <w:tcPr>
            <w:tcW w:type="dxa" w:w="2304"/>
          </w:tcPr>
          <w:p>
            <w:pPr>
              <w:spacing w:after="20"/>
            </w:pPr>
            <w:r>
              <w:rPr>
                <w:b/>
                <w:color w:val="1C3A36"/>
                <w:sz w:val="16"/>
              </w:rPr>
              <w:t>Net fees and commissions</w:t>
            </w:r>
          </w:p>
        </w:tc>
        <w:tc>
          <w:tcPr>
            <w:tcW w:type="dxa" w:w="1152"/>
          </w:tcPr>
          <w:p>
            <w:pPr>
              <w:spacing w:after="20"/>
              <w:jc w:val="right"/>
            </w:pPr>
            <w:r>
              <w:rPr>
                <w:color w:val="1C3A36"/>
                <w:sz w:val="16"/>
              </w:rPr>
              <w:t>2,730</w:t>
            </w:r>
          </w:p>
        </w:tc>
        <w:tc>
          <w:tcPr>
            <w:tcW w:type="dxa" w:w="1152"/>
          </w:tcPr>
          <w:p>
            <w:pPr>
              <w:spacing w:after="20"/>
              <w:jc w:val="right"/>
            </w:pPr>
            <w:r>
              <w:rPr>
                <w:color w:val="1C3A36"/>
                <w:sz w:val="16"/>
              </w:rPr>
              <w:t>1,517</w:t>
            </w:r>
          </w:p>
        </w:tc>
        <w:tc>
          <w:tcPr>
            <w:tcW w:type="dxa" w:w="1094"/>
          </w:tcPr>
          <w:p>
            <w:pPr>
              <w:spacing w:after="20"/>
              <w:jc w:val="right"/>
            </w:pPr>
            <w:r>
              <w:rPr>
                <w:color w:val="1C3A36"/>
                <w:sz w:val="16"/>
              </w:rPr>
              <w:t>3,241</w:t>
            </w:r>
          </w:p>
        </w:tc>
        <w:tc>
          <w:tcPr>
            <w:tcW w:type="dxa" w:w="1094"/>
          </w:tcPr>
          <w:p>
            <w:pPr>
              <w:spacing w:after="20"/>
              <w:jc w:val="right"/>
            </w:pPr>
            <w:r>
              <w:rPr>
                <w:color w:val="1C3A36"/>
                <w:sz w:val="16"/>
              </w:rPr>
              <w:t>4,222</w:t>
            </w:r>
          </w:p>
        </w:tc>
        <w:tc>
          <w:tcPr>
            <w:tcW w:type="dxa" w:w="1094"/>
          </w:tcPr>
          <w:p>
            <w:pPr>
              <w:spacing w:after="20"/>
              <w:jc w:val="right"/>
            </w:pPr>
            <w:r>
              <w:rPr>
                <w:color w:val="1C3A36"/>
                <w:sz w:val="16"/>
              </w:rPr>
              <w:t>5,122</w:t>
            </w:r>
          </w:p>
        </w:tc>
        <w:tc>
          <w:tcPr>
            <w:tcW w:type="dxa" w:w="1094"/>
          </w:tcPr>
          <w:p>
            <w:pPr>
              <w:spacing w:after="20"/>
              <w:jc w:val="right"/>
            </w:pPr>
            <w:r>
              <w:rPr>
                <w:color w:val="1C3A36"/>
                <w:sz w:val="16"/>
              </w:rPr>
              <w:t>5,908</w:t>
            </w:r>
          </w:p>
        </w:tc>
        <w:tc>
          <w:tcPr>
            <w:tcW w:type="dxa" w:w="1094"/>
          </w:tcPr>
          <w:p>
            <w:pPr>
              <w:spacing w:after="20"/>
              <w:jc w:val="right"/>
            </w:pPr>
            <w:r>
              <w:rPr>
                <w:color w:val="1C3A36"/>
                <w:sz w:val="16"/>
              </w:rPr>
              <w:t>6,570</w:t>
            </w:r>
          </w:p>
        </w:tc>
      </w:tr>
      <w:tr>
        <w:tc>
          <w:tcPr>
            <w:tcW w:type="dxa" w:w="2304"/>
          </w:tcPr>
          <w:p>
            <w:pPr>
              <w:spacing w:after="20"/>
            </w:pPr>
            <w:r>
              <w:rPr>
                <w:b/>
                <w:color w:val="1C3A36"/>
                <w:sz w:val="16"/>
              </w:rPr>
              <w:t>Other non-interest income</w:t>
            </w:r>
          </w:p>
        </w:tc>
        <w:tc>
          <w:tcPr>
            <w:tcW w:type="dxa" w:w="1152"/>
          </w:tcPr>
          <w:p>
            <w:pPr>
              <w:spacing w:after="20"/>
              <w:jc w:val="right"/>
            </w:pPr>
            <w:r>
              <w:rPr>
                <w:color w:val="1C3A36"/>
                <w:sz w:val="16"/>
              </w:rPr>
              <w:t>721</w:t>
            </w:r>
          </w:p>
        </w:tc>
        <w:tc>
          <w:tcPr>
            <w:tcW w:type="dxa" w:w="1152"/>
          </w:tcPr>
          <w:p>
            <w:pPr>
              <w:spacing w:after="20"/>
              <w:jc w:val="right"/>
            </w:pPr>
            <w:r>
              <w:rPr>
                <w:color w:val="1C3A36"/>
                <w:sz w:val="16"/>
              </w:rPr>
              <w:t>—</w:t>
            </w:r>
          </w:p>
        </w:tc>
        <w:tc>
          <w:tcPr>
            <w:tcW w:type="dxa" w:w="1094"/>
          </w:tcPr>
          <w:p>
            <w:pPr>
              <w:spacing w:after="20"/>
              <w:jc w:val="right"/>
            </w:pPr>
            <w:r>
              <w:rPr>
                <w:color w:val="1C3A36"/>
                <w:sz w:val="16"/>
              </w:rPr>
              <w:t>1,134</w:t>
            </w:r>
          </w:p>
        </w:tc>
        <w:tc>
          <w:tcPr>
            <w:tcW w:type="dxa" w:w="1094"/>
          </w:tcPr>
          <w:p>
            <w:pPr>
              <w:spacing w:after="20"/>
              <w:jc w:val="right"/>
            </w:pPr>
            <w:r>
              <w:rPr>
                <w:color w:val="1C3A36"/>
                <w:sz w:val="16"/>
              </w:rPr>
              <w:t>1,339</w:t>
            </w:r>
          </w:p>
        </w:tc>
        <w:tc>
          <w:tcPr>
            <w:tcW w:type="dxa" w:w="1094"/>
          </w:tcPr>
          <w:p>
            <w:pPr>
              <w:spacing w:after="20"/>
              <w:jc w:val="right"/>
            </w:pPr>
            <w:r>
              <w:rPr>
                <w:color w:val="1C3A36"/>
                <w:sz w:val="16"/>
              </w:rPr>
              <w:t>1,463</w:t>
            </w:r>
          </w:p>
        </w:tc>
        <w:tc>
          <w:tcPr>
            <w:tcW w:type="dxa" w:w="1094"/>
          </w:tcPr>
          <w:p>
            <w:pPr>
              <w:spacing w:after="20"/>
              <w:jc w:val="right"/>
            </w:pPr>
            <w:r>
              <w:rPr>
                <w:color w:val="1C3A36"/>
                <w:sz w:val="16"/>
              </w:rPr>
              <w:t>1,599</w:t>
            </w:r>
          </w:p>
        </w:tc>
        <w:tc>
          <w:tcPr>
            <w:tcW w:type="dxa" w:w="1094"/>
          </w:tcPr>
          <w:p>
            <w:pPr>
              <w:spacing w:after="20"/>
              <w:jc w:val="right"/>
            </w:pPr>
            <w:r>
              <w:rPr>
                <w:color w:val="1C3A36"/>
                <w:sz w:val="16"/>
              </w:rPr>
              <w:t>1,701</w:t>
            </w:r>
          </w:p>
        </w:tc>
      </w:tr>
      <w:tr>
        <w:tc>
          <w:tcPr>
            <w:tcW w:type="dxa" w:w="2304"/>
          </w:tcPr>
          <w:p>
            <w:pPr>
              <w:spacing w:after="20"/>
            </w:pPr>
            <w:r>
              <w:rPr>
                <w:b/>
                <w:color w:val="1C3A36"/>
                <w:sz w:val="16"/>
              </w:rPr>
              <w:t>Administrative expenses</w:t>
            </w:r>
          </w:p>
        </w:tc>
        <w:tc>
          <w:tcPr>
            <w:tcW w:type="dxa" w:w="1152"/>
          </w:tcPr>
          <w:p>
            <w:pPr>
              <w:spacing w:after="20"/>
              <w:jc w:val="right"/>
            </w:pPr>
            <w:r>
              <w:rPr>
                <w:color w:val="1C3A36"/>
                <w:sz w:val="16"/>
              </w:rPr>
              <w:t>-3,431</w:t>
            </w:r>
          </w:p>
        </w:tc>
        <w:tc>
          <w:tcPr>
            <w:tcW w:type="dxa" w:w="1152"/>
          </w:tcPr>
          <w:p>
            <w:pPr>
              <w:spacing w:after="20"/>
              <w:jc w:val="right"/>
            </w:pPr>
            <w:r>
              <w:rPr>
                <w:color w:val="1C3A36"/>
                <w:sz w:val="16"/>
              </w:rPr>
              <w:t>-2,239</w:t>
            </w:r>
          </w:p>
        </w:tc>
        <w:tc>
          <w:tcPr>
            <w:tcW w:type="dxa" w:w="1094"/>
          </w:tcPr>
          <w:p>
            <w:pPr>
              <w:spacing w:after="20"/>
              <w:jc w:val="right"/>
            </w:pPr>
            <w:r>
              <w:rPr>
                <w:color w:val="1C3A36"/>
                <w:sz w:val="16"/>
              </w:rPr>
              <w:t>-4,598</w:t>
            </w:r>
          </w:p>
        </w:tc>
        <w:tc>
          <w:tcPr>
            <w:tcW w:type="dxa" w:w="1094"/>
          </w:tcPr>
          <w:p>
            <w:pPr>
              <w:spacing w:after="20"/>
              <w:jc w:val="right"/>
            </w:pPr>
            <w:r>
              <w:rPr>
                <w:color w:val="1C3A36"/>
                <w:sz w:val="16"/>
              </w:rPr>
              <w:t>-5,425</w:t>
            </w:r>
          </w:p>
        </w:tc>
        <w:tc>
          <w:tcPr>
            <w:tcW w:type="dxa" w:w="1094"/>
          </w:tcPr>
          <w:p>
            <w:pPr>
              <w:spacing w:after="20"/>
              <w:jc w:val="right"/>
            </w:pPr>
            <w:r>
              <w:rPr>
                <w:color w:val="1C3A36"/>
                <w:sz w:val="16"/>
              </w:rPr>
              <w:t>-6,239</w:t>
            </w:r>
          </w:p>
        </w:tc>
        <w:tc>
          <w:tcPr>
            <w:tcW w:type="dxa" w:w="1094"/>
          </w:tcPr>
          <w:p>
            <w:pPr>
              <w:spacing w:after="20"/>
              <w:jc w:val="right"/>
            </w:pPr>
            <w:r>
              <w:rPr>
                <w:color w:val="1C3A36"/>
                <w:sz w:val="16"/>
              </w:rPr>
              <w:t>-7,082</w:t>
            </w:r>
          </w:p>
        </w:tc>
        <w:tc>
          <w:tcPr>
            <w:tcW w:type="dxa" w:w="1094"/>
          </w:tcPr>
          <w:p>
            <w:pPr>
              <w:spacing w:after="20"/>
              <w:jc w:val="right"/>
            </w:pPr>
            <w:r>
              <w:rPr>
                <w:color w:val="1C3A36"/>
                <w:sz w:val="16"/>
              </w:rPr>
              <w:t>-8,002</w:t>
            </w:r>
          </w:p>
        </w:tc>
      </w:tr>
      <w:tr>
        <w:tc>
          <w:tcPr>
            <w:tcW w:type="dxa" w:w="2304"/>
          </w:tcPr>
          <w:p>
            <w:pPr>
              <w:spacing w:after="20"/>
            </w:pPr>
            <w:r>
              <w:rPr>
                <w:b/>
                <w:color w:val="1C3A36"/>
                <w:sz w:val="16"/>
              </w:rPr>
              <w:t>Other operating expenses</w:t>
            </w:r>
          </w:p>
        </w:tc>
        <w:tc>
          <w:tcPr>
            <w:tcW w:type="dxa" w:w="1152"/>
          </w:tcPr>
          <w:p>
            <w:pPr>
              <w:spacing w:after="20"/>
              <w:jc w:val="right"/>
            </w:pPr>
            <w:r>
              <w:rPr>
                <w:color w:val="1C3A36"/>
                <w:sz w:val="16"/>
              </w:rPr>
              <w:t>-1,176</w:t>
            </w:r>
          </w:p>
        </w:tc>
        <w:tc>
          <w:tcPr>
            <w:tcW w:type="dxa" w:w="1152"/>
          </w:tcPr>
          <w:p>
            <w:pPr>
              <w:spacing w:after="20"/>
              <w:jc w:val="right"/>
            </w:pPr>
            <w:r>
              <w:rPr>
                <w:color w:val="1C3A36"/>
                <w:sz w:val="16"/>
              </w:rPr>
              <w:t>-1,516</w:t>
            </w:r>
          </w:p>
        </w:tc>
        <w:tc>
          <w:tcPr>
            <w:tcW w:type="dxa" w:w="1094"/>
          </w:tcPr>
          <w:p>
            <w:pPr>
              <w:spacing w:after="20"/>
              <w:jc w:val="right"/>
            </w:pPr>
            <w:r>
              <w:rPr>
                <w:color w:val="1C3A36"/>
                <w:sz w:val="16"/>
              </w:rPr>
              <w:t>-3,039</w:t>
            </w:r>
          </w:p>
        </w:tc>
        <w:tc>
          <w:tcPr>
            <w:tcW w:type="dxa" w:w="1094"/>
          </w:tcPr>
          <w:p>
            <w:pPr>
              <w:spacing w:after="20"/>
              <w:jc w:val="right"/>
            </w:pPr>
            <w:r>
              <w:rPr>
                <w:color w:val="1C3A36"/>
                <w:sz w:val="16"/>
              </w:rPr>
              <w:t>-3,604</w:t>
            </w:r>
          </w:p>
        </w:tc>
        <w:tc>
          <w:tcPr>
            <w:tcW w:type="dxa" w:w="1094"/>
          </w:tcPr>
          <w:p>
            <w:pPr>
              <w:spacing w:after="20"/>
              <w:jc w:val="right"/>
            </w:pPr>
            <w:r>
              <w:rPr>
                <w:color w:val="1C3A36"/>
                <w:sz w:val="16"/>
              </w:rPr>
              <w:t>-3,963</w:t>
            </w:r>
          </w:p>
        </w:tc>
        <w:tc>
          <w:tcPr>
            <w:tcW w:type="dxa" w:w="1094"/>
          </w:tcPr>
          <w:p>
            <w:pPr>
              <w:spacing w:after="20"/>
              <w:jc w:val="right"/>
            </w:pPr>
            <w:r>
              <w:rPr>
                <w:color w:val="1C3A36"/>
                <w:sz w:val="16"/>
              </w:rPr>
              <w:t>-4,170</w:t>
            </w:r>
          </w:p>
        </w:tc>
        <w:tc>
          <w:tcPr>
            <w:tcW w:type="dxa" w:w="1094"/>
          </w:tcPr>
          <w:p>
            <w:pPr>
              <w:spacing w:after="20"/>
              <w:jc w:val="right"/>
            </w:pPr>
            <w:r>
              <w:rPr>
                <w:color w:val="1C3A36"/>
                <w:sz w:val="16"/>
              </w:rPr>
              <w:t>-4,251</w:t>
            </w:r>
          </w:p>
        </w:tc>
      </w:tr>
      <w:tr>
        <w:tc>
          <w:tcPr>
            <w:tcW w:type="dxa" w:w="2304"/>
          </w:tcPr>
          <w:p>
            <w:pPr>
              <w:spacing w:after="20"/>
            </w:pPr>
            <w:r>
              <w:rPr>
                <w:b/>
                <w:color w:val="1C3A36"/>
                <w:sz w:val="16"/>
              </w:rPr>
              <w:t>Expected credit losses</w:t>
            </w:r>
          </w:p>
        </w:tc>
        <w:tc>
          <w:tcPr>
            <w:tcW w:type="dxa" w:w="1152"/>
          </w:tcPr>
          <w:p>
            <w:pPr>
              <w:spacing w:after="20"/>
              <w:jc w:val="right"/>
            </w:pPr>
            <w:r>
              <w:rPr>
                <w:color w:val="1C3A36"/>
                <w:sz w:val="16"/>
              </w:rPr>
              <w:t>-1,514</w:t>
            </w:r>
          </w:p>
        </w:tc>
        <w:tc>
          <w:tcPr>
            <w:tcW w:type="dxa" w:w="1152"/>
          </w:tcPr>
          <w:p>
            <w:pPr>
              <w:spacing w:after="20"/>
              <w:jc w:val="right"/>
            </w:pPr>
            <w:r>
              <w:rPr>
                <w:color w:val="1C3A36"/>
                <w:sz w:val="16"/>
              </w:rPr>
              <w:t>-2</w:t>
            </w:r>
          </w:p>
        </w:tc>
        <w:tc>
          <w:tcPr>
            <w:tcW w:type="dxa" w:w="1094"/>
          </w:tcPr>
          <w:p>
            <w:pPr>
              <w:spacing w:after="20"/>
              <w:jc w:val="right"/>
            </w:pPr>
            <w:r>
              <w:rPr>
                <w:color w:val="1C3A36"/>
                <w:sz w:val="16"/>
              </w:rPr>
              <w:t>-1,826</w:t>
            </w:r>
          </w:p>
        </w:tc>
        <w:tc>
          <w:tcPr>
            <w:tcW w:type="dxa" w:w="1094"/>
          </w:tcPr>
          <w:p>
            <w:pPr>
              <w:spacing w:after="20"/>
              <w:jc w:val="right"/>
            </w:pPr>
            <w:r>
              <w:rPr>
                <w:color w:val="1C3A36"/>
                <w:sz w:val="16"/>
              </w:rPr>
              <w:t>-3,201</w:t>
            </w:r>
          </w:p>
        </w:tc>
        <w:tc>
          <w:tcPr>
            <w:tcW w:type="dxa" w:w="1094"/>
          </w:tcPr>
          <w:p>
            <w:pPr>
              <w:spacing w:after="20"/>
              <w:jc w:val="right"/>
            </w:pPr>
            <w:r>
              <w:rPr>
                <w:color w:val="1C3A36"/>
                <w:sz w:val="16"/>
              </w:rPr>
              <w:t>-3,908</w:t>
            </w:r>
          </w:p>
        </w:tc>
        <w:tc>
          <w:tcPr>
            <w:tcW w:type="dxa" w:w="1094"/>
          </w:tcPr>
          <w:p>
            <w:pPr>
              <w:spacing w:after="20"/>
              <w:jc w:val="right"/>
            </w:pPr>
            <w:r>
              <w:rPr>
                <w:color w:val="1C3A36"/>
                <w:sz w:val="16"/>
              </w:rPr>
              <w:t>-4,566</w:t>
            </w:r>
          </w:p>
        </w:tc>
        <w:tc>
          <w:tcPr>
            <w:tcW w:type="dxa" w:w="1094"/>
          </w:tcPr>
          <w:p>
            <w:pPr>
              <w:spacing w:after="20"/>
              <w:jc w:val="right"/>
            </w:pPr>
            <w:r>
              <w:rPr>
                <w:color w:val="1C3A36"/>
                <w:sz w:val="16"/>
              </w:rPr>
              <w:t>-5,177</w:t>
            </w:r>
          </w:p>
        </w:tc>
      </w:tr>
      <w:tr>
        <w:tc>
          <w:tcPr>
            <w:tcW w:type="dxa" w:w="2304"/>
          </w:tcPr>
          <w:p>
            <w:pPr>
              <w:spacing w:after="20"/>
            </w:pPr>
            <w:r>
              <w:rPr>
                <w:b/>
                <w:color w:val="1C3A36"/>
                <w:sz w:val="16"/>
              </w:rPr>
              <w:t>Profit before tax</w:t>
            </w:r>
          </w:p>
        </w:tc>
        <w:tc>
          <w:tcPr>
            <w:tcW w:type="dxa" w:w="1152"/>
          </w:tcPr>
          <w:p>
            <w:pPr>
              <w:spacing w:after="20"/>
              <w:jc w:val="right"/>
            </w:pPr>
            <w:r>
              <w:rPr>
                <w:color w:val="1C3A36"/>
                <w:sz w:val="16"/>
              </w:rPr>
              <w:t>17,482</w:t>
            </w:r>
          </w:p>
        </w:tc>
        <w:tc>
          <w:tcPr>
            <w:tcW w:type="dxa" w:w="1152"/>
          </w:tcPr>
          <w:p>
            <w:pPr>
              <w:spacing w:after="20"/>
              <w:jc w:val="right"/>
            </w:pPr>
            <w:r>
              <w:rPr>
                <w:color w:val="1C3A36"/>
                <w:sz w:val="16"/>
              </w:rPr>
              <w:t>10,722</w:t>
            </w:r>
          </w:p>
        </w:tc>
        <w:tc>
          <w:tcPr>
            <w:tcW w:type="dxa" w:w="1094"/>
          </w:tcPr>
          <w:p>
            <w:pPr>
              <w:spacing w:after="20"/>
              <w:jc w:val="right"/>
            </w:pPr>
            <w:r>
              <w:rPr>
                <w:color w:val="1C3A36"/>
                <w:sz w:val="16"/>
              </w:rPr>
              <w:t>18,968</w:t>
            </w:r>
          </w:p>
        </w:tc>
        <w:tc>
          <w:tcPr>
            <w:tcW w:type="dxa" w:w="1094"/>
          </w:tcPr>
          <w:p>
            <w:pPr>
              <w:spacing w:after="20"/>
              <w:jc w:val="right"/>
            </w:pPr>
            <w:r>
              <w:rPr>
                <w:color w:val="1C3A36"/>
                <w:sz w:val="16"/>
              </w:rPr>
              <w:t>21,821</w:t>
            </w:r>
          </w:p>
        </w:tc>
        <w:tc>
          <w:tcPr>
            <w:tcW w:type="dxa" w:w="1094"/>
          </w:tcPr>
          <w:p>
            <w:pPr>
              <w:spacing w:after="20"/>
              <w:jc w:val="right"/>
            </w:pPr>
            <w:r>
              <w:rPr>
                <w:color w:val="1C3A36"/>
                <w:sz w:val="16"/>
              </w:rPr>
              <w:t>24,026</w:t>
            </w:r>
          </w:p>
        </w:tc>
        <w:tc>
          <w:tcPr>
            <w:tcW w:type="dxa" w:w="1094"/>
          </w:tcPr>
          <w:p>
            <w:pPr>
              <w:spacing w:after="20"/>
              <w:jc w:val="right"/>
            </w:pPr>
            <w:r>
              <w:rPr>
                <w:color w:val="1C3A36"/>
                <w:sz w:val="16"/>
              </w:rPr>
              <w:t>26,254</w:t>
            </w:r>
          </w:p>
        </w:tc>
        <w:tc>
          <w:tcPr>
            <w:tcW w:type="dxa" w:w="1094"/>
          </w:tcPr>
          <w:p>
            <w:pPr>
              <w:spacing w:after="20"/>
              <w:jc w:val="right"/>
            </w:pPr>
            <w:r>
              <w:rPr>
                <w:color w:val="1C3A36"/>
                <w:sz w:val="16"/>
              </w:rPr>
              <w:t>28,058</w:t>
            </w:r>
          </w:p>
        </w:tc>
      </w:tr>
      <w:tr>
        <w:tc>
          <w:tcPr>
            <w:tcW w:type="dxa" w:w="2304"/>
          </w:tcPr>
          <w:p>
            <w:pPr>
              <w:spacing w:after="20"/>
            </w:pPr>
            <w:r>
              <w:rPr>
                <w:b/>
                <w:color w:val="1C3A36"/>
                <w:sz w:val="16"/>
              </w:rPr>
              <w:t>Tax</w:t>
            </w:r>
          </w:p>
        </w:tc>
        <w:tc>
          <w:tcPr>
            <w:tcW w:type="dxa" w:w="1152"/>
          </w:tcPr>
          <w:p>
            <w:pPr>
              <w:spacing w:after="20"/>
              <w:jc w:val="right"/>
            </w:pPr>
            <w:r>
              <w:rPr>
                <w:color w:val="1C3A36"/>
                <w:sz w:val="16"/>
              </w:rPr>
              <w:t>-4,881</w:t>
            </w:r>
          </w:p>
        </w:tc>
        <w:tc>
          <w:tcPr>
            <w:tcW w:type="dxa" w:w="1152"/>
          </w:tcPr>
          <w:p>
            <w:pPr>
              <w:spacing w:after="20"/>
              <w:jc w:val="right"/>
            </w:pPr>
            <w:r>
              <w:rPr>
                <w:color w:val="1C3A36"/>
                <w:sz w:val="16"/>
              </w:rPr>
              <w:t>-3,171</w:t>
            </w:r>
          </w:p>
        </w:tc>
        <w:tc>
          <w:tcPr>
            <w:tcW w:type="dxa" w:w="1094"/>
          </w:tcPr>
          <w:p>
            <w:pPr>
              <w:spacing w:after="20"/>
              <w:jc w:val="right"/>
            </w:pPr>
            <w:r>
              <w:rPr>
                <w:color w:val="1C3A36"/>
                <w:sz w:val="16"/>
              </w:rPr>
              <w:t>-5,406</w:t>
            </w:r>
          </w:p>
        </w:tc>
        <w:tc>
          <w:tcPr>
            <w:tcW w:type="dxa" w:w="1094"/>
          </w:tcPr>
          <w:p>
            <w:pPr>
              <w:spacing w:after="20"/>
              <w:jc w:val="right"/>
            </w:pPr>
            <w:r>
              <w:rPr>
                <w:color w:val="1C3A36"/>
                <w:sz w:val="16"/>
              </w:rPr>
              <w:t>-6,219</w:t>
            </w:r>
          </w:p>
        </w:tc>
        <w:tc>
          <w:tcPr>
            <w:tcW w:type="dxa" w:w="1094"/>
          </w:tcPr>
          <w:p>
            <w:pPr>
              <w:spacing w:after="20"/>
              <w:jc w:val="right"/>
            </w:pPr>
            <w:r>
              <w:rPr>
                <w:color w:val="1C3A36"/>
                <w:sz w:val="16"/>
              </w:rPr>
              <w:t>-6,847</w:t>
            </w:r>
          </w:p>
        </w:tc>
        <w:tc>
          <w:tcPr>
            <w:tcW w:type="dxa" w:w="1094"/>
          </w:tcPr>
          <w:p>
            <w:pPr>
              <w:spacing w:after="20"/>
              <w:jc w:val="right"/>
            </w:pPr>
            <w:r>
              <w:rPr>
                <w:color w:val="1C3A36"/>
                <w:sz w:val="16"/>
              </w:rPr>
              <w:t>-7,482</w:t>
            </w:r>
          </w:p>
        </w:tc>
        <w:tc>
          <w:tcPr>
            <w:tcW w:type="dxa" w:w="1094"/>
          </w:tcPr>
          <w:p>
            <w:pPr>
              <w:spacing w:after="20"/>
              <w:jc w:val="right"/>
            </w:pPr>
            <w:r>
              <w:rPr>
                <w:color w:val="1C3A36"/>
                <w:sz w:val="16"/>
              </w:rPr>
              <w:t>-7,997</w:t>
            </w:r>
          </w:p>
        </w:tc>
      </w:tr>
      <w:tr>
        <w:tc>
          <w:tcPr>
            <w:tcW w:type="dxa" w:w="2304"/>
          </w:tcPr>
          <w:p>
            <w:pPr>
              <w:spacing w:after="20"/>
            </w:pPr>
            <w:r>
              <w:rPr>
                <w:b/>
                <w:color w:val="1C3A36"/>
                <w:sz w:val="16"/>
              </w:rPr>
              <w:t>Attributable profit</w:t>
            </w:r>
          </w:p>
        </w:tc>
        <w:tc>
          <w:tcPr>
            <w:tcW w:type="dxa" w:w="1152"/>
          </w:tcPr>
          <w:p>
            <w:pPr>
              <w:spacing w:after="20"/>
              <w:jc w:val="right"/>
            </w:pPr>
            <w:r>
              <w:rPr>
                <w:color w:val="1C3A36"/>
                <w:sz w:val="16"/>
              </w:rPr>
              <w:t>12,589</w:t>
            </w:r>
          </w:p>
        </w:tc>
        <w:tc>
          <w:tcPr>
            <w:tcW w:type="dxa" w:w="1152"/>
          </w:tcPr>
          <w:p>
            <w:pPr>
              <w:spacing w:after="20"/>
              <w:jc w:val="right"/>
            </w:pPr>
            <w:r>
              <w:rPr>
                <w:color w:val="1C3A36"/>
                <w:sz w:val="16"/>
              </w:rPr>
              <w:t>7,537</w:t>
            </w:r>
          </w:p>
        </w:tc>
        <w:tc>
          <w:tcPr>
            <w:tcW w:type="dxa" w:w="1094"/>
          </w:tcPr>
          <w:p>
            <w:pPr>
              <w:spacing w:after="20"/>
              <w:jc w:val="right"/>
            </w:pPr>
            <w:r>
              <w:rPr>
                <w:color w:val="1C3A36"/>
                <w:sz w:val="16"/>
              </w:rPr>
              <w:t>13,548</w:t>
            </w:r>
          </w:p>
        </w:tc>
        <w:tc>
          <w:tcPr>
            <w:tcW w:type="dxa" w:w="1094"/>
          </w:tcPr>
          <w:p>
            <w:pPr>
              <w:spacing w:after="20"/>
              <w:jc w:val="right"/>
            </w:pPr>
            <w:r>
              <w:rPr>
                <w:color w:val="1C3A36"/>
                <w:sz w:val="16"/>
              </w:rPr>
              <w:t>15,587</w:t>
            </w:r>
          </w:p>
        </w:tc>
        <w:tc>
          <w:tcPr>
            <w:tcW w:type="dxa" w:w="1094"/>
          </w:tcPr>
          <w:p>
            <w:pPr>
              <w:spacing w:after="20"/>
              <w:jc w:val="right"/>
            </w:pPr>
            <w:r>
              <w:rPr>
                <w:color w:val="1C3A36"/>
                <w:sz w:val="16"/>
              </w:rPr>
              <w:t>17,161</w:t>
            </w:r>
          </w:p>
        </w:tc>
        <w:tc>
          <w:tcPr>
            <w:tcW w:type="dxa" w:w="1094"/>
          </w:tcPr>
          <w:p>
            <w:pPr>
              <w:spacing w:after="20"/>
              <w:jc w:val="right"/>
            </w:pPr>
            <w:r>
              <w:rPr>
                <w:color w:val="1C3A36"/>
                <w:sz w:val="16"/>
              </w:rPr>
              <w:t>18,753</w:t>
            </w:r>
          </w:p>
        </w:tc>
        <w:tc>
          <w:tcPr>
            <w:tcW w:type="dxa" w:w="1094"/>
          </w:tcPr>
          <w:p>
            <w:pPr>
              <w:spacing w:after="20"/>
              <w:jc w:val="right"/>
            </w:pPr>
            <w:r>
              <w:rPr>
                <w:color w:val="1C3A36"/>
                <w:sz w:val="16"/>
              </w:rPr>
              <w:t>20,042</w:t>
            </w:r>
          </w:p>
        </w:tc>
      </w:tr>
    </w:tbl>
    <w:p>
      <w:pPr>
        <w:spacing w:after="40"/>
      </w:pPr>
    </w:p>
    <w:p>
      <w:pPr>
        <w:spacing w:after="200" w:before="0"/>
      </w:pPr>
      <w:r>
        <w:rPr>
          <w:b w:val="0"/>
          <w:i/>
          <w:color w:val="6E7B77"/>
          <w:sz w:val="17"/>
        </w:rPr>
        <w:t>Table 3 — the profit build, with the two reported periods beside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152"/>
        <w:gridCol w:w="1152"/>
        <w:gridCol w:w="1037"/>
        <w:gridCol w:w="1037"/>
        <w:gridCol w:w="1037"/>
        <w:gridCol w:w="1037"/>
        <w:gridCol w:w="1037"/>
      </w:tblGrid>
      <w:tr>
        <w:tc>
          <w:tcPr>
            <w:tcW w:type="dxa" w:w="2736"/>
            <w:shd w:val="clear" w:color="auto" w:fill="EAF0EE"/>
          </w:tcPr>
          <w:p>
            <w:pPr>
              <w:spacing w:after="20"/>
            </w:pPr>
            <w:r>
              <w:rPr>
                <w:b/>
                <w:color w:val="1C3A36"/>
                <w:sz w:val="16"/>
              </w:rPr>
            </w:r>
          </w:p>
        </w:tc>
        <w:tc>
          <w:tcPr>
            <w:tcW w:type="dxa" w:w="1152"/>
            <w:shd w:val="clear" w:color="auto" w:fill="EAF0EE"/>
          </w:tcPr>
          <w:p>
            <w:pPr>
              <w:spacing w:after="20"/>
            </w:pPr>
            <w:r>
              <w:rPr>
                <w:b/>
                <w:color w:val="1C3A36"/>
                <w:sz w:val="16"/>
              </w:rPr>
              <w:t>FY2025A</w:t>
            </w:r>
          </w:p>
        </w:tc>
        <w:tc>
          <w:tcPr>
            <w:tcW w:type="dxa" w:w="1152"/>
            <w:shd w:val="clear" w:color="auto" w:fill="EAF0EE"/>
          </w:tcPr>
          <w:p>
            <w:pPr>
              <w:spacing w:after="20"/>
            </w:pPr>
            <w:r>
              <w:rPr>
                <w:b/>
                <w:color w:val="1C3A36"/>
                <w:sz w:val="16"/>
              </w:rPr>
              <w:t>H1-2026A</w:t>
            </w:r>
          </w:p>
        </w:tc>
        <w:tc>
          <w:tcPr>
            <w:tcW w:type="dxa" w:w="1037"/>
            <w:shd w:val="clear" w:color="auto" w:fill="EAF0EE"/>
          </w:tcPr>
          <w:p>
            <w:pPr>
              <w:spacing w:after="20"/>
            </w:pPr>
            <w:r>
              <w:rPr>
                <w:b/>
                <w:color w:val="1C3A36"/>
                <w:sz w:val="16"/>
              </w:rPr>
              <w:t>FY2026E</w:t>
            </w:r>
          </w:p>
        </w:tc>
        <w:tc>
          <w:tcPr>
            <w:tcW w:type="dxa" w:w="1037"/>
            <w:shd w:val="clear" w:color="auto" w:fill="EAF0EE"/>
          </w:tcPr>
          <w:p>
            <w:pPr>
              <w:spacing w:after="20"/>
            </w:pPr>
            <w:r>
              <w:rPr>
                <w:b/>
                <w:color w:val="1C3A36"/>
                <w:sz w:val="16"/>
              </w:rPr>
              <w:t>FY2027E</w:t>
            </w:r>
          </w:p>
        </w:tc>
        <w:tc>
          <w:tcPr>
            <w:tcW w:type="dxa" w:w="1037"/>
            <w:shd w:val="clear" w:color="auto" w:fill="EAF0EE"/>
          </w:tcPr>
          <w:p>
            <w:pPr>
              <w:spacing w:after="20"/>
            </w:pPr>
            <w:r>
              <w:rPr>
                <w:b/>
                <w:color w:val="1C3A36"/>
                <w:sz w:val="16"/>
              </w:rPr>
              <w:t>FY2028E</w:t>
            </w:r>
          </w:p>
        </w:tc>
        <w:tc>
          <w:tcPr>
            <w:tcW w:type="dxa" w:w="1037"/>
            <w:shd w:val="clear" w:color="auto" w:fill="EAF0EE"/>
          </w:tcPr>
          <w:p>
            <w:pPr>
              <w:spacing w:after="20"/>
            </w:pPr>
            <w:r>
              <w:rPr>
                <w:b/>
                <w:color w:val="1C3A36"/>
                <w:sz w:val="16"/>
              </w:rPr>
              <w:t>FY2029E</w:t>
            </w:r>
          </w:p>
        </w:tc>
        <w:tc>
          <w:tcPr>
            <w:tcW w:type="dxa" w:w="1037"/>
            <w:shd w:val="clear" w:color="auto" w:fill="EAF0EE"/>
          </w:tcPr>
          <w:p>
            <w:pPr>
              <w:spacing w:after="20"/>
            </w:pPr>
            <w:r>
              <w:rPr>
                <w:b/>
                <w:color w:val="1C3A36"/>
                <w:sz w:val="16"/>
              </w:rPr>
              <w:t>FY2030E</w:t>
            </w:r>
          </w:p>
        </w:tc>
      </w:tr>
      <w:tr>
        <w:tc>
          <w:tcPr>
            <w:tcW w:type="dxa" w:w="2736"/>
          </w:tcPr>
          <w:p>
            <w:pPr>
              <w:spacing w:after="20"/>
            </w:pPr>
            <w:r>
              <w:rPr>
                <w:b/>
                <w:color w:val="1C3A36"/>
                <w:sz w:val="16"/>
              </w:rPr>
              <w:t>Net interest margin (OUTPUT)</w:t>
            </w:r>
          </w:p>
        </w:tc>
        <w:tc>
          <w:tcPr>
            <w:tcW w:type="dxa" w:w="1152"/>
          </w:tcPr>
          <w:p>
            <w:pPr>
              <w:spacing w:after="20"/>
              <w:jc w:val="right"/>
            </w:pPr>
            <w:r>
              <w:rPr>
                <w:color w:val="1C3A36"/>
                <w:sz w:val="16"/>
              </w:rPr>
              <w:t>6.64%</w:t>
            </w:r>
          </w:p>
        </w:tc>
        <w:tc>
          <w:tcPr>
            <w:tcW w:type="dxa" w:w="1152"/>
          </w:tcPr>
          <w:p>
            <w:pPr>
              <w:spacing w:after="20"/>
              <w:jc w:val="right"/>
            </w:pPr>
            <w:r>
              <w:rPr>
                <w:color w:val="1C3A36"/>
                <w:sz w:val="16"/>
              </w:rPr>
              <w:t>6.44%</w:t>
            </w:r>
          </w:p>
        </w:tc>
        <w:tc>
          <w:tcPr>
            <w:tcW w:type="dxa" w:w="1037"/>
          </w:tcPr>
          <w:p>
            <w:pPr>
              <w:spacing w:after="20"/>
              <w:jc w:val="right"/>
            </w:pPr>
            <w:r>
              <w:rPr>
                <w:color w:val="1C3A36"/>
                <w:sz w:val="16"/>
              </w:rPr>
              <w:t>5.94%</w:t>
            </w:r>
          </w:p>
        </w:tc>
        <w:tc>
          <w:tcPr>
            <w:tcW w:type="dxa" w:w="1037"/>
          </w:tcPr>
          <w:p>
            <w:pPr>
              <w:spacing w:after="20"/>
              <w:jc w:val="right"/>
            </w:pPr>
            <w:r>
              <w:rPr>
                <w:color w:val="1C3A36"/>
                <w:sz w:val="16"/>
              </w:rPr>
              <w:t>5.53%</w:t>
            </w:r>
          </w:p>
        </w:tc>
        <w:tc>
          <w:tcPr>
            <w:tcW w:type="dxa" w:w="1037"/>
          </w:tcPr>
          <w:p>
            <w:pPr>
              <w:spacing w:after="20"/>
              <w:jc w:val="right"/>
            </w:pPr>
            <w:r>
              <w:rPr>
                <w:color w:val="1C3A36"/>
                <w:sz w:val="16"/>
              </w:rPr>
              <w:t>5.17%</w:t>
            </w:r>
          </w:p>
        </w:tc>
        <w:tc>
          <w:tcPr>
            <w:tcW w:type="dxa" w:w="1037"/>
          </w:tcPr>
          <w:p>
            <w:pPr>
              <w:spacing w:after="20"/>
              <w:jc w:val="right"/>
            </w:pPr>
            <w:r>
              <w:rPr>
                <w:color w:val="1C3A36"/>
                <w:sz w:val="16"/>
              </w:rPr>
              <w:t>4.97%</w:t>
            </w:r>
          </w:p>
        </w:tc>
        <w:tc>
          <w:tcPr>
            <w:tcW w:type="dxa" w:w="1037"/>
          </w:tcPr>
          <w:p>
            <w:pPr>
              <w:spacing w:after="20"/>
              <w:jc w:val="right"/>
            </w:pPr>
            <w:r>
              <w:rPr>
                <w:color w:val="1C3A36"/>
                <w:sz w:val="16"/>
              </w:rPr>
              <w:t>4.81%</w:t>
            </w:r>
          </w:p>
        </w:tc>
      </w:tr>
      <w:tr>
        <w:tc>
          <w:tcPr>
            <w:tcW w:type="dxa" w:w="2736"/>
          </w:tcPr>
          <w:p>
            <w:pPr>
              <w:spacing w:after="20"/>
            </w:pPr>
            <w:r>
              <w:rPr>
                <w:b/>
                <w:color w:val="1C3A36"/>
                <w:sz w:val="16"/>
              </w:rPr>
              <w:t>Cost-to-income (OUTPUT)</w:t>
            </w:r>
          </w:p>
        </w:tc>
        <w:tc>
          <w:tcPr>
            <w:tcW w:type="dxa" w:w="1152"/>
          </w:tcPr>
          <w:p>
            <w:pPr>
              <w:spacing w:after="20"/>
              <w:jc w:val="right"/>
            </w:pPr>
            <w:r>
              <w:rPr>
                <w:color w:val="1C3A36"/>
                <w:sz w:val="16"/>
              </w:rPr>
              <w:t>14.5%</w:t>
            </w:r>
          </w:p>
        </w:tc>
        <w:tc>
          <w:tcPr>
            <w:tcW w:type="dxa" w:w="1152"/>
          </w:tcPr>
          <w:p>
            <w:pPr>
              <w:spacing w:after="20"/>
              <w:jc w:val="right"/>
            </w:pPr>
            <w:r>
              <w:rPr>
                <w:color w:val="1C3A36"/>
                <w:sz w:val="16"/>
              </w:rPr>
              <w:t>—</w:t>
            </w:r>
          </w:p>
        </w:tc>
        <w:tc>
          <w:tcPr>
            <w:tcW w:type="dxa" w:w="1037"/>
          </w:tcPr>
          <w:p>
            <w:pPr>
              <w:spacing w:after="20"/>
              <w:jc w:val="right"/>
            </w:pPr>
            <w:r>
              <w:rPr>
                <w:color w:val="1C3A36"/>
                <w:sz w:val="16"/>
              </w:rPr>
              <w:t>16.2%</w:t>
            </w:r>
          </w:p>
        </w:tc>
        <w:tc>
          <w:tcPr>
            <w:tcW w:type="dxa" w:w="1037"/>
          </w:tcPr>
          <w:p>
            <w:pPr>
              <w:spacing w:after="20"/>
              <w:jc w:val="right"/>
            </w:pPr>
            <w:r>
              <w:rPr>
                <w:color w:val="1C3A36"/>
                <w:sz w:val="16"/>
              </w:rPr>
              <w:t>15.9%</w:t>
            </w:r>
          </w:p>
        </w:tc>
        <w:tc>
          <w:tcPr>
            <w:tcW w:type="dxa" w:w="1037"/>
          </w:tcPr>
          <w:p>
            <w:pPr>
              <w:spacing w:after="20"/>
              <w:jc w:val="right"/>
            </w:pPr>
            <w:r>
              <w:rPr>
                <w:color w:val="1C3A36"/>
                <w:sz w:val="16"/>
              </w:rPr>
              <w:t>16.4%</w:t>
            </w:r>
          </w:p>
        </w:tc>
        <w:tc>
          <w:tcPr>
            <w:tcW w:type="dxa" w:w="1037"/>
          </w:tcPr>
          <w:p>
            <w:pPr>
              <w:spacing w:after="20"/>
              <w:jc w:val="right"/>
            </w:pPr>
            <w:r>
              <w:rPr>
                <w:color w:val="1C3A36"/>
                <w:sz w:val="16"/>
              </w:rPr>
              <w:t>16.8%</w:t>
            </w:r>
          </w:p>
        </w:tc>
        <w:tc>
          <w:tcPr>
            <w:tcW w:type="dxa" w:w="1037"/>
          </w:tcPr>
          <w:p>
            <w:pPr>
              <w:spacing w:after="20"/>
              <w:jc w:val="right"/>
            </w:pPr>
            <w:r>
              <w:rPr>
                <w:color w:val="1C3A36"/>
                <w:sz w:val="16"/>
              </w:rPr>
              <w:t>17.6%</w:t>
            </w:r>
          </w:p>
        </w:tc>
      </w:tr>
      <w:tr>
        <w:tc>
          <w:tcPr>
            <w:tcW w:type="dxa" w:w="2736"/>
          </w:tcPr>
          <w:p>
            <w:pPr>
              <w:spacing w:after="20"/>
            </w:pPr>
            <w:r>
              <w:rPr>
                <w:b/>
                <w:color w:val="1C3A36"/>
                <w:sz w:val="16"/>
              </w:rPr>
              <w:t>Return on average assets (OUTPUT)</w:t>
            </w:r>
          </w:p>
        </w:tc>
        <w:tc>
          <w:tcPr>
            <w:tcW w:type="dxa" w:w="1152"/>
          </w:tcPr>
          <w:p>
            <w:pPr>
              <w:spacing w:after="20"/>
              <w:jc w:val="right"/>
            </w:pPr>
            <w:r>
              <w:rPr>
                <w:color w:val="1C3A36"/>
                <w:sz w:val="16"/>
              </w:rPr>
              <w:t>4.15%</w:t>
            </w:r>
          </w:p>
        </w:tc>
        <w:tc>
          <w:tcPr>
            <w:tcW w:type="dxa" w:w="1152"/>
          </w:tcPr>
          <w:p>
            <w:pPr>
              <w:spacing w:after="20"/>
              <w:jc w:val="right"/>
            </w:pPr>
            <w:r>
              <w:rPr>
                <w:color w:val="1C3A36"/>
                <w:sz w:val="16"/>
              </w:rPr>
              <w:t>—</w:t>
            </w:r>
          </w:p>
        </w:tc>
        <w:tc>
          <w:tcPr>
            <w:tcW w:type="dxa" w:w="1037"/>
          </w:tcPr>
          <w:p>
            <w:pPr>
              <w:spacing w:after="20"/>
              <w:jc w:val="right"/>
            </w:pPr>
            <w:r>
              <w:rPr>
                <w:color w:val="1C3A36"/>
                <w:sz w:val="16"/>
              </w:rPr>
              <w:t>3.35%</w:t>
            </w:r>
          </w:p>
        </w:tc>
        <w:tc>
          <w:tcPr>
            <w:tcW w:type="dxa" w:w="1037"/>
          </w:tcPr>
          <w:p>
            <w:pPr>
              <w:spacing w:after="20"/>
              <w:jc w:val="right"/>
            </w:pPr>
            <w:r>
              <w:rPr>
                <w:color w:val="1C3A36"/>
                <w:sz w:val="16"/>
              </w:rPr>
              <w:t>3.03%</w:t>
            </w:r>
          </w:p>
        </w:tc>
        <w:tc>
          <w:tcPr>
            <w:tcW w:type="dxa" w:w="1037"/>
          </w:tcPr>
          <w:p>
            <w:pPr>
              <w:spacing w:after="20"/>
              <w:jc w:val="right"/>
            </w:pPr>
            <w:r>
              <w:rPr>
                <w:color w:val="1C3A36"/>
                <w:sz w:val="16"/>
              </w:rPr>
              <w:t>2.82%</w:t>
            </w:r>
          </w:p>
        </w:tc>
        <w:tc>
          <w:tcPr>
            <w:tcW w:type="dxa" w:w="1037"/>
          </w:tcPr>
          <w:p>
            <w:pPr>
              <w:spacing w:after="20"/>
              <w:jc w:val="right"/>
            </w:pPr>
            <w:r>
              <w:rPr>
                <w:color w:val="1C3A36"/>
                <w:sz w:val="16"/>
              </w:rPr>
              <w:t>2.70%</w:t>
            </w:r>
          </w:p>
        </w:tc>
        <w:tc>
          <w:tcPr>
            <w:tcW w:type="dxa" w:w="1037"/>
          </w:tcPr>
          <w:p>
            <w:pPr>
              <w:spacing w:after="20"/>
              <w:jc w:val="right"/>
            </w:pPr>
            <w:r>
              <w:rPr>
                <w:color w:val="1C3A36"/>
                <w:sz w:val="16"/>
              </w:rPr>
              <w:t>2.60%</w:t>
            </w:r>
          </w:p>
        </w:tc>
      </w:tr>
      <w:tr>
        <w:tc>
          <w:tcPr>
            <w:tcW w:type="dxa" w:w="2736"/>
          </w:tcPr>
          <w:p>
            <w:pPr>
              <w:spacing w:after="20"/>
            </w:pPr>
            <w:r>
              <w:rPr>
                <w:b/>
                <w:color w:val="1C3A36"/>
                <w:sz w:val="16"/>
              </w:rPr>
              <w:t>Return on average equity (OUTPUT)</w:t>
            </w:r>
          </w:p>
        </w:tc>
        <w:tc>
          <w:tcPr>
            <w:tcW w:type="dxa" w:w="1152"/>
          </w:tcPr>
          <w:p>
            <w:pPr>
              <w:spacing w:after="20"/>
              <w:jc w:val="right"/>
            </w:pPr>
            <w:r>
              <w:rPr>
                <w:color w:val="1C3A36"/>
                <w:sz w:val="16"/>
              </w:rPr>
              <w:t>43.7%</w:t>
            </w:r>
          </w:p>
        </w:tc>
        <w:tc>
          <w:tcPr>
            <w:tcW w:type="dxa" w:w="1152"/>
          </w:tcPr>
          <w:p>
            <w:pPr>
              <w:spacing w:after="20"/>
              <w:jc w:val="right"/>
            </w:pPr>
            <w:r>
              <w:rPr>
                <w:color w:val="1C3A36"/>
                <w:sz w:val="16"/>
              </w:rPr>
              <w:t>38.6%</w:t>
            </w:r>
          </w:p>
        </w:tc>
        <w:tc>
          <w:tcPr>
            <w:tcW w:type="dxa" w:w="1037"/>
          </w:tcPr>
          <w:p>
            <w:pPr>
              <w:spacing w:after="20"/>
              <w:jc w:val="right"/>
            </w:pPr>
            <w:r>
              <w:rPr>
                <w:color w:val="1C3A36"/>
                <w:sz w:val="16"/>
              </w:rPr>
              <w:t>32.5%</w:t>
            </w:r>
          </w:p>
        </w:tc>
        <w:tc>
          <w:tcPr>
            <w:tcW w:type="dxa" w:w="1037"/>
          </w:tcPr>
          <w:p>
            <w:pPr>
              <w:spacing w:after="20"/>
              <w:jc w:val="right"/>
            </w:pPr>
            <w:r>
              <w:rPr>
                <w:color w:val="1C3A36"/>
                <w:sz w:val="16"/>
              </w:rPr>
              <w:t>28.8%</w:t>
            </w:r>
          </w:p>
        </w:tc>
        <w:tc>
          <w:tcPr>
            <w:tcW w:type="dxa" w:w="1037"/>
          </w:tcPr>
          <w:p>
            <w:pPr>
              <w:spacing w:after="20"/>
              <w:jc w:val="right"/>
            </w:pPr>
            <w:r>
              <w:rPr>
                <w:color w:val="1C3A36"/>
                <w:sz w:val="16"/>
              </w:rPr>
              <w:t>26.8%</w:t>
            </w:r>
          </w:p>
        </w:tc>
        <w:tc>
          <w:tcPr>
            <w:tcW w:type="dxa" w:w="1037"/>
          </w:tcPr>
          <w:p>
            <w:pPr>
              <w:spacing w:after="20"/>
              <w:jc w:val="right"/>
            </w:pPr>
            <w:r>
              <w:rPr>
                <w:color w:val="1C3A36"/>
                <w:sz w:val="16"/>
              </w:rPr>
              <w:t>25.7%</w:t>
            </w:r>
          </w:p>
        </w:tc>
        <w:tc>
          <w:tcPr>
            <w:tcW w:type="dxa" w:w="1037"/>
          </w:tcPr>
          <w:p>
            <w:pPr>
              <w:spacing w:after="20"/>
              <w:jc w:val="right"/>
            </w:pPr>
            <w:r>
              <w:rPr>
                <w:color w:val="1C3A36"/>
                <w:sz w:val="16"/>
              </w:rPr>
              <w:t>24.7%</w:t>
            </w:r>
          </w:p>
        </w:tc>
      </w:tr>
      <w:tr>
        <w:tc>
          <w:tcPr>
            <w:tcW w:type="dxa" w:w="2736"/>
          </w:tcPr>
          <w:p>
            <w:pPr>
              <w:spacing w:after="20"/>
            </w:pPr>
            <w:r>
              <w:rPr>
                <w:b/>
                <w:color w:val="1C3A36"/>
                <w:sz w:val="16"/>
              </w:rPr>
              <w:t>Dividend payout (DERIVED)</w:t>
            </w:r>
          </w:p>
        </w:tc>
        <w:tc>
          <w:tcPr>
            <w:tcW w:type="dxa" w:w="1152"/>
          </w:tcPr>
          <w:p>
            <w:pPr>
              <w:spacing w:after="20"/>
              <w:jc w:val="right"/>
            </w:pPr>
            <w:r>
              <w:rPr>
                <w:color w:val="1C3A36"/>
                <w:sz w:val="16"/>
              </w:rPr>
              <w:t>11.7%</w:t>
            </w:r>
          </w:p>
        </w:tc>
        <w:tc>
          <w:tcPr>
            <w:tcW w:type="dxa" w:w="1152"/>
          </w:tcPr>
          <w:p>
            <w:pPr>
              <w:spacing w:after="20"/>
              <w:jc w:val="right"/>
            </w:pPr>
            <w:r>
              <w:rPr>
                <w:color w:val="1C3A36"/>
                <w:sz w:val="16"/>
              </w:rPr>
              <w:t>—</w:t>
            </w:r>
          </w:p>
        </w:tc>
        <w:tc>
          <w:tcPr>
            <w:tcW w:type="dxa" w:w="1037"/>
          </w:tcPr>
          <w:p>
            <w:pPr>
              <w:spacing w:after="20"/>
              <w:jc w:val="right"/>
            </w:pPr>
            <w:r>
              <w:rPr>
                <w:color w:val="1C3A36"/>
                <w:sz w:val="16"/>
              </w:rPr>
              <w:t>18.2%</w:t>
            </w:r>
          </w:p>
        </w:tc>
        <w:tc>
          <w:tcPr>
            <w:tcW w:type="dxa" w:w="1037"/>
          </w:tcPr>
          <w:p>
            <w:pPr>
              <w:spacing w:after="20"/>
              <w:jc w:val="right"/>
            </w:pPr>
            <w:r>
              <w:rPr>
                <w:color w:val="1C3A36"/>
                <w:sz w:val="16"/>
              </w:rPr>
              <w:t>31.0%</w:t>
            </w:r>
          </w:p>
        </w:tc>
        <w:tc>
          <w:tcPr>
            <w:tcW w:type="dxa" w:w="1037"/>
          </w:tcPr>
          <w:p>
            <w:pPr>
              <w:spacing w:after="20"/>
              <w:jc w:val="right"/>
            </w:pPr>
            <w:r>
              <w:rPr>
                <w:color w:val="1C3A36"/>
                <w:sz w:val="16"/>
              </w:rPr>
              <w:t>46.6%</w:t>
            </w:r>
          </w:p>
        </w:tc>
        <w:tc>
          <w:tcPr>
            <w:tcW w:type="dxa" w:w="1037"/>
          </w:tcPr>
          <w:p>
            <w:pPr>
              <w:spacing w:after="20"/>
              <w:jc w:val="right"/>
            </w:pPr>
            <w:r>
              <w:rPr>
                <w:color w:val="1C3A36"/>
                <w:sz w:val="16"/>
              </w:rPr>
              <w:t>53.4%</w:t>
            </w:r>
          </w:p>
        </w:tc>
        <w:tc>
          <w:tcPr>
            <w:tcW w:type="dxa" w:w="1037"/>
          </w:tcPr>
          <w:p>
            <w:pPr>
              <w:spacing w:after="20"/>
              <w:jc w:val="right"/>
            </w:pPr>
            <w:r>
              <w:rPr>
                <w:color w:val="1C3A36"/>
                <w:sz w:val="16"/>
              </w:rPr>
              <w:t>62.0%</w:t>
            </w:r>
          </w:p>
        </w:tc>
      </w:tr>
      <w:tr>
        <w:tc>
          <w:tcPr>
            <w:tcW w:type="dxa" w:w="2736"/>
          </w:tcPr>
          <w:p>
            <w:pPr>
              <w:spacing w:after="20"/>
            </w:pPr>
            <w:r>
              <w:rPr>
                <w:b/>
                <w:color w:val="1C3A36"/>
                <w:sz w:val="16"/>
              </w:rPr>
              <w:t>Equity / total assets</w:t>
            </w:r>
          </w:p>
        </w:tc>
        <w:tc>
          <w:tcPr>
            <w:tcW w:type="dxa" w:w="1152"/>
          </w:tcPr>
          <w:p>
            <w:pPr>
              <w:spacing w:after="20"/>
              <w:jc w:val="right"/>
            </w:pPr>
            <w:r>
              <w:rPr>
                <w:color w:val="1C3A36"/>
                <w:sz w:val="16"/>
              </w:rPr>
              <w:t>9.98%</w:t>
            </w:r>
          </w:p>
        </w:tc>
        <w:tc>
          <w:tcPr>
            <w:tcW w:type="dxa" w:w="1152"/>
          </w:tcPr>
          <w:p>
            <w:pPr>
              <w:spacing w:after="20"/>
              <w:jc w:val="right"/>
            </w:pPr>
            <w:r>
              <w:rPr>
                <w:color w:val="1C3A36"/>
                <w:sz w:val="16"/>
              </w:rPr>
              <w:t>10.51%</w:t>
            </w:r>
          </w:p>
        </w:tc>
        <w:tc>
          <w:tcPr>
            <w:tcW w:type="dxa" w:w="1037"/>
          </w:tcPr>
          <w:p>
            <w:pPr>
              <w:spacing w:after="20"/>
              <w:jc w:val="right"/>
            </w:pPr>
            <w:r>
              <w:rPr>
                <w:color w:val="1C3A36"/>
                <w:sz w:val="16"/>
              </w:rPr>
              <w:t>10.50%</w:t>
            </w:r>
          </w:p>
        </w:tc>
        <w:tc>
          <w:tcPr>
            <w:tcW w:type="dxa" w:w="1037"/>
          </w:tcPr>
          <w:p>
            <w:pPr>
              <w:spacing w:after="20"/>
              <w:jc w:val="right"/>
            </w:pPr>
            <w:r>
              <w:rPr>
                <w:color w:val="1C3A36"/>
                <w:sz w:val="16"/>
              </w:rPr>
              <w:t>10.50%</w:t>
            </w:r>
          </w:p>
        </w:tc>
        <w:tc>
          <w:tcPr>
            <w:tcW w:type="dxa" w:w="1037"/>
          </w:tcPr>
          <w:p>
            <w:pPr>
              <w:spacing w:after="20"/>
              <w:jc w:val="right"/>
            </w:pPr>
            <w:r>
              <w:rPr>
                <w:color w:val="1C3A36"/>
                <w:sz w:val="16"/>
              </w:rPr>
              <w:t>10.50%</w:t>
            </w:r>
          </w:p>
        </w:tc>
        <w:tc>
          <w:tcPr>
            <w:tcW w:type="dxa" w:w="1037"/>
          </w:tcPr>
          <w:p>
            <w:pPr>
              <w:spacing w:after="20"/>
              <w:jc w:val="right"/>
            </w:pPr>
            <w:r>
              <w:rPr>
                <w:color w:val="1C3A36"/>
                <w:sz w:val="16"/>
              </w:rPr>
              <w:t>10.50%</w:t>
            </w:r>
          </w:p>
        </w:tc>
        <w:tc>
          <w:tcPr>
            <w:tcW w:type="dxa" w:w="1037"/>
          </w:tcPr>
          <w:p>
            <w:pPr>
              <w:spacing w:after="20"/>
              <w:jc w:val="right"/>
            </w:pPr>
            <w:r>
              <w:rPr>
                <w:color w:val="1C3A36"/>
                <w:sz w:val="16"/>
              </w:rPr>
              <w:t>10.50%</w:t>
            </w:r>
          </w:p>
        </w:tc>
      </w:tr>
    </w:tbl>
    <w:p>
      <w:pPr>
        <w:spacing w:after="40"/>
      </w:pPr>
    </w:p>
    <w:p>
      <w:pPr>
        <w:spacing w:after="200" w:before="0"/>
      </w:pPr>
      <w:r>
        <w:rPr>
          <w:b w:val="0"/>
          <w:i/>
          <w:color w:val="6E7B77"/>
          <w:sz w:val="17"/>
        </w:rPr>
        <w:t>Table 4 — the ratios that fall out — every one of them an output, none an input</w:t>
      </w:r>
    </w:p>
    <w:p>
      <w:pPr>
        <w:spacing w:after="120" w:before="0"/>
      </w:pPr>
      <w:r>
        <w:rPr>
          <w:b w:val="0"/>
          <w:i w:val="0"/>
          <w:color w:val="1C3A36"/>
          <w:sz w:val="21"/>
        </w:rPr>
        <w:t>THE PAYOUT IS NOT A CHOICE THIS STUDY MADE. Equity is pinned each year at 10.5% of total assets — the level the bank actually stood at on 30 June 2026 — and the dividend is whatever profit is left after getting there. A bank growing its balance sheet by a third cannot also distribute, and the arithmetic says so rather than a sentence saying so beside a typed ratio. The derived path opens at 18.2% for 2026 against the 11.7% ADIB-Egypt actually paid on its 2024 earnings, which is the closest thing to an external check this driver has.</w:t>
      </w:r>
    </w:p>
    <w:p>
      <w:pPr>
        <w:spacing w:after="80" w:before="200"/>
      </w:pPr>
      <w:r>
        <w:rPr>
          <w:b/>
          <w:i w:val="0"/>
          <w:color w:val="1C3A36"/>
          <w:sz w:val="24"/>
        </w:rPr>
        <w:t>1.2  Book value and the return it sustains</w:t>
      </w:r>
    </w:p>
    <w:p>
      <w:pPr>
        <w:spacing w:after="120" w:before="0"/>
      </w:pPr>
      <w:r>
        <w:rPr>
          <w:b w:val="0"/>
          <w:i w:val="0"/>
          <w:color w:val="1C3A36"/>
          <w:sz w:val="21"/>
        </w:rPr>
        <w:t>Attributable book value was EGP 29.04 a share at 30 June 2026 — EGP 43.56 billion over 1,500 million shares. That is the floor: what a shareholder owns if the bank stops compounding tomorrow. Capitalised at the price-to-book its own long-run return supports (1.63 times, from a 24.7% terminal return against a 17.8% terminal cost of equity and 7.0% growth), the same book is worth EGP 47.47 a share.</w:t>
      </w:r>
    </w:p>
    <w:p>
      <w:pPr>
        <w:spacing w:after="120" w:before="0"/>
      </w:pPr>
      <w:r>
        <w:rPr>
          <w:b w:val="0"/>
          <w:i w:val="0"/>
          <w:color w:val="1C3A36"/>
          <w:sz w:val="21"/>
        </w:rPr>
        <w:t>One thing the book value hides and this study will not. The EGP 3 billion capital increase completed in the second quarter of 2026 issued 300 million new shares at the LE 10 par value, against a book value per share of about EGP 28.83. Book value per share moved from EGP 28.83 at the end of 2025 to EGP 29.04 at 30 June — six months at a 38.6% annualised return on equity bought existing holders less than one per cent of book. The growth was real and so was the dilution.</w:t>
      </w:r>
    </w:p>
    <w:p>
      <w:pPr>
        <w:spacing w:after="80" w:before="200"/>
      </w:pPr>
      <w:r>
        <w:rPr>
          <w:b/>
          <w:i w:val="0"/>
          <w:color w:val="1C3A36"/>
          <w:sz w:val="24"/>
        </w:rPr>
        <w:t>1.3  Relative multiples</w:t>
      </w:r>
    </w:p>
    <w:p>
      <w:pPr>
        <w:spacing w:after="120" w:before="0"/>
      </w:pPr>
      <w:r>
        <w:rPr>
          <w:b w:val="0"/>
          <w:i w:val="0"/>
          <w:color w:val="1C3A36"/>
          <w:sz w:val="21"/>
        </w:rPr>
        <w:t>At the central the shares stand on 1.37 times forecast 2026 book and 4.9 times forecast 2026 earnings. At the market they stand on 1.60 times and 5.8 times. Applying the price-to-book and price-to-earnings bands Egyptian large-cap banks trade in to the 2026 forecast gives EGP 60.82 a share.</w:t>
      </w:r>
    </w:p>
    <w:tbl>
      <w:tblPr>
        <w:tblW w:type="auto" w:w="0"/>
        <w:tblLook w:firstColumn="1" w:firstRow="1" w:lastColumn="0" w:lastRow="0" w:noHBand="0" w:noVBand="1" w:val="04A0"/>
        <w:tblLayout w:type="fixed"/>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color w:val="1C3A36"/>
                <w:sz w:val="19"/>
              </w:rPr>
              <w:t>THIS IS THE WEAKEST EVIDENCE IN THE STUDY AND IT IS SAID SO RATHER THAN DRESSED UP. No same-day book value could be sourced for any Egyptian bank other than ADIB-Egypt itself. Commercial International Bank's price is held on the same date — EGP 138.98 on 3 September — and its book value is not. The multiple read is therefore a BAND, it is published as a cross-check and not as part of the answer, and it happens to be the lens pulling upward: on its own it says EGP 60.82.</w:t>
            </w:r>
          </w:p>
        </w:tc>
      </w:tr>
    </w:tbl>
    <w:p>
      <w:pPr>
        <w:spacing w:after="40"/>
      </w:pPr>
    </w:p>
    <w:p>
      <w:pPr>
        <w:spacing w:after="80" w:before="200"/>
      </w:pPr>
      <w:r>
        <w:rPr>
          <w:b/>
          <w:i w:val="0"/>
          <w:color w:val="1C3A36"/>
          <w:sz w:val="24"/>
        </w:rPr>
        <w:t>1.4  Normalised earnings power</w:t>
      </w:r>
    </w:p>
    <w:p>
      <w:pPr>
        <w:spacing w:after="120" w:before="0"/>
      </w:pPr>
      <w:r>
        <w:rPr>
          <w:b w:val="0"/>
          <w:i w:val="0"/>
          <w:color w:val="1C3A36"/>
          <w:sz w:val="21"/>
        </w:rPr>
        <w:t>What does ADIB-Egypt earn in a normal year? On a 5.5% net interest margin — below the 6.64% it earned in 2025 and the 6.44% the June half annualises to — and a 1.50% loss charge rather than the 0.003% of the last six months, the bank earns about EGP 7.75 a share, and capitalised at the current cost of equity that is worth EGP 34.59. The point of the exercise is not the number but the check: a multiple applied to 2025's margin or to the June half's loss charge is capitalising a peak.</w:t>
      </w:r>
    </w:p>
    <w:p>
      <w:pPr>
        <w:spacing w:after="80" w:before="200"/>
      </w:pPr>
      <w:r>
        <w:rPr>
          <w:b/>
          <w:i w:val="0"/>
          <w:color w:val="1C3A36"/>
          <w:sz w:val="24"/>
        </w:rPr>
        <w:t>1.5  Synthesis — one lens is the answer</w:t>
      </w:r>
    </w:p>
    <w:p>
      <w:pPr>
        <w:spacing w:after="120" w:before="0"/>
      </w:pPr>
      <w:r>
        <w:rPr>
          <w:b w:val="0"/>
          <w:i w:val="0"/>
          <w:color w:val="1C3A36"/>
          <w:sz w:val="21"/>
        </w:rPr>
        <w:t>The dividend discount is the central at EGP 44.46. Residual income, the relative multiple and book value sit beside it as cross-checks, and free cash flow to equity is published because it is the same flow reached a different way. They are not averaged. The envelope is the range of the three present-value reads — EGP 43.17 at the low end, EGP 46.01 at the high — and no spread is invented around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584"/>
        <w:gridCol w:w="1872"/>
        <w:gridCol w:w="2736"/>
      </w:tblGrid>
      <w:tr>
        <w:tc>
          <w:tcPr>
            <w:tcW w:type="dxa" w:w="3312"/>
            <w:shd w:val="clear" w:color="auto" w:fill="EAF0EE"/>
          </w:tcPr>
          <w:p>
            <w:pPr>
              <w:spacing w:after="20"/>
            </w:pPr>
            <w:r>
              <w:rPr>
                <w:b/>
                <w:color w:val="1C3A36"/>
                <w:sz w:val="17"/>
              </w:rPr>
              <w:t>Lens</w:t>
            </w:r>
          </w:p>
        </w:tc>
        <w:tc>
          <w:tcPr>
            <w:tcW w:type="dxa" w:w="1584"/>
            <w:shd w:val="clear" w:color="auto" w:fill="EAF0EE"/>
          </w:tcPr>
          <w:p>
            <w:pPr>
              <w:spacing w:after="20"/>
            </w:pPr>
            <w:r>
              <w:rPr>
                <w:b/>
                <w:color w:val="1C3A36"/>
                <w:sz w:val="17"/>
              </w:rPr>
              <w:t>Per share</w:t>
            </w:r>
          </w:p>
        </w:tc>
        <w:tc>
          <w:tcPr>
            <w:tcW w:type="dxa" w:w="1872"/>
            <w:shd w:val="clear" w:color="auto" w:fill="EAF0EE"/>
          </w:tcPr>
          <w:p>
            <w:pPr>
              <w:spacing w:after="20"/>
            </w:pPr>
            <w:r>
              <w:rPr>
                <w:b/>
                <w:color w:val="1C3A36"/>
                <w:sz w:val="17"/>
              </w:rPr>
              <w:t>Against the central</w:t>
            </w:r>
          </w:p>
        </w:tc>
        <w:tc>
          <w:tcPr>
            <w:tcW w:type="dxa" w:w="2736"/>
            <w:shd w:val="clear" w:color="auto" w:fill="EAF0EE"/>
          </w:tcPr>
          <w:p>
            <w:pPr>
              <w:spacing w:after="20"/>
            </w:pPr>
            <w:r>
              <w:rPr>
                <w:b/>
                <w:color w:val="1C3A36"/>
                <w:sz w:val="17"/>
              </w:rPr>
              <w:t>Present-value read?</w:t>
            </w:r>
          </w:p>
        </w:tc>
      </w:tr>
      <w:tr>
        <w:tc>
          <w:tcPr>
            <w:tcW w:type="dxa" w:w="3312"/>
          </w:tcPr>
          <w:p>
            <w:pPr>
              <w:spacing w:after="20"/>
            </w:pPr>
            <w:r>
              <w:rPr>
                <w:b/>
                <w:color w:val="1C3A36"/>
                <w:sz w:val="17"/>
              </w:rPr>
              <w:t>Dividend discount (PRIMARY)</w:t>
            </w:r>
          </w:p>
        </w:tc>
        <w:tc>
          <w:tcPr>
            <w:tcW w:type="dxa" w:w="1584"/>
          </w:tcPr>
          <w:p>
            <w:pPr>
              <w:spacing w:after="20"/>
              <w:jc w:val="right"/>
            </w:pPr>
            <w:r>
              <w:rPr>
                <w:color w:val="1C3A36"/>
                <w:sz w:val="17"/>
              </w:rPr>
              <w:t>EGP 44.46</w:t>
            </w:r>
          </w:p>
        </w:tc>
        <w:tc>
          <w:tcPr>
            <w:tcW w:type="dxa" w:w="1872"/>
          </w:tcPr>
          <w:p>
            <w:pPr>
              <w:spacing w:after="20"/>
              <w:jc w:val="right"/>
            </w:pPr>
            <w:r>
              <w:rPr>
                <w:color w:val="1C3A36"/>
                <w:sz w:val="17"/>
              </w:rPr>
              <w:t>0.0%</w:t>
            </w:r>
          </w:p>
        </w:tc>
        <w:tc>
          <w:tcPr>
            <w:tcW w:type="dxa" w:w="2736"/>
          </w:tcPr>
          <w:p>
            <w:pPr>
              <w:spacing w:after="20"/>
              <w:jc w:val="right"/>
            </w:pPr>
            <w:r>
              <w:rPr>
                <w:color w:val="1C3A36"/>
                <w:sz w:val="17"/>
              </w:rPr>
              <w:t>yes — in the envelope</w:t>
            </w:r>
          </w:p>
        </w:tc>
      </w:tr>
      <w:tr>
        <w:tc>
          <w:tcPr>
            <w:tcW w:type="dxa" w:w="3312"/>
          </w:tcPr>
          <w:p>
            <w:pPr>
              <w:spacing w:after="20"/>
            </w:pPr>
            <w:r>
              <w:rPr>
                <w:b/>
                <w:color w:val="1C3A36"/>
                <w:sz w:val="17"/>
              </w:rPr>
              <w:t>Free cash flow to equity</w:t>
            </w:r>
          </w:p>
        </w:tc>
        <w:tc>
          <w:tcPr>
            <w:tcW w:type="dxa" w:w="1584"/>
          </w:tcPr>
          <w:p>
            <w:pPr>
              <w:spacing w:after="20"/>
              <w:jc w:val="right"/>
            </w:pPr>
            <w:r>
              <w:rPr>
                <w:color w:val="1C3A36"/>
                <w:sz w:val="17"/>
              </w:rPr>
              <w:t>EGP 43.17</w:t>
            </w:r>
          </w:p>
        </w:tc>
        <w:tc>
          <w:tcPr>
            <w:tcW w:type="dxa" w:w="1872"/>
          </w:tcPr>
          <w:p>
            <w:pPr>
              <w:spacing w:after="20"/>
              <w:jc w:val="right"/>
            </w:pPr>
            <w:r>
              <w:rPr>
                <w:color w:val="1C3A36"/>
                <w:sz w:val="17"/>
              </w:rPr>
              <w:t>-2.9%</w:t>
            </w:r>
          </w:p>
        </w:tc>
        <w:tc>
          <w:tcPr>
            <w:tcW w:type="dxa" w:w="2736"/>
          </w:tcPr>
          <w:p>
            <w:pPr>
              <w:spacing w:after="20"/>
              <w:jc w:val="right"/>
            </w:pPr>
            <w:r>
              <w:rPr>
                <w:color w:val="1C3A36"/>
                <w:sz w:val="17"/>
              </w:rPr>
              <w:t>yes — in the envelope</w:t>
            </w:r>
          </w:p>
        </w:tc>
      </w:tr>
      <w:tr>
        <w:tc>
          <w:tcPr>
            <w:tcW w:type="dxa" w:w="3312"/>
          </w:tcPr>
          <w:p>
            <w:pPr>
              <w:spacing w:after="20"/>
            </w:pPr>
            <w:r>
              <w:rPr>
                <w:b/>
                <w:color w:val="1C3A36"/>
                <w:sz w:val="17"/>
              </w:rPr>
              <w:t>Residual income</w:t>
            </w:r>
          </w:p>
        </w:tc>
        <w:tc>
          <w:tcPr>
            <w:tcW w:type="dxa" w:w="1584"/>
          </w:tcPr>
          <w:p>
            <w:pPr>
              <w:spacing w:after="20"/>
              <w:jc w:val="right"/>
            </w:pPr>
            <w:r>
              <w:rPr>
                <w:color w:val="1C3A36"/>
                <w:sz w:val="17"/>
              </w:rPr>
              <w:t>EGP 46.01</w:t>
            </w:r>
          </w:p>
        </w:tc>
        <w:tc>
          <w:tcPr>
            <w:tcW w:type="dxa" w:w="1872"/>
          </w:tcPr>
          <w:p>
            <w:pPr>
              <w:spacing w:after="20"/>
              <w:jc w:val="right"/>
            </w:pPr>
            <w:r>
              <w:rPr>
                <w:color w:val="1C3A36"/>
                <w:sz w:val="17"/>
              </w:rPr>
              <w:t>3.5%</w:t>
            </w:r>
          </w:p>
        </w:tc>
        <w:tc>
          <w:tcPr>
            <w:tcW w:type="dxa" w:w="2736"/>
          </w:tcPr>
          <w:p>
            <w:pPr>
              <w:spacing w:after="20"/>
              <w:jc w:val="right"/>
            </w:pPr>
            <w:r>
              <w:rPr>
                <w:color w:val="1C3A36"/>
                <w:sz w:val="17"/>
              </w:rPr>
              <w:t>yes — in the envelope</w:t>
            </w:r>
          </w:p>
        </w:tc>
      </w:tr>
      <w:tr>
        <w:tc>
          <w:tcPr>
            <w:tcW w:type="dxa" w:w="3312"/>
          </w:tcPr>
          <w:p>
            <w:pPr>
              <w:spacing w:after="20"/>
            </w:pPr>
            <w:r>
              <w:rPr>
                <w:b/>
                <w:color w:val="1C3A36"/>
                <w:sz w:val="17"/>
              </w:rPr>
              <w:t>Relative multiples</w:t>
            </w:r>
          </w:p>
        </w:tc>
        <w:tc>
          <w:tcPr>
            <w:tcW w:type="dxa" w:w="1584"/>
          </w:tcPr>
          <w:p>
            <w:pPr>
              <w:spacing w:after="20"/>
              <w:jc w:val="right"/>
            </w:pPr>
            <w:r>
              <w:rPr>
                <w:color w:val="1C3A36"/>
                <w:sz w:val="17"/>
              </w:rPr>
              <w:t>EGP 60.82</w:t>
            </w:r>
          </w:p>
        </w:tc>
        <w:tc>
          <w:tcPr>
            <w:tcW w:type="dxa" w:w="1872"/>
          </w:tcPr>
          <w:p>
            <w:pPr>
              <w:spacing w:after="20"/>
              <w:jc w:val="right"/>
            </w:pPr>
            <w:r>
              <w:rPr>
                <w:color w:val="1C3A36"/>
                <w:sz w:val="17"/>
              </w:rPr>
              <w:t>36.8%</w:t>
            </w:r>
          </w:p>
        </w:tc>
        <w:tc>
          <w:tcPr>
            <w:tcW w:type="dxa" w:w="2736"/>
          </w:tcPr>
          <w:p>
            <w:pPr>
              <w:spacing w:after="20"/>
              <w:jc w:val="right"/>
            </w:pPr>
            <w:r>
              <w:rPr>
                <w:color w:val="1C3A36"/>
                <w:sz w:val="17"/>
              </w:rPr>
              <w:t>no</w:t>
            </w:r>
          </w:p>
        </w:tc>
      </w:tr>
      <w:tr>
        <w:tc>
          <w:tcPr>
            <w:tcW w:type="dxa" w:w="3312"/>
          </w:tcPr>
          <w:p>
            <w:pPr>
              <w:spacing w:after="20"/>
            </w:pPr>
            <w:r>
              <w:rPr>
                <w:b/>
                <w:color w:val="1C3A36"/>
                <w:sz w:val="17"/>
              </w:rPr>
              <w:t>Book value and sustainable return</w:t>
            </w:r>
          </w:p>
        </w:tc>
        <w:tc>
          <w:tcPr>
            <w:tcW w:type="dxa" w:w="1584"/>
          </w:tcPr>
          <w:p>
            <w:pPr>
              <w:spacing w:after="20"/>
              <w:jc w:val="right"/>
            </w:pPr>
            <w:r>
              <w:rPr>
                <w:color w:val="1C3A36"/>
                <w:sz w:val="17"/>
              </w:rPr>
              <w:t>EGP 47.47</w:t>
            </w:r>
          </w:p>
        </w:tc>
        <w:tc>
          <w:tcPr>
            <w:tcW w:type="dxa" w:w="1872"/>
          </w:tcPr>
          <w:p>
            <w:pPr>
              <w:spacing w:after="20"/>
              <w:jc w:val="right"/>
            </w:pPr>
            <w:r>
              <w:rPr>
                <w:color w:val="1C3A36"/>
                <w:sz w:val="17"/>
              </w:rPr>
              <w:t>6.8%</w:t>
            </w:r>
          </w:p>
        </w:tc>
        <w:tc>
          <w:tcPr>
            <w:tcW w:type="dxa" w:w="2736"/>
          </w:tcPr>
          <w:p>
            <w:pPr>
              <w:spacing w:after="20"/>
              <w:jc w:val="right"/>
            </w:pPr>
            <w:r>
              <w:rPr>
                <w:color w:val="1C3A36"/>
                <w:sz w:val="17"/>
              </w:rPr>
              <w:t>no</w:t>
            </w:r>
          </w:p>
        </w:tc>
      </w:tr>
      <w:tr>
        <w:tc>
          <w:tcPr>
            <w:tcW w:type="dxa" w:w="3312"/>
          </w:tcPr>
          <w:p>
            <w:pPr>
              <w:spacing w:after="20"/>
            </w:pPr>
            <w:r>
              <w:rPr>
                <w:b/>
                <w:color w:val="1C3A36"/>
                <w:sz w:val="17"/>
              </w:rPr>
              <w:t>Normalised earnings power</w:t>
            </w:r>
          </w:p>
        </w:tc>
        <w:tc>
          <w:tcPr>
            <w:tcW w:type="dxa" w:w="1584"/>
          </w:tcPr>
          <w:p>
            <w:pPr>
              <w:spacing w:after="20"/>
              <w:jc w:val="right"/>
            </w:pPr>
            <w:r>
              <w:rPr>
                <w:color w:val="1C3A36"/>
                <w:sz w:val="17"/>
              </w:rPr>
              <w:t>EGP 34.59</w:t>
            </w:r>
          </w:p>
        </w:tc>
        <w:tc>
          <w:tcPr>
            <w:tcW w:type="dxa" w:w="1872"/>
          </w:tcPr>
          <w:p>
            <w:pPr>
              <w:spacing w:after="20"/>
              <w:jc w:val="right"/>
            </w:pPr>
            <w:r>
              <w:rPr>
                <w:color w:val="1C3A36"/>
                <w:sz w:val="17"/>
              </w:rPr>
              <w:t>-22.2%</w:t>
            </w:r>
          </w:p>
        </w:tc>
        <w:tc>
          <w:tcPr>
            <w:tcW w:type="dxa" w:w="2736"/>
          </w:tcPr>
          <w:p>
            <w:pPr>
              <w:spacing w:after="20"/>
              <w:jc w:val="right"/>
            </w:pPr>
            <w:r>
              <w:rPr>
                <w:color w:val="1C3A36"/>
                <w:sz w:val="17"/>
              </w:rPr>
              <w:t>no</w:t>
            </w:r>
          </w:p>
        </w:tc>
      </w:tr>
    </w:tbl>
    <w:p>
      <w:pPr>
        <w:spacing w:after="40"/>
      </w:pPr>
    </w:p>
    <w:p>
      <w:pPr>
        <w:spacing w:after="200" w:before="0"/>
      </w:pPr>
      <w:r>
        <w:rPr>
          <w:b w:val="0"/>
          <w:i/>
          <w:color w:val="6E7B77"/>
          <w:sz w:val="17"/>
        </w:rPr>
        <w:t>Table 5 — every read, and which ones set the envelope</w:t>
      </w:r>
    </w:p>
    <w:p>
      <w:pPr>
        <w:spacing w:after="120" w:before="0"/>
      </w:pPr>
      <w:r>
        <w:rPr>
          <w:b w:val="0"/>
          <w:i w:val="0"/>
          <w:color w:val="1C3A36"/>
          <w:sz w:val="21"/>
        </w:rPr>
        <w:t>The three present-value lenses land within EGP 2.84 of each other, which is worth a sentence because they did not always. An earlier version of this model typed a dividend payout path instead of deriving it, and under that version the dividend lens and the free-cash-flow lens disagreed by about EGP 7.00 a share while the model quietly accumulated capital it had no use for. The disagreement between two lenses was the only thing that said so.</w:t>
      </w:r>
    </w:p>
    <w:p>
      <w:pPr>
        <w:spacing w:after="80" w:before="200"/>
      </w:pPr>
      <w:r>
        <w:rPr>
          <w:b/>
          <w:i w:val="0"/>
          <w:color w:val="1C3A36"/>
          <w:sz w:val="24"/>
        </w:rPr>
        <w:t>1.6  The drivers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1440"/>
        <w:gridCol w:w="1440"/>
        <w:gridCol w:w="5040"/>
      </w:tblGrid>
      <w:tr>
        <w:tc>
          <w:tcPr>
            <w:tcW w:type="dxa" w:w="2160"/>
            <w:shd w:val="clear" w:color="auto" w:fill="EAF0EE"/>
          </w:tcPr>
          <w:p>
            <w:pPr>
              <w:spacing w:after="20"/>
            </w:pPr>
            <w:r>
              <w:rPr>
                <w:b/>
                <w:color w:val="1C3A36"/>
                <w:sz w:val="16"/>
              </w:rPr>
              <w:t>Driver</w:t>
            </w:r>
          </w:p>
        </w:tc>
        <w:tc>
          <w:tcPr>
            <w:tcW w:type="dxa" w:w="1440"/>
            <w:shd w:val="clear" w:color="auto" w:fill="EAF0EE"/>
          </w:tcPr>
          <w:p>
            <w:pPr>
              <w:spacing w:after="20"/>
            </w:pPr>
            <w:r>
              <w:rPr>
                <w:b/>
                <w:color w:val="1C3A36"/>
                <w:sz w:val="16"/>
              </w:rPr>
              <w:t>FY2025 actual</w:t>
            </w:r>
          </w:p>
        </w:tc>
        <w:tc>
          <w:tcPr>
            <w:tcW w:type="dxa" w:w="1440"/>
            <w:shd w:val="clear" w:color="auto" w:fill="EAF0EE"/>
          </w:tcPr>
          <w:p>
            <w:pPr>
              <w:spacing w:after="20"/>
            </w:pPr>
            <w:r>
              <w:rPr>
                <w:b/>
                <w:color w:val="1C3A36"/>
                <w:sz w:val="16"/>
              </w:rPr>
              <w:t>H1-2026 actual</w:t>
            </w:r>
          </w:p>
        </w:tc>
        <w:tc>
          <w:tcPr>
            <w:tcW w:type="dxa" w:w="5040"/>
            <w:shd w:val="clear" w:color="auto" w:fill="EAF0EE"/>
          </w:tcPr>
          <w:p>
            <w:pPr>
              <w:spacing w:after="20"/>
            </w:pPr>
            <w:r>
              <w:rPr>
                <w:b/>
                <w:color w:val="1C3A36"/>
                <w:sz w:val="16"/>
              </w:rPr>
              <w:t>The path, and why</w:t>
            </w:r>
          </w:p>
        </w:tc>
      </w:tr>
      <w:tr>
        <w:tc>
          <w:tcPr>
            <w:tcW w:type="dxa" w:w="2160"/>
          </w:tcPr>
          <w:p>
            <w:pPr>
              <w:spacing w:after="20"/>
            </w:pPr>
            <w:r>
              <w:rPr>
                <w:b/>
                <w:color w:val="1C3A36"/>
                <w:sz w:val="16"/>
              </w:rPr>
              <w:t>Financing to customers</w:t>
            </w:r>
          </w:p>
        </w:tc>
        <w:tc>
          <w:tcPr>
            <w:tcW w:type="dxa" w:w="1440"/>
          </w:tcPr>
          <w:p>
            <w:pPr>
              <w:spacing w:after="20"/>
              <w:jc w:val="right"/>
            </w:pPr>
            <w:r>
              <w:rPr>
                <w:color w:val="1C3A36"/>
                <w:sz w:val="16"/>
              </w:rPr>
              <w:t>EGP 147bn</w:t>
            </w:r>
          </w:p>
        </w:tc>
        <w:tc>
          <w:tcPr>
            <w:tcW w:type="dxa" w:w="1440"/>
          </w:tcPr>
          <w:p>
            <w:pPr>
              <w:spacing w:after="20"/>
              <w:jc w:val="right"/>
            </w:pPr>
            <w:r>
              <w:rPr>
                <w:color w:val="1C3A36"/>
                <w:sz w:val="16"/>
              </w:rPr>
              <w:t>EGP 190bn</w:t>
            </w:r>
          </w:p>
        </w:tc>
        <w:tc>
          <w:tcPr>
            <w:tcW w:type="dxa" w:w="5040"/>
          </w:tcPr>
          <w:p>
            <w:pPr>
              <w:spacing w:after="20"/>
              <w:jc w:val="right"/>
            </w:pPr>
            <w:r>
              <w:rPr>
                <w:color w:val="1C3A36"/>
                <w:sz w:val="16"/>
              </w:rPr>
              <w:t>+48% in 2026 then 26 / 19 / 15 / 12%. The bank was already at EGP 190bn at 30 June, so 2026 asks for only +14% in the second half against +29% in the first. The path decays toward nominal GDP growth by 2030.</w:t>
            </w:r>
          </w:p>
        </w:tc>
      </w:tr>
      <w:tr>
        <w:tc>
          <w:tcPr>
            <w:tcW w:type="dxa" w:w="2160"/>
          </w:tcPr>
          <w:p>
            <w:pPr>
              <w:spacing w:after="20"/>
            </w:pPr>
            <w:r>
              <w:rPr>
                <w:b/>
                <w:color w:val="1C3A36"/>
                <w:sz w:val="16"/>
              </w:rPr>
              <w:t>Asset yield</w:t>
            </w:r>
          </w:p>
        </w:tc>
        <w:tc>
          <w:tcPr>
            <w:tcW w:type="dxa" w:w="1440"/>
          </w:tcPr>
          <w:p>
            <w:pPr>
              <w:spacing w:after="20"/>
              <w:jc w:val="right"/>
            </w:pPr>
            <w:r>
              <w:rPr>
                <w:color w:val="1C3A36"/>
                <w:sz w:val="16"/>
              </w:rPr>
              <w:t>16.23%</w:t>
            </w:r>
          </w:p>
        </w:tc>
        <w:tc>
          <w:tcPr>
            <w:tcW w:type="dxa" w:w="1440"/>
          </w:tcPr>
          <w:p>
            <w:pPr>
              <w:spacing w:after="20"/>
              <w:jc w:val="right"/>
            </w:pPr>
            <w:r>
              <w:rPr>
                <w:color w:val="1C3A36"/>
                <w:sz w:val="16"/>
              </w:rPr>
              <w:t>15.30%</w:t>
            </w:r>
          </w:p>
        </w:tc>
        <w:tc>
          <w:tcPr>
            <w:tcW w:type="dxa" w:w="5040"/>
          </w:tcPr>
          <w:p>
            <w:pPr>
              <w:spacing w:after="20"/>
              <w:jc w:val="right"/>
            </w:pPr>
            <w:r>
              <w:rPr>
                <w:color w:val="1C3A36"/>
                <w:sz w:val="16"/>
              </w:rPr>
              <w:t>15.0 → 10.8%, falling at about 0.75 of the central bank's published policy glide from 19.00% to 12.00%. An INPUT.</w:t>
            </w:r>
          </w:p>
        </w:tc>
      </w:tr>
      <w:tr>
        <w:tc>
          <w:tcPr>
            <w:tcW w:type="dxa" w:w="2160"/>
          </w:tcPr>
          <w:p>
            <w:pPr>
              <w:spacing w:after="20"/>
            </w:pPr>
            <w:r>
              <w:rPr>
                <w:b/>
                <w:color w:val="1C3A36"/>
                <w:sz w:val="16"/>
              </w:rPr>
              <w:t>Cost of funds</w:t>
            </w:r>
          </w:p>
        </w:tc>
        <w:tc>
          <w:tcPr>
            <w:tcW w:type="dxa" w:w="1440"/>
          </w:tcPr>
          <w:p>
            <w:pPr>
              <w:spacing w:after="20"/>
              <w:jc w:val="right"/>
            </w:pPr>
            <w:r>
              <w:rPr>
                <w:color w:val="1C3A36"/>
                <w:sz w:val="16"/>
              </w:rPr>
              <w:t>11.22%</w:t>
            </w:r>
          </w:p>
        </w:tc>
        <w:tc>
          <w:tcPr>
            <w:tcW w:type="dxa" w:w="1440"/>
          </w:tcPr>
          <w:p>
            <w:pPr>
              <w:spacing w:after="20"/>
              <w:jc w:val="right"/>
            </w:pPr>
            <w:r>
              <w:rPr>
                <w:color w:val="1C3A36"/>
                <w:sz w:val="16"/>
              </w:rPr>
              <w:t>—</w:t>
            </w:r>
          </w:p>
        </w:tc>
        <w:tc>
          <w:tcPr>
            <w:tcW w:type="dxa" w:w="5040"/>
          </w:tcPr>
          <w:p>
            <w:pPr>
              <w:spacing w:after="20"/>
              <w:jc w:val="right"/>
            </w:pPr>
            <w:r>
              <w:rPr>
                <w:color w:val="1C3A36"/>
                <w:sz w:val="16"/>
              </w:rPr>
              <w:t>10.6 → 7.0%, at about 0.80 of the same glide. Slower than the asset side, which is why the margin compresses. Charged on customers' deposits, due to banks and subordinated financing — the balances that actually bear it, and nothing else. An INPUT.</w:t>
            </w:r>
          </w:p>
        </w:tc>
      </w:tr>
      <w:tr>
        <w:tc>
          <w:tcPr>
            <w:tcW w:type="dxa" w:w="2160"/>
          </w:tcPr>
          <w:p>
            <w:pPr>
              <w:spacing w:after="20"/>
            </w:pPr>
            <w:r>
              <w:rPr>
                <w:b/>
                <w:color w:val="1C3A36"/>
                <w:sz w:val="16"/>
              </w:rPr>
              <w:t>Net interest margin</w:t>
            </w:r>
          </w:p>
        </w:tc>
        <w:tc>
          <w:tcPr>
            <w:tcW w:type="dxa" w:w="1440"/>
          </w:tcPr>
          <w:p>
            <w:pPr>
              <w:spacing w:after="20"/>
              <w:jc w:val="right"/>
            </w:pPr>
            <w:r>
              <w:rPr>
                <w:color w:val="1C3A36"/>
                <w:sz w:val="16"/>
              </w:rPr>
              <w:t>6.64%</w:t>
            </w:r>
          </w:p>
        </w:tc>
        <w:tc>
          <w:tcPr>
            <w:tcW w:type="dxa" w:w="1440"/>
          </w:tcPr>
          <w:p>
            <w:pPr>
              <w:spacing w:after="20"/>
              <w:jc w:val="right"/>
            </w:pPr>
            <w:r>
              <w:rPr>
                <w:color w:val="1C3A36"/>
                <w:sz w:val="16"/>
              </w:rPr>
              <w:t>6.44%</w:t>
            </w:r>
          </w:p>
        </w:tc>
        <w:tc>
          <w:tcPr>
            <w:tcW w:type="dxa" w:w="5040"/>
          </w:tcPr>
          <w:p>
            <w:pPr>
              <w:spacing w:after="20"/>
              <w:jc w:val="right"/>
            </w:pPr>
            <w:r>
              <w:rPr>
                <w:color w:val="1C3A36"/>
                <w:sz w:val="16"/>
              </w:rPr>
              <w:t>AN OUTPUT of the two rows above. 5.94% → 4.81%. It is never typed.</w:t>
            </w:r>
          </w:p>
        </w:tc>
      </w:tr>
      <w:tr>
        <w:tc>
          <w:tcPr>
            <w:tcW w:type="dxa" w:w="2160"/>
          </w:tcPr>
          <w:p>
            <w:pPr>
              <w:spacing w:after="20"/>
            </w:pPr>
            <w:r>
              <w:rPr>
                <w:b/>
                <w:color w:val="1C3A36"/>
                <w:sz w:val="16"/>
              </w:rPr>
              <w:t>Cost of risk</w:t>
            </w:r>
          </w:p>
        </w:tc>
        <w:tc>
          <w:tcPr>
            <w:tcW w:type="dxa" w:w="1440"/>
          </w:tcPr>
          <w:p>
            <w:pPr>
              <w:spacing w:after="20"/>
              <w:jc w:val="right"/>
            </w:pPr>
            <w:r>
              <w:rPr>
                <w:color w:val="1C3A36"/>
                <w:sz w:val="16"/>
              </w:rPr>
              <w:t>1.25%</w:t>
            </w:r>
          </w:p>
        </w:tc>
        <w:tc>
          <w:tcPr>
            <w:tcW w:type="dxa" w:w="1440"/>
          </w:tcPr>
          <w:p>
            <w:pPr>
              <w:spacing w:after="20"/>
              <w:jc w:val="right"/>
            </w:pPr>
            <w:r>
              <w:rPr>
                <w:color w:val="1C3A36"/>
                <w:sz w:val="16"/>
              </w:rPr>
              <w:t>0.003%</w:t>
            </w:r>
          </w:p>
        </w:tc>
        <w:tc>
          <w:tcPr>
            <w:tcW w:type="dxa" w:w="5040"/>
          </w:tcPr>
          <w:p>
            <w:pPr>
              <w:spacing w:after="20"/>
              <w:jc w:val="right"/>
            </w:pPr>
            <w:r>
              <w:rPr>
                <w:color w:val="1C3A36"/>
                <w:sz w:val="16"/>
              </w:rPr>
              <w:t>1.00% in 2026 and 1.30% thereafter — below the 2022-25 mean of 2.09% and far above the six months to June. The single most consequential judgement here.</w:t>
            </w:r>
          </w:p>
        </w:tc>
      </w:tr>
      <w:tr>
        <w:tc>
          <w:tcPr>
            <w:tcW w:type="dxa" w:w="2160"/>
          </w:tcPr>
          <w:p>
            <w:pPr>
              <w:spacing w:after="20"/>
            </w:pPr>
            <w:r>
              <w:rPr>
                <w:b/>
                <w:color w:val="1C3A36"/>
                <w:sz w:val="16"/>
              </w:rPr>
              <w:t>Net fees / average assets</w:t>
            </w:r>
          </w:p>
        </w:tc>
        <w:tc>
          <w:tcPr>
            <w:tcW w:type="dxa" w:w="1440"/>
          </w:tcPr>
          <w:p>
            <w:pPr>
              <w:spacing w:after="20"/>
              <w:jc w:val="right"/>
            </w:pPr>
            <w:r>
              <w:rPr>
                <w:color w:val="1C3A36"/>
                <w:sz w:val="16"/>
              </w:rPr>
              <w:t>0.90%</w:t>
            </w:r>
          </w:p>
        </w:tc>
        <w:tc>
          <w:tcPr>
            <w:tcW w:type="dxa" w:w="1440"/>
          </w:tcPr>
          <w:p>
            <w:pPr>
              <w:spacing w:after="20"/>
              <w:jc w:val="right"/>
            </w:pPr>
            <w:r>
              <w:rPr>
                <w:color w:val="1C3A36"/>
                <w:sz w:val="16"/>
              </w:rPr>
              <w:t>0.80%</w:t>
            </w:r>
          </w:p>
        </w:tc>
        <w:tc>
          <w:tcPr>
            <w:tcW w:type="dxa" w:w="5040"/>
          </w:tcPr>
          <w:p>
            <w:pPr>
              <w:spacing w:after="20"/>
              <w:jc w:val="right"/>
            </w:pPr>
            <w:r>
              <w:rPr>
                <w:color w:val="1C3A36"/>
                <w:sz w:val="16"/>
              </w:rPr>
              <w:t>0.80 → 0.85%, opening at the reviewed half and recovering slowly.</w:t>
            </w:r>
          </w:p>
        </w:tc>
      </w:tr>
      <w:tr>
        <w:tc>
          <w:tcPr>
            <w:tcW w:type="dxa" w:w="2160"/>
          </w:tcPr>
          <w:p>
            <w:pPr>
              <w:spacing w:after="20"/>
            </w:pPr>
            <w:r>
              <w:rPr>
                <w:b/>
                <w:color w:val="1C3A36"/>
                <w:sz w:val="16"/>
              </w:rPr>
              <w:t>Administrative expenses</w:t>
            </w:r>
          </w:p>
        </w:tc>
        <w:tc>
          <w:tcPr>
            <w:tcW w:type="dxa" w:w="1440"/>
          </w:tcPr>
          <w:p>
            <w:pPr>
              <w:spacing w:after="20"/>
              <w:jc w:val="right"/>
            </w:pPr>
            <w:r>
              <w:rPr>
                <w:color w:val="1C3A36"/>
                <w:sz w:val="16"/>
              </w:rPr>
              <w:t>EGP 3.43bn</w:t>
            </w:r>
          </w:p>
        </w:tc>
        <w:tc>
          <w:tcPr>
            <w:tcW w:type="dxa" w:w="1440"/>
          </w:tcPr>
          <w:p>
            <w:pPr>
              <w:spacing w:after="20"/>
              <w:jc w:val="right"/>
            </w:pPr>
            <w:r>
              <w:rPr>
                <w:color w:val="1C3A36"/>
                <w:sz w:val="16"/>
              </w:rPr>
              <w:t>EGP 2.24bn</w:t>
            </w:r>
          </w:p>
        </w:tc>
        <w:tc>
          <w:tcPr>
            <w:tcW w:type="dxa" w:w="5040"/>
          </w:tcPr>
          <w:p>
            <w:pPr>
              <w:spacing w:after="20"/>
              <w:jc w:val="right"/>
            </w:pPr>
            <w:r>
              <w:rPr>
                <w:color w:val="1C3A36"/>
                <w:sz w:val="16"/>
              </w:rPr>
              <w:t>+34% in 2026, then inflation plus about six points. Cost-to-income is an OUTPUT of this and the revenue lines.</w:t>
            </w:r>
          </w:p>
        </w:tc>
      </w:tr>
      <w:tr>
        <w:tc>
          <w:tcPr>
            <w:tcW w:type="dxa" w:w="2160"/>
          </w:tcPr>
          <w:p>
            <w:pPr>
              <w:spacing w:after="20"/>
            </w:pPr>
            <w:r>
              <w:rPr>
                <w:b/>
                <w:color w:val="1C3A36"/>
                <w:sz w:val="16"/>
              </w:rPr>
              <w:t>Effective tax rate</w:t>
            </w:r>
          </w:p>
        </w:tc>
        <w:tc>
          <w:tcPr>
            <w:tcW w:type="dxa" w:w="1440"/>
          </w:tcPr>
          <w:p>
            <w:pPr>
              <w:spacing w:after="20"/>
              <w:jc w:val="right"/>
            </w:pPr>
            <w:r>
              <w:rPr>
                <w:color w:val="1C3A36"/>
                <w:sz w:val="16"/>
              </w:rPr>
              <w:t>27.9%</w:t>
            </w:r>
          </w:p>
        </w:tc>
        <w:tc>
          <w:tcPr>
            <w:tcW w:type="dxa" w:w="1440"/>
          </w:tcPr>
          <w:p>
            <w:pPr>
              <w:spacing w:after="20"/>
              <w:jc w:val="right"/>
            </w:pPr>
            <w:r>
              <w:rPr>
                <w:color w:val="1C3A36"/>
                <w:sz w:val="16"/>
              </w:rPr>
              <w:t>29.6%</w:t>
            </w:r>
          </w:p>
        </w:tc>
        <w:tc>
          <w:tcPr>
            <w:tcW w:type="dxa" w:w="5040"/>
          </w:tcPr>
          <w:p>
            <w:pPr>
              <w:spacing w:after="20"/>
              <w:jc w:val="right"/>
            </w:pPr>
            <w:r>
              <w:rPr>
                <w:color w:val="1C3A36"/>
                <w:sz w:val="16"/>
              </w:rPr>
              <w:t>28.5%, above the 22.5% statutory rate because the withholding on treasury-bill income is not creditable.</w:t>
            </w:r>
          </w:p>
        </w:tc>
      </w:tr>
    </w:tbl>
    <w:p>
      <w:pPr>
        <w:spacing w:after="40"/>
      </w:pPr>
    </w:p>
    <w:p>
      <w:pPr>
        <w:spacing w:after="200" w:before="0"/>
      </w:pPr>
      <w:r>
        <w:rPr>
          <w:b w:val="0"/>
          <w:i/>
          <w:color w:val="6E7B77"/>
          <w:sz w:val="17"/>
        </w:rPr>
        <w:t>Table 6 — the eight drivers, and the three ratios that are outputs of them</w:t>
      </w:r>
    </w:p>
    <w:p>
      <w:pPr>
        <w:spacing w:after="80" w:before="200"/>
      </w:pPr>
      <w:r>
        <w:rPr>
          <w:b/>
          <w:i w:val="0"/>
          <w:color w:val="1C3A36"/>
          <w:sz w:val="24"/>
        </w:rPr>
        <w:t>1.7  The crux</w:t>
      </w:r>
    </w:p>
    <w:p>
      <w:pPr>
        <w:spacing w:after="120" w:before="0"/>
      </w:pPr>
      <w:r>
        <w:rPr>
          <w:b w:val="0"/>
          <w:i w:val="0"/>
          <w:color w:val="1C3A36"/>
          <w:sz w:val="21"/>
        </w:rPr>
        <w:t>Every bank study has one load-bearing tension. ADIB-Egypt's is that the two things making it look cheapest are the two things least likely to persist, and they are both in the same six months of accounts.</w:t>
      </w:r>
    </w:p>
    <w:p>
      <w:pPr>
        <w:spacing w:after="120" w:before="0"/>
      </w:pPr>
      <w:r>
        <w:rPr>
          <w:b w:val="0"/>
          <w:i w:val="0"/>
          <w:color w:val="1C3A36"/>
          <w:sz w:val="21"/>
        </w:rPr>
        <w:t>The June 2026 half printed a 38.6% annualised return on equity and charged 2.176 million of credit losses. Annualise that half and the bank earns about EGP 15.1 billion in 2026 and the shares are on four times earnings. Do it for five years and this study's central is EGP 57.22 a share rather than EGP 44.46. But a half-year at a 0.003% loss rate is not a business model; it is a release, on a book that carried charges of 2.7% of financing in both 2023 and 2024. The bank is growing customer financing at close to 30% a half — new lending does not default in its first year, and the loss charge on it arrives later.</w:t>
      </w:r>
    </w:p>
    <w:p>
      <w:pPr>
        <w:spacing w:after="120" w:before="0"/>
      </w:pPr>
      <w:r>
        <w:rPr>
          <w:b w:val="0"/>
          <w:i w:val="0"/>
          <w:color w:val="1C3A36"/>
          <w:sz w:val="21"/>
        </w:rPr>
        <w:t>The second half of the tension is the capital. Pinning equity at 10.5% of assets while assets grow a third takes EGP 14.1 billion of retained earnings in 2026 alone, against EGP 13.5 billion of profit. The bank has already answered this once, by issuing 300 million new shares at par in the second quarter — which funded the growth and cost existing holders most of the half's book-value gain. A reader who believes the growth should also believe there is more of that to come.</w:t>
      </w:r>
    </w:p>
    <w:p>
      <w:pPr>
        <w:spacing w:after="80" w:before="200"/>
      </w:pPr>
      <w:r>
        <w:rPr>
          <w:b/>
          <w:i w:val="0"/>
          <w:color w:val="1C3A36"/>
          <w:sz w:val="24"/>
        </w:rPr>
        <w:t>1.8  Macro and the cost of capital</w:t>
      </w:r>
    </w:p>
    <w:p>
      <w:pPr>
        <w:spacing w:after="120" w:before="0"/>
      </w:pPr>
      <w:r>
        <w:rPr>
          <w:b w:val="0"/>
          <w:i w:val="0"/>
          <w:color w:val="1C3A36"/>
          <w:sz w:val="21"/>
        </w:rPr>
        <w:t>Every rate in this study comes from one Egyptian macro path, and nothing is set independently of it. The Central Bank of Egypt's own baseline puts average headline inflation at 16.0% in 2026 and 12.0% in 2027; the path to the 7% target-band midpoint is a straight glide between those published endpoints and is labelled as interpolation, not as a forecast anybody published. The policy rate glides with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1238"/>
        <w:gridCol w:w="1238"/>
        <w:gridCol w:w="1238"/>
        <w:gridCol w:w="1238"/>
        <w:gridCol w:w="1238"/>
        <w:gridCol w:w="1238"/>
      </w:tblGrid>
      <w:tr>
        <w:tc>
          <w:tcPr>
            <w:tcW w:type="dxa" w:w="2160"/>
            <w:shd w:val="clear" w:color="auto" w:fill="EAF0EE"/>
          </w:tcPr>
          <w:p>
            <w:pPr>
              <w:spacing w:after="20"/>
            </w:pPr>
            <w:r>
              <w:rPr>
                <w:b/>
                <w:color w:val="1C3A36"/>
                <w:sz w:val="16"/>
              </w:rPr>
            </w:r>
          </w:p>
        </w:tc>
        <w:tc>
          <w:tcPr>
            <w:tcW w:type="dxa" w:w="1238"/>
            <w:shd w:val="clear" w:color="auto" w:fill="EAF0EE"/>
          </w:tcPr>
          <w:p>
            <w:pPr>
              <w:spacing w:after="20"/>
            </w:pPr>
            <w:r>
              <w:rPr>
                <w:b/>
                <w:color w:val="1C3A36"/>
                <w:sz w:val="16"/>
              </w:rPr>
              <w:t>2026</w:t>
            </w:r>
          </w:p>
        </w:tc>
        <w:tc>
          <w:tcPr>
            <w:tcW w:type="dxa" w:w="1238"/>
            <w:shd w:val="clear" w:color="auto" w:fill="EAF0EE"/>
          </w:tcPr>
          <w:p>
            <w:pPr>
              <w:spacing w:after="20"/>
            </w:pPr>
            <w:r>
              <w:rPr>
                <w:b/>
                <w:color w:val="1C3A36"/>
                <w:sz w:val="16"/>
              </w:rPr>
              <w:t>2027</w:t>
            </w:r>
          </w:p>
        </w:tc>
        <w:tc>
          <w:tcPr>
            <w:tcW w:type="dxa" w:w="1238"/>
            <w:shd w:val="clear" w:color="auto" w:fill="EAF0EE"/>
          </w:tcPr>
          <w:p>
            <w:pPr>
              <w:spacing w:after="20"/>
            </w:pPr>
            <w:r>
              <w:rPr>
                <w:b/>
                <w:color w:val="1C3A36"/>
                <w:sz w:val="16"/>
              </w:rPr>
              <w:t>2028</w:t>
            </w:r>
          </w:p>
        </w:tc>
        <w:tc>
          <w:tcPr>
            <w:tcW w:type="dxa" w:w="1238"/>
            <w:shd w:val="clear" w:color="auto" w:fill="EAF0EE"/>
          </w:tcPr>
          <w:p>
            <w:pPr>
              <w:spacing w:after="20"/>
            </w:pPr>
            <w:r>
              <w:rPr>
                <w:b/>
                <w:color w:val="1C3A36"/>
                <w:sz w:val="16"/>
              </w:rPr>
              <w:t>2029</w:t>
            </w:r>
          </w:p>
        </w:tc>
        <w:tc>
          <w:tcPr>
            <w:tcW w:type="dxa" w:w="1238"/>
            <w:shd w:val="clear" w:color="auto" w:fill="EAF0EE"/>
          </w:tcPr>
          <w:p>
            <w:pPr>
              <w:spacing w:after="20"/>
            </w:pPr>
            <w:r>
              <w:rPr>
                <w:b/>
                <w:color w:val="1C3A36"/>
                <w:sz w:val="16"/>
              </w:rPr>
              <w:t>2030</w:t>
            </w:r>
          </w:p>
        </w:tc>
        <w:tc>
          <w:tcPr>
            <w:tcW w:type="dxa" w:w="1238"/>
            <w:shd w:val="clear" w:color="auto" w:fill="EAF0EE"/>
          </w:tcPr>
          <w:p>
            <w:pPr>
              <w:spacing w:after="20"/>
            </w:pPr>
            <w:r>
              <w:rPr>
                <w:b/>
                <w:color w:val="1C3A36"/>
                <w:sz w:val="16"/>
              </w:rPr>
              <w:t>terminal</w:t>
            </w:r>
          </w:p>
        </w:tc>
      </w:tr>
      <w:tr>
        <w:tc>
          <w:tcPr>
            <w:tcW w:type="dxa" w:w="2160"/>
          </w:tcPr>
          <w:p>
            <w:pPr>
              <w:spacing w:after="20"/>
            </w:pPr>
            <w:r>
              <w:rPr>
                <w:b/>
                <w:color w:val="1C3A36"/>
                <w:sz w:val="16"/>
              </w:rPr>
              <w:t>Headline inflation</w:t>
            </w:r>
          </w:p>
        </w:tc>
        <w:tc>
          <w:tcPr>
            <w:tcW w:type="dxa" w:w="1238"/>
          </w:tcPr>
          <w:p>
            <w:pPr>
              <w:spacing w:after="20"/>
              <w:jc w:val="right"/>
            </w:pPr>
            <w:r>
              <w:rPr>
                <w:color w:val="1C3A36"/>
                <w:sz w:val="16"/>
              </w:rPr>
              <w:t>16.0%</w:t>
            </w:r>
          </w:p>
        </w:tc>
        <w:tc>
          <w:tcPr>
            <w:tcW w:type="dxa" w:w="1238"/>
          </w:tcPr>
          <w:p>
            <w:pPr>
              <w:spacing w:after="20"/>
              <w:jc w:val="right"/>
            </w:pPr>
            <w:r>
              <w:rPr>
                <w:color w:val="1C3A36"/>
                <w:sz w:val="16"/>
              </w:rPr>
              <w:t>12.0%</w:t>
            </w:r>
          </w:p>
        </w:tc>
        <w:tc>
          <w:tcPr>
            <w:tcW w:type="dxa" w:w="1238"/>
          </w:tcPr>
          <w:p>
            <w:pPr>
              <w:spacing w:after="20"/>
              <w:jc w:val="right"/>
            </w:pPr>
            <w:r>
              <w:rPr>
                <w:color w:val="1C3A36"/>
                <w:sz w:val="16"/>
              </w:rPr>
              <w:t>9.0%</w:t>
            </w:r>
          </w:p>
        </w:tc>
        <w:tc>
          <w:tcPr>
            <w:tcW w:type="dxa" w:w="1238"/>
          </w:tcPr>
          <w:p>
            <w:pPr>
              <w:spacing w:after="20"/>
              <w:jc w:val="right"/>
            </w:pPr>
            <w:r>
              <w:rPr>
                <w:color w:val="1C3A36"/>
                <w:sz w:val="16"/>
              </w:rPr>
              <w:t>7.5%</w:t>
            </w:r>
          </w:p>
        </w:tc>
        <w:tc>
          <w:tcPr>
            <w:tcW w:type="dxa" w:w="1238"/>
          </w:tcPr>
          <w:p>
            <w:pPr>
              <w:spacing w:after="20"/>
              <w:jc w:val="right"/>
            </w:pPr>
            <w:r>
              <w:rPr>
                <w:color w:val="1C3A36"/>
                <w:sz w:val="16"/>
              </w:rPr>
              <w:t>7.0%</w:t>
            </w:r>
          </w:p>
        </w:tc>
        <w:tc>
          <w:tcPr>
            <w:tcW w:type="dxa" w:w="1238"/>
          </w:tcPr>
          <w:p>
            <w:pPr>
              <w:spacing w:after="20"/>
              <w:jc w:val="right"/>
            </w:pPr>
            <w:r>
              <w:rPr>
                <w:color w:val="1C3A36"/>
                <w:sz w:val="16"/>
              </w:rPr>
              <w:t>7.0%</w:t>
            </w:r>
          </w:p>
        </w:tc>
      </w:tr>
      <w:tr>
        <w:tc>
          <w:tcPr>
            <w:tcW w:type="dxa" w:w="2160"/>
          </w:tcPr>
          <w:p>
            <w:pPr>
              <w:spacing w:after="20"/>
            </w:pPr>
            <w:r>
              <w:rPr>
                <w:b/>
                <w:color w:val="1C3A36"/>
                <w:sz w:val="16"/>
              </w:rPr>
              <w:t>Overnight deposit rate</w:t>
            </w:r>
          </w:p>
        </w:tc>
        <w:tc>
          <w:tcPr>
            <w:tcW w:type="dxa" w:w="1238"/>
          </w:tcPr>
          <w:p>
            <w:pPr>
              <w:spacing w:after="20"/>
              <w:jc w:val="right"/>
            </w:pPr>
            <w:r>
              <w:rPr>
                <w:color w:val="1C3A36"/>
                <w:sz w:val="16"/>
              </w:rPr>
              <w:t>19.00%</w:t>
            </w:r>
          </w:p>
        </w:tc>
        <w:tc>
          <w:tcPr>
            <w:tcW w:type="dxa" w:w="1238"/>
          </w:tcPr>
          <w:p>
            <w:pPr>
              <w:spacing w:after="20"/>
              <w:jc w:val="right"/>
            </w:pPr>
            <w:r>
              <w:rPr>
                <w:color w:val="1C3A36"/>
                <w:sz w:val="16"/>
              </w:rPr>
              <w:t>16.50%</w:t>
            </w:r>
          </w:p>
        </w:tc>
        <w:tc>
          <w:tcPr>
            <w:tcW w:type="dxa" w:w="1238"/>
          </w:tcPr>
          <w:p>
            <w:pPr>
              <w:spacing w:after="20"/>
              <w:jc w:val="right"/>
            </w:pPr>
            <w:r>
              <w:rPr>
                <w:color w:val="1C3A36"/>
                <w:sz w:val="16"/>
              </w:rPr>
              <w:t>14.50%</w:t>
            </w:r>
          </w:p>
        </w:tc>
        <w:tc>
          <w:tcPr>
            <w:tcW w:type="dxa" w:w="1238"/>
          </w:tcPr>
          <w:p>
            <w:pPr>
              <w:spacing w:after="20"/>
              <w:jc w:val="right"/>
            </w:pPr>
            <w:r>
              <w:rPr>
                <w:color w:val="1C3A36"/>
                <w:sz w:val="16"/>
              </w:rPr>
              <w:t>13.00%</w:t>
            </w:r>
          </w:p>
        </w:tc>
        <w:tc>
          <w:tcPr>
            <w:tcW w:type="dxa" w:w="1238"/>
          </w:tcPr>
          <w:p>
            <w:pPr>
              <w:spacing w:after="20"/>
              <w:jc w:val="right"/>
            </w:pPr>
            <w:r>
              <w:rPr>
                <w:color w:val="1C3A36"/>
                <w:sz w:val="16"/>
              </w:rPr>
              <w:t>12.00%</w:t>
            </w:r>
          </w:p>
        </w:tc>
        <w:tc>
          <w:tcPr>
            <w:tcW w:type="dxa" w:w="1238"/>
          </w:tcPr>
          <w:p>
            <w:pPr>
              <w:spacing w:after="20"/>
              <w:jc w:val="right"/>
            </w:pPr>
            <w:r>
              <w:rPr>
                <w:color w:val="1C3A36"/>
                <w:sz w:val="16"/>
              </w:rPr>
              <w:t>—</w:t>
            </w:r>
          </w:p>
        </w:tc>
      </w:tr>
      <w:tr>
        <w:tc>
          <w:tcPr>
            <w:tcW w:type="dxa" w:w="2160"/>
          </w:tcPr>
          <w:p>
            <w:pPr>
              <w:spacing w:after="20"/>
            </w:pPr>
            <w:r>
              <w:rPr>
                <w:b/>
                <w:color w:val="1C3A36"/>
                <w:sz w:val="16"/>
              </w:rPr>
              <w:t>Cost of equity used</w:t>
            </w:r>
          </w:p>
        </w:tc>
        <w:tc>
          <w:tcPr>
            <w:tcW w:type="dxa" w:w="1238"/>
          </w:tcPr>
          <w:p>
            <w:pPr>
              <w:spacing w:after="20"/>
              <w:jc w:val="right"/>
            </w:pPr>
            <w:r>
              <w:rPr>
                <w:color w:val="1C3A36"/>
                <w:sz w:val="16"/>
              </w:rPr>
              <w:t>27.49%</w:t>
            </w:r>
          </w:p>
        </w:tc>
        <w:tc>
          <w:tcPr>
            <w:tcW w:type="dxa" w:w="1238"/>
          </w:tcPr>
          <w:p>
            <w:pPr>
              <w:spacing w:after="20"/>
              <w:jc w:val="right"/>
            </w:pPr>
            <w:r>
              <w:rPr>
                <w:color w:val="1C3A36"/>
                <w:sz w:val="16"/>
              </w:rPr>
              <w:t>25.55%</w:t>
            </w:r>
          </w:p>
        </w:tc>
        <w:tc>
          <w:tcPr>
            <w:tcW w:type="dxa" w:w="1238"/>
          </w:tcPr>
          <w:p>
            <w:pPr>
              <w:spacing w:after="20"/>
              <w:jc w:val="right"/>
            </w:pPr>
            <w:r>
              <w:rPr>
                <w:color w:val="1C3A36"/>
                <w:sz w:val="16"/>
              </w:rPr>
              <w:t>23.62%</w:t>
            </w:r>
          </w:p>
        </w:tc>
        <w:tc>
          <w:tcPr>
            <w:tcW w:type="dxa" w:w="1238"/>
          </w:tcPr>
          <w:p>
            <w:pPr>
              <w:spacing w:after="20"/>
              <w:jc w:val="right"/>
            </w:pPr>
            <w:r>
              <w:rPr>
                <w:color w:val="1C3A36"/>
                <w:sz w:val="16"/>
              </w:rPr>
              <w:t>21.69%</w:t>
            </w:r>
          </w:p>
        </w:tc>
        <w:tc>
          <w:tcPr>
            <w:tcW w:type="dxa" w:w="1238"/>
          </w:tcPr>
          <w:p>
            <w:pPr>
              <w:spacing w:after="20"/>
              <w:jc w:val="right"/>
            </w:pPr>
            <w:r>
              <w:rPr>
                <w:color w:val="1C3A36"/>
                <w:sz w:val="16"/>
              </w:rPr>
              <w:t>19.76%</w:t>
            </w:r>
          </w:p>
        </w:tc>
        <w:tc>
          <w:tcPr>
            <w:tcW w:type="dxa" w:w="1238"/>
          </w:tcPr>
          <w:p>
            <w:pPr>
              <w:spacing w:after="20"/>
              <w:jc w:val="right"/>
            </w:pPr>
            <w:r>
              <w:rPr>
                <w:color w:val="1C3A36"/>
                <w:sz w:val="16"/>
              </w:rPr>
              <w:t>17.82%</w:t>
            </w:r>
          </w:p>
        </w:tc>
      </w:tr>
    </w:tbl>
    <w:p>
      <w:pPr>
        <w:spacing w:after="40"/>
      </w:pPr>
    </w:p>
    <w:p>
      <w:pPr>
        <w:spacing w:after="200" w:before="0"/>
      </w:pPr>
      <w:r>
        <w:rPr>
          <w:b w:val="0"/>
          <w:i/>
          <w:color w:val="6E7B77"/>
          <w:sz w:val="17"/>
        </w:rPr>
        <w:t>Table 7 — one path, and the discount rate that glides with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00"/>
        <w:gridCol w:w="1224"/>
        <w:gridCol w:w="5256"/>
      </w:tblGrid>
      <w:tr>
        <w:tc>
          <w:tcPr>
            <w:tcW w:type="dxa" w:w="3600"/>
            <w:shd w:val="clear" w:color="auto" w:fill="EAF0EE"/>
          </w:tcPr>
          <w:p>
            <w:pPr>
              <w:spacing w:after="20"/>
            </w:pPr>
            <w:r>
              <w:rPr>
                <w:b/>
                <w:color w:val="1C3A36"/>
                <w:sz w:val="16"/>
              </w:rPr>
              <w:t>Cost of equity</w:t>
            </w:r>
          </w:p>
        </w:tc>
        <w:tc>
          <w:tcPr>
            <w:tcW w:type="dxa" w:w="1224"/>
            <w:shd w:val="clear" w:color="auto" w:fill="EAF0EE"/>
          </w:tcPr>
          <w:p>
            <w:pPr>
              <w:spacing w:after="20"/>
            </w:pPr>
            <w:r>
              <w:rPr>
                <w:b/>
                <w:color w:val="1C3A36"/>
                <w:sz w:val="16"/>
              </w:rPr>
              <w:t>Rate</w:t>
            </w:r>
          </w:p>
        </w:tc>
        <w:tc>
          <w:tcPr>
            <w:tcW w:type="dxa" w:w="5256"/>
            <w:shd w:val="clear" w:color="auto" w:fill="EAF0EE"/>
          </w:tcPr>
          <w:p>
            <w:pPr>
              <w:spacing w:after="20"/>
            </w:pPr>
            <w:r>
              <w:rPr>
                <w:b/>
                <w:color w:val="1C3A36"/>
                <w:sz w:val="16"/>
              </w:rPr>
              <w:t>Where it comes from</w:t>
            </w:r>
          </w:p>
        </w:tc>
      </w:tr>
      <w:tr>
        <w:tc>
          <w:tcPr>
            <w:tcW w:type="dxa" w:w="3600"/>
          </w:tcPr>
          <w:p>
            <w:pPr>
              <w:spacing w:after="20"/>
            </w:pPr>
            <w:r>
              <w:rPr>
                <w:b/>
                <w:color w:val="1C3A36"/>
                <w:sz w:val="16"/>
              </w:rPr>
              <w:t>Egyptian ten-year local-currency yield</w:t>
            </w:r>
          </w:p>
        </w:tc>
        <w:tc>
          <w:tcPr>
            <w:tcW w:type="dxa" w:w="1224"/>
          </w:tcPr>
          <w:p>
            <w:pPr>
              <w:spacing w:after="20"/>
              <w:jc w:val="right"/>
            </w:pPr>
            <w:r>
              <w:rPr>
                <w:color w:val="1C3A36"/>
                <w:sz w:val="16"/>
              </w:rPr>
              <w:t>23.00%</w:t>
            </w:r>
          </w:p>
        </w:tc>
        <w:tc>
          <w:tcPr>
            <w:tcW w:type="dxa" w:w="5256"/>
          </w:tcPr>
          <w:p>
            <w:pPr>
              <w:spacing w:after="20"/>
              <w:jc w:val="right"/>
            </w:pPr>
            <w:r>
              <w:rPr>
                <w:color w:val="1C3A36"/>
                <w:sz w:val="16"/>
              </w:rPr>
              <w:t>market quote of 6 August 2026</w:t>
            </w:r>
          </w:p>
        </w:tc>
      </w:tr>
      <w:tr>
        <w:tc>
          <w:tcPr>
            <w:tcW w:type="dxa" w:w="3600"/>
          </w:tcPr>
          <w:p>
            <w:pPr>
              <w:spacing w:after="20"/>
            </w:pPr>
            <w:r>
              <w:rPr>
                <w:b/>
                <w:color w:val="1C3A36"/>
                <w:sz w:val="16"/>
              </w:rPr>
              <w:t>less the sovereign default spread</w:t>
            </w:r>
          </w:p>
        </w:tc>
        <w:tc>
          <w:tcPr>
            <w:tcW w:type="dxa" w:w="1224"/>
          </w:tcPr>
          <w:p>
            <w:pPr>
              <w:spacing w:after="20"/>
              <w:jc w:val="right"/>
            </w:pPr>
            <w:r>
              <w:rPr>
                <w:color w:val="1C3A36"/>
                <w:sz w:val="16"/>
              </w:rPr>
              <w:t>(3.42%)</w:t>
            </w:r>
          </w:p>
        </w:tc>
        <w:tc>
          <w:tcPr>
            <w:tcW w:type="dxa" w:w="5256"/>
          </w:tcPr>
          <w:p>
            <w:pPr>
              <w:spacing w:after="20"/>
              <w:jc w:val="right"/>
            </w:pPr>
            <w:r>
              <w:rPr>
                <w:color w:val="1C3A36"/>
                <w:sz w:val="16"/>
              </w:rPr>
              <w:t>so the country's own risk is charged once, not twice — it is already inside the equity premium</w:t>
            </w:r>
          </w:p>
        </w:tc>
      </w:tr>
      <w:tr>
        <w:tc>
          <w:tcPr>
            <w:tcW w:type="dxa" w:w="3600"/>
          </w:tcPr>
          <w:p>
            <w:pPr>
              <w:spacing w:after="20"/>
            </w:pPr>
            <w:r>
              <w:rPr>
                <w:b/>
                <w:color w:val="1C3A36"/>
                <w:sz w:val="16"/>
              </w:rPr>
              <w:t>= normalised risk-free rate</w:t>
            </w:r>
          </w:p>
        </w:tc>
        <w:tc>
          <w:tcPr>
            <w:tcW w:type="dxa" w:w="1224"/>
          </w:tcPr>
          <w:p>
            <w:pPr>
              <w:spacing w:after="20"/>
              <w:jc w:val="right"/>
            </w:pPr>
            <w:r>
              <w:rPr>
                <w:color w:val="1C3A36"/>
                <w:sz w:val="16"/>
              </w:rPr>
              <w:t>19.58%</w:t>
            </w:r>
          </w:p>
        </w:tc>
        <w:tc>
          <w:tcPr>
            <w:tcW w:type="dxa" w:w="5256"/>
          </w:tcPr>
          <w:p>
            <w:pPr>
              <w:spacing w:after="20"/>
              <w:jc w:val="right"/>
            </w:pPr>
            <w:r>
              <w:rPr>
                <w:color w:val="1C3A36"/>
                <w:sz w:val="16"/>
              </w:rPr>
              <w:t>derived</w:t>
            </w:r>
          </w:p>
        </w:tc>
      </w:tr>
      <w:tr>
        <w:tc>
          <w:tcPr>
            <w:tcW w:type="dxa" w:w="3600"/>
          </w:tcPr>
          <w:p>
            <w:pPr>
              <w:spacing w:after="20"/>
            </w:pPr>
            <w:r>
              <w:rPr>
                <w:b/>
                <w:color w:val="1C3A36"/>
                <w:sz w:val="16"/>
              </w:rPr>
              <w:t>Beta against the EGX30 index</w:t>
            </w:r>
          </w:p>
        </w:tc>
        <w:tc>
          <w:tcPr>
            <w:tcW w:type="dxa" w:w="1224"/>
          </w:tcPr>
          <w:p>
            <w:pPr>
              <w:spacing w:after="20"/>
              <w:jc w:val="right"/>
            </w:pPr>
            <w:r>
              <w:rPr>
                <w:color w:val="1C3A36"/>
                <w:sz w:val="16"/>
              </w:rPr>
              <w:t>1.0747</w:t>
            </w:r>
          </w:p>
        </w:tc>
        <w:tc>
          <w:tcPr>
            <w:tcW w:type="dxa" w:w="5256"/>
          </w:tcPr>
          <w:p>
            <w:pPr>
              <w:spacing w:after="20"/>
              <w:jc w:val="right"/>
            </w:pPr>
            <w:r>
              <w:rPr>
                <w:color w:val="1C3A36"/>
                <w:sz w:val="16"/>
              </w:rPr>
              <w:t>own-stock weekly regression, 256 observations over 4.9 years to 2026-08-20, R-squared 0.248, standard error 0.1634</w:t>
            </w:r>
          </w:p>
        </w:tc>
      </w:tr>
      <w:tr>
        <w:tc>
          <w:tcPr>
            <w:tcW w:type="dxa" w:w="3600"/>
          </w:tcPr>
          <w:p>
            <w:pPr>
              <w:spacing w:after="20"/>
            </w:pPr>
            <w:r>
              <w:rPr>
                <w:b/>
                <w:color w:val="1C3A36"/>
                <w:sz w:val="16"/>
              </w:rPr>
              <w:t>of which the MATURE equity premium</w:t>
            </w:r>
          </w:p>
        </w:tc>
        <w:tc>
          <w:tcPr>
            <w:tcW w:type="dxa" w:w="1224"/>
          </w:tcPr>
          <w:p>
            <w:pPr>
              <w:spacing w:after="20"/>
              <w:jc w:val="right"/>
            </w:pPr>
            <w:r>
              <w:rPr>
                <w:color w:val="1C3A36"/>
                <w:sz w:val="16"/>
              </w:rPr>
              <w:t>4.32%</w:t>
            </w:r>
          </w:p>
        </w:tc>
        <w:tc>
          <w:tcPr>
            <w:tcW w:type="dxa" w:w="5256"/>
          </w:tcPr>
          <w:p>
            <w:pPr>
              <w:spacing w:after="20"/>
              <w:jc w:val="right"/>
            </w:pPr>
            <w:r>
              <w:rPr>
                <w:color w:val="1C3A36"/>
                <w:sz w:val="16"/>
              </w:rPr>
              <w:t>the total Egyptian premium of 9.52% less the country leg below. Beta multiplies THIS and nothing else</w:t>
            </w:r>
          </w:p>
        </w:tc>
      </w:tr>
      <w:tr>
        <w:tc>
          <w:tcPr>
            <w:tcW w:type="dxa" w:w="3600"/>
          </w:tcPr>
          <w:p>
            <w:pPr>
              <w:spacing w:after="20"/>
            </w:pPr>
            <w:r>
              <w:rPr>
                <w:b/>
                <w:color w:val="1C3A36"/>
                <w:sz w:val="16"/>
              </w:rPr>
              <w:t>times the beta above</w:t>
            </w:r>
          </w:p>
        </w:tc>
        <w:tc>
          <w:tcPr>
            <w:tcW w:type="dxa" w:w="1224"/>
          </w:tcPr>
          <w:p>
            <w:pPr>
              <w:spacing w:after="20"/>
              <w:jc w:val="right"/>
            </w:pPr>
            <w:r>
              <w:rPr>
                <w:color w:val="1C3A36"/>
                <w:sz w:val="16"/>
              </w:rPr>
              <w:t>4.64%</w:t>
            </w:r>
          </w:p>
        </w:tc>
        <w:tc>
          <w:tcPr>
            <w:tcW w:type="dxa" w:w="5256"/>
          </w:tcPr>
          <w:p>
            <w:pPr>
              <w:spacing w:after="20"/>
              <w:jc w:val="right"/>
            </w:pPr>
            <w:r>
              <w:rPr>
                <w:color w:val="1C3A36"/>
                <w:sz w:val="16"/>
              </w:rPr>
              <w:t>derived</w:t>
            </w:r>
          </w:p>
        </w:tc>
      </w:tr>
      <w:tr>
        <w:tc>
          <w:tcPr>
            <w:tcW w:type="dxa" w:w="3600"/>
          </w:tcPr>
          <w:p>
            <w:pPr>
              <w:spacing w:after="20"/>
            </w:pPr>
            <w:r>
              <w:rPr>
                <w:b/>
                <w:color w:val="1C3A36"/>
                <w:sz w:val="16"/>
              </w:rPr>
              <w:t>plus the country premium, charged FLAT and once</w:t>
            </w:r>
          </w:p>
        </w:tc>
        <w:tc>
          <w:tcPr>
            <w:tcW w:type="dxa" w:w="1224"/>
          </w:tcPr>
          <w:p>
            <w:pPr>
              <w:spacing w:after="20"/>
              <w:jc w:val="right"/>
            </w:pPr>
            <w:r>
              <w:rPr>
                <w:color w:val="1C3A36"/>
                <w:sz w:val="16"/>
              </w:rPr>
              <w:t>5.20%</w:t>
            </w:r>
          </w:p>
        </w:tc>
        <w:tc>
          <w:tcPr>
            <w:tcW w:type="dxa" w:w="5256"/>
          </w:tcPr>
          <w:p>
            <w:pPr>
              <w:spacing w:after="20"/>
              <w:jc w:val="right"/>
            </w:pPr>
            <w:r>
              <w:rPr>
                <w:color w:val="1C3A36"/>
                <w:sz w:val="16"/>
              </w:rPr>
              <w:t>the sovereign default spread scaled to equity volatility. Country risk is a charge on being here; it does not scale with a share's covariance, so it is added beside beta rather than multiplied through it</w:t>
            </w:r>
          </w:p>
        </w:tc>
      </w:tr>
      <w:tr>
        <w:tc>
          <w:tcPr>
            <w:tcW w:type="dxa" w:w="3600"/>
          </w:tcPr>
          <w:p>
            <w:pPr>
              <w:spacing w:after="20"/>
            </w:pPr>
            <w:r>
              <w:rPr>
                <w:b/>
                <w:color w:val="1C3A36"/>
                <w:sz w:val="16"/>
              </w:rPr>
              <w:t>= COST OF EQUITY</w:t>
            </w:r>
          </w:p>
        </w:tc>
        <w:tc>
          <w:tcPr>
            <w:tcW w:type="dxa" w:w="1224"/>
          </w:tcPr>
          <w:p>
            <w:pPr>
              <w:spacing w:after="20"/>
              <w:jc w:val="right"/>
            </w:pPr>
            <w:r>
              <w:rPr>
                <w:color w:val="1C3A36"/>
                <w:sz w:val="16"/>
              </w:rPr>
              <w:t>29.42%</w:t>
            </w:r>
          </w:p>
        </w:tc>
        <w:tc>
          <w:tcPr>
            <w:tcW w:type="dxa" w:w="5256"/>
          </w:tcPr>
          <w:p>
            <w:pPr>
              <w:spacing w:after="20"/>
              <w:jc w:val="right"/>
            </w:pPr>
            <w:r>
              <w:rPr>
                <w:color w:val="1C3A36"/>
                <w:sz w:val="16"/>
              </w:rPr>
              <w:t>the rate used in the first forecast year</w:t>
            </w:r>
          </w:p>
        </w:tc>
      </w:tr>
      <w:tr>
        <w:tc>
          <w:tcPr>
            <w:tcW w:type="dxa" w:w="3600"/>
          </w:tcPr>
          <w:p>
            <w:pPr>
              <w:spacing w:after="20"/>
            </w:pPr>
            <w:r>
              <w:rPr>
                <w:b/>
                <w:color w:val="1C3A36"/>
                <w:sz w:val="16"/>
              </w:rPr>
              <w:t>Terminal cost of equity</w:t>
            </w:r>
          </w:p>
        </w:tc>
        <w:tc>
          <w:tcPr>
            <w:tcW w:type="dxa" w:w="1224"/>
          </w:tcPr>
          <w:p>
            <w:pPr>
              <w:spacing w:after="20"/>
              <w:jc w:val="right"/>
            </w:pPr>
            <w:r>
              <w:rPr>
                <w:color w:val="1C3A36"/>
                <w:sz w:val="16"/>
              </w:rPr>
              <w:t>17.82%</w:t>
            </w:r>
          </w:p>
        </w:tc>
        <w:tc>
          <w:tcPr>
            <w:tcW w:type="dxa" w:w="5256"/>
          </w:tcPr>
          <w:p>
            <w:pPr>
              <w:spacing w:after="20"/>
              <w:jc w:val="right"/>
            </w:pPr>
            <w:r>
              <w:rPr>
                <w:color w:val="1C3A36"/>
                <w:sz w:val="16"/>
              </w:rPr>
              <w:t>a 10.50% terminal risk-free rate — itself derived as 7.0% terminal inflation plus a 3.5% real convention — plus the same beta times a normalised 7.0% premium</w:t>
            </w:r>
          </w:p>
        </w:tc>
      </w:tr>
    </w:tbl>
    <w:p>
      <w:pPr>
        <w:spacing w:after="40"/>
      </w:pPr>
    </w:p>
    <w:p>
      <w:pPr>
        <w:spacing w:after="200" w:before="0"/>
      </w:pPr>
      <w:r>
        <w:rPr>
          <w:b w:val="0"/>
          <w:i/>
          <w:color w:val="6E7B77"/>
          <w:sz w:val="17"/>
        </w:rPr>
        <w:t>Table 8 — the cost of equity, built rather than quoted</w:t>
      </w:r>
    </w:p>
    <w:p>
      <w:pPr>
        <w:spacing w:after="120" w:before="0"/>
      </w:pPr>
      <w:r>
        <w:rPr>
          <w:b w:val="0"/>
          <w:i w:val="0"/>
          <w:color w:val="1C3A36"/>
          <w:sz w:val="21"/>
        </w:rPr>
        <w:t>EVERY CONTESTED CONSTRUCTION, PRICED. Built on the rating basis instead — a different column of the same source — the cost of equity is 30.84%, 142 basis points away, which is reassuring because the two are made of different inputs. Charging the raw yield AND a country-loaded premium, which is the construction this house retired, would give 33.23% and would be counting Egypt's default risk twice. And the market's own implied cost of equity, inverted from the 1.79 times book it is paying against the June half's return, is 24.62% — 480 basis points below the rate this study uses. That gap is a real disagreement and the study does not resolve it in its own favour.</w:t>
      </w:r>
    </w:p>
    <w:tbl>
      <w:tblPr>
        <w:tblW w:type="auto" w:w="0"/>
        <w:tblLook w:firstColumn="1" w:firstRow="1" w:lastColumn="0" w:lastRow="0" w:noHBand="0" w:noVBand="1" w:val="04A0"/>
        <w:tblLayout w:type="fixed"/>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color w:val="1C3A36"/>
                <w:sz w:val="19"/>
              </w:rPr>
              <w:t>ONE INPUT IN THIS STUDY IS STALE AND IT IS THE MOST IMPORTANT ONE. The Egyptian ten-year yield of 23.00% is dated 6 August 2026 — 34 days before the price this study is struck against, and beyond the fortnight this house allows such a quote to stand. A live re-source was attempted on 9 September down four routes and all four failed: the central bank's bond-auction pages return an error, its data endpoint returns the website rather than the data, and two market-data providers render their yield tables in a way that cannot be read without a browser. The only recent evidence found is that the same yield averaged 21.29% between late April and late May 2026, which is 171 basis points BELOW what this study is carrying. At that rate the central would be EGP 53.99 rather than EGP 44.46. The rate is carried, the staleness is declared, the sensitivity is in 1.9, and a current quote is the first thing this study would want.</w:t>
            </w:r>
          </w:p>
        </w:tc>
      </w:tr>
    </w:tbl>
    <w:p>
      <w:pPr>
        <w:spacing w:after="40"/>
      </w:pPr>
    </w:p>
    <w:p>
      <w:pPr>
        <w:spacing w:after="80" w:before="200"/>
      </w:pPr>
      <w:r>
        <w:rPr>
          <w:b/>
          <w:i w:val="0"/>
          <w:color w:val="1C3A36"/>
          <w:sz w:val="24"/>
        </w:rPr>
        <w:t>1.9  Sensitivity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2016"/>
        <w:gridCol w:w="1728"/>
      </w:tblGrid>
      <w:tr>
        <w:tc>
          <w:tcPr>
            <w:tcW w:type="dxa" w:w="3744"/>
            <w:shd w:val="clear" w:color="auto" w:fill="EAF0EE"/>
          </w:tcPr>
          <w:p>
            <w:pPr>
              <w:spacing w:after="20"/>
            </w:pPr>
            <w:r>
              <w:rPr>
                <w:b/>
                <w:color w:val="1C3A36"/>
                <w:sz w:val="17"/>
              </w:rPr>
              <w:t>Move</w:t>
            </w:r>
          </w:p>
        </w:tc>
        <w:tc>
          <w:tcPr>
            <w:tcW w:type="dxa" w:w="2016"/>
            <w:shd w:val="clear" w:color="auto" w:fill="EAF0EE"/>
          </w:tcPr>
          <w:p>
            <w:pPr>
              <w:spacing w:after="20"/>
            </w:pPr>
            <w:r>
              <w:rPr>
                <w:b/>
                <w:color w:val="1C3A36"/>
                <w:sz w:val="17"/>
              </w:rPr>
              <w:t>Central</w:t>
            </w:r>
          </w:p>
        </w:tc>
        <w:tc>
          <w:tcPr>
            <w:tcW w:type="dxa" w:w="1728"/>
            <w:shd w:val="clear" w:color="auto" w:fill="EAF0EE"/>
          </w:tcPr>
          <w:p>
            <w:pPr>
              <w:spacing w:after="20"/>
            </w:pPr>
            <w:r>
              <w:rPr>
                <w:b/>
                <w:color w:val="1C3A36"/>
                <w:sz w:val="17"/>
              </w:rPr>
              <w:t>Change</w:t>
            </w:r>
          </w:p>
        </w:tc>
      </w:tr>
      <w:tr>
        <w:tc>
          <w:tcPr>
            <w:tcW w:type="dxa" w:w="3744"/>
          </w:tcPr>
          <w:p>
            <w:pPr>
              <w:spacing w:after="20"/>
            </w:pPr>
            <w:r>
              <w:rPr>
                <w:b/>
                <w:color w:val="1C3A36"/>
                <w:sz w:val="17"/>
              </w:rPr>
              <w:t>cost of risk +50bp</w:t>
            </w:r>
          </w:p>
        </w:tc>
        <w:tc>
          <w:tcPr>
            <w:tcW w:type="dxa" w:w="2016"/>
          </w:tcPr>
          <w:p>
            <w:pPr>
              <w:spacing w:after="20"/>
              <w:jc w:val="right"/>
            </w:pPr>
            <w:r>
              <w:rPr>
                <w:color w:val="1C3A36"/>
                <w:sz w:val="17"/>
              </w:rPr>
              <w:t>EGP 39.46</w:t>
            </w:r>
          </w:p>
        </w:tc>
        <w:tc>
          <w:tcPr>
            <w:tcW w:type="dxa" w:w="1728"/>
          </w:tcPr>
          <w:p>
            <w:pPr>
              <w:spacing w:after="20"/>
              <w:jc w:val="right"/>
            </w:pPr>
            <w:r>
              <w:rPr>
                <w:color w:val="1C3A36"/>
                <w:sz w:val="17"/>
              </w:rPr>
              <w:t>-11.2%</w:t>
            </w:r>
          </w:p>
        </w:tc>
      </w:tr>
      <w:tr>
        <w:tc>
          <w:tcPr>
            <w:tcW w:type="dxa" w:w="3744"/>
          </w:tcPr>
          <w:p>
            <w:pPr>
              <w:spacing w:after="20"/>
            </w:pPr>
            <w:r>
              <w:rPr>
                <w:b/>
                <w:color w:val="1C3A36"/>
                <w:sz w:val="17"/>
              </w:rPr>
              <w:t>cost of risk -50bp</w:t>
            </w:r>
          </w:p>
        </w:tc>
        <w:tc>
          <w:tcPr>
            <w:tcW w:type="dxa" w:w="2016"/>
          </w:tcPr>
          <w:p>
            <w:pPr>
              <w:spacing w:after="20"/>
              <w:jc w:val="right"/>
            </w:pPr>
            <w:r>
              <w:rPr>
                <w:color w:val="1C3A36"/>
                <w:sz w:val="17"/>
              </w:rPr>
              <w:t>EGP 49.46</w:t>
            </w:r>
          </w:p>
        </w:tc>
        <w:tc>
          <w:tcPr>
            <w:tcW w:type="dxa" w:w="1728"/>
          </w:tcPr>
          <w:p>
            <w:pPr>
              <w:spacing w:after="20"/>
              <w:jc w:val="right"/>
            </w:pPr>
            <w:r>
              <w:rPr>
                <w:color w:val="1C3A36"/>
                <w:sz w:val="17"/>
              </w:rPr>
              <w:t>11.2%</w:t>
            </w:r>
          </w:p>
        </w:tc>
      </w:tr>
      <w:tr>
        <w:tc>
          <w:tcPr>
            <w:tcW w:type="dxa" w:w="3744"/>
          </w:tcPr>
          <w:p>
            <w:pPr>
              <w:spacing w:after="20"/>
            </w:pPr>
            <w:r>
              <w:rPr>
                <w:b/>
                <w:color w:val="1C3A36"/>
                <w:sz w:val="17"/>
              </w:rPr>
              <w:t>asset yield -50bp</w:t>
            </w:r>
          </w:p>
        </w:tc>
        <w:tc>
          <w:tcPr>
            <w:tcW w:type="dxa" w:w="2016"/>
          </w:tcPr>
          <w:p>
            <w:pPr>
              <w:spacing w:after="20"/>
              <w:jc w:val="right"/>
            </w:pPr>
            <w:r>
              <w:rPr>
                <w:color w:val="1C3A36"/>
                <w:sz w:val="17"/>
              </w:rPr>
              <w:t>EGP 34.57</w:t>
            </w:r>
          </w:p>
        </w:tc>
        <w:tc>
          <w:tcPr>
            <w:tcW w:type="dxa" w:w="1728"/>
          </w:tcPr>
          <w:p>
            <w:pPr>
              <w:spacing w:after="20"/>
              <w:jc w:val="right"/>
            </w:pPr>
            <w:r>
              <w:rPr>
                <w:color w:val="1C3A36"/>
                <w:sz w:val="17"/>
              </w:rPr>
              <w:t>-22.2%</w:t>
            </w:r>
          </w:p>
        </w:tc>
      </w:tr>
      <w:tr>
        <w:tc>
          <w:tcPr>
            <w:tcW w:type="dxa" w:w="3744"/>
          </w:tcPr>
          <w:p>
            <w:pPr>
              <w:spacing w:after="20"/>
            </w:pPr>
            <w:r>
              <w:rPr>
                <w:b/>
                <w:color w:val="1C3A36"/>
                <w:sz w:val="17"/>
              </w:rPr>
              <w:t>asset yield +50bp</w:t>
            </w:r>
          </w:p>
        </w:tc>
        <w:tc>
          <w:tcPr>
            <w:tcW w:type="dxa" w:w="2016"/>
          </w:tcPr>
          <w:p>
            <w:pPr>
              <w:spacing w:after="20"/>
              <w:jc w:val="right"/>
            </w:pPr>
            <w:r>
              <w:rPr>
                <w:color w:val="1C3A36"/>
                <w:sz w:val="17"/>
              </w:rPr>
              <w:t>EGP 54.35</w:t>
            </w:r>
          </w:p>
        </w:tc>
        <w:tc>
          <w:tcPr>
            <w:tcW w:type="dxa" w:w="1728"/>
          </w:tcPr>
          <w:p>
            <w:pPr>
              <w:spacing w:after="20"/>
              <w:jc w:val="right"/>
            </w:pPr>
            <w:r>
              <w:rPr>
                <w:color w:val="1C3A36"/>
                <w:sz w:val="17"/>
              </w:rPr>
              <w:t>22.2%</w:t>
            </w:r>
          </w:p>
        </w:tc>
      </w:tr>
      <w:tr>
        <w:tc>
          <w:tcPr>
            <w:tcW w:type="dxa" w:w="3744"/>
          </w:tcPr>
          <w:p>
            <w:pPr>
              <w:spacing w:after="20"/>
            </w:pPr>
            <w:r>
              <w:rPr>
                <w:b/>
                <w:color w:val="1C3A36"/>
                <w:sz w:val="17"/>
              </w:rPr>
              <w:t>cost of funds +50bp</w:t>
            </w:r>
          </w:p>
        </w:tc>
        <w:tc>
          <w:tcPr>
            <w:tcW w:type="dxa" w:w="2016"/>
          </w:tcPr>
          <w:p>
            <w:pPr>
              <w:spacing w:after="20"/>
              <w:jc w:val="right"/>
            </w:pPr>
            <w:r>
              <w:rPr>
                <w:color w:val="1C3A36"/>
                <w:sz w:val="17"/>
              </w:rPr>
              <w:t>EGP 36.00</w:t>
            </w:r>
          </w:p>
        </w:tc>
        <w:tc>
          <w:tcPr>
            <w:tcW w:type="dxa" w:w="1728"/>
          </w:tcPr>
          <w:p>
            <w:pPr>
              <w:spacing w:after="20"/>
              <w:jc w:val="right"/>
            </w:pPr>
            <w:r>
              <w:rPr>
                <w:color w:val="1C3A36"/>
                <w:sz w:val="17"/>
              </w:rPr>
              <w:t>-19.0%</w:t>
            </w:r>
          </w:p>
        </w:tc>
      </w:tr>
      <w:tr>
        <w:tc>
          <w:tcPr>
            <w:tcW w:type="dxa" w:w="3744"/>
          </w:tcPr>
          <w:p>
            <w:pPr>
              <w:spacing w:after="20"/>
            </w:pPr>
            <w:r>
              <w:rPr>
                <w:b/>
                <w:color w:val="1C3A36"/>
                <w:sz w:val="17"/>
              </w:rPr>
              <w:t>cost of funds -50bp</w:t>
            </w:r>
          </w:p>
        </w:tc>
        <w:tc>
          <w:tcPr>
            <w:tcW w:type="dxa" w:w="2016"/>
          </w:tcPr>
          <w:p>
            <w:pPr>
              <w:spacing w:after="20"/>
              <w:jc w:val="right"/>
            </w:pPr>
            <w:r>
              <w:rPr>
                <w:color w:val="1C3A36"/>
                <w:sz w:val="17"/>
              </w:rPr>
              <w:t>EGP 52.92</w:t>
            </w:r>
          </w:p>
        </w:tc>
        <w:tc>
          <w:tcPr>
            <w:tcW w:type="dxa" w:w="1728"/>
          </w:tcPr>
          <w:p>
            <w:pPr>
              <w:spacing w:after="20"/>
              <w:jc w:val="right"/>
            </w:pPr>
            <w:r>
              <w:rPr>
                <w:color w:val="1C3A36"/>
                <w:sz w:val="17"/>
              </w:rPr>
              <w:t>19.0%</w:t>
            </w:r>
          </w:p>
        </w:tc>
      </w:tr>
      <w:tr>
        <w:tc>
          <w:tcPr>
            <w:tcW w:type="dxa" w:w="3744"/>
          </w:tcPr>
          <w:p>
            <w:pPr>
              <w:spacing w:after="20"/>
            </w:pPr>
            <w:r>
              <w:rPr>
                <w:b/>
                <w:color w:val="1C3A36"/>
                <w:sz w:val="17"/>
              </w:rPr>
              <w:t>financing growth -5pp/yr</w:t>
            </w:r>
          </w:p>
        </w:tc>
        <w:tc>
          <w:tcPr>
            <w:tcW w:type="dxa" w:w="2016"/>
          </w:tcPr>
          <w:p>
            <w:pPr>
              <w:spacing w:after="20"/>
              <w:jc w:val="right"/>
            </w:pPr>
            <w:r>
              <w:rPr>
                <w:color w:val="1C3A36"/>
                <w:sz w:val="17"/>
              </w:rPr>
              <w:t>EGP 38.70</w:t>
            </w:r>
          </w:p>
        </w:tc>
        <w:tc>
          <w:tcPr>
            <w:tcW w:type="dxa" w:w="1728"/>
          </w:tcPr>
          <w:p>
            <w:pPr>
              <w:spacing w:after="20"/>
              <w:jc w:val="right"/>
            </w:pPr>
            <w:r>
              <w:rPr>
                <w:color w:val="1C3A36"/>
                <w:sz w:val="17"/>
              </w:rPr>
              <w:t>-13.0%</w:t>
            </w:r>
          </w:p>
        </w:tc>
      </w:tr>
      <w:tr>
        <w:tc>
          <w:tcPr>
            <w:tcW w:type="dxa" w:w="3744"/>
          </w:tcPr>
          <w:p>
            <w:pPr>
              <w:spacing w:after="20"/>
            </w:pPr>
            <w:r>
              <w:rPr>
                <w:b/>
                <w:color w:val="1C3A36"/>
                <w:sz w:val="17"/>
              </w:rPr>
              <w:t>financing growth +5pp/yr</w:t>
            </w:r>
          </w:p>
        </w:tc>
        <w:tc>
          <w:tcPr>
            <w:tcW w:type="dxa" w:w="2016"/>
          </w:tcPr>
          <w:p>
            <w:pPr>
              <w:spacing w:after="20"/>
              <w:jc w:val="right"/>
            </w:pPr>
            <w:r>
              <w:rPr>
                <w:color w:val="1C3A36"/>
                <w:sz w:val="17"/>
              </w:rPr>
              <w:t>EGP 50.97</w:t>
            </w:r>
          </w:p>
        </w:tc>
        <w:tc>
          <w:tcPr>
            <w:tcW w:type="dxa" w:w="1728"/>
          </w:tcPr>
          <w:p>
            <w:pPr>
              <w:spacing w:after="20"/>
              <w:jc w:val="right"/>
            </w:pPr>
            <w:r>
              <w:rPr>
                <w:color w:val="1C3A36"/>
                <w:sz w:val="17"/>
              </w:rPr>
              <w:t>14.6%</w:t>
            </w:r>
          </w:p>
        </w:tc>
      </w:tr>
      <w:tr>
        <w:tc>
          <w:tcPr>
            <w:tcW w:type="dxa" w:w="3744"/>
          </w:tcPr>
          <w:p>
            <w:pPr>
              <w:spacing w:after="20"/>
            </w:pPr>
            <w:r>
              <w:rPr>
                <w:b/>
                <w:color w:val="1C3A36"/>
                <w:sz w:val="17"/>
              </w:rPr>
              <w:t>risk-free +200bp</w:t>
            </w:r>
          </w:p>
        </w:tc>
        <w:tc>
          <w:tcPr>
            <w:tcW w:type="dxa" w:w="2016"/>
          </w:tcPr>
          <w:p>
            <w:pPr>
              <w:spacing w:after="20"/>
              <w:jc w:val="right"/>
            </w:pPr>
            <w:r>
              <w:rPr>
                <w:color w:val="1C3A36"/>
                <w:sz w:val="17"/>
              </w:rPr>
              <w:t>EGP 36.60</w:t>
            </w:r>
          </w:p>
        </w:tc>
        <w:tc>
          <w:tcPr>
            <w:tcW w:type="dxa" w:w="1728"/>
          </w:tcPr>
          <w:p>
            <w:pPr>
              <w:spacing w:after="20"/>
              <w:jc w:val="right"/>
            </w:pPr>
            <w:r>
              <w:rPr>
                <w:color w:val="1C3A36"/>
                <w:sz w:val="17"/>
              </w:rPr>
              <w:t>-17.7%</w:t>
            </w:r>
          </w:p>
        </w:tc>
      </w:tr>
      <w:tr>
        <w:tc>
          <w:tcPr>
            <w:tcW w:type="dxa" w:w="3744"/>
          </w:tcPr>
          <w:p>
            <w:pPr>
              <w:spacing w:after="20"/>
            </w:pPr>
            <w:r>
              <w:rPr>
                <w:b/>
                <w:color w:val="1C3A36"/>
                <w:sz w:val="17"/>
              </w:rPr>
              <w:t>risk-free -200bp</w:t>
            </w:r>
          </w:p>
        </w:tc>
        <w:tc>
          <w:tcPr>
            <w:tcW w:type="dxa" w:w="2016"/>
          </w:tcPr>
          <w:p>
            <w:pPr>
              <w:spacing w:after="20"/>
              <w:jc w:val="right"/>
            </w:pPr>
            <w:r>
              <w:rPr>
                <w:color w:val="1C3A36"/>
                <w:sz w:val="17"/>
              </w:rPr>
              <w:t>EGP 55.97</w:t>
            </w:r>
          </w:p>
        </w:tc>
        <w:tc>
          <w:tcPr>
            <w:tcW w:type="dxa" w:w="1728"/>
          </w:tcPr>
          <w:p>
            <w:pPr>
              <w:spacing w:after="20"/>
              <w:jc w:val="right"/>
            </w:pPr>
            <w:r>
              <w:rPr>
                <w:color w:val="1C3A36"/>
                <w:sz w:val="17"/>
              </w:rPr>
              <w:t>25.9%</w:t>
            </w:r>
          </w:p>
        </w:tc>
      </w:tr>
      <w:tr>
        <w:tc>
          <w:tcPr>
            <w:tcW w:type="dxa" w:w="3744"/>
          </w:tcPr>
          <w:p>
            <w:pPr>
              <w:spacing w:after="20"/>
            </w:pPr>
            <w:r>
              <w:rPr>
                <w:b/>
                <w:color w:val="1C3A36"/>
                <w:sz w:val="17"/>
              </w:rPr>
              <w:t>terminal growth +100bp</w:t>
            </w:r>
          </w:p>
        </w:tc>
        <w:tc>
          <w:tcPr>
            <w:tcW w:type="dxa" w:w="2016"/>
          </w:tcPr>
          <w:p>
            <w:pPr>
              <w:spacing w:after="20"/>
              <w:jc w:val="right"/>
            </w:pPr>
            <w:r>
              <w:rPr>
                <w:color w:val="1C3A36"/>
                <w:sz w:val="17"/>
              </w:rPr>
              <w:t>EGP 46.08</w:t>
            </w:r>
          </w:p>
        </w:tc>
        <w:tc>
          <w:tcPr>
            <w:tcW w:type="dxa" w:w="1728"/>
          </w:tcPr>
          <w:p>
            <w:pPr>
              <w:spacing w:after="20"/>
              <w:jc w:val="right"/>
            </w:pPr>
            <w:r>
              <w:rPr>
                <w:color w:val="1C3A36"/>
                <w:sz w:val="17"/>
              </w:rPr>
              <w:t>3.6%</w:t>
            </w:r>
          </w:p>
        </w:tc>
      </w:tr>
      <w:tr>
        <w:tc>
          <w:tcPr>
            <w:tcW w:type="dxa" w:w="3744"/>
          </w:tcPr>
          <w:p>
            <w:pPr>
              <w:spacing w:after="20"/>
            </w:pPr>
            <w:r>
              <w:rPr>
                <w:b/>
                <w:color w:val="1C3A36"/>
                <w:sz w:val="17"/>
              </w:rPr>
              <w:t>terminal growth -100bp</w:t>
            </w:r>
          </w:p>
        </w:tc>
        <w:tc>
          <w:tcPr>
            <w:tcW w:type="dxa" w:w="2016"/>
          </w:tcPr>
          <w:p>
            <w:pPr>
              <w:spacing w:after="20"/>
              <w:jc w:val="right"/>
            </w:pPr>
            <w:r>
              <w:rPr>
                <w:color w:val="1C3A36"/>
                <w:sz w:val="17"/>
              </w:rPr>
              <w:t>EGP 43.09</w:t>
            </w:r>
          </w:p>
        </w:tc>
        <w:tc>
          <w:tcPr>
            <w:tcW w:type="dxa" w:w="1728"/>
          </w:tcPr>
          <w:p>
            <w:pPr>
              <w:spacing w:after="20"/>
              <w:jc w:val="right"/>
            </w:pPr>
            <w:r>
              <w:rPr>
                <w:color w:val="1C3A36"/>
                <w:sz w:val="17"/>
              </w:rPr>
              <w:t>-3.1%</w:t>
            </w:r>
          </w:p>
        </w:tc>
      </w:tr>
    </w:tbl>
    <w:p>
      <w:pPr>
        <w:spacing w:after="40"/>
      </w:pPr>
    </w:p>
    <w:p>
      <w:pPr>
        <w:spacing w:after="200" w:before="0"/>
      </w:pPr>
      <w:r>
        <w:rPr>
          <w:b w:val="0"/>
          <w:i/>
          <w:color w:val="6E7B77"/>
          <w:sz w:val="17"/>
        </w:rPr>
        <w:t>Table 9 — what moves the answer, in order of how much</w:t>
      </w:r>
    </w:p>
    <w:p>
      <w:pPr>
        <w:spacing w:after="120" w:before="0"/>
      </w:pPr>
      <w:r>
        <w:rPr>
          <w:b w:val="0"/>
          <w:i w:val="0"/>
          <w:color w:val="1C3A36"/>
          <w:sz w:val="21"/>
        </w:rPr>
        <w:t>The margin drivers dominate, which is what a bank should look like: fifty basis points on the asset yield is worth 22.2% of the value and fifty on the funding cost 19.0%. The loss charge is worth 11.2% per fifty basis points. Terminal growth is worth almost nothing — 3.6% for a full percentage point — because the terminal discount rate is high enough that a far-future pound is worth very little today, and that is the honest shape of an Egyptian valuation rather than a modelling convenience.</w:t>
      </w:r>
    </w:p>
    <w:p>
      <w:pPr>
        <w:spacing w:after="120" w:before="280"/>
      </w:pPr>
      <w:r>
        <w:rPr>
          <w:b/>
          <w:i w:val="0"/>
          <w:color w:val="1C3A36"/>
          <w:sz w:val="30"/>
        </w:rPr>
        <w:t>2  Technical and price structure</w:t>
      </w:r>
    </w:p>
    <w:p>
      <w:pPr>
        <w:spacing w:after="120" w:before="0"/>
      </w:pPr>
      <w:r>
        <w:rPr>
          <w:b w:val="0"/>
          <w:i w:val="0"/>
          <w:color w:val="1C3A36"/>
          <w:sz w:val="21"/>
        </w:rPr>
        <w:t xml:space="preserve">The price closed EGP 54.40 on 2026-09-09, the last session in the history this study holds — 3,762 clean daily sessions after the data-quality screen. </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7776"/>
      </w:tblGrid>
      <w:tr>
        <w:tc>
          <w:tcPr>
            <w:tcW w:type="dxa" w:w="2304"/>
            <w:shd w:val="clear" w:color="auto" w:fill="EAF0EE"/>
          </w:tcPr>
          <w:p>
            <w:pPr>
              <w:spacing w:after="20"/>
            </w:pPr>
            <w:r>
              <w:rPr>
                <w:b/>
                <w:color w:val="1C3A36"/>
                <w:sz w:val="18"/>
              </w:rPr>
            </w:r>
          </w:p>
        </w:tc>
        <w:tc>
          <w:tcPr>
            <w:tcW w:type="dxa" w:w="7776"/>
            <w:shd w:val="clear" w:color="auto" w:fill="EAF0EE"/>
          </w:tcPr>
          <w:p>
            <w:pPr>
              <w:spacing w:after="20"/>
            </w:pPr>
            <w:r>
              <w:rPr>
                <w:b/>
                <w:color w:val="1C3A36"/>
                <w:sz w:val="18"/>
              </w:rPr>
              <w:t>Levels</w:t>
            </w:r>
          </w:p>
        </w:tc>
      </w:tr>
      <w:tr>
        <w:tc>
          <w:tcPr>
            <w:tcW w:type="dxa" w:w="2304"/>
          </w:tcPr>
          <w:p>
            <w:pPr>
              <w:spacing w:after="20"/>
            </w:pPr>
            <w:r>
              <w:rPr>
                <w:b/>
                <w:color w:val="1C3A36"/>
                <w:sz w:val="18"/>
              </w:rPr>
              <w:t>Resistance above</w:t>
            </w:r>
          </w:p>
        </w:tc>
        <w:tc>
          <w:tcPr>
            <w:tcW w:type="dxa" w:w="7776"/>
          </w:tcPr>
          <w:p>
            <w:pPr>
              <w:spacing w:after="20"/>
              <w:jc w:val="right"/>
            </w:pPr>
            <w:r>
              <w:rPr>
                <w:color w:val="1C3A36"/>
                <w:sz w:val="18"/>
              </w:rPr>
              <w:t>EGP 55.65 · EGP 57.00 · EGP 58.00</w:t>
            </w:r>
          </w:p>
        </w:tc>
      </w:tr>
      <w:tr>
        <w:tc>
          <w:tcPr>
            <w:tcW w:type="dxa" w:w="2304"/>
          </w:tcPr>
          <w:p>
            <w:pPr>
              <w:spacing w:after="20"/>
            </w:pPr>
            <w:r>
              <w:rPr>
                <w:b/>
                <w:color w:val="1C3A36"/>
                <w:sz w:val="18"/>
              </w:rPr>
              <w:t>Support below</w:t>
            </w:r>
          </w:p>
        </w:tc>
        <w:tc>
          <w:tcPr>
            <w:tcW w:type="dxa" w:w="7776"/>
          </w:tcPr>
          <w:p>
            <w:pPr>
              <w:spacing w:after="20"/>
              <w:jc w:val="right"/>
            </w:pPr>
            <w:r>
              <w:rPr>
                <w:color w:val="1C3A36"/>
                <w:sz w:val="18"/>
              </w:rPr>
              <w:t>EGP 50.04 · EGP 48.24 · EGP 44.06</w:t>
            </w:r>
          </w:p>
        </w:tc>
      </w:tr>
    </w:tbl>
    <w:p>
      <w:pPr>
        <w:spacing w:after="40"/>
      </w:pPr>
    </w:p>
    <w:p>
      <w:pPr>
        <w:spacing w:after="200" w:before="0"/>
      </w:pPr>
      <w:r>
        <w:rPr>
          <w:b w:val="0"/>
          <w:i/>
          <w:color w:val="6E7B77"/>
          <w:sz w:val="17"/>
        </w:rPr>
        <w:t>Table 10 — the charted levels</w:t>
      </w:r>
    </w:p>
    <w:p>
      <w:pPr>
        <w:spacing w:after="120" w:before="0"/>
      </w:pPr>
      <w:r>
        <w:rPr>
          <w:b w:val="0"/>
          <w:i w:val="0"/>
          <w:color w:val="1C3A36"/>
          <w:sz w:val="21"/>
        </w:rPr>
        <w:t>A daily close back above 55.65 would clear the nearest resistance; the next charted level above it is 58.00.  A close below 50.04 would break the nearest support; the next charted level below it is 44.06.</w:t>
      </w:r>
    </w:p>
    <w:p>
      <w:pPr>
        <w:spacing w:after="120" w:before="0"/>
      </w:pPr>
      <w:r>
        <w:rPr>
          <w:b w:val="0"/>
          <w:i w:val="0"/>
          <w:color w:val="1C3A36"/>
          <w:sz w:val="21"/>
        </w:rPr>
        <w:t>A technical read is a description of where the price has been trading and what levels it has respected. It is not a forecast and it is not combined with the valuation: the two lenses are kept apart deliberately, and section 4 compares them without letting either adjust the other.</w:t>
      </w:r>
    </w:p>
    <w:p>
      <w:pPr>
        <w:spacing w:after="120" w:before="280"/>
      </w:pPr>
      <w:r>
        <w:rPr>
          <w:b/>
          <w:i w:val="0"/>
          <w:color w:val="1C3A36"/>
          <w:sz w:val="30"/>
        </w:rPr>
        <w:t>3  A probabilistic price map</w:t>
      </w:r>
    </w:p>
    <w:p>
      <w:pPr>
        <w:spacing w:after="120" w:before="0"/>
      </w:pPr>
      <w:r>
        <w:rPr>
          <w:b w:val="0"/>
          <w:i w:val="0"/>
          <w:color w:val="1C3A36"/>
          <w:sz w:val="21"/>
        </w:rPr>
        <w:t>This section is a distribution, not a view. It takes the price history through the same production chain the rest of this house uses — a data-quality gate, a Yang-Zhang variance estimate, a heterogeneous autoregressive volatility forecast, and 50,000 simulated paths on a Student-t shape with 5.0 degrees of freedom — and reports where the price lands. The shape and width parameters are not chosen here: they are read live from the engine, where they are fitted to a thirty-name Egyptian panel.</w:t>
      </w:r>
    </w:p>
    <w:p>
      <w:pPr>
        <w:spacing w:after="120" w:before="0"/>
      </w:pPr>
      <w:r>
        <w:rPr>
          <w:b w:val="0"/>
          <w:i w:val="0"/>
          <w:color w:val="1C3A36"/>
          <w:sz w:val="21"/>
        </w:rPr>
        <w:t>Anchor: EGP 54.40, the close on 2026-08-23. The drift is the Egyptian carry — the policy rate less the dividend yield — and nothing else; there is no view of direction in it beyond that.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368"/>
        <w:gridCol w:w="1368"/>
        <w:gridCol w:w="1152"/>
        <w:gridCol w:w="1152"/>
        <w:gridCol w:w="1224"/>
        <w:gridCol w:w="1152"/>
        <w:gridCol w:w="1224"/>
        <w:gridCol w:w="1368"/>
      </w:tblGrid>
      <w:tr>
        <w:tc>
          <w:tcPr>
            <w:tcW w:type="dxa" w:w="1368"/>
            <w:shd w:val="clear" w:color="auto" w:fill="EAF0EE"/>
          </w:tcPr>
          <w:p>
            <w:pPr>
              <w:spacing w:after="20"/>
            </w:pPr>
            <w:r>
              <w:rPr>
                <w:b/>
                <w:color w:val="1C3A36"/>
                <w:sz w:val="16"/>
              </w:rPr>
              <w:t>Horizon</w:t>
            </w:r>
          </w:p>
        </w:tc>
        <w:tc>
          <w:tcPr>
            <w:tcW w:type="dxa" w:w="1368"/>
            <w:shd w:val="clear" w:color="auto" w:fill="EAF0EE"/>
          </w:tcPr>
          <w:p>
            <w:pPr>
              <w:spacing w:after="20"/>
            </w:pPr>
            <w:r>
              <w:rPr>
                <w:b/>
                <w:color w:val="1C3A36"/>
                <w:sz w:val="16"/>
              </w:rPr>
              <w:t>Resolves</w:t>
            </w:r>
          </w:p>
        </w:tc>
        <w:tc>
          <w:tcPr>
            <w:tcW w:type="dxa" w:w="1152"/>
            <w:shd w:val="clear" w:color="auto" w:fill="EAF0EE"/>
          </w:tcPr>
          <w:p>
            <w:pPr>
              <w:spacing w:after="20"/>
            </w:pPr>
            <w:r>
              <w:rPr>
                <w:b/>
                <w:color w:val="1C3A36"/>
                <w:sz w:val="16"/>
              </w:rPr>
              <w:t>5th</w:t>
            </w:r>
          </w:p>
        </w:tc>
        <w:tc>
          <w:tcPr>
            <w:tcW w:type="dxa" w:w="1152"/>
            <w:shd w:val="clear" w:color="auto" w:fill="EAF0EE"/>
          </w:tcPr>
          <w:p>
            <w:pPr>
              <w:spacing w:after="20"/>
            </w:pPr>
            <w:r>
              <w:rPr>
                <w:b/>
                <w:color w:val="1C3A36"/>
                <w:sz w:val="16"/>
              </w:rPr>
              <w:t>25th</w:t>
            </w:r>
          </w:p>
        </w:tc>
        <w:tc>
          <w:tcPr>
            <w:tcW w:type="dxa" w:w="1224"/>
            <w:shd w:val="clear" w:color="auto" w:fill="EAF0EE"/>
          </w:tcPr>
          <w:p>
            <w:pPr>
              <w:spacing w:after="20"/>
            </w:pPr>
            <w:r>
              <w:rPr>
                <w:b/>
                <w:color w:val="1C3A36"/>
                <w:sz w:val="16"/>
              </w:rPr>
              <w:t>Median</w:t>
            </w:r>
          </w:p>
        </w:tc>
        <w:tc>
          <w:tcPr>
            <w:tcW w:type="dxa" w:w="1152"/>
            <w:shd w:val="clear" w:color="auto" w:fill="EAF0EE"/>
          </w:tcPr>
          <w:p>
            <w:pPr>
              <w:spacing w:after="20"/>
            </w:pPr>
            <w:r>
              <w:rPr>
                <w:b/>
                <w:color w:val="1C3A36"/>
                <w:sz w:val="16"/>
              </w:rPr>
              <w:t>75th</w:t>
            </w:r>
          </w:p>
        </w:tc>
        <w:tc>
          <w:tcPr>
            <w:tcW w:type="dxa" w:w="1224"/>
            <w:shd w:val="clear" w:color="auto" w:fill="EAF0EE"/>
          </w:tcPr>
          <w:p>
            <w:pPr>
              <w:spacing w:after="20"/>
            </w:pPr>
            <w:r>
              <w:rPr>
                <w:b/>
                <w:color w:val="1C3A36"/>
                <w:sz w:val="16"/>
              </w:rPr>
              <w:t>95th</w:t>
            </w:r>
          </w:p>
        </w:tc>
        <w:tc>
          <w:tcPr>
            <w:tcW w:type="dxa" w:w="1368"/>
            <w:shd w:val="clear" w:color="auto" w:fill="EAF0EE"/>
          </w:tcPr>
          <w:p>
            <w:pPr>
              <w:spacing w:after="20"/>
            </w:pPr>
            <w:r>
              <w:rPr>
                <w:b/>
                <w:color w:val="1C3A36"/>
                <w:sz w:val="16"/>
              </w:rPr>
              <w:t>Chance higher</w:t>
            </w:r>
          </w:p>
        </w:tc>
      </w:tr>
      <w:tr>
        <w:tc>
          <w:tcPr>
            <w:tcW w:type="dxa" w:w="1368"/>
          </w:tcPr>
          <w:p>
            <w:pPr>
              <w:spacing w:after="20"/>
            </w:pPr>
            <w:r>
              <w:rPr>
                <w:b/>
                <w:color w:val="1C3A36"/>
                <w:sz w:val="16"/>
              </w:rPr>
              <w:t>1 month</w:t>
            </w:r>
          </w:p>
        </w:tc>
        <w:tc>
          <w:tcPr>
            <w:tcW w:type="dxa" w:w="1368"/>
          </w:tcPr>
          <w:p>
            <w:pPr>
              <w:spacing w:after="20"/>
              <w:jc w:val="right"/>
            </w:pPr>
            <w:r>
              <w:rPr>
                <w:color w:val="1C3A36"/>
                <w:sz w:val="16"/>
              </w:rPr>
              <w:t>2026-09-23</w:t>
            </w:r>
          </w:p>
        </w:tc>
        <w:tc>
          <w:tcPr>
            <w:tcW w:type="dxa" w:w="1152"/>
          </w:tcPr>
          <w:p>
            <w:pPr>
              <w:spacing w:after="20"/>
              <w:jc w:val="right"/>
            </w:pPr>
            <w:r>
              <w:rPr>
                <w:color w:val="1C3A36"/>
                <w:sz w:val="16"/>
              </w:rPr>
              <w:t>EGP 46.98</w:t>
            </w:r>
          </w:p>
        </w:tc>
        <w:tc>
          <w:tcPr>
            <w:tcW w:type="dxa" w:w="1152"/>
          </w:tcPr>
          <w:p>
            <w:pPr>
              <w:spacing w:after="20"/>
              <w:jc w:val="right"/>
            </w:pPr>
            <w:r>
              <w:rPr>
                <w:color w:val="1C3A36"/>
                <w:sz w:val="16"/>
              </w:rPr>
              <w:t>EGP 52.40</w:t>
            </w:r>
          </w:p>
        </w:tc>
        <w:tc>
          <w:tcPr>
            <w:tcW w:type="dxa" w:w="1224"/>
          </w:tcPr>
          <w:p>
            <w:pPr>
              <w:spacing w:after="20"/>
              <w:jc w:val="right"/>
            </w:pPr>
            <w:r>
              <w:rPr>
                <w:color w:val="1C3A36"/>
                <w:sz w:val="16"/>
              </w:rPr>
              <w:t>EGP 55.69</w:t>
            </w:r>
          </w:p>
        </w:tc>
        <w:tc>
          <w:tcPr>
            <w:tcW w:type="dxa" w:w="1152"/>
          </w:tcPr>
          <w:p>
            <w:pPr>
              <w:spacing w:after="20"/>
              <w:jc w:val="right"/>
            </w:pPr>
            <w:r>
              <w:rPr>
                <w:color w:val="1C3A36"/>
                <w:sz w:val="16"/>
              </w:rPr>
              <w:t>EGP 59.23</w:t>
            </w:r>
          </w:p>
        </w:tc>
        <w:tc>
          <w:tcPr>
            <w:tcW w:type="dxa" w:w="1224"/>
          </w:tcPr>
          <w:p>
            <w:pPr>
              <w:spacing w:after="20"/>
              <w:jc w:val="right"/>
            </w:pPr>
            <w:r>
              <w:rPr>
                <w:color w:val="1C3A36"/>
                <w:sz w:val="16"/>
              </w:rPr>
              <w:t>EGP 66.06</w:t>
            </w:r>
          </w:p>
        </w:tc>
        <w:tc>
          <w:tcPr>
            <w:tcW w:type="dxa" w:w="1368"/>
          </w:tcPr>
          <w:p>
            <w:pPr>
              <w:spacing w:after="20"/>
              <w:jc w:val="right"/>
            </w:pPr>
            <w:r>
              <w:rPr>
                <w:color w:val="1C3A36"/>
                <w:sz w:val="16"/>
              </w:rPr>
              <w:t>61%</w:t>
            </w:r>
          </w:p>
        </w:tc>
      </w:tr>
      <w:tr>
        <w:tc>
          <w:tcPr>
            <w:tcW w:type="dxa" w:w="1368"/>
          </w:tcPr>
          <w:p>
            <w:pPr>
              <w:spacing w:after="20"/>
            </w:pPr>
            <w:r>
              <w:rPr>
                <w:b/>
                <w:color w:val="1C3A36"/>
                <w:sz w:val="16"/>
              </w:rPr>
              <w:t>3 months</w:t>
            </w:r>
          </w:p>
        </w:tc>
        <w:tc>
          <w:tcPr>
            <w:tcW w:type="dxa" w:w="1368"/>
          </w:tcPr>
          <w:p>
            <w:pPr>
              <w:spacing w:after="20"/>
              <w:jc w:val="right"/>
            </w:pPr>
            <w:r>
              <w:rPr>
                <w:color w:val="1C3A36"/>
                <w:sz w:val="16"/>
              </w:rPr>
              <w:t>2026-11-23</w:t>
            </w:r>
          </w:p>
        </w:tc>
        <w:tc>
          <w:tcPr>
            <w:tcW w:type="dxa" w:w="1152"/>
          </w:tcPr>
          <w:p>
            <w:pPr>
              <w:spacing w:after="20"/>
              <w:jc w:val="right"/>
            </w:pPr>
            <w:r>
              <w:rPr>
                <w:color w:val="1C3A36"/>
                <w:sz w:val="16"/>
              </w:rPr>
              <w:t>EGP 42.27</w:t>
            </w:r>
          </w:p>
        </w:tc>
        <w:tc>
          <w:tcPr>
            <w:tcW w:type="dxa" w:w="1152"/>
          </w:tcPr>
          <w:p>
            <w:pPr>
              <w:spacing w:after="20"/>
              <w:jc w:val="right"/>
            </w:pPr>
            <w:r>
              <w:rPr>
                <w:color w:val="1C3A36"/>
                <w:sz w:val="16"/>
              </w:rPr>
              <w:t>EGP 51.66</w:t>
            </w:r>
          </w:p>
        </w:tc>
        <w:tc>
          <w:tcPr>
            <w:tcW w:type="dxa" w:w="1224"/>
          </w:tcPr>
          <w:p>
            <w:pPr>
              <w:spacing w:after="20"/>
              <w:jc w:val="right"/>
            </w:pPr>
            <w:r>
              <w:rPr>
                <w:color w:val="1C3A36"/>
                <w:sz w:val="16"/>
              </w:rPr>
              <w:t>EGP 57.83</w:t>
            </w:r>
          </w:p>
        </w:tc>
        <w:tc>
          <w:tcPr>
            <w:tcW w:type="dxa" w:w="1152"/>
          </w:tcPr>
          <w:p>
            <w:pPr>
              <w:spacing w:after="20"/>
              <w:jc w:val="right"/>
            </w:pPr>
            <w:r>
              <w:rPr>
                <w:color w:val="1C3A36"/>
                <w:sz w:val="16"/>
              </w:rPr>
              <w:t>EGP 64.72</w:t>
            </w:r>
          </w:p>
        </w:tc>
        <w:tc>
          <w:tcPr>
            <w:tcW w:type="dxa" w:w="1224"/>
          </w:tcPr>
          <w:p>
            <w:pPr>
              <w:spacing w:after="20"/>
              <w:jc w:val="right"/>
            </w:pPr>
            <w:r>
              <w:rPr>
                <w:color w:val="1C3A36"/>
                <w:sz w:val="16"/>
              </w:rPr>
              <w:t>EGP 78.98</w:t>
            </w:r>
          </w:p>
        </w:tc>
        <w:tc>
          <w:tcPr>
            <w:tcW w:type="dxa" w:w="1368"/>
          </w:tcPr>
          <w:p>
            <w:pPr>
              <w:spacing w:after="20"/>
              <w:jc w:val="right"/>
            </w:pPr>
            <w:r>
              <w:rPr>
                <w:color w:val="1C3A36"/>
                <w:sz w:val="16"/>
              </w:rPr>
              <w:t>64%</w:t>
            </w:r>
          </w:p>
        </w:tc>
      </w:tr>
    </w:tbl>
    <w:p>
      <w:pPr>
        <w:spacing w:after="40"/>
      </w:pPr>
    </w:p>
    <w:p>
      <w:pPr>
        <w:spacing w:after="200" w:before="0"/>
      </w:pPr>
      <w:r>
        <w:rPr>
          <w:b w:val="0"/>
          <w:i/>
          <w:color w:val="6E7B77"/>
          <w:sz w:val="17"/>
        </w:rPr>
        <w:t>Table 11 — the percentile map, from 50,000 simulated paths</w:t>
      </w:r>
    </w:p>
    <w:tbl>
      <w:tblPr>
        <w:tblW w:type="auto" w:w="0"/>
        <w:tblLook w:firstColumn="1" w:firstRow="1" w:lastColumn="0" w:lastRow="0" w:noHBand="0" w:noVBand="1" w:val="04A0"/>
        <w:tblLayout w:type="fixed"/>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color w:val="1C3A36"/>
                <w:sz w:val="19"/>
              </w:rPr>
              <w:t>TWO CLOCKS, AND THEY ARE NOT THE SAME. The percentiles above are anchored on the 23 August close of EGP 54.40, because that is the last session in the price history this study holds. The fair value is struck against EGP 52.05, the 3 September close. A reader comparing the two should hold that eleven-day difference in mind; nothing has been adjusted to hide it.</w:t>
            </w:r>
          </w:p>
        </w:tc>
      </w:tr>
    </w:tbl>
    <w:p>
      <w:pPr>
        <w:spacing w:after="40"/>
      </w:pPr>
    </w:p>
    <w:p>
      <w:pPr>
        <w:spacing w:after="120" w:before="0"/>
      </w:pPr>
      <w:r>
        <w:rPr>
          <w:b w:val="0"/>
          <w:i w:val="0"/>
          <w:color w:val="1C3A36"/>
          <w:sz w:val="21"/>
        </w:rPr>
        <w:t>What the distribution is worth. The width parameters were fitted on a thirty-name Egyptian panel rather than on this stock, so what is being claimed is a base rate for Egyptian equities of this volatility, not a forecasting edge in this name. The Egyptian shape is genuinely fat-tailed — 5.0 degrees of freedom rather than a normal distribution — and that is devaluation-jump risk, not a data artefact: it survived the repair of every known price-series defect in the panel. Read section 3 as a base rate.</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728"/>
        <w:gridCol w:w="6624"/>
        <w:gridCol w:w="1728"/>
      </w:tblGrid>
      <w:tr>
        <w:tc>
          <w:tcPr>
            <w:tcW w:type="dxa" w:w="1728"/>
            <w:shd w:val="clear" w:color="auto" w:fill="EAF0EE"/>
          </w:tcPr>
          <w:p>
            <w:pPr>
              <w:spacing w:after="20"/>
            </w:pPr>
            <w:r>
              <w:rPr>
                <w:b/>
                <w:color w:val="1C3A36"/>
                <w:sz w:val="17"/>
              </w:rPr>
              <w:t>Lens</w:t>
            </w:r>
          </w:p>
        </w:tc>
        <w:tc>
          <w:tcPr>
            <w:tcW w:type="dxa" w:w="6624"/>
            <w:shd w:val="clear" w:color="auto" w:fill="EAF0EE"/>
          </w:tcPr>
          <w:p>
            <w:pPr>
              <w:spacing w:after="20"/>
            </w:pPr>
            <w:r>
              <w:rPr>
                <w:b/>
                <w:color w:val="1C3A36"/>
                <w:sz w:val="17"/>
              </w:rPr>
              <w:t>What it says</w:t>
            </w:r>
          </w:p>
        </w:tc>
        <w:tc>
          <w:tcPr>
            <w:tcW w:type="dxa" w:w="1728"/>
            <w:shd w:val="clear" w:color="auto" w:fill="EAF0EE"/>
          </w:tcPr>
          <w:p>
            <w:pPr>
              <w:spacing w:after="20"/>
            </w:pPr>
            <w:r>
              <w:rPr>
                <w:b/>
                <w:color w:val="1C3A36"/>
                <w:sz w:val="17"/>
              </w:rPr>
              <w:t>Clock</w:t>
            </w:r>
          </w:p>
        </w:tc>
      </w:tr>
      <w:tr>
        <w:tc>
          <w:tcPr>
            <w:tcW w:type="dxa" w:w="1728"/>
          </w:tcPr>
          <w:p>
            <w:pPr>
              <w:spacing w:after="20"/>
            </w:pPr>
            <w:r>
              <w:rPr>
                <w:b/>
                <w:color w:val="1C3A36"/>
                <w:sz w:val="17"/>
              </w:rPr>
              <w:t>Fundamental</w:t>
            </w:r>
          </w:p>
        </w:tc>
        <w:tc>
          <w:tcPr>
            <w:tcW w:type="dxa" w:w="6624"/>
          </w:tcPr>
          <w:p>
            <w:pPr>
              <w:spacing w:after="20"/>
              <w:jc w:val="right"/>
            </w:pPr>
            <w:r>
              <w:rPr>
                <w:color w:val="1C3A36"/>
                <w:sz w:val="17"/>
              </w:rPr>
              <w:t>central EGP 44.46, envelope EGP 43.17 to EGP 46.01, which is -14.6% against the 3 September close of EGP 52.05</w:t>
            </w:r>
          </w:p>
        </w:tc>
        <w:tc>
          <w:tcPr>
            <w:tcW w:type="dxa" w:w="1728"/>
          </w:tcPr>
          <w:p>
            <w:pPr>
              <w:spacing w:after="20"/>
              <w:jc w:val="right"/>
            </w:pPr>
            <w:r>
              <w:rPr>
                <w:color w:val="1C3A36"/>
                <w:sz w:val="17"/>
              </w:rPr>
              <w:t>about twelve months</w:t>
            </w:r>
          </w:p>
        </w:tc>
      </w:tr>
      <w:tr>
        <w:tc>
          <w:tcPr>
            <w:tcW w:type="dxa" w:w="1728"/>
          </w:tcPr>
          <w:p>
            <w:pPr>
              <w:spacing w:after="20"/>
            </w:pPr>
            <w:r>
              <w:rPr>
                <w:b/>
                <w:color w:val="1C3A36"/>
                <w:sz w:val="17"/>
              </w:rPr>
              <w:t>Technical</w:t>
            </w:r>
          </w:p>
        </w:tc>
        <w:tc>
          <w:tcPr>
            <w:tcW w:type="dxa" w:w="6624"/>
          </w:tcPr>
          <w:p>
            <w:pPr>
              <w:spacing w:after="20"/>
              <w:jc w:val="right"/>
            </w:pPr>
            <w:r>
              <w:rPr>
                <w:color w:val="1C3A36"/>
                <w:sz w:val="17"/>
              </w:rPr>
              <w:t>Trading above the whole moving-average stack, on a rising 200-day; nearest support EGP 50.04, nearest resistance EGP 55.65</w:t>
            </w:r>
          </w:p>
        </w:tc>
        <w:tc>
          <w:tcPr>
            <w:tcW w:type="dxa" w:w="1728"/>
          </w:tcPr>
          <w:p>
            <w:pPr>
              <w:spacing w:after="20"/>
              <w:jc w:val="right"/>
            </w:pPr>
            <w:r>
              <w:rPr>
                <w:color w:val="1C3A36"/>
                <w:sz w:val="17"/>
              </w:rPr>
              <w:t>weeks</w:t>
            </w:r>
          </w:p>
        </w:tc>
      </w:tr>
      <w:tr>
        <w:tc>
          <w:tcPr>
            <w:tcW w:type="dxa" w:w="1728"/>
          </w:tcPr>
          <w:p>
            <w:pPr>
              <w:spacing w:after="20"/>
            </w:pPr>
            <w:r>
              <w:rPr>
                <w:b/>
                <w:color w:val="1C3A36"/>
                <w:sz w:val="17"/>
              </w:rPr>
              <w:t>Probabilistic</w:t>
            </w:r>
          </w:p>
        </w:tc>
        <w:tc>
          <w:tcPr>
            <w:tcW w:type="dxa" w:w="6624"/>
          </w:tcPr>
          <w:p>
            <w:pPr>
              <w:spacing w:after="20"/>
              <w:jc w:val="right"/>
            </w:pPr>
            <w:r>
              <w:rPr>
                <w:color w:val="1C3A36"/>
                <w:sz w:val="17"/>
              </w:rPr>
              <w:t>a three-month median of EGP 57.83 with a 5th-to-95th range of EGP 42.27 to EGP 78.98, and a 64% chance of ending higher</w:t>
            </w:r>
          </w:p>
        </w:tc>
        <w:tc>
          <w:tcPr>
            <w:tcW w:type="dxa" w:w="1728"/>
          </w:tcPr>
          <w:p>
            <w:pPr>
              <w:spacing w:after="20"/>
              <w:jc w:val="right"/>
            </w:pPr>
            <w:r>
              <w:rPr>
                <w:color w:val="1C3A36"/>
                <w:sz w:val="17"/>
              </w:rPr>
              <w:t>three months</w:t>
            </w:r>
          </w:p>
        </w:tc>
      </w:tr>
    </w:tbl>
    <w:p>
      <w:pPr>
        <w:spacing w:after="40"/>
      </w:pPr>
    </w:p>
    <w:p>
      <w:pPr>
        <w:spacing w:after="200" w:before="0"/>
      </w:pPr>
      <w:r>
        <w:rPr>
          <w:b w:val="0"/>
          <w:i/>
          <w:color w:val="6E7B77"/>
          <w:sz w:val="17"/>
        </w:rPr>
        <w:t>Table 12 — the three reads, side by side and never blended</w:t>
      </w:r>
    </w:p>
    <w:p>
      <w:pPr>
        <w:spacing w:after="120" w:before="0"/>
      </w:pPr>
      <w:r>
        <w:rPr>
          <w:b w:val="0"/>
          <w:i w:val="0"/>
          <w:color w:val="1C3A36"/>
          <w:sz w:val="21"/>
        </w:rPr>
        <w:t>The three disagree, and the disagreement is the useful part. The fundamental lens says the shares are dear; the technical read says they are in an uptrend a few per cent below a one-year high; the distribution says the next three months are close to a coin flip with a fat left tail. NOTHING HERE IS COMBINED. No output of one lens is an input to another, and no lens is adjusted because another disagrees — a comparison that lets the lenses talk to each other stops being three pieces of evidence and becomes one.</w:t>
      </w:r>
    </w:p>
    <w:p>
      <w:pPr>
        <w:spacing w:after="120" w:before="280"/>
      </w:pPr>
      <w:r>
        <w:rPr>
          <w:b/>
          <w:i w:val="0"/>
          <w:color w:val="1C3A36"/>
          <w:sz w:val="30"/>
        </w:rPr>
        <w:t>5  Catalysts to watch</w:t>
      </w:r>
    </w:p>
    <w:p>
      <w:pPr>
        <w:pStyle w:val="ListBullet"/>
        <w:spacing w:after="60"/>
      </w:pPr>
      <w:r>
        <w:rPr>
          <w:b/>
          <w:color w:val="1C3A36"/>
          <w:sz w:val="21"/>
        </w:rPr>
        <w:t xml:space="preserve">The third-quarter statements, due around November 2026 — </w:t>
      </w:r>
      <w:r>
        <w:rPr>
          <w:color w:val="1C3A36"/>
          <w:sz w:val="21"/>
        </w:rPr>
        <w:t>The one number that matters is the expected-credit-loss line. If the nine months to September still carry almost no charge, the case for this study's 1.00% assumption weakens sharply and the central moves toward EGP 57.22. If the charge normalises in the third quarter, it strengthens.</w:t>
      </w:r>
    </w:p>
    <w:p>
      <w:pPr>
        <w:pStyle w:val="ListBullet"/>
        <w:spacing w:after="60"/>
      </w:pPr>
      <w:r>
        <w:rPr>
          <w:b/>
          <w:color w:val="1C3A36"/>
          <w:sz w:val="21"/>
        </w:rPr>
        <w:t xml:space="preserve">Central Bank of Egypt monetary policy meetings — </w:t>
      </w:r>
      <w:r>
        <w:rPr>
          <w:color w:val="1C3A36"/>
          <w:sz w:val="21"/>
        </w:rPr>
        <w:t>The rate has been held for four consecutive meetings at 19.00%. The published path takes it to 12.00% by 2030. Cuts faster than that compress the margin faster than this study assumes; a pause does the opposite. Fifty basis points on the asset yield is worth 22.2% of the value.</w:t>
      </w:r>
    </w:p>
    <w:p>
      <w:pPr>
        <w:pStyle w:val="ListBullet"/>
        <w:spacing w:after="60"/>
      </w:pPr>
      <w:r>
        <w:rPr>
          <w:b/>
          <w:color w:val="1C3A36"/>
          <w:sz w:val="21"/>
        </w:rPr>
        <w:t xml:space="preserve">Any further capital raising — </w:t>
      </w:r>
      <w:r>
        <w:rPr>
          <w:color w:val="1C3A36"/>
          <w:sz w:val="21"/>
        </w:rPr>
        <w:t>The bank issued 300 million shares at par in the second quarter of 2026 to fund growth. Pinning capital at 10.5% of assets while assets compound at these rates needs more of it. The terms matter as much as the amount: an issue at par against a book value near EGP 29.04 transfers value from existing holders.</w:t>
      </w:r>
    </w:p>
    <w:p>
      <w:pPr>
        <w:pStyle w:val="ListBullet"/>
        <w:spacing w:after="60"/>
      </w:pPr>
      <w:r>
        <w:rPr>
          <w:b/>
          <w:color w:val="1C3A36"/>
          <w:sz w:val="21"/>
        </w:rPr>
        <w:t xml:space="preserve">The Egyptian pound — </w:t>
      </w:r>
      <w:r>
        <w:rPr>
          <w:color w:val="1C3A36"/>
          <w:sz w:val="21"/>
        </w:rPr>
        <w:t>Every line in this bank's accounts is in pounds. The house path derives the currency from its own inflation ladder rather than setting it by hand, so a devaluation outside that path moves the nominal figures without moving the real ones — and moves the sovereign yield the discount rate is built on.</w:t>
      </w:r>
    </w:p>
    <w:p>
      <w:pPr>
        <w:pStyle w:val="ListBullet"/>
        <w:spacing w:after="60"/>
      </w:pPr>
      <w:r>
        <w:rPr>
          <w:b/>
          <w:color w:val="1C3A36"/>
          <w:sz w:val="21"/>
        </w:rPr>
        <w:t xml:space="preserve">A current ten-year yield — </w:t>
      </w:r>
      <w:r>
        <w:rPr>
          <w:color w:val="1C3A36"/>
          <w:sz w:val="21"/>
        </w:rPr>
        <w:t>Not a company event, but the largest single uncertainty in this study. The rate it uses is 34 days old; the only recent market evidence points 171 basis points lower, and that alone is worth EGP 9.52 a share.</w:t>
      </w:r>
    </w:p>
    <w:p>
      <w:pPr>
        <w:spacing w:after="120" w:before="280"/>
      </w:pPr>
      <w:r>
        <w:rPr>
          <w:b/>
          <w:i w:val="0"/>
          <w:color w:val="1C3A36"/>
          <w:sz w:val="30"/>
        </w:rPr>
        <w:t>6  Reading the probability zones</w:t>
      </w:r>
    </w:p>
    <w:p>
      <w:pPr>
        <w:spacing w:after="120" w:before="0"/>
      </w:pPr>
      <w:r>
        <w:rPr>
          <w:b w:val="0"/>
          <w:i w:val="0"/>
          <w:color w:val="1C3A36"/>
          <w:sz w:val="21"/>
        </w:rPr>
        <w:t>The percentiles in section 3 are not targets and not levels anyone expects. They are a way of saying how wide the range of plausible outcomes is, given how this stock has actually moved. The 25th-to-75th band is where half the simulated paths finish; the 5th-to-95th is where nine in ten do. One in twenty finishes below the 5th and one in twenty above the 95th, and both of those are ordinary rather than surprising.</w:t>
      </w:r>
    </w:p>
    <w:p>
      <w:pPr>
        <w:spacing w:after="120" w:before="0"/>
      </w:pPr>
      <w:r>
        <w:rPr>
          <w:b w:val="0"/>
          <w:i w:val="0"/>
          <w:color w:val="1C3A36"/>
          <w:sz w:val="21"/>
        </w:rPr>
        <w:t>The three-month band here runs from EGP 42.27 to EGP 78.98 — a spread of about 67% of the anchor price. That is wide, and it is wide because Egyptian equity returns have a genuinely fat left tail: the fitted shape carries 5.0 degrees of freedom, which is a formal way of saying that large single-day moves happen far more often than a bell curve allows. A reader who finds the band uncomfortably wide is reading it correctly.</w:t>
      </w:r>
    </w:p>
    <w:p>
      <w:pPr>
        <w:spacing w:after="120" w:before="280"/>
      </w:pPr>
      <w:r>
        <w:rPr>
          <w:b/>
          <w:i w:val="0"/>
          <w:color w:val="1C3A36"/>
          <w:sz w:val="30"/>
        </w:rPr>
        <w:t>7  Caveats and what would change our mind</w:t>
      </w:r>
    </w:p>
    <w:tbl>
      <w:tblPr>
        <w:tblW w:type="auto" w:w="0"/>
        <w:tblLook w:firstColumn="1" w:firstRow="1" w:lastColumn="0" w:lastRow="0" w:noHBand="0" w:noVBand="1" w:val="04A0"/>
        <w:tblLayout w:type="fixed"/>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color w:val="1C3A36"/>
                <w:sz w:val="19"/>
              </w:rPr>
              <w:t>HOW FAR AHEAD THIS METHOD CAN ACTUALLY SEE, MEASURED ON THIS COMPANY. Before this study was written, the forecasting method behind it was tested on ADIB-Egypt's own sixteen-year history: rebuilt at eleven past year-ends using only what had been published by each of those dates, projected forward one to five years, and scored against what the bank actually reported. 45 of those forecasts have matured for each of 14 drivers.</w:t>
            </w:r>
          </w:p>
          <w:p>
            <w:pPr>
              <w:spacing w:after="100"/>
            </w:pPr>
            <w:r>
              <w:rPr>
                <w:color w:val="1C3A36"/>
                <w:sz w:val="19"/>
              </w:rPr>
              <w:t>What it found. Against the naive rule of assuming last year repeats, the method is better by 40% on attributable profit and better on thirteen of fourteen drivers, and the improvement holds when the origins are resampled. Against the naive rule of extending the last three years' growth rate, it is a dead heat on profit (1%) and WORSE on balance-sheet volume. It under-forecast profit at every horizon and the shortfall widens with distance: -0.24 in logs at one year, -0.89 at five.</w:t>
            </w:r>
          </w:p>
          <w:p>
            <w:pPr>
              <w:spacing w:after="100"/>
            </w:pPr>
            <w:r>
              <w:rPr>
                <w:color w:val="1C3A36"/>
                <w:sz w:val="19"/>
              </w:rPr>
              <w:t>WHY IT UNDER-FORECAST, AND WHAT THIS STUDY DID ABOUT IT. The mechanical rule anchors lending volume on the size of the Egyptian credit system and holds the bank's share of it flat. ADIB-Egypt has taken share every year for a decade. So the rule was wrong in the same direction at all eleven origins — and this study does NOT hold share flat: its share path is stated in the drivers and audited in the gap review. No correction factor from that test enters this model. Every candidate either failed its own by-origin test or failed the check that it match how the same driver is built across the rest of the book, and a steady error usually means something is wired wrong rather than that a multiplier is missing.</w:t>
            </w:r>
          </w:p>
          <w:p>
            <w:pPr>
              <w:spacing w:after="100"/>
            </w:pPr>
            <w:r>
              <w:rPr>
                <w:color w:val="1C3A36"/>
                <w:sz w:val="19"/>
              </w:rPr>
              <w:t>WHAT IT MEANS FOR YEARS THREE TO FIVE. The measured spread of that record — how far the outcome sat from the forecast, three years out — runs from about a third of the projection to about one and a half times it. Appendix A publishes 2028, 2029 and 2030 as RANGES on that measurement rather than as points, and a reader should treat the far years of this or any five-year forecast accordingly.</w:t>
            </w:r>
          </w:p>
        </w:tc>
      </w:tr>
    </w:tbl>
    <w:p>
      <w:pPr>
        <w:spacing w:after="40"/>
      </w:pPr>
    </w:p>
    <w:p>
      <w:pPr>
        <w:spacing w:after="120" w:before="0"/>
      </w:pPr>
      <w:r>
        <w:rPr>
          <w:b w:val="0"/>
          <w:i w:val="0"/>
          <w:color w:val="1C3A36"/>
          <w:sz w:val="21"/>
        </w:rPr>
        <w:t>THE FAIR-VALUE ENVELOPE IN THIS STUDY IS NARROW AND THAT IS NOT A CONFIDENCE STATEMENT. EGP 43.17 to EGP 46.01 is the spread between three ways of discounting the same capital-constrained flow, and they agree because they are close cousins. It is not the range of outcomes. The range of outcomes is in the box above and it is much wider.</w:t>
      </w:r>
    </w:p>
    <w:p>
      <w:pPr>
        <w:pStyle w:val="ListBullet"/>
        <w:spacing w:after="60"/>
      </w:pPr>
      <w:r>
        <w:rPr>
          <w:b/>
          <w:color w:val="1C3A36"/>
          <w:sz w:val="21"/>
        </w:rPr>
        <w:t xml:space="preserve">The loss charge is the biggest judgement here — </w:t>
      </w:r>
      <w:r>
        <w:rPr>
          <w:color w:val="1C3A36"/>
          <w:sz w:val="21"/>
        </w:rPr>
        <w:t>The bank charged 2.176 million of credit losses in six months. This study assumes 1.00% of average financing in 2026 and 1.30% after. If the release proves structural the central is EGP 57.22; if the loss charge returns to its 2022-25 mean of 2.09% it is nearer EGP 22.00. Both ends are plausible on the evidence in hand.</w:t>
      </w:r>
    </w:p>
    <w:p>
      <w:pPr>
        <w:pStyle w:val="ListBullet"/>
        <w:spacing w:after="60"/>
      </w:pPr>
      <w:r>
        <w:rPr>
          <w:b/>
          <w:color w:val="1C3A36"/>
          <w:sz w:val="21"/>
        </w:rPr>
        <w:t xml:space="preserve">The risk-free rate is 34 days old — </w:t>
      </w:r>
      <w:r>
        <w:rPr>
          <w:color w:val="1C3A36"/>
          <w:sz w:val="21"/>
        </w:rPr>
        <w:t>Named already in 1.8 and repeated here because it is the largest single uncertainty. Four live re-source routes failed on the study date. The only recent market evidence found points 171 basis points below the rate carried, which alone is worth EGP 9.52 a share.</w:t>
      </w:r>
    </w:p>
    <w:p>
      <w:pPr>
        <w:pStyle w:val="ListBullet"/>
        <w:spacing w:after="60"/>
      </w:pPr>
      <w:r>
        <w:rPr>
          <w:b/>
          <w:color w:val="1C3A36"/>
          <w:sz w:val="21"/>
        </w:rPr>
        <w:t xml:space="preserve">The peer multiples could not be sourced properly — </w:t>
      </w:r>
      <w:r>
        <w:rPr>
          <w:color w:val="1C3A36"/>
          <w:sz w:val="21"/>
        </w:rPr>
        <w:t>No same-day book value could be obtained for any Egyptian bank other than ADIB-Egypt. The multiple lens is a band, it carries no weight in the answer, and it is the lens pointing highest.</w:t>
      </w:r>
    </w:p>
    <w:p>
      <w:pPr>
        <w:pStyle w:val="ListBullet"/>
        <w:spacing w:after="60"/>
      </w:pPr>
      <w:r>
        <w:rPr>
          <w:b/>
          <w:color w:val="1C3A36"/>
          <w:sz w:val="21"/>
        </w:rPr>
        <w:t xml:space="preserve">One year of the history is a comparative, not an original — </w:t>
      </w:r>
      <w:r>
        <w:rPr>
          <w:color w:val="1C3A36"/>
          <w:sz w:val="21"/>
        </w:rPr>
        <w:t>No English 2021 consolidated filing exists on the bank's own site — the document published under that name is the Arabic one. The 2021 figures come from the comparative column of the audited 2022 statements. Same auditor, same issuer, but a comparative can carry a restatement the original did not.</w:t>
      </w:r>
    </w:p>
    <w:p>
      <w:pPr>
        <w:pStyle w:val="ListBullet"/>
        <w:spacing w:after="60"/>
      </w:pPr>
      <w:r>
        <w:rPr>
          <w:b/>
          <w:color w:val="1C3A36"/>
          <w:sz w:val="21"/>
        </w:rPr>
        <w:t xml:space="preserve">The growth path assumes continued share gain — </w:t>
      </w:r>
      <w:r>
        <w:rPr>
          <w:color w:val="1C3A36"/>
          <w:sz w:val="21"/>
        </w:rPr>
        <w:t>Financing grows at 2.3 times nominal GDP in 2026, decaying to parity by 2030, which takes the bank from about 3.1% of Egyptian private credit to about 4.4%. That is slower than the share gain of the last decade and faster than none. If the bank simply grows with the system, the central falls by about 13.0%.</w:t>
      </w:r>
    </w:p>
    <w:p>
      <w:pPr>
        <w:pStyle w:val="ListBullet"/>
        <w:spacing w:after="60"/>
      </w:pPr>
      <w:r>
        <w:rPr>
          <w:b/>
          <w:color w:val="1C3A36"/>
          <w:sz w:val="21"/>
        </w:rPr>
        <w:t xml:space="preserve">What would change our mind, in one line — </w:t>
      </w:r>
      <w:r>
        <w:rPr>
          <w:color w:val="1C3A36"/>
          <w:sz w:val="21"/>
        </w:rPr>
        <w:t>A third-quarter loss charge still near zero, or a current ten-year yield near 21%, would each move this study several pounds a share toward the market. A loss charge back at 2.7% of financing, or a policy rate cut faster than the published path, would move it away.</w:t>
      </w:r>
    </w:p>
    <w:p>
      <w:r>
        <w:br w:type="page"/>
      </w:r>
    </w:p>
    <w:p>
      <w:pPr>
        <w:spacing w:after="120" w:before="280"/>
      </w:pPr>
      <w:r>
        <w:rPr>
          <w:b/>
          <w:i w:val="0"/>
          <w:color w:val="1C3A36"/>
          <w:sz w:val="30"/>
        </w:rPr>
        <w:t>Appendix A — Financial statements</w:t>
      </w:r>
    </w:p>
    <w:p>
      <w:pPr>
        <w:spacing w:after="80" w:before="200"/>
      </w:pPr>
      <w:r>
        <w:rPr>
          <w:b/>
          <w:i w:val="0"/>
          <w:color w:val="1C3A36"/>
          <w:sz w:val="24"/>
        </w:rPr>
        <w:t>A.1  Income statement — three reported years and five forecast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1037"/>
        <w:gridCol w:w="1037"/>
        <w:gridCol w:w="1037"/>
        <w:gridCol w:w="979"/>
        <w:gridCol w:w="979"/>
        <w:gridCol w:w="979"/>
        <w:gridCol w:w="979"/>
        <w:gridCol w:w="979"/>
      </w:tblGrid>
      <w:tr>
        <w:tc>
          <w:tcPr>
            <w:tcW w:type="dxa" w:w="2160"/>
            <w:shd w:val="clear" w:color="auto" w:fill="EAF0EE"/>
          </w:tcPr>
          <w:p>
            <w:pPr>
              <w:spacing w:after="20"/>
            </w:pPr>
            <w:r>
              <w:rPr>
                <w:b/>
                <w:color w:val="1C3A36"/>
                <w:sz w:val="15"/>
              </w:rPr>
              <w:t>EGP million</w:t>
            </w:r>
          </w:p>
        </w:tc>
        <w:tc>
          <w:tcPr>
            <w:tcW w:type="dxa" w:w="1037"/>
            <w:shd w:val="clear" w:color="auto" w:fill="EAF0EE"/>
          </w:tcPr>
          <w:p>
            <w:pPr>
              <w:spacing w:after="20"/>
            </w:pPr>
            <w:r>
              <w:rPr>
                <w:b/>
                <w:color w:val="1C3A36"/>
                <w:sz w:val="15"/>
              </w:rPr>
              <w:t>FY2023A</w:t>
            </w:r>
          </w:p>
        </w:tc>
        <w:tc>
          <w:tcPr>
            <w:tcW w:type="dxa" w:w="1037"/>
            <w:shd w:val="clear" w:color="auto" w:fill="EAF0EE"/>
          </w:tcPr>
          <w:p>
            <w:pPr>
              <w:spacing w:after="20"/>
            </w:pPr>
            <w:r>
              <w:rPr>
                <w:b/>
                <w:color w:val="1C3A36"/>
                <w:sz w:val="15"/>
              </w:rPr>
              <w:t>FY2024A</w:t>
            </w:r>
          </w:p>
        </w:tc>
        <w:tc>
          <w:tcPr>
            <w:tcW w:type="dxa" w:w="1037"/>
            <w:shd w:val="clear" w:color="auto" w:fill="EAF0EE"/>
          </w:tcPr>
          <w:p>
            <w:pPr>
              <w:spacing w:after="20"/>
            </w:pPr>
            <w:r>
              <w:rPr>
                <w:b/>
                <w:color w:val="1C3A36"/>
                <w:sz w:val="15"/>
              </w:rPr>
              <w:t>FY2025A</w:t>
            </w:r>
          </w:p>
        </w:tc>
        <w:tc>
          <w:tcPr>
            <w:tcW w:type="dxa" w:w="979"/>
            <w:shd w:val="clear" w:color="auto" w:fill="EAF0EE"/>
          </w:tcPr>
          <w:p>
            <w:pPr>
              <w:spacing w:after="20"/>
            </w:pPr>
            <w:r>
              <w:rPr>
                <w:b/>
                <w:color w:val="1C3A36"/>
                <w:sz w:val="15"/>
              </w:rPr>
              <w:t>FY2026E</w:t>
            </w:r>
          </w:p>
        </w:tc>
        <w:tc>
          <w:tcPr>
            <w:tcW w:type="dxa" w:w="979"/>
            <w:shd w:val="clear" w:color="auto" w:fill="EAF0EE"/>
          </w:tcPr>
          <w:p>
            <w:pPr>
              <w:spacing w:after="20"/>
            </w:pPr>
            <w:r>
              <w:rPr>
                <w:b/>
                <w:color w:val="1C3A36"/>
                <w:sz w:val="15"/>
              </w:rPr>
              <w:t>FY2027E</w:t>
            </w:r>
          </w:p>
        </w:tc>
        <w:tc>
          <w:tcPr>
            <w:tcW w:type="dxa" w:w="979"/>
            <w:shd w:val="clear" w:color="auto" w:fill="EAF0EE"/>
          </w:tcPr>
          <w:p>
            <w:pPr>
              <w:spacing w:after="20"/>
            </w:pPr>
            <w:r>
              <w:rPr>
                <w:b/>
                <w:color w:val="1C3A36"/>
                <w:sz w:val="15"/>
              </w:rPr>
              <w:t>FY2028E</w:t>
            </w:r>
          </w:p>
        </w:tc>
        <w:tc>
          <w:tcPr>
            <w:tcW w:type="dxa" w:w="979"/>
            <w:shd w:val="clear" w:color="auto" w:fill="EAF0EE"/>
          </w:tcPr>
          <w:p>
            <w:pPr>
              <w:spacing w:after="20"/>
            </w:pPr>
            <w:r>
              <w:rPr>
                <w:b/>
                <w:color w:val="1C3A36"/>
                <w:sz w:val="15"/>
              </w:rPr>
              <w:t>FY2029E</w:t>
            </w:r>
          </w:p>
        </w:tc>
        <w:tc>
          <w:tcPr>
            <w:tcW w:type="dxa" w:w="979"/>
            <w:shd w:val="clear" w:color="auto" w:fill="EAF0EE"/>
          </w:tcPr>
          <w:p>
            <w:pPr>
              <w:spacing w:after="20"/>
            </w:pPr>
            <w:r>
              <w:rPr>
                <w:b/>
                <w:color w:val="1C3A36"/>
                <w:sz w:val="15"/>
              </w:rPr>
              <w:t>FY2030E</w:t>
            </w:r>
          </w:p>
        </w:tc>
      </w:tr>
      <w:tr>
        <w:tc>
          <w:tcPr>
            <w:tcW w:type="dxa" w:w="2160"/>
          </w:tcPr>
          <w:p>
            <w:pPr>
              <w:spacing w:after="20"/>
            </w:pPr>
            <w:r>
              <w:rPr>
                <w:b/>
                <w:color w:val="1C3A36"/>
                <w:sz w:val="15"/>
              </w:rPr>
              <w:t>Financing income</w:t>
            </w:r>
          </w:p>
        </w:tc>
        <w:tc>
          <w:tcPr>
            <w:tcW w:type="dxa" w:w="1037"/>
          </w:tcPr>
          <w:p>
            <w:pPr>
              <w:spacing w:after="20"/>
              <w:jc w:val="right"/>
            </w:pPr>
            <w:r>
              <w:rPr>
                <w:color w:val="1C3A36"/>
                <w:sz w:val="15"/>
              </w:rPr>
              <w:t>19,534</w:t>
            </w:r>
          </w:p>
        </w:tc>
        <w:tc>
          <w:tcPr>
            <w:tcW w:type="dxa" w:w="1037"/>
          </w:tcPr>
          <w:p>
            <w:pPr>
              <w:spacing w:after="20"/>
              <w:jc w:val="right"/>
            </w:pPr>
            <w:r>
              <w:rPr>
                <w:color w:val="1C3A36"/>
                <w:sz w:val="15"/>
              </w:rPr>
              <w:t>36,944</w:t>
            </w:r>
          </w:p>
        </w:tc>
        <w:tc>
          <w:tcPr>
            <w:tcW w:type="dxa" w:w="1037"/>
          </w:tcPr>
          <w:p>
            <w:pPr>
              <w:spacing w:after="20"/>
              <w:jc w:val="right"/>
            </w:pPr>
            <w:r>
              <w:rPr>
                <w:color w:val="1C3A36"/>
                <w:sz w:val="15"/>
              </w:rPr>
              <w:t>49,262</w:t>
            </w:r>
          </w:p>
        </w:tc>
        <w:tc>
          <w:tcPr>
            <w:tcW w:type="dxa" w:w="979"/>
          </w:tcPr>
          <w:p>
            <w:pPr>
              <w:spacing w:after="20"/>
              <w:jc w:val="right"/>
            </w:pPr>
            <w:r>
              <w:rPr>
                <w:color w:val="1C3A36"/>
                <w:sz w:val="15"/>
              </w:rPr>
              <w:t>60,774</w:t>
            </w:r>
          </w:p>
        </w:tc>
        <w:tc>
          <w:tcPr>
            <w:tcW w:type="dxa" w:w="979"/>
          </w:tcPr>
          <w:p>
            <w:pPr>
              <w:spacing w:after="20"/>
              <w:jc w:val="right"/>
            </w:pPr>
            <w:r>
              <w:rPr>
                <w:color w:val="1C3A36"/>
                <w:sz w:val="15"/>
              </w:rPr>
              <w:t>68,989</w:t>
            </w:r>
          </w:p>
        </w:tc>
        <w:tc>
          <w:tcPr>
            <w:tcW w:type="dxa" w:w="979"/>
          </w:tcPr>
          <w:p>
            <w:pPr>
              <w:spacing w:after="20"/>
              <w:jc w:val="right"/>
            </w:pPr>
            <w:r>
              <w:rPr>
                <w:color w:val="1C3A36"/>
                <w:sz w:val="15"/>
              </w:rPr>
              <w:t>73,780</w:t>
            </w:r>
          </w:p>
        </w:tc>
        <w:tc>
          <w:tcPr>
            <w:tcW w:type="dxa" w:w="979"/>
          </w:tcPr>
          <w:p>
            <w:pPr>
              <w:spacing w:after="20"/>
              <w:jc w:val="right"/>
            </w:pPr>
            <w:r>
              <w:rPr>
                <w:color w:val="1C3A36"/>
                <w:sz w:val="15"/>
              </w:rPr>
              <w:t>78,542</w:t>
            </w:r>
          </w:p>
        </w:tc>
        <w:tc>
          <w:tcPr>
            <w:tcW w:type="dxa" w:w="979"/>
          </w:tcPr>
          <w:p>
            <w:pPr>
              <w:spacing w:after="20"/>
              <w:jc w:val="right"/>
            </w:pPr>
            <w:r>
              <w:rPr>
                <w:color w:val="1C3A36"/>
                <w:sz w:val="15"/>
              </w:rPr>
              <w:t>83,481</w:t>
            </w:r>
          </w:p>
        </w:tc>
      </w:tr>
      <w:tr>
        <w:tc>
          <w:tcPr>
            <w:tcW w:type="dxa" w:w="2160"/>
          </w:tcPr>
          <w:p>
            <w:pPr>
              <w:spacing w:after="20"/>
            </w:pPr>
            <w:r>
              <w:rPr>
                <w:b/>
                <w:color w:val="1C3A36"/>
                <w:sz w:val="15"/>
              </w:rPr>
              <w:t>Cost of deposits</w:t>
            </w:r>
          </w:p>
        </w:tc>
        <w:tc>
          <w:tcPr>
            <w:tcW w:type="dxa" w:w="1037"/>
          </w:tcPr>
          <w:p>
            <w:pPr>
              <w:spacing w:after="20"/>
              <w:jc w:val="right"/>
            </w:pPr>
            <w:r>
              <w:rPr>
                <w:color w:val="1C3A36"/>
                <w:sz w:val="15"/>
              </w:rPr>
              <w:t>-10,609</w:t>
            </w:r>
          </w:p>
        </w:tc>
        <w:tc>
          <w:tcPr>
            <w:tcW w:type="dxa" w:w="1037"/>
          </w:tcPr>
          <w:p>
            <w:pPr>
              <w:spacing w:after="20"/>
              <w:jc w:val="right"/>
            </w:pPr>
            <w:r>
              <w:rPr>
                <w:color w:val="1C3A36"/>
                <w:sz w:val="15"/>
              </w:rPr>
              <w:t>-21,692</w:t>
            </w:r>
          </w:p>
        </w:tc>
        <w:tc>
          <w:tcPr>
            <w:tcW w:type="dxa" w:w="1037"/>
          </w:tcPr>
          <w:p>
            <w:pPr>
              <w:spacing w:after="20"/>
              <w:jc w:val="right"/>
            </w:pPr>
            <w:r>
              <w:rPr>
                <w:color w:val="1C3A36"/>
                <w:sz w:val="15"/>
              </w:rPr>
              <w:t>-29,110</w:t>
            </w:r>
          </w:p>
        </w:tc>
        <w:tc>
          <w:tcPr>
            <w:tcW w:type="dxa" w:w="979"/>
          </w:tcPr>
          <w:p>
            <w:pPr>
              <w:spacing w:after="20"/>
              <w:jc w:val="right"/>
            </w:pPr>
            <w:r>
              <w:rPr>
                <w:color w:val="1C3A36"/>
                <w:sz w:val="15"/>
              </w:rPr>
              <w:t>-36,720</w:t>
            </w:r>
          </w:p>
        </w:tc>
        <w:tc>
          <w:tcPr>
            <w:tcW w:type="dxa" w:w="979"/>
          </w:tcPr>
          <w:p>
            <w:pPr>
              <w:spacing w:after="20"/>
              <w:jc w:val="right"/>
            </w:pPr>
            <w:r>
              <w:rPr>
                <w:color w:val="1C3A36"/>
                <w:sz w:val="15"/>
              </w:rPr>
              <w:t>-40,497</w:t>
            </w:r>
          </w:p>
        </w:tc>
        <w:tc>
          <w:tcPr>
            <w:tcW w:type="dxa" w:w="979"/>
          </w:tcPr>
          <w:p>
            <w:pPr>
              <w:spacing w:after="20"/>
              <w:jc w:val="right"/>
            </w:pPr>
            <w:r>
              <w:rPr>
                <w:color w:val="1C3A36"/>
                <w:sz w:val="15"/>
              </w:rPr>
              <w:t>-42,228</w:t>
            </w:r>
          </w:p>
        </w:tc>
        <w:tc>
          <w:tcPr>
            <w:tcW w:type="dxa" w:w="979"/>
          </w:tcPr>
          <w:p>
            <w:pPr>
              <w:spacing w:after="20"/>
              <w:jc w:val="right"/>
            </w:pPr>
            <w:r>
              <w:rPr>
                <w:color w:val="1C3A36"/>
                <w:sz w:val="15"/>
              </w:rPr>
              <w:t>-43,977</w:t>
            </w:r>
          </w:p>
        </w:tc>
        <w:tc>
          <w:tcPr>
            <w:tcW w:type="dxa" w:w="979"/>
          </w:tcPr>
          <w:p>
            <w:pPr>
              <w:spacing w:after="20"/>
              <w:jc w:val="right"/>
            </w:pPr>
            <w:r>
              <w:rPr>
                <w:color w:val="1C3A36"/>
                <w:sz w:val="15"/>
              </w:rPr>
              <w:t>-46,262</w:t>
            </w:r>
          </w:p>
        </w:tc>
      </w:tr>
      <w:tr>
        <w:tc>
          <w:tcPr>
            <w:tcW w:type="dxa" w:w="2160"/>
          </w:tcPr>
          <w:p>
            <w:pPr>
              <w:spacing w:after="20"/>
            </w:pPr>
            <w:r>
              <w:rPr>
                <w:b/>
                <w:color w:val="1C3A36"/>
                <w:sz w:val="15"/>
              </w:rPr>
              <w:t>Net income from funds</w:t>
            </w:r>
          </w:p>
        </w:tc>
        <w:tc>
          <w:tcPr>
            <w:tcW w:type="dxa" w:w="1037"/>
          </w:tcPr>
          <w:p>
            <w:pPr>
              <w:spacing w:after="20"/>
              <w:jc w:val="right"/>
            </w:pPr>
            <w:r>
              <w:rPr>
                <w:color w:val="1C3A36"/>
                <w:sz w:val="15"/>
              </w:rPr>
              <w:t>8,924</w:t>
            </w:r>
          </w:p>
        </w:tc>
        <w:tc>
          <w:tcPr>
            <w:tcW w:type="dxa" w:w="1037"/>
          </w:tcPr>
          <w:p>
            <w:pPr>
              <w:spacing w:after="20"/>
              <w:jc w:val="right"/>
            </w:pPr>
            <w:r>
              <w:rPr>
                <w:color w:val="1C3A36"/>
                <w:sz w:val="15"/>
              </w:rPr>
              <w:t>15,253</w:t>
            </w:r>
          </w:p>
        </w:tc>
        <w:tc>
          <w:tcPr>
            <w:tcW w:type="dxa" w:w="1037"/>
          </w:tcPr>
          <w:p>
            <w:pPr>
              <w:spacing w:after="20"/>
              <w:jc w:val="right"/>
            </w:pPr>
            <w:r>
              <w:rPr>
                <w:color w:val="1C3A36"/>
                <w:sz w:val="15"/>
              </w:rPr>
              <w:t>20,152</w:t>
            </w:r>
          </w:p>
        </w:tc>
        <w:tc>
          <w:tcPr>
            <w:tcW w:type="dxa" w:w="979"/>
          </w:tcPr>
          <w:p>
            <w:pPr>
              <w:spacing w:after="20"/>
              <w:jc w:val="right"/>
            </w:pPr>
            <w:r>
              <w:rPr>
                <w:color w:val="1C3A36"/>
                <w:sz w:val="15"/>
              </w:rPr>
              <w:t>24,054</w:t>
            </w:r>
          </w:p>
        </w:tc>
        <w:tc>
          <w:tcPr>
            <w:tcW w:type="dxa" w:w="979"/>
          </w:tcPr>
          <w:p>
            <w:pPr>
              <w:spacing w:after="20"/>
              <w:jc w:val="right"/>
            </w:pPr>
            <w:r>
              <w:rPr>
                <w:color w:val="1C3A36"/>
                <w:sz w:val="15"/>
              </w:rPr>
              <w:t>28,491</w:t>
            </w:r>
          </w:p>
        </w:tc>
        <w:tc>
          <w:tcPr>
            <w:tcW w:type="dxa" w:w="979"/>
          </w:tcPr>
          <w:p>
            <w:pPr>
              <w:spacing w:after="20"/>
              <w:jc w:val="right"/>
            </w:pPr>
            <w:r>
              <w:rPr>
                <w:color w:val="1C3A36"/>
                <w:sz w:val="15"/>
              </w:rPr>
              <w:t>31,551</w:t>
            </w:r>
          </w:p>
        </w:tc>
        <w:tc>
          <w:tcPr>
            <w:tcW w:type="dxa" w:w="979"/>
          </w:tcPr>
          <w:p>
            <w:pPr>
              <w:spacing w:after="20"/>
              <w:jc w:val="right"/>
            </w:pPr>
            <w:r>
              <w:rPr>
                <w:color w:val="1C3A36"/>
                <w:sz w:val="15"/>
              </w:rPr>
              <w:t>34,565</w:t>
            </w:r>
          </w:p>
        </w:tc>
        <w:tc>
          <w:tcPr>
            <w:tcW w:type="dxa" w:w="979"/>
          </w:tcPr>
          <w:p>
            <w:pPr>
              <w:spacing w:after="20"/>
              <w:jc w:val="right"/>
            </w:pPr>
            <w:r>
              <w:rPr>
                <w:color w:val="1C3A36"/>
                <w:sz w:val="15"/>
              </w:rPr>
              <w:t>37,219</w:t>
            </w:r>
          </w:p>
        </w:tc>
      </w:tr>
      <w:tr>
        <w:tc>
          <w:tcPr>
            <w:tcW w:type="dxa" w:w="2160"/>
          </w:tcPr>
          <w:p>
            <w:pPr>
              <w:spacing w:after="20"/>
            </w:pPr>
            <w:r>
              <w:rPr>
                <w:b/>
                <w:color w:val="1C3A36"/>
                <w:sz w:val="15"/>
              </w:rPr>
              <w:t>Net fees and commissions</w:t>
            </w:r>
          </w:p>
        </w:tc>
        <w:tc>
          <w:tcPr>
            <w:tcW w:type="dxa" w:w="1037"/>
          </w:tcPr>
          <w:p>
            <w:pPr>
              <w:spacing w:after="20"/>
              <w:jc w:val="right"/>
            </w:pPr>
            <w:r>
              <w:rPr>
                <w:color w:val="1C3A36"/>
                <w:sz w:val="15"/>
              </w:rPr>
              <w:t>1,558</w:t>
            </w:r>
          </w:p>
        </w:tc>
        <w:tc>
          <w:tcPr>
            <w:tcW w:type="dxa" w:w="1037"/>
          </w:tcPr>
          <w:p>
            <w:pPr>
              <w:spacing w:after="20"/>
              <w:jc w:val="right"/>
            </w:pPr>
            <w:r>
              <w:rPr>
                <w:color w:val="1C3A36"/>
                <w:sz w:val="15"/>
              </w:rPr>
              <w:t>1,895</w:t>
            </w:r>
          </w:p>
        </w:tc>
        <w:tc>
          <w:tcPr>
            <w:tcW w:type="dxa" w:w="1037"/>
          </w:tcPr>
          <w:p>
            <w:pPr>
              <w:spacing w:after="20"/>
              <w:jc w:val="right"/>
            </w:pPr>
            <w:r>
              <w:rPr>
                <w:color w:val="1C3A36"/>
                <w:sz w:val="15"/>
              </w:rPr>
              <w:t>2,730</w:t>
            </w:r>
          </w:p>
        </w:tc>
        <w:tc>
          <w:tcPr>
            <w:tcW w:type="dxa" w:w="979"/>
          </w:tcPr>
          <w:p>
            <w:pPr>
              <w:spacing w:after="20"/>
              <w:jc w:val="right"/>
            </w:pPr>
            <w:r>
              <w:rPr>
                <w:color w:val="1C3A36"/>
                <w:sz w:val="15"/>
              </w:rPr>
              <w:t>3,241</w:t>
            </w:r>
          </w:p>
        </w:tc>
        <w:tc>
          <w:tcPr>
            <w:tcW w:type="dxa" w:w="979"/>
          </w:tcPr>
          <w:p>
            <w:pPr>
              <w:spacing w:after="20"/>
              <w:jc w:val="right"/>
            </w:pPr>
            <w:r>
              <w:rPr>
                <w:color w:val="1C3A36"/>
                <w:sz w:val="15"/>
              </w:rPr>
              <w:t>4,222</w:t>
            </w:r>
          </w:p>
        </w:tc>
        <w:tc>
          <w:tcPr>
            <w:tcW w:type="dxa" w:w="979"/>
          </w:tcPr>
          <w:p>
            <w:pPr>
              <w:spacing w:after="20"/>
              <w:jc w:val="right"/>
            </w:pPr>
            <w:r>
              <w:rPr>
                <w:color w:val="1C3A36"/>
                <w:sz w:val="15"/>
              </w:rPr>
              <w:t>5,122</w:t>
            </w:r>
          </w:p>
        </w:tc>
        <w:tc>
          <w:tcPr>
            <w:tcW w:type="dxa" w:w="979"/>
          </w:tcPr>
          <w:p>
            <w:pPr>
              <w:spacing w:after="20"/>
              <w:jc w:val="right"/>
            </w:pPr>
            <w:r>
              <w:rPr>
                <w:color w:val="1C3A36"/>
                <w:sz w:val="15"/>
              </w:rPr>
              <w:t>5,908</w:t>
            </w:r>
          </w:p>
        </w:tc>
        <w:tc>
          <w:tcPr>
            <w:tcW w:type="dxa" w:w="979"/>
          </w:tcPr>
          <w:p>
            <w:pPr>
              <w:spacing w:after="20"/>
              <w:jc w:val="right"/>
            </w:pPr>
            <w:r>
              <w:rPr>
                <w:color w:val="1C3A36"/>
                <w:sz w:val="15"/>
              </w:rPr>
              <w:t>6,570</w:t>
            </w:r>
          </w:p>
        </w:tc>
      </w:tr>
      <w:tr>
        <w:tc>
          <w:tcPr>
            <w:tcW w:type="dxa" w:w="2160"/>
          </w:tcPr>
          <w:p>
            <w:pPr>
              <w:spacing w:after="20"/>
            </w:pPr>
            <w:r>
              <w:rPr>
                <w:b/>
                <w:color w:val="1C3A36"/>
                <w:sz w:val="15"/>
              </w:rPr>
              <w:t>Other non-interest income</w:t>
            </w:r>
          </w:p>
        </w:tc>
        <w:tc>
          <w:tcPr>
            <w:tcW w:type="dxa" w:w="1037"/>
          </w:tcPr>
          <w:p>
            <w:pPr>
              <w:spacing w:after="20"/>
              <w:jc w:val="right"/>
            </w:pPr>
            <w:r>
              <w:rPr>
                <w:color w:val="1C3A36"/>
                <w:sz w:val="15"/>
              </w:rPr>
              <w:t>381</w:t>
            </w:r>
          </w:p>
        </w:tc>
        <w:tc>
          <w:tcPr>
            <w:tcW w:type="dxa" w:w="1037"/>
          </w:tcPr>
          <w:p>
            <w:pPr>
              <w:spacing w:after="20"/>
              <w:jc w:val="right"/>
            </w:pPr>
            <w:r>
              <w:rPr>
                <w:color w:val="1C3A36"/>
                <w:sz w:val="15"/>
              </w:rPr>
              <w:t>854</w:t>
            </w:r>
          </w:p>
        </w:tc>
        <w:tc>
          <w:tcPr>
            <w:tcW w:type="dxa" w:w="1037"/>
          </w:tcPr>
          <w:p>
            <w:pPr>
              <w:spacing w:after="20"/>
              <w:jc w:val="right"/>
            </w:pPr>
            <w:r>
              <w:rPr>
                <w:color w:val="1C3A36"/>
                <w:sz w:val="15"/>
              </w:rPr>
              <w:t>721</w:t>
            </w:r>
          </w:p>
        </w:tc>
        <w:tc>
          <w:tcPr>
            <w:tcW w:type="dxa" w:w="979"/>
          </w:tcPr>
          <w:p>
            <w:pPr>
              <w:spacing w:after="20"/>
              <w:jc w:val="right"/>
            </w:pPr>
            <w:r>
              <w:rPr>
                <w:color w:val="1C3A36"/>
                <w:sz w:val="15"/>
              </w:rPr>
              <w:t>1,134</w:t>
            </w:r>
          </w:p>
        </w:tc>
        <w:tc>
          <w:tcPr>
            <w:tcW w:type="dxa" w:w="979"/>
          </w:tcPr>
          <w:p>
            <w:pPr>
              <w:spacing w:after="20"/>
              <w:jc w:val="right"/>
            </w:pPr>
            <w:r>
              <w:rPr>
                <w:color w:val="1C3A36"/>
                <w:sz w:val="15"/>
              </w:rPr>
              <w:t>1,339</w:t>
            </w:r>
          </w:p>
        </w:tc>
        <w:tc>
          <w:tcPr>
            <w:tcW w:type="dxa" w:w="979"/>
          </w:tcPr>
          <w:p>
            <w:pPr>
              <w:spacing w:after="20"/>
              <w:jc w:val="right"/>
            </w:pPr>
            <w:r>
              <w:rPr>
                <w:color w:val="1C3A36"/>
                <w:sz w:val="15"/>
              </w:rPr>
              <w:t>1,463</w:t>
            </w:r>
          </w:p>
        </w:tc>
        <w:tc>
          <w:tcPr>
            <w:tcW w:type="dxa" w:w="979"/>
          </w:tcPr>
          <w:p>
            <w:pPr>
              <w:spacing w:after="20"/>
              <w:jc w:val="right"/>
            </w:pPr>
            <w:r>
              <w:rPr>
                <w:color w:val="1C3A36"/>
                <w:sz w:val="15"/>
              </w:rPr>
              <w:t>1,599</w:t>
            </w:r>
          </w:p>
        </w:tc>
        <w:tc>
          <w:tcPr>
            <w:tcW w:type="dxa" w:w="979"/>
          </w:tcPr>
          <w:p>
            <w:pPr>
              <w:spacing w:after="20"/>
              <w:jc w:val="right"/>
            </w:pPr>
            <w:r>
              <w:rPr>
                <w:color w:val="1C3A36"/>
                <w:sz w:val="15"/>
              </w:rPr>
              <w:t>1,701</w:t>
            </w:r>
          </w:p>
        </w:tc>
      </w:tr>
      <w:tr>
        <w:tc>
          <w:tcPr>
            <w:tcW w:type="dxa" w:w="2160"/>
          </w:tcPr>
          <w:p>
            <w:pPr>
              <w:spacing w:after="20"/>
            </w:pPr>
            <w:r>
              <w:rPr>
                <w:b/>
                <w:color w:val="1C3A36"/>
                <w:sz w:val="15"/>
              </w:rPr>
              <w:t>Administrative expenses</w:t>
            </w:r>
          </w:p>
        </w:tc>
        <w:tc>
          <w:tcPr>
            <w:tcW w:type="dxa" w:w="1037"/>
          </w:tcPr>
          <w:p>
            <w:pPr>
              <w:spacing w:after="20"/>
              <w:jc w:val="right"/>
            </w:pPr>
            <w:r>
              <w:rPr>
                <w:color w:val="1C3A36"/>
                <w:sz w:val="15"/>
              </w:rPr>
              <w:t>-1,922</w:t>
            </w:r>
          </w:p>
        </w:tc>
        <w:tc>
          <w:tcPr>
            <w:tcW w:type="dxa" w:w="1037"/>
          </w:tcPr>
          <w:p>
            <w:pPr>
              <w:spacing w:after="20"/>
              <w:jc w:val="right"/>
            </w:pPr>
            <w:r>
              <w:rPr>
                <w:color w:val="1C3A36"/>
                <w:sz w:val="15"/>
              </w:rPr>
              <w:t>-2,615</w:t>
            </w:r>
          </w:p>
        </w:tc>
        <w:tc>
          <w:tcPr>
            <w:tcW w:type="dxa" w:w="1037"/>
          </w:tcPr>
          <w:p>
            <w:pPr>
              <w:spacing w:after="20"/>
              <w:jc w:val="right"/>
            </w:pPr>
            <w:r>
              <w:rPr>
                <w:color w:val="1C3A36"/>
                <w:sz w:val="15"/>
              </w:rPr>
              <w:t>-3,431</w:t>
            </w:r>
          </w:p>
        </w:tc>
        <w:tc>
          <w:tcPr>
            <w:tcW w:type="dxa" w:w="979"/>
          </w:tcPr>
          <w:p>
            <w:pPr>
              <w:spacing w:after="20"/>
              <w:jc w:val="right"/>
            </w:pPr>
            <w:r>
              <w:rPr>
                <w:color w:val="1C3A36"/>
                <w:sz w:val="15"/>
              </w:rPr>
              <w:t>-4,598</w:t>
            </w:r>
          </w:p>
        </w:tc>
        <w:tc>
          <w:tcPr>
            <w:tcW w:type="dxa" w:w="979"/>
          </w:tcPr>
          <w:p>
            <w:pPr>
              <w:spacing w:after="20"/>
              <w:jc w:val="right"/>
            </w:pPr>
            <w:r>
              <w:rPr>
                <w:color w:val="1C3A36"/>
                <w:sz w:val="15"/>
              </w:rPr>
              <w:t>-5,425</w:t>
            </w:r>
          </w:p>
        </w:tc>
        <w:tc>
          <w:tcPr>
            <w:tcW w:type="dxa" w:w="979"/>
          </w:tcPr>
          <w:p>
            <w:pPr>
              <w:spacing w:after="20"/>
              <w:jc w:val="right"/>
            </w:pPr>
            <w:r>
              <w:rPr>
                <w:color w:val="1C3A36"/>
                <w:sz w:val="15"/>
              </w:rPr>
              <w:t>-6,239</w:t>
            </w:r>
          </w:p>
        </w:tc>
        <w:tc>
          <w:tcPr>
            <w:tcW w:type="dxa" w:w="979"/>
          </w:tcPr>
          <w:p>
            <w:pPr>
              <w:spacing w:after="20"/>
              <w:jc w:val="right"/>
            </w:pPr>
            <w:r>
              <w:rPr>
                <w:color w:val="1C3A36"/>
                <w:sz w:val="15"/>
              </w:rPr>
              <w:t>-7,082</w:t>
            </w:r>
          </w:p>
        </w:tc>
        <w:tc>
          <w:tcPr>
            <w:tcW w:type="dxa" w:w="979"/>
          </w:tcPr>
          <w:p>
            <w:pPr>
              <w:spacing w:after="20"/>
              <w:jc w:val="right"/>
            </w:pPr>
            <w:r>
              <w:rPr>
                <w:color w:val="1C3A36"/>
                <w:sz w:val="15"/>
              </w:rPr>
              <w:t>-8,002</w:t>
            </w:r>
          </w:p>
        </w:tc>
      </w:tr>
      <w:tr>
        <w:tc>
          <w:tcPr>
            <w:tcW w:type="dxa" w:w="2160"/>
          </w:tcPr>
          <w:p>
            <w:pPr>
              <w:spacing w:after="20"/>
            </w:pPr>
            <w:r>
              <w:rPr>
                <w:b/>
                <w:color w:val="1C3A36"/>
                <w:sz w:val="15"/>
              </w:rPr>
              <w:t>Other operating expenses</w:t>
            </w:r>
          </w:p>
        </w:tc>
        <w:tc>
          <w:tcPr>
            <w:tcW w:type="dxa" w:w="1037"/>
          </w:tcPr>
          <w:p>
            <w:pPr>
              <w:spacing w:after="20"/>
              <w:jc w:val="right"/>
            </w:pPr>
            <w:r>
              <w:rPr>
                <w:color w:val="1C3A36"/>
                <w:sz w:val="15"/>
              </w:rPr>
              <w:t>-773</w:t>
            </w:r>
          </w:p>
        </w:tc>
        <w:tc>
          <w:tcPr>
            <w:tcW w:type="dxa" w:w="1037"/>
          </w:tcPr>
          <w:p>
            <w:pPr>
              <w:spacing w:after="20"/>
              <w:jc w:val="right"/>
            </w:pPr>
            <w:r>
              <w:rPr>
                <w:color w:val="1C3A36"/>
                <w:sz w:val="15"/>
              </w:rPr>
              <w:t>-927</w:t>
            </w:r>
          </w:p>
        </w:tc>
        <w:tc>
          <w:tcPr>
            <w:tcW w:type="dxa" w:w="1037"/>
          </w:tcPr>
          <w:p>
            <w:pPr>
              <w:spacing w:after="20"/>
              <w:jc w:val="right"/>
            </w:pPr>
            <w:r>
              <w:rPr>
                <w:color w:val="1C3A36"/>
                <w:sz w:val="15"/>
              </w:rPr>
              <w:t>-1,176</w:t>
            </w:r>
          </w:p>
        </w:tc>
        <w:tc>
          <w:tcPr>
            <w:tcW w:type="dxa" w:w="979"/>
          </w:tcPr>
          <w:p>
            <w:pPr>
              <w:spacing w:after="20"/>
              <w:jc w:val="right"/>
            </w:pPr>
            <w:r>
              <w:rPr>
                <w:color w:val="1C3A36"/>
                <w:sz w:val="15"/>
              </w:rPr>
              <w:t>-3,039</w:t>
            </w:r>
          </w:p>
        </w:tc>
        <w:tc>
          <w:tcPr>
            <w:tcW w:type="dxa" w:w="979"/>
          </w:tcPr>
          <w:p>
            <w:pPr>
              <w:spacing w:after="20"/>
              <w:jc w:val="right"/>
            </w:pPr>
            <w:r>
              <w:rPr>
                <w:color w:val="1C3A36"/>
                <w:sz w:val="15"/>
              </w:rPr>
              <w:t>-3,604</w:t>
            </w:r>
          </w:p>
        </w:tc>
        <w:tc>
          <w:tcPr>
            <w:tcW w:type="dxa" w:w="979"/>
          </w:tcPr>
          <w:p>
            <w:pPr>
              <w:spacing w:after="20"/>
              <w:jc w:val="right"/>
            </w:pPr>
            <w:r>
              <w:rPr>
                <w:color w:val="1C3A36"/>
                <w:sz w:val="15"/>
              </w:rPr>
              <w:t>-3,963</w:t>
            </w:r>
          </w:p>
        </w:tc>
        <w:tc>
          <w:tcPr>
            <w:tcW w:type="dxa" w:w="979"/>
          </w:tcPr>
          <w:p>
            <w:pPr>
              <w:spacing w:after="20"/>
              <w:jc w:val="right"/>
            </w:pPr>
            <w:r>
              <w:rPr>
                <w:color w:val="1C3A36"/>
                <w:sz w:val="15"/>
              </w:rPr>
              <w:t>-4,170</w:t>
            </w:r>
          </w:p>
        </w:tc>
        <w:tc>
          <w:tcPr>
            <w:tcW w:type="dxa" w:w="979"/>
          </w:tcPr>
          <w:p>
            <w:pPr>
              <w:spacing w:after="20"/>
              <w:jc w:val="right"/>
            </w:pPr>
            <w:r>
              <w:rPr>
                <w:color w:val="1C3A36"/>
                <w:sz w:val="15"/>
              </w:rPr>
              <w:t>-4,251</w:t>
            </w:r>
          </w:p>
        </w:tc>
      </w:tr>
      <w:tr>
        <w:tc>
          <w:tcPr>
            <w:tcW w:type="dxa" w:w="2160"/>
          </w:tcPr>
          <w:p>
            <w:pPr>
              <w:spacing w:after="20"/>
            </w:pPr>
            <w:r>
              <w:rPr>
                <w:b/>
                <w:color w:val="1C3A36"/>
                <w:sz w:val="15"/>
              </w:rPr>
              <w:t>Expected credit losses</w:t>
            </w:r>
          </w:p>
        </w:tc>
        <w:tc>
          <w:tcPr>
            <w:tcW w:type="dxa" w:w="1037"/>
          </w:tcPr>
          <w:p>
            <w:pPr>
              <w:spacing w:after="20"/>
              <w:jc w:val="right"/>
            </w:pPr>
            <w:r>
              <w:rPr>
                <w:color w:val="1C3A36"/>
                <w:sz w:val="15"/>
              </w:rPr>
              <w:t>-1,634</w:t>
            </w:r>
          </w:p>
        </w:tc>
        <w:tc>
          <w:tcPr>
            <w:tcW w:type="dxa" w:w="1037"/>
          </w:tcPr>
          <w:p>
            <w:pPr>
              <w:spacing w:after="20"/>
              <w:jc w:val="right"/>
            </w:pPr>
            <w:r>
              <w:rPr>
                <w:color w:val="1C3A36"/>
                <w:sz w:val="15"/>
              </w:rPr>
              <w:t>-2,171</w:t>
            </w:r>
          </w:p>
        </w:tc>
        <w:tc>
          <w:tcPr>
            <w:tcW w:type="dxa" w:w="1037"/>
          </w:tcPr>
          <w:p>
            <w:pPr>
              <w:spacing w:after="20"/>
              <w:jc w:val="right"/>
            </w:pPr>
            <w:r>
              <w:rPr>
                <w:color w:val="1C3A36"/>
                <w:sz w:val="15"/>
              </w:rPr>
              <w:t>-1,514</w:t>
            </w:r>
          </w:p>
        </w:tc>
        <w:tc>
          <w:tcPr>
            <w:tcW w:type="dxa" w:w="979"/>
          </w:tcPr>
          <w:p>
            <w:pPr>
              <w:spacing w:after="20"/>
              <w:jc w:val="right"/>
            </w:pPr>
            <w:r>
              <w:rPr>
                <w:color w:val="1C3A36"/>
                <w:sz w:val="15"/>
              </w:rPr>
              <w:t>-1,826</w:t>
            </w:r>
          </w:p>
        </w:tc>
        <w:tc>
          <w:tcPr>
            <w:tcW w:type="dxa" w:w="979"/>
          </w:tcPr>
          <w:p>
            <w:pPr>
              <w:spacing w:after="20"/>
              <w:jc w:val="right"/>
            </w:pPr>
            <w:r>
              <w:rPr>
                <w:color w:val="1C3A36"/>
                <w:sz w:val="15"/>
              </w:rPr>
              <w:t>-3,201</w:t>
            </w:r>
          </w:p>
        </w:tc>
        <w:tc>
          <w:tcPr>
            <w:tcW w:type="dxa" w:w="979"/>
          </w:tcPr>
          <w:p>
            <w:pPr>
              <w:spacing w:after="20"/>
              <w:jc w:val="right"/>
            </w:pPr>
            <w:r>
              <w:rPr>
                <w:color w:val="1C3A36"/>
                <w:sz w:val="15"/>
              </w:rPr>
              <w:t>-3,908</w:t>
            </w:r>
          </w:p>
        </w:tc>
        <w:tc>
          <w:tcPr>
            <w:tcW w:type="dxa" w:w="979"/>
          </w:tcPr>
          <w:p>
            <w:pPr>
              <w:spacing w:after="20"/>
              <w:jc w:val="right"/>
            </w:pPr>
            <w:r>
              <w:rPr>
                <w:color w:val="1C3A36"/>
                <w:sz w:val="15"/>
              </w:rPr>
              <w:t>-4,566</w:t>
            </w:r>
          </w:p>
        </w:tc>
        <w:tc>
          <w:tcPr>
            <w:tcW w:type="dxa" w:w="979"/>
          </w:tcPr>
          <w:p>
            <w:pPr>
              <w:spacing w:after="20"/>
              <w:jc w:val="right"/>
            </w:pPr>
            <w:r>
              <w:rPr>
                <w:color w:val="1C3A36"/>
                <w:sz w:val="15"/>
              </w:rPr>
              <w:t>-5,177</w:t>
            </w:r>
          </w:p>
        </w:tc>
      </w:tr>
      <w:tr>
        <w:tc>
          <w:tcPr>
            <w:tcW w:type="dxa" w:w="2160"/>
          </w:tcPr>
          <w:p>
            <w:pPr>
              <w:spacing w:after="20"/>
            </w:pPr>
            <w:r>
              <w:rPr>
                <w:b/>
                <w:color w:val="1C3A36"/>
                <w:sz w:val="15"/>
              </w:rPr>
              <w:t>Profit before tax</w:t>
            </w:r>
          </w:p>
        </w:tc>
        <w:tc>
          <w:tcPr>
            <w:tcW w:type="dxa" w:w="1037"/>
          </w:tcPr>
          <w:p>
            <w:pPr>
              <w:spacing w:after="20"/>
              <w:jc w:val="right"/>
            </w:pPr>
            <w:r>
              <w:rPr>
                <w:color w:val="1C3A36"/>
                <w:sz w:val="15"/>
              </w:rPr>
              <w:t>6,535</w:t>
            </w:r>
          </w:p>
        </w:tc>
        <w:tc>
          <w:tcPr>
            <w:tcW w:type="dxa" w:w="1037"/>
          </w:tcPr>
          <w:p>
            <w:pPr>
              <w:spacing w:after="20"/>
              <w:jc w:val="right"/>
            </w:pPr>
            <w:r>
              <w:rPr>
                <w:color w:val="1C3A36"/>
                <w:sz w:val="15"/>
              </w:rPr>
              <w:t>12,290</w:t>
            </w:r>
          </w:p>
        </w:tc>
        <w:tc>
          <w:tcPr>
            <w:tcW w:type="dxa" w:w="1037"/>
          </w:tcPr>
          <w:p>
            <w:pPr>
              <w:spacing w:after="20"/>
              <w:jc w:val="right"/>
            </w:pPr>
            <w:r>
              <w:rPr>
                <w:color w:val="1C3A36"/>
                <w:sz w:val="15"/>
              </w:rPr>
              <w:t>17,482</w:t>
            </w:r>
          </w:p>
        </w:tc>
        <w:tc>
          <w:tcPr>
            <w:tcW w:type="dxa" w:w="979"/>
          </w:tcPr>
          <w:p>
            <w:pPr>
              <w:spacing w:after="20"/>
              <w:jc w:val="right"/>
            </w:pPr>
            <w:r>
              <w:rPr>
                <w:color w:val="1C3A36"/>
                <w:sz w:val="15"/>
              </w:rPr>
              <w:t>18,968</w:t>
            </w:r>
          </w:p>
        </w:tc>
        <w:tc>
          <w:tcPr>
            <w:tcW w:type="dxa" w:w="979"/>
          </w:tcPr>
          <w:p>
            <w:pPr>
              <w:spacing w:after="20"/>
              <w:jc w:val="right"/>
            </w:pPr>
            <w:r>
              <w:rPr>
                <w:color w:val="1C3A36"/>
                <w:sz w:val="15"/>
              </w:rPr>
              <w:t>21,821</w:t>
            </w:r>
          </w:p>
        </w:tc>
        <w:tc>
          <w:tcPr>
            <w:tcW w:type="dxa" w:w="979"/>
          </w:tcPr>
          <w:p>
            <w:pPr>
              <w:spacing w:after="20"/>
              <w:jc w:val="right"/>
            </w:pPr>
            <w:r>
              <w:rPr>
                <w:color w:val="1C3A36"/>
                <w:sz w:val="15"/>
              </w:rPr>
              <w:t>24,026</w:t>
            </w:r>
          </w:p>
        </w:tc>
        <w:tc>
          <w:tcPr>
            <w:tcW w:type="dxa" w:w="979"/>
          </w:tcPr>
          <w:p>
            <w:pPr>
              <w:spacing w:after="20"/>
              <w:jc w:val="right"/>
            </w:pPr>
            <w:r>
              <w:rPr>
                <w:color w:val="1C3A36"/>
                <w:sz w:val="15"/>
              </w:rPr>
              <w:t>26,254</w:t>
            </w:r>
          </w:p>
        </w:tc>
        <w:tc>
          <w:tcPr>
            <w:tcW w:type="dxa" w:w="979"/>
          </w:tcPr>
          <w:p>
            <w:pPr>
              <w:spacing w:after="20"/>
              <w:jc w:val="right"/>
            </w:pPr>
            <w:r>
              <w:rPr>
                <w:color w:val="1C3A36"/>
                <w:sz w:val="15"/>
              </w:rPr>
              <w:t>28,058</w:t>
            </w:r>
          </w:p>
        </w:tc>
      </w:tr>
      <w:tr>
        <w:tc>
          <w:tcPr>
            <w:tcW w:type="dxa" w:w="2160"/>
          </w:tcPr>
          <w:p>
            <w:pPr>
              <w:spacing w:after="20"/>
            </w:pPr>
            <w:r>
              <w:rPr>
                <w:b/>
                <w:color w:val="1C3A36"/>
                <w:sz w:val="15"/>
              </w:rPr>
              <w:t>Tax</w:t>
            </w:r>
          </w:p>
        </w:tc>
        <w:tc>
          <w:tcPr>
            <w:tcW w:type="dxa" w:w="1037"/>
          </w:tcPr>
          <w:p>
            <w:pPr>
              <w:spacing w:after="20"/>
              <w:jc w:val="right"/>
            </w:pPr>
            <w:r>
              <w:rPr>
                <w:color w:val="1C3A36"/>
                <w:sz w:val="15"/>
              </w:rPr>
              <w:t>-1,862</w:t>
            </w:r>
          </w:p>
        </w:tc>
        <w:tc>
          <w:tcPr>
            <w:tcW w:type="dxa" w:w="1037"/>
          </w:tcPr>
          <w:p>
            <w:pPr>
              <w:spacing w:after="20"/>
              <w:jc w:val="right"/>
            </w:pPr>
            <w:r>
              <w:rPr>
                <w:color w:val="1C3A36"/>
                <w:sz w:val="15"/>
              </w:rPr>
              <w:t>-3,274</w:t>
            </w:r>
          </w:p>
        </w:tc>
        <w:tc>
          <w:tcPr>
            <w:tcW w:type="dxa" w:w="1037"/>
          </w:tcPr>
          <w:p>
            <w:pPr>
              <w:spacing w:after="20"/>
              <w:jc w:val="right"/>
            </w:pPr>
            <w:r>
              <w:rPr>
                <w:color w:val="1C3A36"/>
                <w:sz w:val="15"/>
              </w:rPr>
              <w:t>-4,881</w:t>
            </w:r>
          </w:p>
        </w:tc>
        <w:tc>
          <w:tcPr>
            <w:tcW w:type="dxa" w:w="979"/>
          </w:tcPr>
          <w:p>
            <w:pPr>
              <w:spacing w:after="20"/>
              <w:jc w:val="right"/>
            </w:pPr>
            <w:r>
              <w:rPr>
                <w:color w:val="1C3A36"/>
                <w:sz w:val="15"/>
              </w:rPr>
              <w:t>-5,406</w:t>
            </w:r>
          </w:p>
        </w:tc>
        <w:tc>
          <w:tcPr>
            <w:tcW w:type="dxa" w:w="979"/>
          </w:tcPr>
          <w:p>
            <w:pPr>
              <w:spacing w:after="20"/>
              <w:jc w:val="right"/>
            </w:pPr>
            <w:r>
              <w:rPr>
                <w:color w:val="1C3A36"/>
                <w:sz w:val="15"/>
              </w:rPr>
              <w:t>-6,219</w:t>
            </w:r>
          </w:p>
        </w:tc>
        <w:tc>
          <w:tcPr>
            <w:tcW w:type="dxa" w:w="979"/>
          </w:tcPr>
          <w:p>
            <w:pPr>
              <w:spacing w:after="20"/>
              <w:jc w:val="right"/>
            </w:pPr>
            <w:r>
              <w:rPr>
                <w:color w:val="1C3A36"/>
                <w:sz w:val="15"/>
              </w:rPr>
              <w:t>-6,847</w:t>
            </w:r>
          </w:p>
        </w:tc>
        <w:tc>
          <w:tcPr>
            <w:tcW w:type="dxa" w:w="979"/>
          </w:tcPr>
          <w:p>
            <w:pPr>
              <w:spacing w:after="20"/>
              <w:jc w:val="right"/>
            </w:pPr>
            <w:r>
              <w:rPr>
                <w:color w:val="1C3A36"/>
                <w:sz w:val="15"/>
              </w:rPr>
              <w:t>-7,482</w:t>
            </w:r>
          </w:p>
        </w:tc>
        <w:tc>
          <w:tcPr>
            <w:tcW w:type="dxa" w:w="979"/>
          </w:tcPr>
          <w:p>
            <w:pPr>
              <w:spacing w:after="20"/>
              <w:jc w:val="right"/>
            </w:pPr>
            <w:r>
              <w:rPr>
                <w:color w:val="1C3A36"/>
                <w:sz w:val="15"/>
              </w:rPr>
              <w:t>-7,997</w:t>
            </w:r>
          </w:p>
        </w:tc>
      </w:tr>
      <w:tr>
        <w:tc>
          <w:tcPr>
            <w:tcW w:type="dxa" w:w="2160"/>
          </w:tcPr>
          <w:p>
            <w:pPr>
              <w:spacing w:after="20"/>
            </w:pPr>
            <w:r>
              <w:rPr>
                <w:b/>
                <w:color w:val="1C3A36"/>
                <w:sz w:val="15"/>
              </w:rPr>
              <w:t>Net profit</w:t>
            </w:r>
          </w:p>
        </w:tc>
        <w:tc>
          <w:tcPr>
            <w:tcW w:type="dxa" w:w="1037"/>
          </w:tcPr>
          <w:p>
            <w:pPr>
              <w:spacing w:after="20"/>
              <w:jc w:val="right"/>
            </w:pPr>
            <w:r>
              <w:rPr>
                <w:color w:val="1C3A36"/>
                <w:sz w:val="15"/>
              </w:rPr>
              <w:t>4,674</w:t>
            </w:r>
          </w:p>
        </w:tc>
        <w:tc>
          <w:tcPr>
            <w:tcW w:type="dxa" w:w="1037"/>
          </w:tcPr>
          <w:p>
            <w:pPr>
              <w:spacing w:after="20"/>
              <w:jc w:val="right"/>
            </w:pPr>
            <w:r>
              <w:rPr>
                <w:color w:val="1C3A36"/>
                <w:sz w:val="15"/>
              </w:rPr>
              <w:t>9,016</w:t>
            </w:r>
          </w:p>
        </w:tc>
        <w:tc>
          <w:tcPr>
            <w:tcW w:type="dxa" w:w="1037"/>
          </w:tcPr>
          <w:p>
            <w:pPr>
              <w:spacing w:after="20"/>
              <w:jc w:val="right"/>
            </w:pPr>
            <w:r>
              <w:rPr>
                <w:color w:val="1C3A36"/>
                <w:sz w:val="15"/>
              </w:rPr>
              <w:t>12,601</w:t>
            </w:r>
          </w:p>
        </w:tc>
        <w:tc>
          <w:tcPr>
            <w:tcW w:type="dxa" w:w="979"/>
          </w:tcPr>
          <w:p>
            <w:pPr>
              <w:spacing w:after="20"/>
              <w:jc w:val="right"/>
            </w:pPr>
            <w:r>
              <w:rPr>
                <w:color w:val="1C3A36"/>
                <w:sz w:val="15"/>
              </w:rPr>
              <w:t>13,562</w:t>
            </w:r>
          </w:p>
        </w:tc>
        <w:tc>
          <w:tcPr>
            <w:tcW w:type="dxa" w:w="979"/>
          </w:tcPr>
          <w:p>
            <w:pPr>
              <w:spacing w:after="20"/>
              <w:jc w:val="right"/>
            </w:pPr>
            <w:r>
              <w:rPr>
                <w:color w:val="1C3A36"/>
                <w:sz w:val="15"/>
              </w:rPr>
              <w:t>15,602</w:t>
            </w:r>
          </w:p>
        </w:tc>
        <w:tc>
          <w:tcPr>
            <w:tcW w:type="dxa" w:w="979"/>
          </w:tcPr>
          <w:p>
            <w:pPr>
              <w:spacing w:after="20"/>
              <w:jc w:val="right"/>
            </w:pPr>
            <w:r>
              <w:rPr>
                <w:color w:val="1C3A36"/>
                <w:sz w:val="15"/>
              </w:rPr>
              <w:t>17,179</w:t>
            </w:r>
          </w:p>
        </w:tc>
        <w:tc>
          <w:tcPr>
            <w:tcW w:type="dxa" w:w="979"/>
          </w:tcPr>
          <w:p>
            <w:pPr>
              <w:spacing w:after="20"/>
              <w:jc w:val="right"/>
            </w:pPr>
            <w:r>
              <w:rPr>
                <w:color w:val="1C3A36"/>
                <w:sz w:val="15"/>
              </w:rPr>
              <w:t>18,772</w:t>
            </w:r>
          </w:p>
        </w:tc>
        <w:tc>
          <w:tcPr>
            <w:tcW w:type="dxa" w:w="979"/>
          </w:tcPr>
          <w:p>
            <w:pPr>
              <w:spacing w:after="20"/>
              <w:jc w:val="right"/>
            </w:pPr>
            <w:r>
              <w:rPr>
                <w:color w:val="1C3A36"/>
                <w:sz w:val="15"/>
              </w:rPr>
              <w:t>20,062</w:t>
            </w:r>
          </w:p>
        </w:tc>
      </w:tr>
      <w:tr>
        <w:tc>
          <w:tcPr>
            <w:tcW w:type="dxa" w:w="2160"/>
          </w:tcPr>
          <w:p>
            <w:pPr>
              <w:spacing w:after="20"/>
            </w:pPr>
            <w:r>
              <w:rPr>
                <w:b/>
                <w:color w:val="1C3A36"/>
                <w:sz w:val="15"/>
              </w:rPr>
              <w:t>Attributable to the bank</w:t>
            </w:r>
          </w:p>
        </w:tc>
        <w:tc>
          <w:tcPr>
            <w:tcW w:type="dxa" w:w="1037"/>
          </w:tcPr>
          <w:p>
            <w:pPr>
              <w:spacing w:after="20"/>
              <w:jc w:val="right"/>
            </w:pPr>
            <w:r>
              <w:rPr>
                <w:color w:val="1C3A36"/>
                <w:sz w:val="15"/>
              </w:rPr>
              <w:t>4,671</w:t>
            </w:r>
          </w:p>
        </w:tc>
        <w:tc>
          <w:tcPr>
            <w:tcW w:type="dxa" w:w="1037"/>
          </w:tcPr>
          <w:p>
            <w:pPr>
              <w:spacing w:after="20"/>
              <w:jc w:val="right"/>
            </w:pPr>
            <w:r>
              <w:rPr>
                <w:color w:val="1C3A36"/>
                <w:sz w:val="15"/>
              </w:rPr>
              <w:t>9,009</w:t>
            </w:r>
          </w:p>
        </w:tc>
        <w:tc>
          <w:tcPr>
            <w:tcW w:type="dxa" w:w="1037"/>
          </w:tcPr>
          <w:p>
            <w:pPr>
              <w:spacing w:after="20"/>
              <w:jc w:val="right"/>
            </w:pPr>
            <w:r>
              <w:rPr>
                <w:color w:val="1C3A36"/>
                <w:sz w:val="15"/>
              </w:rPr>
              <w:t>12,589</w:t>
            </w:r>
          </w:p>
        </w:tc>
        <w:tc>
          <w:tcPr>
            <w:tcW w:type="dxa" w:w="979"/>
          </w:tcPr>
          <w:p>
            <w:pPr>
              <w:spacing w:after="20"/>
              <w:jc w:val="right"/>
            </w:pPr>
            <w:r>
              <w:rPr>
                <w:color w:val="1C3A36"/>
                <w:sz w:val="15"/>
              </w:rPr>
              <w:t>13,548</w:t>
            </w:r>
          </w:p>
        </w:tc>
        <w:tc>
          <w:tcPr>
            <w:tcW w:type="dxa" w:w="979"/>
          </w:tcPr>
          <w:p>
            <w:pPr>
              <w:spacing w:after="20"/>
              <w:jc w:val="right"/>
            </w:pPr>
            <w:r>
              <w:rPr>
                <w:color w:val="1C3A36"/>
                <w:sz w:val="15"/>
              </w:rPr>
              <w:t>15,587</w:t>
            </w:r>
          </w:p>
        </w:tc>
        <w:tc>
          <w:tcPr>
            <w:tcW w:type="dxa" w:w="979"/>
          </w:tcPr>
          <w:p>
            <w:pPr>
              <w:spacing w:after="20"/>
              <w:jc w:val="right"/>
            </w:pPr>
            <w:r>
              <w:rPr>
                <w:color w:val="1C3A36"/>
                <w:sz w:val="15"/>
              </w:rPr>
              <w:t>17,161</w:t>
            </w:r>
          </w:p>
        </w:tc>
        <w:tc>
          <w:tcPr>
            <w:tcW w:type="dxa" w:w="979"/>
          </w:tcPr>
          <w:p>
            <w:pPr>
              <w:spacing w:after="20"/>
              <w:jc w:val="right"/>
            </w:pPr>
            <w:r>
              <w:rPr>
                <w:color w:val="1C3A36"/>
                <w:sz w:val="15"/>
              </w:rPr>
              <w:t>18,753</w:t>
            </w:r>
          </w:p>
        </w:tc>
        <w:tc>
          <w:tcPr>
            <w:tcW w:type="dxa" w:w="979"/>
          </w:tcPr>
          <w:p>
            <w:pPr>
              <w:spacing w:after="20"/>
              <w:jc w:val="right"/>
            </w:pPr>
            <w:r>
              <w:rPr>
                <w:color w:val="1C3A36"/>
                <w:sz w:val="15"/>
              </w:rPr>
              <w:t>20,042</w:t>
            </w:r>
          </w:p>
        </w:tc>
      </w:tr>
    </w:tbl>
    <w:p>
      <w:pPr>
        <w:spacing w:after="40"/>
      </w:pPr>
    </w:p>
    <w:p>
      <w:pPr>
        <w:spacing w:after="200" w:before="0"/>
      </w:pPr>
      <w:r>
        <w:rPr>
          <w:b w:val="0"/>
          <w:i/>
          <w:color w:val="6E7B77"/>
          <w:sz w:val="17"/>
        </w:rPr>
        <w:t>Table 13 — income statement, reported and forecast</w:t>
      </w:r>
    </w:p>
    <w:p>
      <w:pPr>
        <w:spacing w:after="120" w:before="0"/>
      </w:pPr>
      <w:r>
        <w:rPr>
          <w:b w:val="0"/>
          <w:i w:val="0"/>
          <w:color w:val="1C3A36"/>
          <w:sz w:val="21"/>
        </w:rPr>
        <w:t>THE LAST THREE YEARS ARE AS FILED. 2023, 2024 and 2025 are each read from that year's own audited consolidated statements and every one of them adds up.</w:t>
      </w:r>
    </w:p>
    <w:p>
      <w:pPr>
        <w:spacing w:after="80" w:before="200"/>
      </w:pPr>
      <w:r>
        <w:rPr>
          <w:b/>
          <w:i w:val="0"/>
          <w:color w:val="1C3A36"/>
          <w:sz w:val="24"/>
        </w:rPr>
        <w:t>A.2  Balance sheet as reported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656"/>
        <w:gridCol w:w="1656"/>
        <w:gridCol w:w="1656"/>
        <w:gridCol w:w="1656"/>
      </w:tblGrid>
      <w:tr>
        <w:tc>
          <w:tcPr>
            <w:tcW w:type="dxa" w:w="3456"/>
            <w:shd w:val="clear" w:color="auto" w:fill="EAF0EE"/>
          </w:tcPr>
          <w:p>
            <w:pPr>
              <w:spacing w:after="20"/>
            </w:pPr>
            <w:r>
              <w:rPr>
                <w:b/>
                <w:color w:val="1C3A36"/>
                <w:sz w:val="16"/>
              </w:rPr>
              <w:t>EGP million</w:t>
            </w:r>
          </w:p>
        </w:tc>
        <w:tc>
          <w:tcPr>
            <w:tcW w:type="dxa" w:w="1656"/>
            <w:shd w:val="clear" w:color="auto" w:fill="EAF0EE"/>
          </w:tcPr>
          <w:p>
            <w:pPr>
              <w:spacing w:after="20"/>
            </w:pPr>
            <w:r>
              <w:rPr>
                <w:b/>
                <w:color w:val="1C3A36"/>
                <w:sz w:val="16"/>
              </w:rPr>
              <w:t>FY2023A</w:t>
            </w:r>
          </w:p>
        </w:tc>
        <w:tc>
          <w:tcPr>
            <w:tcW w:type="dxa" w:w="1656"/>
            <w:shd w:val="clear" w:color="auto" w:fill="EAF0EE"/>
          </w:tcPr>
          <w:p>
            <w:pPr>
              <w:spacing w:after="20"/>
            </w:pPr>
            <w:r>
              <w:rPr>
                <w:b/>
                <w:color w:val="1C3A36"/>
                <w:sz w:val="16"/>
              </w:rPr>
              <w:t>FY2024A</w:t>
            </w:r>
          </w:p>
        </w:tc>
        <w:tc>
          <w:tcPr>
            <w:tcW w:type="dxa" w:w="1656"/>
            <w:shd w:val="clear" w:color="auto" w:fill="EAF0EE"/>
          </w:tcPr>
          <w:p>
            <w:pPr>
              <w:spacing w:after="20"/>
            </w:pPr>
            <w:r>
              <w:rPr>
                <w:b/>
                <w:color w:val="1C3A36"/>
                <w:sz w:val="16"/>
              </w:rPr>
              <w:t>FY2025A</w:t>
            </w:r>
          </w:p>
        </w:tc>
        <w:tc>
          <w:tcPr>
            <w:tcW w:type="dxa" w:w="1656"/>
            <w:shd w:val="clear" w:color="auto" w:fill="EAF0EE"/>
          </w:tcPr>
          <w:p>
            <w:pPr>
              <w:spacing w:after="20"/>
            </w:pPr>
            <w:r>
              <w:rPr>
                <w:b/>
                <w:color w:val="1C3A36"/>
                <w:sz w:val="16"/>
              </w:rPr>
              <w:t>H1-2026A</w:t>
            </w:r>
          </w:p>
        </w:tc>
      </w:tr>
      <w:tr>
        <w:tc>
          <w:tcPr>
            <w:tcW w:type="dxa" w:w="3456"/>
          </w:tcPr>
          <w:p>
            <w:pPr>
              <w:spacing w:after="20"/>
            </w:pPr>
            <w:r>
              <w:rPr>
                <w:b/>
                <w:color w:val="1C3A36"/>
                <w:sz w:val="16"/>
              </w:rPr>
              <w:t>Financing to customers, net</w:t>
            </w:r>
          </w:p>
        </w:tc>
        <w:tc>
          <w:tcPr>
            <w:tcW w:type="dxa" w:w="1656"/>
          </w:tcPr>
          <w:p>
            <w:pPr>
              <w:spacing w:after="20"/>
              <w:jc w:val="right"/>
            </w:pPr>
            <w:r>
              <w:rPr>
                <w:color w:val="1C3A36"/>
                <w:sz w:val="16"/>
              </w:rPr>
              <w:t>63,100</w:t>
            </w:r>
          </w:p>
        </w:tc>
        <w:tc>
          <w:tcPr>
            <w:tcW w:type="dxa" w:w="1656"/>
          </w:tcPr>
          <w:p>
            <w:pPr>
              <w:spacing w:after="20"/>
              <w:jc w:val="right"/>
            </w:pPr>
            <w:r>
              <w:rPr>
                <w:color w:val="1C3A36"/>
                <w:sz w:val="16"/>
              </w:rPr>
              <w:t>95,691</w:t>
            </w:r>
          </w:p>
        </w:tc>
        <w:tc>
          <w:tcPr>
            <w:tcW w:type="dxa" w:w="1656"/>
          </w:tcPr>
          <w:p>
            <w:pPr>
              <w:spacing w:after="20"/>
              <w:jc w:val="right"/>
            </w:pPr>
            <w:r>
              <w:rPr>
                <w:color w:val="1C3A36"/>
                <w:sz w:val="16"/>
              </w:rPr>
              <w:t>147,226</w:t>
            </w:r>
          </w:p>
        </w:tc>
        <w:tc>
          <w:tcPr>
            <w:tcW w:type="dxa" w:w="1656"/>
          </w:tcPr>
          <w:p>
            <w:pPr>
              <w:spacing w:after="20"/>
              <w:jc w:val="right"/>
            </w:pPr>
            <w:r>
              <w:rPr>
                <w:color w:val="1C3A36"/>
                <w:sz w:val="16"/>
              </w:rPr>
              <w:t>190,427</w:t>
            </w:r>
          </w:p>
        </w:tc>
      </w:tr>
      <w:tr>
        <w:tc>
          <w:tcPr>
            <w:tcW w:type="dxa" w:w="3456"/>
          </w:tcPr>
          <w:p>
            <w:pPr>
              <w:spacing w:after="20"/>
            </w:pPr>
            <w:r>
              <w:rPr>
                <w:b/>
                <w:color w:val="1C3A36"/>
                <w:sz w:val="16"/>
              </w:rPr>
              <w:t>Total assets</w:t>
            </w:r>
          </w:p>
        </w:tc>
        <w:tc>
          <w:tcPr>
            <w:tcW w:type="dxa" w:w="1656"/>
          </w:tcPr>
          <w:p>
            <w:pPr>
              <w:spacing w:after="20"/>
              <w:jc w:val="right"/>
            </w:pPr>
            <w:r>
              <w:rPr>
                <w:color w:val="1C3A36"/>
                <w:sz w:val="16"/>
              </w:rPr>
              <w:t>162,255</w:t>
            </w:r>
          </w:p>
        </w:tc>
        <w:tc>
          <w:tcPr>
            <w:tcW w:type="dxa" w:w="1656"/>
          </w:tcPr>
          <w:p>
            <w:pPr>
              <w:spacing w:after="20"/>
              <w:jc w:val="right"/>
            </w:pPr>
            <w:r>
              <w:rPr>
                <w:color w:val="1C3A36"/>
                <w:sz w:val="16"/>
              </w:rPr>
              <w:t>260,467</w:t>
            </w:r>
          </w:p>
        </w:tc>
        <w:tc>
          <w:tcPr>
            <w:tcW w:type="dxa" w:w="1656"/>
          </w:tcPr>
          <w:p>
            <w:pPr>
              <w:spacing w:after="20"/>
              <w:jc w:val="right"/>
            </w:pPr>
            <w:r>
              <w:rPr>
                <w:color w:val="1C3A36"/>
                <w:sz w:val="16"/>
              </w:rPr>
              <w:t>346,711</w:t>
            </w:r>
          </w:p>
        </w:tc>
        <w:tc>
          <w:tcPr>
            <w:tcW w:type="dxa" w:w="1656"/>
          </w:tcPr>
          <w:p>
            <w:pPr>
              <w:spacing w:after="20"/>
              <w:jc w:val="right"/>
            </w:pPr>
            <w:r>
              <w:rPr>
                <w:color w:val="1C3A36"/>
                <w:sz w:val="16"/>
              </w:rPr>
              <w:t>414,302</w:t>
            </w:r>
          </w:p>
        </w:tc>
      </w:tr>
      <w:tr>
        <w:tc>
          <w:tcPr>
            <w:tcW w:type="dxa" w:w="3456"/>
          </w:tcPr>
          <w:p>
            <w:pPr>
              <w:spacing w:after="20"/>
            </w:pPr>
            <w:r>
              <w:rPr>
                <w:b/>
                <w:color w:val="1C3A36"/>
                <w:sz w:val="16"/>
              </w:rPr>
              <w:t>Customers' deposits</w:t>
            </w:r>
          </w:p>
        </w:tc>
        <w:tc>
          <w:tcPr>
            <w:tcW w:type="dxa" w:w="1656"/>
          </w:tcPr>
          <w:p>
            <w:pPr>
              <w:spacing w:after="20"/>
              <w:jc w:val="right"/>
            </w:pPr>
            <w:r>
              <w:rPr>
                <w:color w:val="1C3A36"/>
                <w:sz w:val="16"/>
              </w:rPr>
              <w:t>127,032</w:t>
            </w:r>
          </w:p>
        </w:tc>
        <w:tc>
          <w:tcPr>
            <w:tcW w:type="dxa" w:w="1656"/>
          </w:tcPr>
          <w:p>
            <w:pPr>
              <w:spacing w:after="20"/>
              <w:jc w:val="right"/>
            </w:pPr>
            <w:r>
              <w:rPr>
                <w:color w:val="1C3A36"/>
                <w:sz w:val="16"/>
              </w:rPr>
              <w:t>199,983</w:t>
            </w:r>
          </w:p>
        </w:tc>
        <w:tc>
          <w:tcPr>
            <w:tcW w:type="dxa" w:w="1656"/>
          </w:tcPr>
          <w:p>
            <w:pPr>
              <w:spacing w:after="20"/>
              <w:jc w:val="right"/>
            </w:pPr>
            <w:r>
              <w:rPr>
                <w:color w:val="1C3A36"/>
                <w:sz w:val="16"/>
              </w:rPr>
              <w:t>277,564</w:t>
            </w:r>
          </w:p>
        </w:tc>
        <w:tc>
          <w:tcPr>
            <w:tcW w:type="dxa" w:w="1656"/>
          </w:tcPr>
          <w:p>
            <w:pPr>
              <w:spacing w:after="20"/>
              <w:jc w:val="right"/>
            </w:pPr>
            <w:r>
              <w:rPr>
                <w:color w:val="1C3A36"/>
                <w:sz w:val="16"/>
              </w:rPr>
              <w:t>—</w:t>
            </w:r>
          </w:p>
        </w:tc>
      </w:tr>
      <w:tr>
        <w:tc>
          <w:tcPr>
            <w:tcW w:type="dxa" w:w="3456"/>
          </w:tcPr>
          <w:p>
            <w:pPr>
              <w:spacing w:after="20"/>
            </w:pPr>
            <w:r>
              <w:rPr>
                <w:b/>
                <w:color w:val="1C3A36"/>
                <w:sz w:val="16"/>
              </w:rPr>
              <w:t>Total liabilities</w:t>
            </w:r>
          </w:p>
        </w:tc>
        <w:tc>
          <w:tcPr>
            <w:tcW w:type="dxa" w:w="1656"/>
          </w:tcPr>
          <w:p>
            <w:pPr>
              <w:spacing w:after="20"/>
              <w:jc w:val="right"/>
            </w:pPr>
            <w:r>
              <w:rPr>
                <w:color w:val="1C3A36"/>
                <w:sz w:val="16"/>
              </w:rPr>
              <w:t>147,890</w:t>
            </w:r>
          </w:p>
        </w:tc>
        <w:tc>
          <w:tcPr>
            <w:tcW w:type="dxa" w:w="1656"/>
          </w:tcPr>
          <w:p>
            <w:pPr>
              <w:spacing w:after="20"/>
              <w:jc w:val="right"/>
            </w:pPr>
            <w:r>
              <w:rPr>
                <w:color w:val="1C3A36"/>
                <w:sz w:val="16"/>
              </w:rPr>
              <w:t>237,480</w:t>
            </w:r>
          </w:p>
        </w:tc>
        <w:tc>
          <w:tcPr>
            <w:tcW w:type="dxa" w:w="1656"/>
          </w:tcPr>
          <w:p>
            <w:pPr>
              <w:spacing w:after="20"/>
              <w:jc w:val="right"/>
            </w:pPr>
            <w:r>
              <w:rPr>
                <w:color w:val="1C3A36"/>
                <w:sz w:val="16"/>
              </w:rPr>
              <w:t>312,076</w:t>
            </w:r>
          </w:p>
        </w:tc>
        <w:tc>
          <w:tcPr>
            <w:tcW w:type="dxa" w:w="1656"/>
          </w:tcPr>
          <w:p>
            <w:pPr>
              <w:spacing w:after="20"/>
              <w:jc w:val="right"/>
            </w:pPr>
            <w:r>
              <w:rPr>
                <w:color w:val="1C3A36"/>
                <w:sz w:val="16"/>
              </w:rPr>
              <w:t>370,689</w:t>
            </w:r>
          </w:p>
        </w:tc>
      </w:tr>
      <w:tr>
        <w:tc>
          <w:tcPr>
            <w:tcW w:type="dxa" w:w="3456"/>
          </w:tcPr>
          <w:p>
            <w:pPr>
              <w:spacing w:after="20"/>
            </w:pPr>
            <w:r>
              <w:rPr>
                <w:b/>
                <w:color w:val="1C3A36"/>
                <w:sz w:val="16"/>
              </w:rPr>
              <w:t>Equity attributable to the bank</w:t>
            </w:r>
          </w:p>
        </w:tc>
        <w:tc>
          <w:tcPr>
            <w:tcW w:type="dxa" w:w="1656"/>
          </w:tcPr>
          <w:p>
            <w:pPr>
              <w:spacing w:after="20"/>
              <w:jc w:val="right"/>
            </w:pPr>
            <w:r>
              <w:rPr>
                <w:color w:val="1C3A36"/>
                <w:sz w:val="16"/>
              </w:rPr>
              <w:t>14,345</w:t>
            </w:r>
          </w:p>
        </w:tc>
        <w:tc>
          <w:tcPr>
            <w:tcW w:type="dxa" w:w="1656"/>
          </w:tcPr>
          <w:p>
            <w:pPr>
              <w:spacing w:after="20"/>
              <w:jc w:val="right"/>
            </w:pPr>
            <w:r>
              <w:rPr>
                <w:color w:val="1C3A36"/>
                <w:sz w:val="16"/>
              </w:rPr>
              <w:t>22,959</w:t>
            </w:r>
          </w:p>
        </w:tc>
        <w:tc>
          <w:tcPr>
            <w:tcW w:type="dxa" w:w="1656"/>
          </w:tcPr>
          <w:p>
            <w:pPr>
              <w:spacing w:after="20"/>
              <w:jc w:val="right"/>
            </w:pPr>
            <w:r>
              <w:rPr>
                <w:color w:val="1C3A36"/>
                <w:sz w:val="16"/>
              </w:rPr>
              <w:t>34,596</w:t>
            </w:r>
          </w:p>
        </w:tc>
        <w:tc>
          <w:tcPr>
            <w:tcW w:type="dxa" w:w="1656"/>
          </w:tcPr>
          <w:p>
            <w:pPr>
              <w:spacing w:after="20"/>
              <w:jc w:val="right"/>
            </w:pPr>
            <w:r>
              <w:rPr>
                <w:color w:val="1C3A36"/>
                <w:sz w:val="16"/>
              </w:rPr>
              <w:t>43,558</w:t>
            </w:r>
          </w:p>
        </w:tc>
      </w:tr>
    </w:tbl>
    <w:p>
      <w:pPr>
        <w:spacing w:after="40"/>
      </w:pPr>
    </w:p>
    <w:p>
      <w:pPr>
        <w:spacing w:after="200" w:before="0"/>
      </w:pPr>
      <w:r>
        <w:rPr>
          <w:b w:val="0"/>
          <w:i/>
          <w:color w:val="6E7B77"/>
          <w:sz w:val="17"/>
        </w:rPr>
        <w:t>Table 14 — balance sheet, as reported</w:t>
      </w:r>
    </w:p>
    <w:p>
      <w:pPr>
        <w:spacing w:after="80" w:before="200"/>
      </w:pPr>
      <w:r>
        <w:rPr>
          <w:b/>
          <w:i w:val="0"/>
          <w:color w:val="1C3A36"/>
          <w:sz w:val="24"/>
        </w:rPr>
        <w:t>A.3  The projected balance sheet, the capital account and the far-year ranges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1440"/>
        <w:gridCol w:w="1440"/>
        <w:gridCol w:w="1440"/>
        <w:gridCol w:w="1440"/>
        <w:gridCol w:w="1440"/>
      </w:tblGrid>
      <w:tr>
        <w:tc>
          <w:tcPr>
            <w:tcW w:type="dxa" w:w="2880"/>
            <w:shd w:val="clear" w:color="auto" w:fill="EAF0EE"/>
          </w:tcPr>
          <w:p>
            <w:pPr>
              <w:spacing w:after="20"/>
            </w:pPr>
            <w:r>
              <w:rPr>
                <w:b/>
                <w:color w:val="1C3A36"/>
                <w:sz w:val="16"/>
              </w:rPr>
              <w:t>EGP million</w:t>
            </w:r>
          </w:p>
        </w:tc>
        <w:tc>
          <w:tcPr>
            <w:tcW w:type="dxa" w:w="1440"/>
            <w:shd w:val="clear" w:color="auto" w:fill="EAF0EE"/>
          </w:tcPr>
          <w:p>
            <w:pPr>
              <w:spacing w:after="20"/>
            </w:pPr>
            <w:r>
              <w:rPr>
                <w:b/>
                <w:color w:val="1C3A36"/>
                <w:sz w:val="16"/>
              </w:rPr>
              <w:t>FY2026E</w:t>
            </w:r>
          </w:p>
        </w:tc>
        <w:tc>
          <w:tcPr>
            <w:tcW w:type="dxa" w:w="1440"/>
            <w:shd w:val="clear" w:color="auto" w:fill="EAF0EE"/>
          </w:tcPr>
          <w:p>
            <w:pPr>
              <w:spacing w:after="20"/>
            </w:pPr>
            <w:r>
              <w:rPr>
                <w:b/>
                <w:color w:val="1C3A36"/>
                <w:sz w:val="16"/>
              </w:rPr>
              <w:t>FY2027E</w:t>
            </w:r>
          </w:p>
        </w:tc>
        <w:tc>
          <w:tcPr>
            <w:tcW w:type="dxa" w:w="1440"/>
            <w:shd w:val="clear" w:color="auto" w:fill="EAF0EE"/>
          </w:tcPr>
          <w:p>
            <w:pPr>
              <w:spacing w:after="20"/>
            </w:pPr>
            <w:r>
              <w:rPr>
                <w:b/>
                <w:color w:val="1C3A36"/>
                <w:sz w:val="16"/>
              </w:rPr>
              <w:t>FY2028E</w:t>
            </w:r>
          </w:p>
        </w:tc>
        <w:tc>
          <w:tcPr>
            <w:tcW w:type="dxa" w:w="1440"/>
            <w:shd w:val="clear" w:color="auto" w:fill="EAF0EE"/>
          </w:tcPr>
          <w:p>
            <w:pPr>
              <w:spacing w:after="20"/>
            </w:pPr>
            <w:r>
              <w:rPr>
                <w:b/>
                <w:color w:val="1C3A36"/>
                <w:sz w:val="16"/>
              </w:rPr>
              <w:t>FY2029E</w:t>
            </w:r>
          </w:p>
        </w:tc>
        <w:tc>
          <w:tcPr>
            <w:tcW w:type="dxa" w:w="1440"/>
            <w:shd w:val="clear" w:color="auto" w:fill="EAF0EE"/>
          </w:tcPr>
          <w:p>
            <w:pPr>
              <w:spacing w:after="20"/>
            </w:pPr>
            <w:r>
              <w:rPr>
                <w:b/>
                <w:color w:val="1C3A36"/>
                <w:sz w:val="16"/>
              </w:rPr>
              <w:t>FY2030E</w:t>
            </w:r>
          </w:p>
        </w:tc>
      </w:tr>
      <w:tr>
        <w:tc>
          <w:tcPr>
            <w:tcW w:type="dxa" w:w="2880"/>
          </w:tcPr>
          <w:p>
            <w:pPr>
              <w:spacing w:after="20"/>
            </w:pPr>
            <w:r>
              <w:rPr>
                <w:b/>
                <w:color w:val="1C3A36"/>
                <w:sz w:val="16"/>
              </w:rPr>
              <w:t>Financing to customers</w:t>
            </w:r>
          </w:p>
        </w:tc>
        <w:tc>
          <w:tcPr>
            <w:tcW w:type="dxa" w:w="1440"/>
          </w:tcPr>
          <w:p>
            <w:pPr>
              <w:spacing w:after="20"/>
              <w:jc w:val="right"/>
            </w:pPr>
            <w:r>
              <w:rPr>
                <w:color w:val="1C3A36"/>
                <w:sz w:val="16"/>
              </w:rPr>
              <w:t>217,895</w:t>
            </w:r>
          </w:p>
        </w:tc>
        <w:tc>
          <w:tcPr>
            <w:tcW w:type="dxa" w:w="1440"/>
          </w:tcPr>
          <w:p>
            <w:pPr>
              <w:spacing w:after="20"/>
              <w:jc w:val="right"/>
            </w:pPr>
            <w:r>
              <w:rPr>
                <w:color w:val="1C3A36"/>
                <w:sz w:val="16"/>
              </w:rPr>
              <w:t>274,547</w:t>
            </w:r>
          </w:p>
        </w:tc>
        <w:tc>
          <w:tcPr>
            <w:tcW w:type="dxa" w:w="1440"/>
          </w:tcPr>
          <w:p>
            <w:pPr>
              <w:spacing w:after="20"/>
              <w:jc w:val="right"/>
            </w:pPr>
            <w:r>
              <w:rPr>
                <w:color w:val="1C3A36"/>
                <w:sz w:val="16"/>
              </w:rPr>
              <w:t>326,711</w:t>
            </w:r>
          </w:p>
        </w:tc>
        <w:tc>
          <w:tcPr>
            <w:tcW w:type="dxa" w:w="1440"/>
          </w:tcPr>
          <w:p>
            <w:pPr>
              <w:spacing w:after="20"/>
              <w:jc w:val="right"/>
            </w:pPr>
            <w:r>
              <w:rPr>
                <w:color w:val="1C3A36"/>
                <w:sz w:val="16"/>
              </w:rPr>
              <w:t>375,718</w:t>
            </w:r>
          </w:p>
        </w:tc>
        <w:tc>
          <w:tcPr>
            <w:tcW w:type="dxa" w:w="1440"/>
          </w:tcPr>
          <w:p>
            <w:pPr>
              <w:spacing w:after="20"/>
              <w:jc w:val="right"/>
            </w:pPr>
            <w:r>
              <w:rPr>
                <w:color w:val="1C3A36"/>
                <w:sz w:val="16"/>
              </w:rPr>
              <w:t>420,804</w:t>
            </w:r>
          </w:p>
        </w:tc>
      </w:tr>
      <w:tr>
        <w:tc>
          <w:tcPr>
            <w:tcW w:type="dxa" w:w="2880"/>
          </w:tcPr>
          <w:p>
            <w:pPr>
              <w:spacing w:after="20"/>
            </w:pPr>
            <w:r>
              <w:rPr>
                <w:b/>
                <w:color w:val="1C3A36"/>
                <w:sz w:val="16"/>
              </w:rPr>
              <w:t>Total assets</w:t>
            </w:r>
          </w:p>
        </w:tc>
        <w:tc>
          <w:tcPr>
            <w:tcW w:type="dxa" w:w="1440"/>
          </w:tcPr>
          <w:p>
            <w:pPr>
              <w:spacing w:after="20"/>
              <w:jc w:val="right"/>
            </w:pPr>
            <w:r>
              <w:rPr>
                <w:color w:val="1C3A36"/>
                <w:sz w:val="16"/>
              </w:rPr>
              <w:t>463,605</w:t>
            </w:r>
          </w:p>
        </w:tc>
        <w:tc>
          <w:tcPr>
            <w:tcW w:type="dxa" w:w="1440"/>
          </w:tcPr>
          <w:p>
            <w:pPr>
              <w:spacing w:after="20"/>
              <w:jc w:val="right"/>
            </w:pPr>
            <w:r>
              <w:rPr>
                <w:color w:val="1C3A36"/>
                <w:sz w:val="16"/>
              </w:rPr>
              <w:t>566,077</w:t>
            </w:r>
          </w:p>
        </w:tc>
        <w:tc>
          <w:tcPr>
            <w:tcW w:type="dxa" w:w="1440"/>
          </w:tcPr>
          <w:p>
            <w:pPr>
              <w:spacing w:after="20"/>
              <w:jc w:val="right"/>
            </w:pPr>
            <w:r>
              <w:rPr>
                <w:color w:val="1C3A36"/>
                <w:sz w:val="16"/>
              </w:rPr>
              <w:t>653,422</w:t>
            </w:r>
          </w:p>
        </w:tc>
        <w:tc>
          <w:tcPr>
            <w:tcW w:type="dxa" w:w="1440"/>
          </w:tcPr>
          <w:p>
            <w:pPr>
              <w:spacing w:after="20"/>
              <w:jc w:val="right"/>
            </w:pPr>
            <w:r>
              <w:rPr>
                <w:color w:val="1C3A36"/>
                <w:sz w:val="16"/>
              </w:rPr>
              <w:t>736,702</w:t>
            </w:r>
          </w:p>
        </w:tc>
        <w:tc>
          <w:tcPr>
            <w:tcW w:type="dxa" w:w="1440"/>
          </w:tcPr>
          <w:p>
            <w:pPr>
              <w:spacing w:after="20"/>
              <w:jc w:val="right"/>
            </w:pPr>
            <w:r>
              <w:rPr>
                <w:color w:val="1C3A36"/>
                <w:sz w:val="16"/>
              </w:rPr>
              <w:t>809,238</w:t>
            </w:r>
          </w:p>
        </w:tc>
      </w:tr>
      <w:tr>
        <w:tc>
          <w:tcPr>
            <w:tcW w:type="dxa" w:w="2880"/>
          </w:tcPr>
          <w:p>
            <w:pPr>
              <w:spacing w:after="20"/>
            </w:pPr>
            <w:r>
              <w:rPr>
                <w:b/>
                <w:color w:val="1C3A36"/>
                <w:sz w:val="16"/>
              </w:rPr>
              <w:t>Attributable equity</w:t>
            </w:r>
          </w:p>
        </w:tc>
        <w:tc>
          <w:tcPr>
            <w:tcW w:type="dxa" w:w="1440"/>
          </w:tcPr>
          <w:p>
            <w:pPr>
              <w:spacing w:after="20"/>
              <w:jc w:val="right"/>
            </w:pPr>
            <w:r>
              <w:rPr>
                <w:color w:val="1C3A36"/>
                <w:sz w:val="16"/>
              </w:rPr>
              <w:t>48,679</w:t>
            </w:r>
          </w:p>
        </w:tc>
        <w:tc>
          <w:tcPr>
            <w:tcW w:type="dxa" w:w="1440"/>
          </w:tcPr>
          <w:p>
            <w:pPr>
              <w:spacing w:after="20"/>
              <w:jc w:val="right"/>
            </w:pPr>
            <w:r>
              <w:rPr>
                <w:color w:val="1C3A36"/>
                <w:sz w:val="16"/>
              </w:rPr>
              <w:t>59,438</w:t>
            </w:r>
          </w:p>
        </w:tc>
        <w:tc>
          <w:tcPr>
            <w:tcW w:type="dxa" w:w="1440"/>
          </w:tcPr>
          <w:p>
            <w:pPr>
              <w:spacing w:after="20"/>
              <w:jc w:val="right"/>
            </w:pPr>
            <w:r>
              <w:rPr>
                <w:color w:val="1C3A36"/>
                <w:sz w:val="16"/>
              </w:rPr>
              <w:t>68,609</w:t>
            </w:r>
          </w:p>
        </w:tc>
        <w:tc>
          <w:tcPr>
            <w:tcW w:type="dxa" w:w="1440"/>
          </w:tcPr>
          <w:p>
            <w:pPr>
              <w:spacing w:after="20"/>
              <w:jc w:val="right"/>
            </w:pPr>
            <w:r>
              <w:rPr>
                <w:color w:val="1C3A36"/>
                <w:sz w:val="16"/>
              </w:rPr>
              <w:t>77,354</w:t>
            </w:r>
          </w:p>
        </w:tc>
        <w:tc>
          <w:tcPr>
            <w:tcW w:type="dxa" w:w="1440"/>
          </w:tcPr>
          <w:p>
            <w:pPr>
              <w:spacing w:after="20"/>
              <w:jc w:val="right"/>
            </w:pPr>
            <w:r>
              <w:rPr>
                <w:color w:val="1C3A36"/>
                <w:sz w:val="16"/>
              </w:rPr>
              <w:t>84,970</w:t>
            </w:r>
          </w:p>
        </w:tc>
      </w:tr>
      <w:tr>
        <w:tc>
          <w:tcPr>
            <w:tcW w:type="dxa" w:w="2880"/>
          </w:tcPr>
          <w:p>
            <w:pPr>
              <w:spacing w:after="20"/>
            </w:pPr>
            <w:r>
              <w:rPr>
                <w:b/>
                <w:color w:val="1C3A36"/>
                <w:sz w:val="16"/>
              </w:rPr>
              <w:t>Equity build required</w:t>
            </w:r>
          </w:p>
        </w:tc>
        <w:tc>
          <w:tcPr>
            <w:tcW w:type="dxa" w:w="1440"/>
          </w:tcPr>
          <w:p>
            <w:pPr>
              <w:spacing w:after="20"/>
              <w:jc w:val="right"/>
            </w:pPr>
            <w:r>
              <w:rPr>
                <w:color w:val="1C3A36"/>
                <w:sz w:val="16"/>
              </w:rPr>
              <w:t>14,082</w:t>
            </w:r>
          </w:p>
        </w:tc>
        <w:tc>
          <w:tcPr>
            <w:tcW w:type="dxa" w:w="1440"/>
          </w:tcPr>
          <w:p>
            <w:pPr>
              <w:spacing w:after="20"/>
              <w:jc w:val="right"/>
            </w:pPr>
            <w:r>
              <w:rPr>
                <w:color w:val="1C3A36"/>
                <w:sz w:val="16"/>
              </w:rPr>
              <w:t>10,759</w:t>
            </w:r>
          </w:p>
        </w:tc>
        <w:tc>
          <w:tcPr>
            <w:tcW w:type="dxa" w:w="1440"/>
          </w:tcPr>
          <w:p>
            <w:pPr>
              <w:spacing w:after="20"/>
              <w:jc w:val="right"/>
            </w:pPr>
            <w:r>
              <w:rPr>
                <w:color w:val="1C3A36"/>
                <w:sz w:val="16"/>
              </w:rPr>
              <w:t>9,171</w:t>
            </w:r>
          </w:p>
        </w:tc>
        <w:tc>
          <w:tcPr>
            <w:tcW w:type="dxa" w:w="1440"/>
          </w:tcPr>
          <w:p>
            <w:pPr>
              <w:spacing w:after="20"/>
              <w:jc w:val="right"/>
            </w:pPr>
            <w:r>
              <w:rPr>
                <w:color w:val="1C3A36"/>
                <w:sz w:val="16"/>
              </w:rPr>
              <w:t>8,744</w:t>
            </w:r>
          </w:p>
        </w:tc>
        <w:tc>
          <w:tcPr>
            <w:tcW w:type="dxa" w:w="1440"/>
          </w:tcPr>
          <w:p>
            <w:pPr>
              <w:spacing w:after="20"/>
              <w:jc w:val="right"/>
            </w:pPr>
            <w:r>
              <w:rPr>
                <w:color w:val="1C3A36"/>
                <w:sz w:val="16"/>
              </w:rPr>
              <w:t>7,616</w:t>
            </w:r>
          </w:p>
        </w:tc>
      </w:tr>
      <w:tr>
        <w:tc>
          <w:tcPr>
            <w:tcW w:type="dxa" w:w="2880"/>
          </w:tcPr>
          <w:p>
            <w:pPr>
              <w:spacing w:after="20"/>
            </w:pPr>
            <w:r>
              <w:rPr>
                <w:b/>
                <w:color w:val="1C3A36"/>
                <w:sz w:val="16"/>
              </w:rPr>
              <w:t>Dividend</w:t>
            </w:r>
          </w:p>
        </w:tc>
        <w:tc>
          <w:tcPr>
            <w:tcW w:type="dxa" w:w="1440"/>
          </w:tcPr>
          <w:p>
            <w:pPr>
              <w:spacing w:after="20"/>
              <w:jc w:val="right"/>
            </w:pPr>
            <w:r>
              <w:rPr>
                <w:color w:val="1C3A36"/>
                <w:sz w:val="16"/>
              </w:rPr>
              <w:t>2,466</w:t>
            </w:r>
          </w:p>
        </w:tc>
        <w:tc>
          <w:tcPr>
            <w:tcW w:type="dxa" w:w="1440"/>
          </w:tcPr>
          <w:p>
            <w:pPr>
              <w:spacing w:after="20"/>
              <w:jc w:val="right"/>
            </w:pPr>
            <w:r>
              <w:rPr>
                <w:color w:val="1C3A36"/>
                <w:sz w:val="16"/>
              </w:rPr>
              <w:t>4,827</w:t>
            </w:r>
          </w:p>
        </w:tc>
        <w:tc>
          <w:tcPr>
            <w:tcW w:type="dxa" w:w="1440"/>
          </w:tcPr>
          <w:p>
            <w:pPr>
              <w:spacing w:after="20"/>
              <w:jc w:val="right"/>
            </w:pPr>
            <w:r>
              <w:rPr>
                <w:color w:val="1C3A36"/>
                <w:sz w:val="16"/>
              </w:rPr>
              <w:t>7,990</w:t>
            </w:r>
          </w:p>
        </w:tc>
        <w:tc>
          <w:tcPr>
            <w:tcW w:type="dxa" w:w="1440"/>
          </w:tcPr>
          <w:p>
            <w:pPr>
              <w:spacing w:after="20"/>
              <w:jc w:val="right"/>
            </w:pPr>
            <w:r>
              <w:rPr>
                <w:color w:val="1C3A36"/>
                <w:sz w:val="16"/>
              </w:rPr>
              <w:t>10,009</w:t>
            </w:r>
          </w:p>
        </w:tc>
        <w:tc>
          <w:tcPr>
            <w:tcW w:type="dxa" w:w="1440"/>
          </w:tcPr>
          <w:p>
            <w:pPr>
              <w:spacing w:after="20"/>
              <w:jc w:val="right"/>
            </w:pPr>
            <w:r>
              <w:rPr>
                <w:color w:val="1C3A36"/>
                <w:sz w:val="16"/>
              </w:rPr>
              <w:t>12,425</w:t>
            </w:r>
          </w:p>
        </w:tc>
      </w:tr>
      <w:tr>
        <w:tc>
          <w:tcPr>
            <w:tcW w:type="dxa" w:w="2880"/>
          </w:tcPr>
          <w:p>
            <w:pPr>
              <w:spacing w:after="20"/>
            </w:pPr>
            <w:r>
              <w:rPr>
                <w:b/>
                <w:color w:val="1C3A36"/>
                <w:sz w:val="16"/>
              </w:rPr>
              <w:t>Net flow to shareholders</w:t>
            </w:r>
          </w:p>
        </w:tc>
        <w:tc>
          <w:tcPr>
            <w:tcW w:type="dxa" w:w="1440"/>
          </w:tcPr>
          <w:p>
            <w:pPr>
              <w:spacing w:after="20"/>
              <w:jc w:val="right"/>
            </w:pPr>
            <w:r>
              <w:rPr>
                <w:color w:val="1C3A36"/>
                <w:sz w:val="16"/>
              </w:rPr>
              <w:t>-534</w:t>
            </w:r>
          </w:p>
        </w:tc>
        <w:tc>
          <w:tcPr>
            <w:tcW w:type="dxa" w:w="1440"/>
          </w:tcPr>
          <w:p>
            <w:pPr>
              <w:spacing w:after="20"/>
              <w:jc w:val="right"/>
            </w:pPr>
            <w:r>
              <w:rPr>
                <w:color w:val="1C3A36"/>
                <w:sz w:val="16"/>
              </w:rPr>
              <w:t>4,827</w:t>
            </w:r>
          </w:p>
        </w:tc>
        <w:tc>
          <w:tcPr>
            <w:tcW w:type="dxa" w:w="1440"/>
          </w:tcPr>
          <w:p>
            <w:pPr>
              <w:spacing w:after="20"/>
              <w:jc w:val="right"/>
            </w:pPr>
            <w:r>
              <w:rPr>
                <w:color w:val="1C3A36"/>
                <w:sz w:val="16"/>
              </w:rPr>
              <w:t>7,990</w:t>
            </w:r>
          </w:p>
        </w:tc>
        <w:tc>
          <w:tcPr>
            <w:tcW w:type="dxa" w:w="1440"/>
          </w:tcPr>
          <w:p>
            <w:pPr>
              <w:spacing w:after="20"/>
              <w:jc w:val="right"/>
            </w:pPr>
            <w:r>
              <w:rPr>
                <w:color w:val="1C3A36"/>
                <w:sz w:val="16"/>
              </w:rPr>
              <w:t>10,009</w:t>
            </w:r>
          </w:p>
        </w:tc>
        <w:tc>
          <w:tcPr>
            <w:tcW w:type="dxa" w:w="1440"/>
          </w:tcPr>
          <w:p>
            <w:pPr>
              <w:spacing w:after="20"/>
              <w:jc w:val="right"/>
            </w:pPr>
            <w:r>
              <w:rPr>
                <w:color w:val="1C3A36"/>
                <w:sz w:val="16"/>
              </w:rPr>
              <w:t>12,425</w:t>
            </w:r>
          </w:p>
        </w:tc>
      </w:tr>
    </w:tbl>
    <w:p>
      <w:pPr>
        <w:spacing w:after="40"/>
      </w:pPr>
    </w:p>
    <w:p>
      <w:pPr>
        <w:spacing w:after="200" w:before="0"/>
      </w:pPr>
      <w:r>
        <w:rPr>
          <w:b w:val="0"/>
          <w:i/>
          <w:color w:val="6E7B77"/>
          <w:sz w:val="17"/>
        </w:rPr>
        <w:t>Table 15 — the projected balance sheet and the capital account</w:t>
      </w:r>
    </w:p>
    <w:p>
      <w:pPr>
        <w:spacing w:after="120" w:before="0"/>
      </w:pPr>
      <w:r>
        <w:rPr>
          <w:b w:val="0"/>
          <w:i w:val="0"/>
          <w:color w:val="1C3A36"/>
          <w:sz w:val="21"/>
        </w:rPr>
        <w:t>The net flow to shareholders is negative in 2026 — -534 million — because that is the year the bank took EGP 3.0 billion of new equity in. A capital call is a negative dividend and it is shown as one rather than netted away.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728"/>
        <w:gridCol w:w="1728"/>
        <w:gridCol w:w="1728"/>
        <w:gridCol w:w="1728"/>
      </w:tblGrid>
      <w:tr>
        <w:tc>
          <w:tcPr>
            <w:tcW w:type="dxa" w:w="3168"/>
            <w:shd w:val="clear" w:color="auto" w:fill="EAF0EE"/>
          </w:tcPr>
          <w:p>
            <w:pPr>
              <w:spacing w:after="20"/>
            </w:pPr>
            <w:r>
              <w:rPr>
                <w:b/>
                <w:color w:val="1C3A36"/>
                <w:sz w:val="17"/>
              </w:rPr>
              <w:t>Attributable profit, EGP million</w:t>
            </w:r>
          </w:p>
        </w:tc>
        <w:tc>
          <w:tcPr>
            <w:tcW w:type="dxa" w:w="1728"/>
            <w:shd w:val="clear" w:color="auto" w:fill="EAF0EE"/>
          </w:tcPr>
          <w:p>
            <w:pPr>
              <w:spacing w:after="20"/>
            </w:pPr>
            <w:r>
              <w:rPr>
                <w:b/>
                <w:color w:val="1C3A36"/>
                <w:sz w:val="17"/>
              </w:rPr>
              <w:t>Low</w:t>
            </w:r>
          </w:p>
        </w:tc>
        <w:tc>
          <w:tcPr>
            <w:tcW w:type="dxa" w:w="1728"/>
            <w:shd w:val="clear" w:color="auto" w:fill="EAF0EE"/>
          </w:tcPr>
          <w:p>
            <w:pPr>
              <w:spacing w:after="20"/>
            </w:pPr>
            <w:r>
              <w:rPr>
                <w:b/>
                <w:color w:val="1C3A36"/>
                <w:sz w:val="17"/>
              </w:rPr>
              <w:t>Point</w:t>
            </w:r>
          </w:p>
        </w:tc>
        <w:tc>
          <w:tcPr>
            <w:tcW w:type="dxa" w:w="1728"/>
            <w:shd w:val="clear" w:color="auto" w:fill="EAF0EE"/>
          </w:tcPr>
          <w:p>
            <w:pPr>
              <w:spacing w:after="20"/>
            </w:pPr>
            <w:r>
              <w:rPr>
                <w:b/>
                <w:color w:val="1C3A36"/>
                <w:sz w:val="17"/>
              </w:rPr>
              <w:t>High</w:t>
            </w:r>
          </w:p>
        </w:tc>
        <w:tc>
          <w:tcPr>
            <w:tcW w:type="dxa" w:w="1728"/>
            <w:shd w:val="clear" w:color="auto" w:fill="EAF0EE"/>
          </w:tcPr>
          <w:p>
            <w:pPr>
              <w:spacing w:after="20"/>
            </w:pPr>
            <w:r>
              <w:rPr>
                <w:b/>
                <w:color w:val="1C3A36"/>
                <w:sz w:val="17"/>
              </w:rPr>
              <w:t>Cells measured</w:t>
            </w:r>
          </w:p>
        </w:tc>
      </w:tr>
      <w:tr>
        <w:tc>
          <w:tcPr>
            <w:tcW w:type="dxa" w:w="3168"/>
          </w:tcPr>
          <w:p>
            <w:pPr>
              <w:spacing w:after="20"/>
            </w:pPr>
            <w:r>
              <w:rPr>
                <w:b/>
                <w:color w:val="1C3A36"/>
                <w:sz w:val="17"/>
              </w:rPr>
              <w:t>2028</w:t>
            </w:r>
          </w:p>
        </w:tc>
        <w:tc>
          <w:tcPr>
            <w:tcW w:type="dxa" w:w="1728"/>
          </w:tcPr>
          <w:p>
            <w:pPr>
              <w:spacing w:after="20"/>
              <w:jc w:val="right"/>
            </w:pPr>
            <w:r>
              <w:rPr>
                <w:color w:val="1C3A36"/>
                <w:sz w:val="17"/>
              </w:rPr>
              <w:t>4,986</w:t>
            </w:r>
          </w:p>
        </w:tc>
        <w:tc>
          <w:tcPr>
            <w:tcW w:type="dxa" w:w="1728"/>
          </w:tcPr>
          <w:p>
            <w:pPr>
              <w:spacing w:after="20"/>
              <w:jc w:val="right"/>
            </w:pPr>
            <w:r>
              <w:rPr>
                <w:color w:val="1C3A36"/>
                <w:sz w:val="17"/>
              </w:rPr>
              <w:t>17,161</w:t>
            </w:r>
          </w:p>
        </w:tc>
        <w:tc>
          <w:tcPr>
            <w:tcW w:type="dxa" w:w="1728"/>
          </w:tcPr>
          <w:p>
            <w:pPr>
              <w:spacing w:after="20"/>
              <w:jc w:val="right"/>
            </w:pPr>
            <w:r>
              <w:rPr>
                <w:color w:val="1C3A36"/>
                <w:sz w:val="17"/>
              </w:rPr>
              <w:t>25,394</w:t>
            </w:r>
          </w:p>
        </w:tc>
        <w:tc>
          <w:tcPr>
            <w:tcW w:type="dxa" w:w="1728"/>
          </w:tcPr>
          <w:p>
            <w:pPr>
              <w:spacing w:after="20"/>
              <w:jc w:val="right"/>
            </w:pPr>
            <w:r>
              <w:rPr>
                <w:color w:val="1C3A36"/>
                <w:sz w:val="17"/>
              </w:rPr>
              <w:t>8</w:t>
            </w:r>
          </w:p>
        </w:tc>
      </w:tr>
      <w:tr>
        <w:tc>
          <w:tcPr>
            <w:tcW w:type="dxa" w:w="3168"/>
          </w:tcPr>
          <w:p>
            <w:pPr>
              <w:spacing w:after="20"/>
            </w:pPr>
            <w:r>
              <w:rPr>
                <w:b/>
                <w:color w:val="1C3A36"/>
                <w:sz w:val="17"/>
              </w:rPr>
              <w:t>2029</w:t>
            </w:r>
          </w:p>
        </w:tc>
        <w:tc>
          <w:tcPr>
            <w:tcW w:type="dxa" w:w="1728"/>
          </w:tcPr>
          <w:p>
            <w:pPr>
              <w:spacing w:after="20"/>
              <w:jc w:val="right"/>
            </w:pPr>
            <w:r>
              <w:rPr>
                <w:color w:val="1C3A36"/>
                <w:sz w:val="17"/>
              </w:rPr>
              <w:t>7,747</w:t>
            </w:r>
          </w:p>
        </w:tc>
        <w:tc>
          <w:tcPr>
            <w:tcW w:type="dxa" w:w="1728"/>
          </w:tcPr>
          <w:p>
            <w:pPr>
              <w:spacing w:after="20"/>
              <w:jc w:val="right"/>
            </w:pPr>
            <w:r>
              <w:rPr>
                <w:color w:val="1C3A36"/>
                <w:sz w:val="17"/>
              </w:rPr>
              <w:t>18,753</w:t>
            </w:r>
          </w:p>
        </w:tc>
        <w:tc>
          <w:tcPr>
            <w:tcW w:type="dxa" w:w="1728"/>
          </w:tcPr>
          <w:p>
            <w:pPr>
              <w:spacing w:after="20"/>
              <w:jc w:val="right"/>
            </w:pPr>
            <w:r>
              <w:rPr>
                <w:color w:val="1C3A36"/>
                <w:sz w:val="17"/>
              </w:rPr>
              <w:t>43,995</w:t>
            </w:r>
          </w:p>
        </w:tc>
        <w:tc>
          <w:tcPr>
            <w:tcW w:type="dxa" w:w="1728"/>
          </w:tcPr>
          <w:p>
            <w:pPr>
              <w:spacing w:after="20"/>
              <w:jc w:val="right"/>
            </w:pPr>
            <w:r>
              <w:rPr>
                <w:color w:val="1C3A36"/>
                <w:sz w:val="17"/>
              </w:rPr>
              <w:t>7</w:t>
            </w:r>
          </w:p>
        </w:tc>
      </w:tr>
      <w:tr>
        <w:tc>
          <w:tcPr>
            <w:tcW w:type="dxa" w:w="3168"/>
          </w:tcPr>
          <w:p>
            <w:pPr>
              <w:spacing w:after="20"/>
            </w:pPr>
            <w:r>
              <w:rPr>
                <w:b/>
                <w:color w:val="1C3A36"/>
                <w:sz w:val="17"/>
              </w:rPr>
              <w:t>2030</w:t>
            </w:r>
          </w:p>
        </w:tc>
        <w:tc>
          <w:tcPr>
            <w:tcW w:type="dxa" w:w="1728"/>
          </w:tcPr>
          <w:p>
            <w:pPr>
              <w:spacing w:after="20"/>
              <w:jc w:val="right"/>
            </w:pPr>
            <w:r>
              <w:rPr>
                <w:color w:val="1C3A36"/>
                <w:sz w:val="17"/>
              </w:rPr>
              <w:t>10,762</w:t>
            </w:r>
          </w:p>
        </w:tc>
        <w:tc>
          <w:tcPr>
            <w:tcW w:type="dxa" w:w="1728"/>
          </w:tcPr>
          <w:p>
            <w:pPr>
              <w:spacing w:after="20"/>
              <w:jc w:val="right"/>
            </w:pPr>
            <w:r>
              <w:rPr>
                <w:color w:val="1C3A36"/>
                <w:sz w:val="17"/>
              </w:rPr>
              <w:t>20,042</w:t>
            </w:r>
          </w:p>
        </w:tc>
        <w:tc>
          <w:tcPr>
            <w:tcW w:type="dxa" w:w="1728"/>
          </w:tcPr>
          <w:p>
            <w:pPr>
              <w:spacing w:after="20"/>
              <w:jc w:val="right"/>
            </w:pPr>
            <w:r>
              <w:rPr>
                <w:color w:val="1C3A36"/>
                <w:sz w:val="17"/>
              </w:rPr>
              <w:t>49,448</w:t>
            </w:r>
          </w:p>
        </w:tc>
        <w:tc>
          <w:tcPr>
            <w:tcW w:type="dxa" w:w="1728"/>
          </w:tcPr>
          <w:p>
            <w:pPr>
              <w:spacing w:after="20"/>
              <w:jc w:val="right"/>
            </w:pPr>
            <w:r>
              <w:rPr>
                <w:color w:val="1C3A36"/>
                <w:sz w:val="17"/>
              </w:rPr>
              <w:t>6</w:t>
            </w:r>
          </w:p>
        </w:tc>
      </w:tr>
    </w:tbl>
    <w:p>
      <w:pPr>
        <w:spacing w:after="40"/>
      </w:pPr>
    </w:p>
    <w:p>
      <w:pPr>
        <w:spacing w:after="200" w:before="0"/>
      </w:pPr>
      <w:r>
        <w:rPr>
          <w:b w:val="0"/>
          <w:i/>
          <w:color w:val="6E7B77"/>
          <w:sz w:val="17"/>
        </w:rPr>
        <w:t>Table 16 — years three to five as ranges, not points</w:t>
      </w:r>
    </w:p>
    <w:p>
      <w:pPr>
        <w:spacing w:after="120" w:before="0"/>
      </w:pPr>
      <w:r>
        <w:rPr>
          <w:b w:val="0"/>
          <w:i w:val="0"/>
          <w:color w:val="1C3A36"/>
          <w:sz w:val="21"/>
        </w:rPr>
        <w:t>These ranges are not scenarios anyone wrote down. They are the measured spread of this forecasting method's own error on this company's own history, at three, four and five years ahead, applied to the point forecast. They are wide because that spread is wide, and publishing the point alone would be claiming a precision the record does not support.</w:t>
      </w:r>
    </w:p>
    <w:p>
      <w:r>
        <w:br w:type="page"/>
      </w:r>
    </w:p>
    <w:p>
      <w:pPr>
        <w:spacing w:after="120" w:before="280"/>
      </w:pPr>
      <w:r>
        <w:rPr>
          <w:b/>
          <w:i w:val="0"/>
          <w:color w:val="1C3A36"/>
          <w:sz w:val="30"/>
        </w:rPr>
        <w:t>Appendix B — Peers, risk register and the research register</w:t>
      </w:r>
    </w:p>
    <w:p>
      <w:pPr>
        <w:spacing w:after="80" w:before="200"/>
      </w:pPr>
      <w:r>
        <w:rPr>
          <w:b/>
          <w:i w:val="0"/>
          <w:color w:val="1C3A36"/>
          <w:sz w:val="24"/>
        </w:rPr>
        <w:t>B.1  Peers and the sector frame</w:t>
      </w:r>
    </w:p>
    <w:p>
      <w:pPr>
        <w:spacing w:after="120" w:before="0"/>
      </w:pPr>
      <w:r>
        <w:rPr>
          <w:b w:val="0"/>
          <w:i w:val="0"/>
          <w:color w:val="1C3A36"/>
          <w:sz w:val="21"/>
        </w:rPr>
        <w:t>Egypt has roughly forty banks and five that matter to a public-market comparison. This study holds a same-day price for exactly one of them — Commercial International Bank at EGP 138.98 on 3 September 2026 — and a same-day book value for none. That is a real limit and it is why the multiple lens carries no weight in the answer.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3888"/>
        <w:gridCol w:w="3024"/>
      </w:tblGrid>
      <w:tr>
        <w:tc>
          <w:tcPr>
            <w:tcW w:type="dxa" w:w="3168"/>
            <w:shd w:val="clear" w:color="auto" w:fill="EAF0EE"/>
          </w:tcPr>
          <w:p>
            <w:pPr>
              <w:spacing w:after="20"/>
            </w:pPr>
            <w:r>
              <w:rPr>
                <w:b/>
                <w:color w:val="1C3A36"/>
                <w:sz w:val="16"/>
              </w:rPr>
            </w:r>
          </w:p>
        </w:tc>
        <w:tc>
          <w:tcPr>
            <w:tcW w:type="dxa" w:w="3888"/>
            <w:shd w:val="clear" w:color="auto" w:fill="EAF0EE"/>
          </w:tcPr>
          <w:p>
            <w:pPr>
              <w:spacing w:after="20"/>
            </w:pPr>
            <w:r>
              <w:rPr>
                <w:b/>
                <w:color w:val="1C3A36"/>
                <w:sz w:val="16"/>
              </w:rPr>
              <w:t>What is held</w:t>
            </w:r>
          </w:p>
        </w:tc>
        <w:tc>
          <w:tcPr>
            <w:tcW w:type="dxa" w:w="3024"/>
            <w:shd w:val="clear" w:color="auto" w:fill="EAF0EE"/>
          </w:tcPr>
          <w:p>
            <w:pPr>
              <w:spacing w:after="20"/>
            </w:pPr>
            <w:r>
              <w:rPr>
                <w:b/>
                <w:color w:val="1C3A36"/>
                <w:sz w:val="16"/>
              </w:rPr>
              <w:t>What is not</w:t>
            </w:r>
          </w:p>
        </w:tc>
      </w:tr>
      <w:tr>
        <w:tc>
          <w:tcPr>
            <w:tcW w:type="dxa" w:w="3168"/>
          </w:tcPr>
          <w:p>
            <w:pPr>
              <w:spacing w:after="20"/>
            </w:pPr>
            <w:r>
              <w:rPr>
                <w:b/>
                <w:color w:val="1C3A36"/>
                <w:sz w:val="16"/>
              </w:rPr>
              <w:t>Commercial International Bank (EGX: COMI)</w:t>
            </w:r>
          </w:p>
        </w:tc>
        <w:tc>
          <w:tcPr>
            <w:tcW w:type="dxa" w:w="3888"/>
          </w:tcPr>
          <w:p>
            <w:pPr>
              <w:spacing w:after="20"/>
              <w:jc w:val="right"/>
            </w:pPr>
            <w:r>
              <w:rPr>
                <w:color w:val="1C3A36"/>
                <w:sz w:val="16"/>
              </w:rPr>
              <w:t>price EGP 138.98, 3 September 2026, same file and same day as ADIB-Egypt's own</w:t>
            </w:r>
          </w:p>
        </w:tc>
        <w:tc>
          <w:tcPr>
            <w:tcW w:type="dxa" w:w="3024"/>
          </w:tcPr>
          <w:p>
            <w:pPr>
              <w:spacing w:after="20"/>
              <w:jc w:val="right"/>
            </w:pPr>
            <w:r>
              <w:rPr>
                <w:color w:val="1C3A36"/>
                <w:sz w:val="16"/>
              </w:rPr>
              <w:t>book value, earnings, capital ratio — none on the study date</w:t>
            </w:r>
          </w:p>
        </w:tc>
      </w:tr>
      <w:tr>
        <w:tc>
          <w:tcPr>
            <w:tcW w:type="dxa" w:w="3168"/>
          </w:tcPr>
          <w:p>
            <w:pPr>
              <w:spacing w:after="20"/>
            </w:pPr>
            <w:r>
              <w:rPr>
                <w:b/>
                <w:color w:val="1C3A36"/>
                <w:sz w:val="16"/>
              </w:rPr>
              <w:t>Other listed Egyptian banks</w:t>
            </w:r>
          </w:p>
        </w:tc>
        <w:tc>
          <w:tcPr>
            <w:tcW w:type="dxa" w:w="3888"/>
          </w:tcPr>
          <w:p>
            <w:pPr>
              <w:spacing w:after="20"/>
              <w:jc w:val="right"/>
            </w:pPr>
            <w:r>
              <w:rPr>
                <w:color w:val="1C3A36"/>
                <w:sz w:val="16"/>
              </w:rPr>
              <w:t>nothing on the study date</w:t>
            </w:r>
          </w:p>
        </w:tc>
        <w:tc>
          <w:tcPr>
            <w:tcW w:type="dxa" w:w="3024"/>
          </w:tcPr>
          <w:p>
            <w:pPr>
              <w:spacing w:after="20"/>
              <w:jc w:val="right"/>
            </w:pPr>
            <w:r>
              <w:rPr>
                <w:color w:val="1C3A36"/>
                <w:sz w:val="16"/>
              </w:rPr>
              <w:t>prices and fundamentals; not sourced, and not substituted from memory</w:t>
            </w:r>
          </w:p>
        </w:tc>
      </w:tr>
      <w:tr>
        <w:tc>
          <w:tcPr>
            <w:tcW w:type="dxa" w:w="3168"/>
          </w:tcPr>
          <w:p>
            <w:pPr>
              <w:spacing w:after="20"/>
            </w:pPr>
            <w:r>
              <w:rPr>
                <w:b/>
                <w:color w:val="1C3A36"/>
                <w:sz w:val="16"/>
              </w:rPr>
              <w:t>The band used</w:t>
            </w:r>
          </w:p>
        </w:tc>
        <w:tc>
          <w:tcPr>
            <w:tcW w:type="dxa" w:w="3888"/>
          </w:tcPr>
          <w:p>
            <w:pPr>
              <w:spacing w:after="20"/>
              <w:jc w:val="right"/>
            </w:pPr>
            <w:r>
              <w:rPr>
                <w:color w:val="1C3A36"/>
                <w:sz w:val="16"/>
              </w:rPr>
              <w:t>price-to-book 1.4-2.2x, price-to-earnings 5.5-8.5x, applied to the 2026 forecast</w:t>
            </w:r>
          </w:p>
        </w:tc>
        <w:tc>
          <w:tcPr>
            <w:tcW w:type="dxa" w:w="3024"/>
          </w:tcPr>
          <w:p>
            <w:pPr>
              <w:spacing w:after="20"/>
              <w:jc w:val="right"/>
            </w:pPr>
            <w:r>
              <w:rPr>
                <w:color w:val="1C3A36"/>
                <w:sz w:val="16"/>
              </w:rPr>
              <w:t>a point estimate — there is not enough here for one</w:t>
            </w:r>
          </w:p>
        </w:tc>
      </w:tr>
    </w:tbl>
    <w:p>
      <w:pPr>
        <w:spacing w:after="40"/>
      </w:pPr>
    </w:p>
    <w:p>
      <w:pPr>
        <w:spacing w:after="200" w:before="0"/>
      </w:pPr>
      <w:r>
        <w:rPr>
          <w:b w:val="0"/>
          <w:i/>
          <w:color w:val="6E7B77"/>
          <w:sz w:val="17"/>
        </w:rPr>
        <w:t>Table 17 — the peer frame, and its holes</w:t>
      </w:r>
    </w:p>
    <w:p>
      <w:pPr>
        <w:spacing w:after="120" w:before="0"/>
      </w:pPr>
      <w:r>
        <w:rPr>
          <w:b w:val="0"/>
          <w:i w:val="0"/>
          <w:color w:val="1C3A36"/>
          <w:sz w:val="21"/>
        </w:rPr>
        <w:t>Sector context that IS held. Egyptian private-sector credit is about 26% of GDP, down from 36% in 2009 — the banking system has been shrinking relative to the economy for fifteen years while the government absorbed the savings. ADIB-Egypt is about 3.1% of that system's credit and rising. A reader who believes credit deepening resumes should believe this study's growth path is conservative; a reader who believes the crowding-out continues should believe the opposite.</w:t>
      </w:r>
    </w:p>
    <w:p>
      <w:pPr>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3744"/>
        <w:gridCol w:w="3312"/>
      </w:tblGrid>
      <w:tr>
        <w:tc>
          <w:tcPr>
            <w:tcW w:type="dxa" w:w="3024"/>
            <w:shd w:val="clear" w:color="auto" w:fill="EAF0EE"/>
          </w:tcPr>
          <w:p>
            <w:pPr>
              <w:spacing w:after="20"/>
            </w:pPr>
            <w:r>
              <w:rPr>
                <w:b/>
                <w:color w:val="1C3A36"/>
                <w:sz w:val="16"/>
              </w:rPr>
              <w:t>Risk</w:t>
            </w:r>
          </w:p>
        </w:tc>
        <w:tc>
          <w:tcPr>
            <w:tcW w:type="dxa" w:w="3744"/>
            <w:shd w:val="clear" w:color="auto" w:fill="EAF0EE"/>
          </w:tcPr>
          <w:p>
            <w:pPr>
              <w:spacing w:after="20"/>
            </w:pPr>
            <w:r>
              <w:rPr>
                <w:b/>
                <w:color w:val="1C3A36"/>
                <w:sz w:val="16"/>
              </w:rPr>
              <w:t>How it would show up</w:t>
            </w:r>
          </w:p>
        </w:tc>
        <w:tc>
          <w:tcPr>
            <w:tcW w:type="dxa" w:w="3312"/>
            <w:shd w:val="clear" w:color="auto" w:fill="EAF0EE"/>
          </w:tcPr>
          <w:p>
            <w:pPr>
              <w:spacing w:after="20"/>
            </w:pPr>
            <w:r>
              <w:rPr>
                <w:b/>
                <w:color w:val="1C3A36"/>
                <w:sz w:val="16"/>
              </w:rPr>
              <w:t>Sized</w:t>
            </w:r>
          </w:p>
        </w:tc>
      </w:tr>
      <w:tr>
        <w:tc>
          <w:tcPr>
            <w:tcW w:type="dxa" w:w="3024"/>
          </w:tcPr>
          <w:p>
            <w:pPr>
              <w:spacing w:after="20"/>
            </w:pPr>
            <w:r>
              <w:rPr>
                <w:b/>
                <w:color w:val="1C3A36"/>
                <w:sz w:val="16"/>
              </w:rPr>
              <w:t>The loss charge normalises above the assumed path</w:t>
            </w:r>
          </w:p>
        </w:tc>
        <w:tc>
          <w:tcPr>
            <w:tcW w:type="dxa" w:w="3744"/>
          </w:tcPr>
          <w:p>
            <w:pPr>
              <w:spacing w:after="20"/>
              <w:jc w:val="right"/>
            </w:pPr>
            <w:r>
              <w:rPr>
                <w:color w:val="1C3A36"/>
                <w:sz w:val="16"/>
              </w:rPr>
              <w:t>the expected-credit-loss line in any quarterly statement</w:t>
            </w:r>
          </w:p>
        </w:tc>
        <w:tc>
          <w:tcPr>
            <w:tcW w:type="dxa" w:w="3312"/>
          </w:tcPr>
          <w:p>
            <w:pPr>
              <w:spacing w:after="20"/>
              <w:jc w:val="right"/>
            </w:pPr>
            <w:r>
              <w:rPr>
                <w:color w:val="1C3A36"/>
                <w:sz w:val="16"/>
              </w:rPr>
              <w:t>11.2% of value per 50 basis points</w:t>
            </w:r>
          </w:p>
        </w:tc>
      </w:tr>
      <w:tr>
        <w:tc>
          <w:tcPr>
            <w:tcW w:type="dxa" w:w="3024"/>
          </w:tcPr>
          <w:p>
            <w:pPr>
              <w:spacing w:after="20"/>
            </w:pPr>
            <w:r>
              <w:rPr>
                <w:b/>
                <w:color w:val="1C3A36"/>
                <w:sz w:val="16"/>
              </w:rPr>
              <w:t>The margin compresses faster than the policy glide</w:t>
            </w:r>
          </w:p>
        </w:tc>
        <w:tc>
          <w:tcPr>
            <w:tcW w:type="dxa" w:w="3744"/>
          </w:tcPr>
          <w:p>
            <w:pPr>
              <w:spacing w:after="20"/>
              <w:jc w:val="right"/>
            </w:pPr>
            <w:r>
              <w:rPr>
                <w:color w:val="1C3A36"/>
                <w:sz w:val="16"/>
              </w:rPr>
              <w:t>net income from funds against average assets, quarterly</w:t>
            </w:r>
          </w:p>
        </w:tc>
        <w:tc>
          <w:tcPr>
            <w:tcW w:type="dxa" w:w="3312"/>
          </w:tcPr>
          <w:p>
            <w:pPr>
              <w:spacing w:after="20"/>
              <w:jc w:val="right"/>
            </w:pPr>
            <w:r>
              <w:rPr>
                <w:color w:val="1C3A36"/>
                <w:sz w:val="16"/>
              </w:rPr>
              <w:t>22.2% per 50 basis points on the asset yield</w:t>
            </w:r>
          </w:p>
        </w:tc>
      </w:tr>
      <w:tr>
        <w:tc>
          <w:tcPr>
            <w:tcW w:type="dxa" w:w="3024"/>
          </w:tcPr>
          <w:p>
            <w:pPr>
              <w:spacing w:after="20"/>
            </w:pPr>
            <w:r>
              <w:rPr>
                <w:b/>
                <w:color w:val="1C3A36"/>
                <w:sz w:val="16"/>
              </w:rPr>
              <w:t>Further equity issued at or near par</w:t>
            </w:r>
          </w:p>
        </w:tc>
        <w:tc>
          <w:tcPr>
            <w:tcW w:type="dxa" w:w="3744"/>
          </w:tcPr>
          <w:p>
            <w:pPr>
              <w:spacing w:after="20"/>
              <w:jc w:val="right"/>
            </w:pPr>
            <w:r>
              <w:rPr>
                <w:color w:val="1C3A36"/>
                <w:sz w:val="16"/>
              </w:rPr>
              <w:t>issued capital in any balance sheet</w:t>
            </w:r>
          </w:p>
        </w:tc>
        <w:tc>
          <w:tcPr>
            <w:tcW w:type="dxa" w:w="3312"/>
          </w:tcPr>
          <w:p>
            <w:pPr>
              <w:spacing w:after="20"/>
              <w:jc w:val="right"/>
            </w:pPr>
            <w:r>
              <w:rPr>
                <w:color w:val="1C3A36"/>
                <w:sz w:val="16"/>
              </w:rPr>
              <w:t>not sized — depends entirely on the terms; the 2026 issue cost existing holders most of a half-year's book-value gain</w:t>
            </w:r>
          </w:p>
        </w:tc>
      </w:tr>
      <w:tr>
        <w:tc>
          <w:tcPr>
            <w:tcW w:type="dxa" w:w="3024"/>
          </w:tcPr>
          <w:p>
            <w:pPr>
              <w:spacing w:after="20"/>
            </w:pPr>
            <w:r>
              <w:rPr>
                <w:b/>
                <w:color w:val="1C3A36"/>
                <w:sz w:val="16"/>
              </w:rPr>
              <w:t>The sovereign</w:t>
            </w:r>
          </w:p>
        </w:tc>
        <w:tc>
          <w:tcPr>
            <w:tcW w:type="dxa" w:w="3744"/>
          </w:tcPr>
          <w:p>
            <w:pPr>
              <w:spacing w:after="20"/>
              <w:jc w:val="right"/>
            </w:pPr>
            <w:r>
              <w:rPr>
                <w:color w:val="1C3A36"/>
                <w:sz w:val="16"/>
              </w:rPr>
              <w:t>the yield the discount rate is built on, and the government paper that is most of the balance sheet</w:t>
            </w:r>
          </w:p>
        </w:tc>
        <w:tc>
          <w:tcPr>
            <w:tcW w:type="dxa" w:w="3312"/>
          </w:tcPr>
          <w:p>
            <w:pPr>
              <w:spacing w:after="20"/>
              <w:jc w:val="right"/>
            </w:pPr>
            <w:r>
              <w:rPr>
                <w:color w:val="1C3A36"/>
                <w:sz w:val="16"/>
              </w:rPr>
              <w:t>17.7% per 200 basis points</w:t>
            </w:r>
          </w:p>
        </w:tc>
      </w:tr>
      <w:tr>
        <w:tc>
          <w:tcPr>
            <w:tcW w:type="dxa" w:w="3024"/>
          </w:tcPr>
          <w:p>
            <w:pPr>
              <w:spacing w:after="20"/>
            </w:pPr>
            <w:r>
              <w:rPr>
                <w:b/>
                <w:color w:val="1C3A36"/>
                <w:sz w:val="16"/>
              </w:rPr>
              <w:t>Concentration in Egyptian government exposure</w:t>
            </w:r>
          </w:p>
        </w:tc>
        <w:tc>
          <w:tcPr>
            <w:tcW w:type="dxa" w:w="3744"/>
          </w:tcPr>
          <w:p>
            <w:pPr>
              <w:spacing w:after="20"/>
              <w:jc w:val="right"/>
            </w:pPr>
            <w:r>
              <w:rPr>
                <w:color w:val="1C3A36"/>
                <w:sz w:val="16"/>
              </w:rPr>
              <w:t>the split between financing to customers and treasury bills</w:t>
            </w:r>
          </w:p>
        </w:tc>
        <w:tc>
          <w:tcPr>
            <w:tcW w:type="dxa" w:w="3312"/>
          </w:tcPr>
          <w:p>
            <w:pPr>
              <w:spacing w:after="20"/>
              <w:jc w:val="right"/>
            </w:pPr>
            <w:r>
              <w:rPr>
                <w:color w:val="1C3A36"/>
                <w:sz w:val="16"/>
              </w:rPr>
              <w:t>not separately sized; it is the shape of every Egyptian bank</w:t>
            </w:r>
          </w:p>
        </w:tc>
      </w:tr>
      <w:tr>
        <w:tc>
          <w:tcPr>
            <w:tcW w:type="dxa" w:w="3024"/>
          </w:tcPr>
          <w:p>
            <w:pPr>
              <w:spacing w:after="20"/>
            </w:pPr>
            <w:r>
              <w:rPr>
                <w:b/>
                <w:color w:val="1C3A36"/>
                <w:sz w:val="16"/>
              </w:rPr>
              <w:t>The growth simply stops</w:t>
            </w:r>
          </w:p>
        </w:tc>
        <w:tc>
          <w:tcPr>
            <w:tcW w:type="dxa" w:w="3744"/>
          </w:tcPr>
          <w:p>
            <w:pPr>
              <w:spacing w:after="20"/>
              <w:jc w:val="right"/>
            </w:pPr>
            <w:r>
              <w:rPr>
                <w:color w:val="1C3A36"/>
                <w:sz w:val="16"/>
              </w:rPr>
              <w:t>financing to customers, quarterly</w:t>
            </w:r>
          </w:p>
        </w:tc>
        <w:tc>
          <w:tcPr>
            <w:tcW w:type="dxa" w:w="3312"/>
          </w:tcPr>
          <w:p>
            <w:pPr>
              <w:spacing w:after="20"/>
              <w:jc w:val="right"/>
            </w:pPr>
            <w:r>
              <w:rPr>
                <w:color w:val="1C3A36"/>
                <w:sz w:val="16"/>
              </w:rPr>
              <w:t>13.0% if financing grows five points a year slower</w:t>
            </w:r>
          </w:p>
        </w:tc>
      </w:tr>
    </w:tbl>
    <w:p>
      <w:pPr>
        <w:spacing w:after="40"/>
      </w:pPr>
    </w:p>
    <w:p>
      <w:pPr>
        <w:spacing w:after="200" w:before="0"/>
      </w:pPr>
      <w:r>
        <w:rPr>
          <w:b w:val="0"/>
          <w:i/>
          <w:color w:val="6E7B77"/>
          <w:sz w:val="17"/>
        </w:rPr>
        <w:t>Table 18 — risk register — every entry sized where it can be</w:t>
      </w:r>
    </w:p>
    <w:p>
      <w:pPr>
        <w:spacing w:after="80" w:before="200"/>
      </w:pPr>
      <w:r>
        <w:rPr>
          <w:b/>
          <w:i w:val="0"/>
          <w:color w:val="1C3A36"/>
          <w:sz w:val="24"/>
        </w:rPr>
        <w:t>B.3  The research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3744"/>
        <w:gridCol w:w="1368"/>
        <w:gridCol w:w="3024"/>
      </w:tblGrid>
      <w:tr>
        <w:tc>
          <w:tcPr>
            <w:tcW w:type="dxa" w:w="1944"/>
            <w:shd w:val="clear" w:color="auto" w:fill="EAF0EE"/>
          </w:tcPr>
          <w:p>
            <w:pPr>
              <w:spacing w:after="20"/>
            </w:pPr>
            <w:r>
              <w:rPr>
                <w:b/>
                <w:color w:val="1C3A36"/>
                <w:sz w:val="15"/>
              </w:rPr>
              <w:t>Layer</w:t>
            </w:r>
          </w:p>
        </w:tc>
        <w:tc>
          <w:tcPr>
            <w:tcW w:type="dxa" w:w="3744"/>
            <w:shd w:val="clear" w:color="auto" w:fill="EAF0EE"/>
          </w:tcPr>
          <w:p>
            <w:pPr>
              <w:spacing w:after="20"/>
            </w:pPr>
            <w:r>
              <w:rPr>
                <w:b/>
                <w:color w:val="1C3A36"/>
                <w:sz w:val="15"/>
              </w:rPr>
              <w:t>What was read</w:t>
            </w:r>
          </w:p>
        </w:tc>
        <w:tc>
          <w:tcPr>
            <w:tcW w:type="dxa" w:w="1368"/>
            <w:shd w:val="clear" w:color="auto" w:fill="EAF0EE"/>
          </w:tcPr>
          <w:p>
            <w:pPr>
              <w:spacing w:after="20"/>
            </w:pPr>
            <w:r>
              <w:rPr>
                <w:b/>
                <w:color w:val="1C3A36"/>
                <w:sz w:val="15"/>
              </w:rPr>
              <w:t>Dated</w:t>
            </w:r>
          </w:p>
        </w:tc>
        <w:tc>
          <w:tcPr>
            <w:tcW w:type="dxa" w:w="3024"/>
            <w:shd w:val="clear" w:color="auto" w:fill="EAF0EE"/>
          </w:tcPr>
          <w:p>
            <w:pPr>
              <w:spacing w:after="20"/>
            </w:pPr>
            <w:r>
              <w:rPr>
                <w:b/>
                <w:color w:val="1C3A36"/>
                <w:sz w:val="15"/>
              </w:rPr>
              <w:t>Result</w:t>
            </w:r>
          </w:p>
        </w:tc>
      </w:tr>
      <w:tr>
        <w:tc>
          <w:tcPr>
            <w:tcW w:type="dxa" w:w="1944"/>
          </w:tcPr>
          <w:p>
            <w:pPr>
              <w:spacing w:after="20"/>
            </w:pPr>
            <w:r>
              <w:rPr>
                <w:b/>
                <w:color w:val="1C3A36"/>
                <w:sz w:val="15"/>
              </w:rPr>
              <w:t>Company — statements</w:t>
            </w:r>
          </w:p>
        </w:tc>
        <w:tc>
          <w:tcPr>
            <w:tcW w:type="dxa" w:w="3744"/>
          </w:tcPr>
          <w:p>
            <w:pPr>
              <w:spacing w:after="20"/>
              <w:jc w:val="right"/>
            </w:pPr>
            <w:r>
              <w:rPr>
                <w:color w:val="1C3A36"/>
                <w:sz w:val="15"/>
              </w:rPr>
              <w:t>sixteen consolidated fiscal years, FY2010 to FY2025, plus Q1 and H1 2026, all from adib.eg</w:t>
            </w:r>
          </w:p>
        </w:tc>
        <w:tc>
          <w:tcPr>
            <w:tcW w:type="dxa" w:w="1368"/>
          </w:tcPr>
          <w:p>
            <w:pPr>
              <w:spacing w:after="20"/>
              <w:jc w:val="right"/>
            </w:pPr>
            <w:r>
              <w:rPr>
                <w:color w:val="1C3A36"/>
                <w:sz w:val="15"/>
              </w:rPr>
              <w:t>9 Sep 2026</w:t>
            </w:r>
          </w:p>
        </w:tc>
        <w:tc>
          <w:tcPr>
            <w:tcW w:type="dxa" w:w="3024"/>
          </w:tcPr>
          <w:p>
            <w:pPr>
              <w:spacing w:after="20"/>
              <w:jc w:val="right"/>
            </w:pPr>
            <w:r>
              <w:rPr>
                <w:color w:val="1C3A36"/>
                <w:sz w:val="15"/>
              </w:rPr>
              <w:t>obtained; every statement footed against its own arithmetic</w:t>
            </w:r>
          </w:p>
        </w:tc>
      </w:tr>
      <w:tr>
        <w:tc>
          <w:tcPr>
            <w:tcW w:type="dxa" w:w="1944"/>
          </w:tcPr>
          <w:p>
            <w:pPr>
              <w:spacing w:after="20"/>
            </w:pPr>
            <w:r>
              <w:rPr>
                <w:b/>
                <w:color w:val="1C3A36"/>
                <w:sz w:val="15"/>
              </w:rPr>
              <w:t>Company — other</w:t>
            </w:r>
          </w:p>
        </w:tc>
        <w:tc>
          <w:tcPr>
            <w:tcW w:type="dxa" w:w="3744"/>
          </w:tcPr>
          <w:p>
            <w:pPr>
              <w:spacing w:after="20"/>
              <w:jc w:val="right"/>
            </w:pPr>
            <w:r>
              <w:rPr>
                <w:color w:val="1C3A36"/>
                <w:sz w:val="15"/>
              </w:rPr>
              <w:t>the 2024 annual report, the 2025 board report, the 2023 and 2024 investor-relations packs, the 2025 governance report</w:t>
            </w:r>
          </w:p>
        </w:tc>
        <w:tc>
          <w:tcPr>
            <w:tcW w:type="dxa" w:w="1368"/>
          </w:tcPr>
          <w:p>
            <w:pPr>
              <w:spacing w:after="20"/>
              <w:jc w:val="right"/>
            </w:pPr>
            <w:r>
              <w:rPr>
                <w:color w:val="1C3A36"/>
                <w:sz w:val="15"/>
              </w:rPr>
              <w:t>9 Sep 2026</w:t>
            </w:r>
          </w:p>
        </w:tc>
        <w:tc>
          <w:tcPr>
            <w:tcW w:type="dxa" w:w="3024"/>
          </w:tcPr>
          <w:p>
            <w:pPr>
              <w:spacing w:after="20"/>
              <w:jc w:val="right"/>
            </w:pPr>
            <w:r>
              <w:rPr>
                <w:color w:val="1C3A36"/>
                <w:sz w:val="15"/>
              </w:rPr>
              <w:t>obtained</w:t>
            </w:r>
          </w:p>
        </w:tc>
      </w:tr>
      <w:tr>
        <w:tc>
          <w:tcPr>
            <w:tcW w:type="dxa" w:w="1944"/>
          </w:tcPr>
          <w:p>
            <w:pPr>
              <w:spacing w:after="20"/>
            </w:pPr>
            <w:r>
              <w:rPr>
                <w:b/>
                <w:color w:val="1C3A36"/>
                <w:sz w:val="15"/>
              </w:rPr>
              <w:t>Company — negative result</w:t>
            </w:r>
          </w:p>
        </w:tc>
        <w:tc>
          <w:tcPr>
            <w:tcW w:type="dxa" w:w="3744"/>
          </w:tcPr>
          <w:p>
            <w:pPr>
              <w:spacing w:after="20"/>
              <w:jc w:val="right"/>
            </w:pPr>
            <w:r>
              <w:rPr>
                <w:color w:val="1C3A36"/>
                <w:sz w:val="15"/>
              </w:rPr>
              <w:t>the English FY2021 consolidated filing</w:t>
            </w:r>
          </w:p>
        </w:tc>
        <w:tc>
          <w:tcPr>
            <w:tcW w:type="dxa" w:w="1368"/>
          </w:tcPr>
          <w:p>
            <w:pPr>
              <w:spacing w:after="20"/>
              <w:jc w:val="right"/>
            </w:pPr>
            <w:r>
              <w:rPr>
                <w:color w:val="1C3A36"/>
                <w:sz w:val="15"/>
              </w:rPr>
              <w:t>9 Sep 2026</w:t>
            </w:r>
          </w:p>
        </w:tc>
        <w:tc>
          <w:tcPr>
            <w:tcW w:type="dxa" w:w="3024"/>
          </w:tcPr>
          <w:p>
            <w:pPr>
              <w:spacing w:after="20"/>
              <w:jc w:val="right"/>
            </w:pPr>
            <w:r>
              <w:rPr>
                <w:color w:val="1C3A36"/>
                <w:sz w:val="15"/>
              </w:rPr>
              <w:t>DOES NOT EXIST — the file published under that name is the Arabic filing. Two alternative filenames returned 404. FY2021 taken from the FY2022 comparative.</w:t>
            </w:r>
          </w:p>
        </w:tc>
      </w:tr>
      <w:tr>
        <w:tc>
          <w:tcPr>
            <w:tcW w:type="dxa" w:w="1944"/>
          </w:tcPr>
          <w:p>
            <w:pPr>
              <w:spacing w:after="20"/>
            </w:pPr>
            <w:r>
              <w:rPr>
                <w:b/>
                <w:color w:val="1C3A36"/>
                <w:sz w:val="15"/>
              </w:rPr>
              <w:t>Country — macro</w:t>
            </w:r>
          </w:p>
        </w:tc>
        <w:tc>
          <w:tcPr>
            <w:tcW w:type="dxa" w:w="3744"/>
          </w:tcPr>
          <w:p>
            <w:pPr>
              <w:spacing w:after="20"/>
              <w:jc w:val="right"/>
            </w:pPr>
            <w:r>
              <w:rPr>
                <w:color w:val="1C3A36"/>
                <w:sz w:val="15"/>
              </w:rPr>
              <w:t>Egyptian inflation, policy rate, sovereign yield, currency and terminal convention, from the house path</w:t>
            </w:r>
          </w:p>
        </w:tc>
        <w:tc>
          <w:tcPr>
            <w:tcW w:type="dxa" w:w="1368"/>
          </w:tcPr>
          <w:p>
            <w:pPr>
              <w:spacing w:after="20"/>
              <w:jc w:val="right"/>
            </w:pPr>
            <w:r>
              <w:rPr>
                <w:color w:val="1C3A36"/>
                <w:sz w:val="15"/>
              </w:rPr>
              <w:t>2 Sep 2026</w:t>
            </w:r>
          </w:p>
        </w:tc>
        <w:tc>
          <w:tcPr>
            <w:tcW w:type="dxa" w:w="3024"/>
          </w:tcPr>
          <w:p>
            <w:pPr>
              <w:spacing w:after="20"/>
              <w:jc w:val="right"/>
            </w:pPr>
            <w:r>
              <w:rPr>
                <w:color w:val="1C3A36"/>
                <w:sz w:val="15"/>
              </w:rPr>
              <w:t>obtained</w:t>
            </w:r>
          </w:p>
        </w:tc>
      </w:tr>
      <w:tr>
        <w:tc>
          <w:tcPr>
            <w:tcW w:type="dxa" w:w="1944"/>
          </w:tcPr>
          <w:p>
            <w:pPr>
              <w:spacing w:after="20"/>
            </w:pPr>
            <w:r>
              <w:rPr>
                <w:b/>
                <w:color w:val="1C3A36"/>
                <w:sz w:val="15"/>
              </w:rPr>
              <w:t>Country — negative result</w:t>
            </w:r>
          </w:p>
        </w:tc>
        <w:tc>
          <w:tcPr>
            <w:tcW w:type="dxa" w:w="3744"/>
          </w:tcPr>
          <w:p>
            <w:pPr>
              <w:spacing w:after="20"/>
              <w:jc w:val="right"/>
            </w:pPr>
            <w:r>
              <w:rPr>
                <w:color w:val="1C3A36"/>
                <w:sz w:val="15"/>
              </w:rPr>
              <w:t>a current Egyptian ten-year yield</w:t>
            </w:r>
          </w:p>
        </w:tc>
        <w:tc>
          <w:tcPr>
            <w:tcW w:type="dxa" w:w="1368"/>
          </w:tcPr>
          <w:p>
            <w:pPr>
              <w:spacing w:after="20"/>
              <w:jc w:val="right"/>
            </w:pPr>
            <w:r>
              <w:rPr>
                <w:color w:val="1C3A36"/>
                <w:sz w:val="15"/>
              </w:rPr>
              <w:t>9 Sep 2026</w:t>
            </w:r>
          </w:p>
        </w:tc>
        <w:tc>
          <w:tcPr>
            <w:tcW w:type="dxa" w:w="3024"/>
          </w:tcPr>
          <w:p>
            <w:pPr>
              <w:spacing w:after="20"/>
              <w:jc w:val="right"/>
            </w:pPr>
            <w:r>
              <w:rPr>
                <w:color w:val="1C3A36"/>
                <w:sz w:val="15"/>
              </w:rPr>
              <w:t>NOT OBTAINED. Four routes tried: the central bank's bond-auction pages (404), its auction endpoint (returns the site shell), and two market-data providers (JavaScript-rendered tables, and a 403). The 6 August quote is carried and declared stale.</w:t>
            </w:r>
          </w:p>
        </w:tc>
      </w:tr>
      <w:tr>
        <w:tc>
          <w:tcPr>
            <w:tcW w:type="dxa" w:w="1944"/>
          </w:tcPr>
          <w:p>
            <w:pPr>
              <w:spacing w:after="20"/>
            </w:pPr>
            <w:r>
              <w:rPr>
                <w:b/>
                <w:color w:val="1C3A36"/>
                <w:sz w:val="15"/>
              </w:rPr>
              <w:t>Industry</w:t>
            </w:r>
          </w:p>
        </w:tc>
        <w:tc>
          <w:tcPr>
            <w:tcW w:type="dxa" w:w="3744"/>
          </w:tcPr>
          <w:p>
            <w:pPr>
              <w:spacing w:after="20"/>
              <w:jc w:val="right"/>
            </w:pPr>
            <w:r>
              <w:rPr>
                <w:color w:val="1C3A36"/>
                <w:sz w:val="15"/>
              </w:rPr>
              <w:t>Egyptian private-sector credit and broad money, 2005-2025</w:t>
            </w:r>
          </w:p>
        </w:tc>
        <w:tc>
          <w:tcPr>
            <w:tcW w:type="dxa" w:w="1368"/>
          </w:tcPr>
          <w:p>
            <w:pPr>
              <w:spacing w:after="20"/>
              <w:jc w:val="right"/>
            </w:pPr>
            <w:r>
              <w:rPr>
                <w:color w:val="1C3A36"/>
                <w:sz w:val="15"/>
              </w:rPr>
              <w:t>9 Sep 2026</w:t>
            </w:r>
          </w:p>
        </w:tc>
        <w:tc>
          <w:tcPr>
            <w:tcW w:type="dxa" w:w="3024"/>
          </w:tcPr>
          <w:p>
            <w:pPr>
              <w:spacing w:after="20"/>
              <w:jc w:val="right"/>
            </w:pPr>
            <w:r>
              <w:rPr>
                <w:color w:val="1C3A36"/>
                <w:sz w:val="15"/>
              </w:rPr>
              <w:t>obtained; used for the share-of-system check</w:t>
            </w:r>
          </w:p>
        </w:tc>
      </w:tr>
      <w:tr>
        <w:tc>
          <w:tcPr>
            <w:tcW w:type="dxa" w:w="1944"/>
          </w:tcPr>
          <w:p>
            <w:pPr>
              <w:spacing w:after="20"/>
            </w:pPr>
            <w:r>
              <w:rPr>
                <w:b/>
                <w:color w:val="1C3A36"/>
                <w:sz w:val="15"/>
              </w:rPr>
              <w:t>Peers</w:t>
            </w:r>
          </w:p>
        </w:tc>
        <w:tc>
          <w:tcPr>
            <w:tcW w:type="dxa" w:w="3744"/>
          </w:tcPr>
          <w:p>
            <w:pPr>
              <w:spacing w:after="20"/>
              <w:jc w:val="right"/>
            </w:pPr>
            <w:r>
              <w:rPr>
                <w:color w:val="1C3A36"/>
                <w:sz w:val="15"/>
              </w:rPr>
              <w:t>same-day Egyptian bank prices and book values</w:t>
            </w:r>
          </w:p>
        </w:tc>
        <w:tc>
          <w:tcPr>
            <w:tcW w:type="dxa" w:w="1368"/>
          </w:tcPr>
          <w:p>
            <w:pPr>
              <w:spacing w:after="20"/>
              <w:jc w:val="right"/>
            </w:pPr>
            <w:r>
              <w:rPr>
                <w:color w:val="1C3A36"/>
                <w:sz w:val="15"/>
              </w:rPr>
              <w:t>9 Sep 2026</w:t>
            </w:r>
          </w:p>
        </w:tc>
        <w:tc>
          <w:tcPr>
            <w:tcW w:type="dxa" w:w="3024"/>
          </w:tcPr>
          <w:p>
            <w:pPr>
              <w:spacing w:after="20"/>
              <w:jc w:val="right"/>
            </w:pPr>
            <w:r>
              <w:rPr>
                <w:color w:val="1C3A36"/>
                <w:sz w:val="15"/>
              </w:rPr>
              <w:t>PARTIAL — one price, no book values. Recorded rather than filled in.</w:t>
            </w:r>
          </w:p>
        </w:tc>
      </w:tr>
      <w:tr>
        <w:tc>
          <w:tcPr>
            <w:tcW w:type="dxa" w:w="1944"/>
          </w:tcPr>
          <w:p>
            <w:pPr>
              <w:spacing w:after="20"/>
            </w:pPr>
            <w:r>
              <w:rPr>
                <w:b/>
                <w:color w:val="1C3A36"/>
                <w:sz w:val="15"/>
              </w:rPr>
              <w:t>Market</w:t>
            </w:r>
          </w:p>
        </w:tc>
        <w:tc>
          <w:tcPr>
            <w:tcW w:type="dxa" w:w="3744"/>
          </w:tcPr>
          <w:p>
            <w:pPr>
              <w:spacing w:after="20"/>
              <w:jc w:val="right"/>
            </w:pPr>
            <w:r>
              <w:rPr>
                <w:color w:val="1C3A36"/>
                <w:sz w:val="15"/>
              </w:rPr>
              <w:t>the share price and the price history</w:t>
            </w:r>
          </w:p>
        </w:tc>
        <w:tc>
          <w:tcPr>
            <w:tcW w:type="dxa" w:w="1368"/>
          </w:tcPr>
          <w:p>
            <w:pPr>
              <w:spacing w:after="20"/>
              <w:jc w:val="right"/>
            </w:pPr>
            <w:r>
              <w:rPr>
                <w:color w:val="1C3A36"/>
                <w:sz w:val="15"/>
              </w:rPr>
              <w:t>3 Sep / 23 Aug 2026</w:t>
            </w:r>
          </w:p>
        </w:tc>
        <w:tc>
          <w:tcPr>
            <w:tcW w:type="dxa" w:w="3024"/>
          </w:tcPr>
          <w:p>
            <w:pPr>
              <w:spacing w:after="20"/>
              <w:jc w:val="right"/>
            </w:pPr>
            <w:r>
              <w:rPr>
                <w:color w:val="1C3A36"/>
                <w:sz w:val="15"/>
              </w:rPr>
              <w:t>obtained; the two dates differ and section 3 says so</w:t>
            </w:r>
          </w:p>
        </w:tc>
      </w:tr>
    </w:tbl>
    <w:p>
      <w:pPr>
        <w:spacing w:after="40"/>
      </w:pPr>
    </w:p>
    <w:p>
      <w:pPr>
        <w:spacing w:after="200" w:before="0"/>
      </w:pPr>
      <w:r>
        <w:rPr>
          <w:b w:val="0"/>
          <w:i/>
          <w:color w:val="6E7B77"/>
          <w:sz w:val="17"/>
        </w:rPr>
        <w:t>Table 19 — the research register, negative results included</w:t>
      </w:r>
    </w:p>
    <w:p>
      <w:r>
        <w:br w:type="page"/>
      </w:r>
    </w:p>
    <w:p>
      <w:pPr>
        <w:spacing w:after="120" w:before="280"/>
      </w:pPr>
      <w:r>
        <w:rPr>
          <w:b/>
          <w:i w:val="0"/>
          <w:color w:val="1C3A36"/>
          <w:sz w:val="30"/>
        </w:rPr>
        <w:t>Appendix C — Expert panel</w:t>
      </w:r>
    </w:p>
    <w:p>
      <w:pPr>
        <w:spacing w:after="120" w:before="0"/>
      </w:pPr>
      <w:r>
        <w:rPr>
          <w:b w:val="0"/>
          <w:i w:val="0"/>
          <w:color w:val="1C3A36"/>
          <w:sz w:val="21"/>
        </w:rPr>
        <w:t>Three readings of the same evidence, each by a different method, written to disagree rather than to converge.</w:t>
      </w:r>
    </w:p>
    <w:p>
      <w:pPr>
        <w:spacing w:after="80" w:before="200"/>
      </w:pPr>
      <w:r>
        <w:rPr>
          <w:b/>
          <w:i w:val="0"/>
          <w:color w:val="1C3A36"/>
          <w:sz w:val="24"/>
        </w:rPr>
        <w:t>C.1  Expert 1 — the balance-sheet reader</w:t>
      </w:r>
    </w:p>
    <w:p>
      <w:pPr>
        <w:spacing w:after="120" w:before="0"/>
      </w:pPr>
      <w:r>
        <w:rPr>
          <w:b w:val="0"/>
          <w:i w:val="0"/>
          <w:color w:val="1C3A36"/>
          <w:sz w:val="21"/>
        </w:rPr>
        <w:t>"Start with what is not in dispute. This bank funds itself at 11.22% and earns 16.23% on its assets, and the gap between those two numbers is the whole business. In 2025 that gap was 6.64% of average assets and it produced a 43.7% return on equity. Now watch what the central bank is doing: 19.00% today, 12.00% on its own published path. Both sides of my spread fall, but the asset side falls first and faster, because a treasury bill reprices in three months and a savings depositor takes longer to accept less. That is why my margin goes to 4.81% by 2030 and why I do not believe a 43.7% return survives the decade."</w:t>
      </w:r>
    </w:p>
    <w:p>
      <w:pPr>
        <w:spacing w:after="120" w:before="0"/>
      </w:pPr>
      <w:r>
        <w:rPr>
          <w:b w:val="0"/>
          <w:i w:val="0"/>
          <w:color w:val="1C3A36"/>
          <w:sz w:val="21"/>
        </w:rPr>
        <w:t>"The second thing I would say is that this bank does not have spare capital. Equity is 10.51% of assets. Growing assets by a third takes EGP 14.1 billion of it, and the bank earns EGP 13.5 billion. That is why the dividend is small and why they came to shareholders for EGP 3 billion in June. Anyone valuing this on earnings without asking what the balance sheet consumes is valuing a number the shareholder never sees."</w:t>
      </w:r>
    </w:p>
    <w:p>
      <w:pPr>
        <w:spacing w:after="80" w:before="200"/>
      </w:pPr>
      <w:r>
        <w:rPr>
          <w:b/>
          <w:i w:val="0"/>
          <w:color w:val="1C3A36"/>
          <w:sz w:val="24"/>
        </w:rPr>
        <w:t>C.2  Expert 2 — the credit reader</w:t>
      </w:r>
    </w:p>
    <w:p>
      <w:pPr>
        <w:spacing w:after="120" w:before="0"/>
      </w:pPr>
      <w:r>
        <w:rPr>
          <w:b w:val="0"/>
          <w:i w:val="0"/>
          <w:color w:val="1C3A36"/>
          <w:sz w:val="21"/>
        </w:rPr>
        <w:t>"I look at one line and it is the strangest line I have seen in an Egyptian bank's accounts this year. 2.176 million of credit losses in six months, on a EGP 190 billion book. The same half of last year was 732 million. The full year 2023 and 2024 were each about 2.7% of financing. Something has been released, and the statements do not tell me what."</w:t>
      </w:r>
    </w:p>
    <w:p>
      <w:pPr>
        <w:spacing w:after="120" w:before="0"/>
      </w:pPr>
      <w:r>
        <w:rPr>
          <w:b w:val="0"/>
          <w:i w:val="0"/>
          <w:color w:val="1C3A36"/>
          <w:sz w:val="21"/>
        </w:rPr>
        <w:t>"Here is why I would not extrapolate it. This book grew 29% in six months. Newly written financing does not go bad in its first year; it goes bad in its third. A bank growing this fast has a loss charge that lags its balance sheet by two or three years, so the charge you see today is levied on a book a third the size of the one you own. If growth slows and the seasoning arrives together, the charge does not go back to 1.3% — it goes to something worse for a couple of years. I would rather be wrong on the conservative side of that."</w:t>
      </w:r>
    </w:p>
    <w:p>
      <w:pPr>
        <w:spacing w:after="80" w:before="200"/>
      </w:pPr>
      <w:r>
        <w:rPr>
          <w:b/>
          <w:i w:val="0"/>
          <w:color w:val="1C3A36"/>
          <w:sz w:val="24"/>
        </w:rPr>
        <w:t>C.3  Expert 3 — the market reader</w:t>
      </w:r>
    </w:p>
    <w:p>
      <w:pPr>
        <w:spacing w:after="120" w:before="0"/>
      </w:pPr>
      <w:r>
        <w:rPr>
          <w:b w:val="0"/>
          <w:i w:val="0"/>
          <w:color w:val="1C3A36"/>
          <w:sz w:val="21"/>
        </w:rPr>
        <w:t>"You are all arguing about the cost of equity and calling it something else. The stock is at EGP 52.05, which is 1.79 times June book on a 38.6% trailing return. Invert that with a 7% terminal growth and the market is discounting at 24.62%. This study uses 29.42%. That is the entire disagreement — 480 basis points on a rate, not a view about credit."</w:t>
      </w:r>
    </w:p>
    <w:p>
      <w:pPr>
        <w:spacing w:after="120" w:before="0"/>
      </w:pPr>
      <w:r>
        <w:rPr>
          <w:b w:val="0"/>
          <w:i w:val="0"/>
          <w:color w:val="1C3A36"/>
          <w:sz w:val="21"/>
        </w:rPr>
        <w:t>"And I would point out where that rate comes from: a ten-year yield printed on 6 August, thirty-four days before the price. In late April and May the same yield was averaging 21.29%. Put 21.29% in and the answer is EGP 53.99. Put in what the market is implying and the answer is the market. I am not saying the model is wrong. I am saying the largest input in it is a month old and the study should say so — which, to its credit, it does."</w:t>
      </w:r>
    </w:p>
    <w:p>
      <w:pPr>
        <w:spacing w:after="80" w:before="200"/>
      </w:pPr>
      <w:r>
        <w:rPr>
          <w:b/>
          <w:i w:val="0"/>
          <w:color w:val="1C3A36"/>
          <w:sz w:val="24"/>
        </w:rPr>
        <w:t>C.4  Cross-examination</w:t>
      </w:r>
    </w:p>
    <w:p>
      <w:pPr>
        <w:spacing w:after="120" w:before="0"/>
      </w:pPr>
      <w:r>
        <w:rPr>
          <w:b w:val="0"/>
          <w:i w:val="0"/>
          <w:color w:val="1C3A36"/>
          <w:sz w:val="21"/>
        </w:rPr>
        <w:t>Expert 3 to Expert 2: "You will not extrapolate six months of credit data, but you will extrapolate four years of it. Why is the 2022-25 average more relevant than the most recent half?" Expert 2: "Because the average contains a devaluation and the half does not. I am not extrapolating either — I am picking a number between them and saying so."</w:t>
      </w:r>
    </w:p>
    <w:p>
      <w:pPr>
        <w:spacing w:after="120" w:before="0"/>
      </w:pPr>
      <w:r>
        <w:rPr>
          <w:b w:val="0"/>
          <w:i w:val="0"/>
          <w:color w:val="1C3A36"/>
          <w:sz w:val="21"/>
        </w:rPr>
        <w:t>Expert 1 to Expert 3: "The market's implied cost of equity is not evidence about the cost of equity. It is the market's price divided by my estimate of the return. If my return estimate is too low, your implied rate is too low too." Expert 3: "Agreed, and that is why I used the reported half rather than the forecast. It is the least model-dependent version of the calculation available."</w:t>
      </w:r>
    </w:p>
    <w:p>
      <w:pPr>
        <w:spacing w:after="120" w:before="0"/>
      </w:pPr>
      <w:r>
        <w:rPr>
          <w:b w:val="0"/>
          <w:i w:val="0"/>
          <w:color w:val="1C3A36"/>
          <w:sz w:val="21"/>
        </w:rPr>
        <w:t>Expert 2 to Expert 1: "Your margin path assumes the asset side reprices faster. Half this balance sheet is treasury bills — those reprice in ninety days. But the customer financing is Islamic, and a murabaha is priced at origination for its whole term. Are you sure the mix does not slow the repricing?" Expert 1: "Not sure. It would make the margin fall more slowly than I have it, which would raise the answer."</w:t>
      </w:r>
    </w:p>
    <w:p>
      <w:pPr>
        <w:spacing w:after="80" w:before="200"/>
      </w:pPr>
      <w:r>
        <w:rPr>
          <w:b/>
          <w:i w:val="0"/>
          <w:color w:val="1C3A36"/>
          <w:sz w:val="24"/>
        </w:rPr>
        <w:t>C.5  The three in one room</w:t>
      </w:r>
    </w:p>
    <w:p>
      <w:pPr>
        <w:spacing w:after="120" w:before="0"/>
      </w:pPr>
      <w:r>
        <w:rPr>
          <w:b w:val="0"/>
          <w:i w:val="0"/>
          <w:color w:val="1C3A36"/>
          <w:sz w:val="21"/>
        </w:rPr>
        <w:t>What they agree on: the balance sheet is growing far faster than the Egyptian economy and the capital to fund it is the binding constraint; the margin compresses as the central bank cuts; and the loss charge in the June half is not a run rate.</w:t>
      </w:r>
    </w:p>
    <w:p>
      <w:pPr>
        <w:spacing w:after="120" w:before="0"/>
      </w:pPr>
      <w:r>
        <w:rPr>
          <w:b w:val="0"/>
          <w:i w:val="0"/>
          <w:color w:val="1C3A36"/>
          <w:sz w:val="21"/>
        </w:rPr>
        <w:t>What they do not agree on: whether the disagreement with the market is about credit or about the discount rate. Expert 2 says the market is under-providing for a fast-growing book. Expert 3 says the market and the model differ by 480 basis points on one rate and everything else is decoration. Expert 1 says both are secondary to the capital call that has not happened yet.</w:t>
      </w:r>
    </w:p>
    <w:p>
      <w:pPr>
        <w:spacing w:after="80" w:before="200"/>
      </w:pPr>
      <w:r>
        <w:rPr>
          <w:b/>
          <w:i w:val="0"/>
          <w:color w:val="1C3A36"/>
          <w:sz w:val="24"/>
        </w:rPr>
        <w:t>C.6  Reading the divergence</w:t>
      </w:r>
    </w:p>
    <w:p>
      <w:pPr>
        <w:spacing w:after="120" w:before="0"/>
      </w:pPr>
      <w:r>
        <w:rPr>
          <w:b w:val="0"/>
          <w:i w:val="0"/>
          <w:color w:val="1C3A36"/>
          <w:sz w:val="21"/>
        </w:rPr>
        <w:t>The spread between the highest and lowest present-value read in this study is EGP 2.84 a share, which is small. The spread between the study and the market is EGP 7.59 a share, which is not. That shape — three lenses agreeing with each other and disagreeing with the price — is exactly the case where the lenses probably share an assumption. Here they share two: a 29.42% cost of equity built on a stale yield, and a loss charge normalised above the last six months. A reader who disagrees with either should not adjust the lenses; they should change those two inputs and read the sensitivity table.</w:t>
      </w:r>
    </w:p>
    <w:p>
      <w:r>
        <w:br w:type="page"/>
      </w:r>
    </w:p>
    <w:p>
      <w:pPr>
        <w:spacing w:after="120" w:before="280"/>
      </w:pPr>
      <w:r>
        <w:rPr>
          <w:b/>
          <w:i w:val="0"/>
          <w:color w:val="1C3A36"/>
          <w:sz w:val="30"/>
        </w:rPr>
        <w:t>About this series</w:t>
      </w:r>
    </w:p>
    <w:p>
      <w:pPr>
        <w:spacing w:after="120" w:before="0"/>
      </w:pPr>
      <w:r>
        <w:rPr>
          <w:b w:val="0"/>
          <w:i w:val="0"/>
          <w:color w:val="1C3A36"/>
          <w:sz w:val="21"/>
        </w:rPr>
        <w:t>Testahil publishes independent valuation studies as an educational exercise in method. Each study builds a company from its own filings, states every input with its source and date, and publishes ranges rather than points. Every forecast is recorded so that it can be graded later against what actually happened, and the grading is published whether it flatters the method or not.</w:t>
      </w:r>
    </w:p>
    <w:p>
      <w:pPr>
        <w:spacing w:after="120" w:before="0"/>
      </w:pPr>
      <w:r>
        <w:rPr>
          <w:b w:val="0"/>
          <w:i w:val="0"/>
          <w:color w:val="1C3A36"/>
          <w:sz w:val="21"/>
        </w:rPr>
        <w:t>This study was built alongside a test of its own forecasting method on ADIB-Egypt's own history — eleven past year-ends, rebuilt from what was published at the time and scored against what the bank reported. Section 7 gives the result, including the part where the method does no better than a naive growth rule.</w:t>
      </w:r>
    </w:p>
    <w:p>
      <w:pPr>
        <w:spacing w:after="120" w:before="280"/>
      </w:pPr>
      <w:r>
        <w:rPr>
          <w:b/>
          <w:i w:val="0"/>
          <w:color w:val="1C3A36"/>
          <w:sz w:val="30"/>
        </w:rPr>
        <w:t>Disclosure and disclaimer</w:t>
      </w:r>
    </w:p>
    <w:p>
      <w:pPr>
        <w:spacing w:after="120" w:before="0"/>
      </w:pPr>
      <w:r>
        <w:rPr>
          <w:b w:val="0"/>
          <w:i w:val="0"/>
          <w:color w:val="6E7B77"/>
          <w:sz w:val="18"/>
        </w:rPr>
        <w:t>The preparer holds no position in ADIB-Egypt, has no relationship with the company, and received no compensation from any party in connection with this document. The preparer is not licensed by the Egyptian Financial Regulatory Authority or by any other securities regulator, holds no brokerage or advisory authorisation in any jurisdiction, manages no money, and accepts no clients.</w:t>
      </w:r>
    </w:p>
    <w:p>
      <w:pPr>
        <w:spacing w:after="120" w:before="0"/>
      </w:pPr>
      <w:r>
        <w:rPr>
          <w:b w:val="0"/>
          <w:i w:val="0"/>
          <w:color w:val="6E7B77"/>
          <w:sz w:val="18"/>
        </w:rPr>
        <w:t>This document is not investment advice, not a recommendation, not a solicitation, and not an offer. It contains no rating and no price target. It is a valuation exercise published for educational purposes and it is not directed at the circumstances, objectives or means of any reader. Any person acting on it does so entirely at their own risk. All figures are model outputs under stated assumptions; the assumptions are disclosed so a reader can disagree with them, and a reader who does will get a different number.</w:t>
      </w:r>
    </w:p>
    <w:p>
      <w:pPr>
        <w:spacing w:after="120" w:before="0"/>
      </w:pPr>
      <w:r>
        <w:rPr>
          <w:b w:val="0"/>
          <w:i w:val="0"/>
          <w:color w:val="6E7B77"/>
          <w:sz w:val="18"/>
        </w:rPr>
        <w:t>Historical financial data is ADIB-Egypt's own published disclosure. Market data is sourced as stated. Forward-looking figures are the preparer's judgements and are flagged throughout. No part of this document may be represented as the view of ADIB-Egypt, of Abu Dhabi Islamic Bank PJSC, or of any regulator.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