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September 2026 · share price EGP 127.30 at the close of 3 September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31 and EGP 55 a share. Because the contested judgement below is carried BOTH ways and the two are never averaged, the study publishes TWO weighted centres: EGP 31.37 a share on the permanent-provision reading and EGP 47.60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31.37 and EGP 47.60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31 and EGP 55.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31.37</w:t>
            </w:r>
          </w:p>
        </w:tc>
        <w:tc>
          <w:tcPr>
            <w:tcW w:type="dxa" w:w="1224"/>
          </w:tcPr>
          <w:p>
            <w:pPr>
              <w:spacing w:after="20"/>
              <w:jc w:val="right"/>
            </w:pPr>
            <w:r>
              <w:rPr>
                <w:color w:val="1C3A36"/>
                <w:sz w:val="18"/>
              </w:rPr>
              <w:t>-75%</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47.60</w:t>
            </w:r>
          </w:p>
        </w:tc>
        <w:tc>
          <w:tcPr>
            <w:tcW w:type="dxa" w:w="1224"/>
          </w:tcPr>
          <w:p>
            <w:pPr>
              <w:spacing w:after="20"/>
              <w:jc w:val="right"/>
            </w:pPr>
            <w:r>
              <w:rPr>
                <w:color w:val="1C3A36"/>
                <w:sz w:val="18"/>
              </w:rPr>
              <w:t>-63%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42.80</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1.16x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47.89</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55.34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31.37</w:t>
            </w:r>
          </w:p>
        </w:tc>
        <w:tc>
          <w:tcPr>
            <w:tcW w:type="dxa" w:w="1224"/>
            <w:shd w:val="clear" w:color="auto" w:fill="F6F1E6"/>
          </w:tcPr>
          <w:p>
            <w:pPr>
              <w:spacing w:after="20"/>
              <w:jc w:val="right"/>
            </w:pPr>
            <w:r>
              <w:rPr>
                <w:b/>
                <w:color w:val="1C3A36"/>
                <w:sz w:val="18"/>
              </w:rPr>
              <w:t>-75%</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47.60</w:t>
            </w:r>
          </w:p>
        </w:tc>
        <w:tc>
          <w:tcPr>
            <w:tcW w:type="dxa" w:w="1224"/>
            <w:shd w:val="clear" w:color="auto" w:fill="F6F1E6"/>
          </w:tcPr>
          <w:p>
            <w:pPr>
              <w:spacing w:after="20"/>
              <w:jc w:val="right"/>
            </w:pPr>
            <w:r>
              <w:rPr>
                <w:b/>
                <w:color w:val="1C3A36"/>
                <w:sz w:val="18"/>
              </w:rPr>
              <w:t>-63%</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39.73 / 47.85</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31.37 – 55.34</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22.97%</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22.97%</w:t>
            </w:r>
          </w:p>
        </w:tc>
        <w:tc>
          <w:tcPr>
            <w:tcW w:type="dxa" w:w="1325"/>
            <w:shd w:val="clear" w:color="auto" w:fill="F6F1E6"/>
          </w:tcPr>
          <w:p>
            <w:pPr>
              <w:spacing w:after="20"/>
              <w:jc w:val="right"/>
            </w:pPr>
            <w:r>
              <w:rPr>
                <w:b/>
                <w:color w:val="1C3A36"/>
                <w:sz w:val="17"/>
              </w:rPr>
              <w:t>20.89%</w:t>
            </w:r>
          </w:p>
        </w:tc>
        <w:tc>
          <w:tcPr>
            <w:tcW w:type="dxa" w:w="1325"/>
            <w:shd w:val="clear" w:color="auto" w:fill="F6F1E6"/>
          </w:tcPr>
          <w:p>
            <w:pPr>
              <w:spacing w:after="20"/>
              <w:jc w:val="right"/>
            </w:pPr>
            <w:r>
              <w:rPr>
                <w:b/>
                <w:color w:val="1C3A36"/>
                <w:sz w:val="17"/>
              </w:rPr>
              <w:t>18.62%</w:t>
            </w:r>
          </w:p>
        </w:tc>
        <w:tc>
          <w:tcPr>
            <w:tcW w:type="dxa" w:w="1325"/>
            <w:shd w:val="clear" w:color="auto" w:fill="F6F1E6"/>
          </w:tcPr>
          <w:p>
            <w:pPr>
              <w:spacing w:after="20"/>
              <w:jc w:val="right"/>
            </w:pPr>
            <w:r>
              <w:rPr>
                <w:b/>
                <w:color w:val="1C3A36"/>
                <w:sz w:val="17"/>
              </w:rPr>
              <w:t>16.73%</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0.8132</w:t>
            </w:r>
          </w:p>
        </w:tc>
        <w:tc>
          <w:tcPr>
            <w:tcW w:type="dxa" w:w="1325"/>
          </w:tcPr>
          <w:p>
            <w:pPr>
              <w:spacing w:after="20"/>
              <w:jc w:val="right"/>
            </w:pPr>
            <w:r>
              <w:rPr>
                <w:color w:val="1C3A36"/>
                <w:sz w:val="17"/>
              </w:rPr>
              <w:t>0.6727</w:t>
            </w:r>
          </w:p>
        </w:tc>
        <w:tc>
          <w:tcPr>
            <w:tcW w:type="dxa" w:w="1325"/>
          </w:tcPr>
          <w:p>
            <w:pPr>
              <w:spacing w:after="20"/>
              <w:jc w:val="right"/>
            </w:pPr>
            <w:r>
              <w:rPr>
                <w:color w:val="1C3A36"/>
                <w:sz w:val="17"/>
              </w:rPr>
              <w:t>0.5671</w:t>
            </w:r>
          </w:p>
        </w:tc>
        <w:tc>
          <w:tcPr>
            <w:tcW w:type="dxa" w:w="1325"/>
          </w:tcPr>
          <w:p>
            <w:pPr>
              <w:spacing w:after="20"/>
              <w:jc w:val="right"/>
            </w:pPr>
            <w:r>
              <w:rPr>
                <w:color w:val="1C3A36"/>
                <w:sz w:val="17"/>
              </w:rPr>
              <w:t>0.4858</w:t>
            </w:r>
          </w:p>
        </w:tc>
        <w:tc>
          <w:tcPr>
            <w:tcW w:type="dxa" w:w="1325"/>
          </w:tcPr>
          <w:p>
            <w:pPr>
              <w:spacing w:after="20"/>
              <w:jc w:val="right"/>
            </w:pPr>
            <w:r>
              <w:rPr>
                <w:color w:val="1C3A36"/>
                <w:sz w:val="17"/>
              </w:rPr>
              <w:t>0.4216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-267</w:t>
            </w:r>
          </w:p>
        </w:tc>
        <w:tc>
          <w:tcPr>
            <w:tcW w:type="dxa" w:w="1325"/>
          </w:tcPr>
          <w:p>
            <w:pPr>
              <w:spacing w:after="20"/>
              <w:jc w:val="right"/>
            </w:pPr>
            <w:r>
              <w:rPr>
                <w:color w:val="1C3A36"/>
                <w:sz w:val="17"/>
              </w:rPr>
              <w:t>378</w:t>
            </w:r>
          </w:p>
        </w:tc>
        <w:tc>
          <w:tcPr>
            <w:tcW w:type="dxa" w:w="1325"/>
          </w:tcPr>
          <w:p>
            <w:pPr>
              <w:spacing w:after="20"/>
              <w:jc w:val="right"/>
            </w:pPr>
            <w:r>
              <w:rPr>
                <w:color w:val="1C3A36"/>
                <w:sz w:val="17"/>
              </w:rPr>
              <w:t>594</w:t>
            </w:r>
          </w:p>
        </w:tc>
        <w:tc>
          <w:tcPr>
            <w:tcW w:type="dxa" w:w="1325"/>
          </w:tcPr>
          <w:p>
            <w:pPr>
              <w:spacing w:after="20"/>
              <w:jc w:val="right"/>
            </w:pPr>
            <w:r>
              <w:rPr>
                <w:color w:val="1C3A36"/>
                <w:sz w:val="17"/>
              </w:rPr>
              <w:t>627</w:t>
            </w:r>
          </w:p>
        </w:tc>
        <w:tc>
          <w:tcPr>
            <w:tcW w:type="dxa" w:w="1325"/>
          </w:tcPr>
          <w:p>
            <w:pPr>
              <w:spacing w:after="20"/>
              <w:jc w:val="right"/>
            </w:pPr>
            <w:r>
              <w:rPr>
                <w:color w:val="1C3A36"/>
                <w:sz w:val="17"/>
              </w:rPr>
              <w:t>655</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1,986</w:t>
            </w:r>
          </w:p>
        </w:tc>
        <w:tc>
          <w:tcPr>
            <w:tcW w:type="dxa" w:w="2232"/>
          </w:tcPr>
          <w:p>
            <w:pPr>
              <w:spacing w:after="20"/>
              <w:jc w:val="right"/>
            </w:pPr>
            <w:r>
              <w:rPr>
                <w:color w:val="1C3A36"/>
                <w:sz w:val="18"/>
              </w:rPr>
              <w:t>11.77</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7,686</w:t>
            </w:r>
          </w:p>
        </w:tc>
        <w:tc>
          <w:tcPr>
            <w:tcW w:type="dxa" w:w="2232"/>
          </w:tcPr>
          <w:p>
            <w:pPr>
              <w:spacing w:after="20"/>
              <w:jc w:val="right"/>
            </w:pPr>
            <w:r>
              <w:rPr>
                <w:color w:val="1C3A36"/>
                <w:sz w:val="18"/>
              </w:rPr>
              <w:t>45.54</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9,672</w:t>
            </w:r>
          </w:p>
        </w:tc>
        <w:tc>
          <w:tcPr>
            <w:tcW w:type="dxa" w:w="2232"/>
          </w:tcPr>
          <w:p>
            <w:pPr>
              <w:spacing w:after="20"/>
              <w:jc w:val="right"/>
            </w:pPr>
            <w:r>
              <w:rPr>
                <w:color w:val="1C3A36"/>
                <w:sz w:val="18"/>
              </w:rPr>
              <w:t>57.31</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12,663</w:t>
            </w:r>
          </w:p>
        </w:tc>
        <w:tc>
          <w:tcPr>
            <w:tcW w:type="dxa" w:w="2232"/>
          </w:tcPr>
          <w:p>
            <w:pPr>
              <w:spacing w:after="20"/>
              <w:jc w:val="right"/>
            </w:pPr>
            <w:r>
              <w:rPr>
                <w:color w:val="1C3A36"/>
                <w:sz w:val="18"/>
              </w:rPr>
              <w:t>75.04</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61%</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5,295</w:t>
            </w:r>
          </w:p>
        </w:tc>
        <w:tc>
          <w:tcPr>
            <w:tcW w:type="dxa" w:w="2232"/>
          </w:tcPr>
          <w:p>
            <w:pPr>
              <w:spacing w:after="20"/>
              <w:jc w:val="right"/>
            </w:pPr>
            <w:r>
              <w:rPr>
                <w:color w:val="1C3A36"/>
                <w:sz w:val="18"/>
              </w:rPr>
              <w:t>31.37</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8,033</w:t>
            </w:r>
          </w:p>
        </w:tc>
        <w:tc>
          <w:tcPr>
            <w:tcW w:type="dxa" w:w="2232"/>
            <w:shd w:val="clear" w:color="auto" w:fill="F6F1E6"/>
          </w:tcPr>
          <w:p>
            <w:pPr>
              <w:spacing w:after="20"/>
              <w:jc w:val="right"/>
            </w:pPr>
            <w:r>
              <w:rPr>
                <w:b/>
                <w:color w:val="1C3A36"/>
                <w:sz w:val="18"/>
              </w:rPr>
              <w:t>47.60</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61%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17.16% is worth more than its book: the multiple that relationship justifies is (return less growth) over (cost of equity less growth), or 1.16 times book — EGP 42.80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6.17x</w:t>
            </w:r>
          </w:p>
        </w:tc>
        <w:tc>
          <w:tcPr>
            <w:tcW w:type="dxa" w:w="1368"/>
          </w:tcPr>
          <w:p>
            <w:pPr>
              <w:spacing w:after="20"/>
              <w:jc w:val="right"/>
            </w:pPr>
            <w:r>
              <w:rPr>
                <w:color w:val="1C3A36"/>
                <w:sz w:val="17"/>
              </w:rPr>
              <w:t>33.67</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6.35x</w:t>
            </w:r>
          </w:p>
        </w:tc>
        <w:tc>
          <w:tcPr>
            <w:tcW w:type="dxa" w:w="1368"/>
            <w:shd w:val="clear" w:color="auto" w:fill="F6F1E6"/>
          </w:tcPr>
          <w:p>
            <w:pPr>
              <w:spacing w:after="20"/>
              <w:jc w:val="right"/>
            </w:pPr>
            <w:r>
              <w:rPr>
                <w:b/>
                <w:color w:val="1C3A36"/>
                <w:sz w:val="17"/>
              </w:rPr>
              <w:t>47.89</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17.16% less 7% growth, on the 63% payout that growth rate permits, that is EGP 55.34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31 to EGP 55.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31.37 a share on Frame A and EGP 47.60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9,322 million of revenue by FY2030 at a 45% contribution margin closes the gap from EGP 31.37 to EGP 127.30. That is 33% of FY2030 revenue, or about USD 133 million a year — 1.33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133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95.93 a share — EGP 16,188 million, 75% of the entire share price — for a plant this study values at nothing, against a stated build cost of USD 100 million, about EGP 7,011 million. The market is not merely paying for the plant to work; it is paying roughly 2.3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133 million a year of biosimilar revenue by 2030 is a figure the company will eventually disclose, and a reader can check this study against it. An asset turn of 1.33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22.97%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22.56%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47.9% on book at FY2030E, which would give 13.52%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22.97%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31.37</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23.14</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45.84</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32.02</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38</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22</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17</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20</w:t>
            </w:r>
          </w:p>
        </w:tc>
        <w:tc>
          <w:tcPr>
            <w:tcW w:type="dxa" w:w="1368"/>
          </w:tcPr>
          <w:p>
            <w:pPr>
              <w:spacing w:after="20"/>
              <w:jc w:val="right"/>
            </w:pPr>
            <w:r>
              <w:rPr>
                <w:color w:val="1C3A36"/>
                <w:sz w:val="17"/>
              </w:rPr>
              <w:t>21</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16 to EGP 46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2,330 million of FY2030 sales, or USD 33 million a year — is worth about EGP 23.98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365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365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31.37</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47.60</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42.80</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47.89</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55.34</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31.37; the highest is the normalised-earnings lens at EGP 55.34. The cash-flow readings charge the new plant's full cost and credit it with nothing, so they sit low despite capturing five years of the volume and price growth the existing business is already delivering. The relative lens prices the company on what a 18.8% return and a 17.2% perpetual cost of equity can justify, which supports about 6.17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133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31.37 and EGP 47.60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-7.2% on Frame A and -7.0% on Frame B, and the value per share by -10.1% and -8.5%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31.37 on Frame A (-61%) and EGP 47.60 on Frame B (-40%)</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133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14,621</w:t>
            </w:r>
          </w:p>
        </w:tc>
        <w:tc>
          <w:tcPr>
            <w:tcW w:type="dxa" w:w="1469"/>
            <w:shd w:val="clear" w:color="auto" w:fill="F6F1E6"/>
          </w:tcPr>
          <w:p>
            <w:pPr>
              <w:spacing w:after="20"/>
              <w:jc w:val="right"/>
            </w:pPr>
            <w:r>
              <w:rPr>
                <w:b/>
                <w:color w:val="1C3A36"/>
                <w:sz w:val="15"/>
              </w:rPr>
              <w:t>16,637</w:t>
            </w:r>
          </w:p>
        </w:tc>
        <w:tc>
          <w:tcPr>
            <w:tcW w:type="dxa" w:w="1469"/>
            <w:shd w:val="clear" w:color="auto" w:fill="F6F1E6"/>
          </w:tcPr>
          <w:p>
            <w:pPr>
              <w:spacing w:after="20"/>
              <w:jc w:val="right"/>
            </w:pPr>
            <w:r>
              <w:rPr>
                <w:b/>
                <w:color w:val="1C3A36"/>
                <w:sz w:val="15"/>
              </w:rPr>
              <w:t>18,608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25,318</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29,586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5,390</w:t>
            </w:r>
          </w:p>
        </w:tc>
        <w:tc>
          <w:tcPr>
            <w:tcW w:type="dxa" w:w="1469"/>
            <w:shd w:val="clear" w:color="auto" w:fill="F6F1E6"/>
          </w:tcPr>
          <w:p>
            <w:pPr>
              <w:spacing w:after="20"/>
              <w:jc w:val="right"/>
            </w:pPr>
            <w:r>
              <w:rPr>
                <w:b/>
                <w:color w:val="1C3A36"/>
                <w:sz w:val="15"/>
              </w:rPr>
              <w:t>6,115</w:t>
            </w:r>
          </w:p>
        </w:tc>
        <w:tc>
          <w:tcPr>
            <w:tcW w:type="dxa" w:w="1469"/>
            <w:shd w:val="clear" w:color="auto" w:fill="F6F1E6"/>
          </w:tcPr>
          <w:p>
            <w:pPr>
              <w:spacing w:after="20"/>
              <w:jc w:val="right"/>
            </w:pPr>
            <w:r>
              <w:rPr>
                <w:b/>
                <w:color w:val="1C3A36"/>
                <w:sz w:val="15"/>
              </w:rPr>
              <w:t>6,785</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9,866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11,481</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1,353</w:t>
            </w:r>
          </w:p>
        </w:tc>
        <w:tc>
          <w:tcPr>
            <w:tcW w:type="dxa" w:w="1469"/>
            <w:shd w:val="clear" w:color="auto" w:fill="F6F1E6"/>
          </w:tcPr>
          <w:p>
            <w:pPr>
              <w:spacing w:after="20"/>
              <w:jc w:val="right"/>
            </w:pPr>
            <w:r>
              <w:rPr>
                <w:b/>
                <w:color w:val="1C3A36"/>
                <w:sz w:val="15"/>
              </w:rPr>
              <w:t>1,678</w:t>
            </w:r>
          </w:p>
        </w:tc>
        <w:tc>
          <w:tcPr>
            <w:tcW w:type="dxa" w:w="1469"/>
            <w:shd w:val="clear" w:color="auto" w:fill="F6F1E6"/>
          </w:tcPr>
          <w:p>
            <w:pPr>
              <w:spacing w:after="20"/>
              <w:jc w:val="right"/>
            </w:pPr>
            <w:r>
              <w:rPr>
                <w:b/>
                <w:color w:val="1C3A36"/>
                <w:sz w:val="15"/>
              </w:rPr>
              <w:t>1,979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2,326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4,606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512</w:t>
            </w:r>
          </w:p>
        </w:tc>
        <w:tc>
          <w:tcPr>
            <w:tcW w:type="dxa" w:w="1469"/>
            <w:shd w:val="clear" w:color="auto" w:fill="F6F1E6"/>
          </w:tcPr>
          <w:p>
            <w:pPr>
              <w:spacing w:after="20"/>
              <w:jc w:val="right"/>
            </w:pPr>
            <w:r>
              <w:rPr>
                <w:b/>
                <w:color w:val="1C3A36"/>
                <w:sz w:val="15"/>
              </w:rPr>
              <w:t>532</w:t>
            </w:r>
          </w:p>
        </w:tc>
        <w:tc>
          <w:tcPr>
            <w:tcW w:type="dxa" w:w="1469"/>
            <w:shd w:val="clear" w:color="auto" w:fill="F6F1E6"/>
          </w:tcPr>
          <w:p>
            <w:pPr>
              <w:spacing w:after="20"/>
              <w:jc w:val="right"/>
            </w:pPr>
            <w:r>
              <w:rPr>
                <w:b/>
                <w:color w:val="1C3A36"/>
                <w:sz w:val="15"/>
              </w:rPr>
              <w:t>558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1,103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2,722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23.14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1,986</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1,401</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18,229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7,686</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9,672</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5,295</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31.37</w:t>
            </w:r>
          </w:p>
        </w:tc>
      </w:tr>
    </w:tbl>
    <w:p>
      <w:pPr>
        <w:spacing w:after="40"/>
      </w:pPr>
    </w:p>
    <w:p>
      <w:pPr>
        <w:spacing w:after="120" w:before="0"/>
      </w:pPr>
      <w:r>
        <w:rPr>
          <w:b w:val="0"/>
          <w:i w:val="0"/>
          <w:color w:val="1C3A36"/>
          <w:sz w:val="21"/>
        </w:rPr>
        <w:t>Named sensitivity: the terminal discount rate. Every 100 basis points on it is worth roughly EGP 5 a share. At 79%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1.16x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42.80</w:t>
            </w:r>
          </w:p>
        </w:tc>
      </w:tr>
    </w:tbl>
    <w:p>
      <w:pPr>
        <w:spacing w:after="40"/>
      </w:pPr>
    </w:p>
    <w:p>
      <w:pPr>
        <w:spacing w:after="120" w:before="0"/>
      </w:pPr>
      <w:r>
        <w:rPr>
          <w:b w:val="0"/>
          <w:i w:val="0"/>
          <w:color w:val="1C3A36"/>
          <w:sz w:val="21"/>
        </w:rPr>
        <w:t>Named sensitivity: the sustainable return. If it settles at 20% rather than 18.8%, the justified multiple falls to 1.28 times and the value to EGP 47.33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31.37</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95.93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16,188m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9,322m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33%</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133m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1.33x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11,985 million, or USD 171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16 to EGP 46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31.37 to EGP 42.80 a share, and the study's own two centres, EGP 31.37 and EGP 47.60,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31.37. Expert 2 says: nothing until it produces a return, so EGP 42.80. Expert 3 says: the market says EGP 95.93 a share, which requires USD 133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-11.42</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-79.70</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