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35</w:t>
            </w:r>
          </w:p>
        </w:tc>
      </w:tr>
      <w:tr>
        <w:tc>
          <w:tcPr>
            <w:tcW w:type="dxa" w:w="6236"/>
          </w:tcPr>
          <w:p>
            <w:r/>
            <w:r>
              <w:rPr>
                <w:color w:val="1A1D21"/>
                <w:sz w:val="18"/>
              </w:rPr>
              <w:t>Bind on a class of company (CLASS)</w:t>
            </w:r>
          </w:p>
        </w:tc>
        <w:tc>
          <w:tcPr>
            <w:tcW w:type="dxa" w:w="2721"/>
          </w:tcPr>
          <w:p>
            <w:r/>
            <w:r>
              <w:rPr>
                <w:color w:val="1A1D21"/>
                <w:sz w:val="18"/>
              </w:rPr>
              <w:t>15</w:t>
            </w:r>
          </w:p>
        </w:tc>
      </w:tr>
      <w:tr>
        <w:tc>
          <w:tcPr>
            <w:tcW w:type="dxa" w:w="6236"/>
          </w:tcPr>
          <w:p>
            <w:r/>
            <w:r>
              <w:rPr>
                <w:color w:val="1A1D21"/>
                <w:sz w:val="18"/>
              </w:rPr>
              <w:t>Bind on a single company (STOCK)</w:t>
            </w:r>
          </w:p>
        </w:tc>
        <w:tc>
          <w:tcPr>
            <w:tcW w:type="dxa" w:w="2721"/>
          </w:tcPr>
          <w:p>
            <w:r/>
            <w:r>
              <w:rPr>
                <w:color w:val="1A1D21"/>
                <w:sz w:val="18"/>
              </w:rPr>
              <w:t>6</w:t>
            </w:r>
          </w:p>
        </w:tc>
      </w:tr>
      <w:tr>
        <w:tc>
          <w:tcPr>
            <w:tcW w:type="dxa" w:w="6236"/>
          </w:tcPr>
          <w:p>
            <w:r/>
            <w:r>
              <w:rPr>
                <w:color w:val="1A1D21"/>
                <w:sz w:val="18"/>
              </w:rPr>
              <w:t>Total</w:t>
            </w:r>
          </w:p>
        </w:tc>
        <w:tc>
          <w:tcPr>
            <w:tcW w:type="dxa" w:w="2721"/>
          </w:tcPr>
          <w:p>
            <w:r/>
            <w:r>
              <w:rPr>
                <w:color w:val="1A1D21"/>
                <w:sz w:val="18"/>
              </w:rPr>
              <w:t>56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18</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19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(ARCC, PHDC)</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ARCC and PHDC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(20):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L-115 — In a devaluing currency a cement cost-per-tonne escalator built on the last known exchange-rate move runs far too low; L-034 — A debt path that amortises to zero and never re-borrows will forecast no interest for ever; L-206 — For ARCC, last year's own volume beats a national-market- times-share build; L-035 — When revenue and cost carry different currency weights, fixing the macro can make the profit forecast worse.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 debt path that amortises to zero and never re-borrows will forecast no interest for ever.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If the rule for future debt is 'keep repaying at the recent average', it eventually reaches zero and stays there — so the model shows a company with no borrowings and no interest cost, however much it later borrows. The fix is a debt schedule read from the disclosed facilities and their maturities, not a multiplier on the interest line.</w:t>
      </w:r>
    </w:p>
    <w:p>
      <w:pPr>
        <w:spacing w:after="60"/>
        <w:ind w:left="283"/>
      </w:pPr>
      <w:r>
        <w:rPr>
          <w:b w:val="0"/>
          <w:i w:val="0"/>
          <w:color w:val="5B6570"/>
          <w:sz w:val="19"/>
        </w:rPr>
        <w:t>How we know.  Bias -0.545 log (about 1.7 times too low), average miss 0.813, wrong in the same direction in 64% of cases, and the sign holds across every bootstrap block tested (n=14).</w:t>
      </w:r>
    </w:p>
    <w:p>
      <w:pPr>
        <w:spacing w:after="160"/>
        <w:ind w:left="283"/>
      </w:pPr>
      <w:r>
        <w:rPr>
          <w:b w:val="0"/>
          <w:i w:val="0"/>
          <w:color w:val="5B6570"/>
          <w:sz w:val="19"/>
        </w:rPr>
        <w:t>What would overturn it.  A build whose debt path is read from disclosed facilities and maturities, where the finance-cost bias is still this large.</w:t>
      </w:r>
    </w:p>
    <w:p>
      <w:pPr>
        <w:keepNext/>
        <w:spacing w:before="240" w:after="60"/>
      </w:pPr>
      <w:r>
        <w:rPr>
          <w:b/>
          <w:color w:val="1A1D21"/>
          <w:sz w:val="22"/>
        </w:rPr>
        <w:t>L-035  When revenue and cost carry different currency weights, fixing the macro can make the profit forecast worse.</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If a model under-forecasts both revenue and cost, the two misses partly cancel and the profit looks better than the model deserves. Correct the currency path on both sides and the cancellation breaks, because the cost side usually carries far more of the exchange rate than the revenue side does. So a profit forecast that looks accurate may be accurate by offsetting errors — check the two sides separately before believing it.</w:t>
      </w:r>
    </w:p>
    <w:p>
      <w:pPr>
        <w:spacing w:after="60"/>
        <w:ind w:left="283"/>
      </w:pPr>
      <w:r>
        <w:rPr>
          <w:b w:val="0"/>
          <w:i w:val="0"/>
          <w:color w:val="5B6570"/>
          <w:sz w:val="19"/>
        </w:rPr>
        <w:t>How we know.  Average miss 1.106 as known, 1.504 with perfect foresight of inflation — the macro share is only -36.0%.</w:t>
      </w:r>
    </w:p>
    <w:p>
      <w:pPr>
        <w:spacing w:after="160"/>
        <w:ind w:left="283"/>
      </w:pPr>
      <w:r>
        <w:rPr>
          <w:b w:val="0"/>
          <w:i w:val="0"/>
          <w:color w:val="5B6570"/>
          <w:sz w:val="19"/>
        </w:rPr>
        <w:t>What would overturn it.  A build where revenue and cost carry the same currency weight and the profit error still gets worse under perfect macro foresight.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L-115  In a devaluing currency a cement cost-per-tonne escalator built on the last known exchange-rate move runs far too low.</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Most of a cement producer's cash cost is imported fuel, priced in dollars. Escalating it by the exchange-rate move you last saw is the only honest thing to do at the time, and it will still be badly wrong when the currency goes on to fall by a factor of three. That is a limit of what can be forecast, not a defect to be corrected — 71% of this error disappears if you hand the model the exchange rate it could not have known.</w:t>
      </w:r>
    </w:p>
    <w:p>
      <w:pPr>
        <w:spacing w:after="60"/>
        <w:ind w:left="283"/>
      </w:pPr>
      <w:r>
        <w:rPr>
          <w:b w:val="0"/>
          <w:i w:val="0"/>
          <w:color w:val="5B6570"/>
          <w:sz w:val="19"/>
        </w:rPr>
        <w:t>How we know.  Bias -0.315 log (about 37% too low), average miss 0.406, wrong in the same direction in 72% of cases, and the sign holds across every bootstrap block tested (n=25).</w:t>
      </w:r>
    </w:p>
    <w:p>
      <w:pPr>
        <w:spacing w:after="160"/>
        <w:ind w:left="283"/>
      </w:pPr>
      <w:r>
        <w:rPr>
          <w:b w:val="0"/>
          <w:i w:val="0"/>
          <w:color w:val="5B6570"/>
          <w:sz w:val="19"/>
        </w:rPr>
        <w:t>What would overturn it.  A cement producer whose fuel is genuinely priced in local currency, where the same escalator still runs this far low.</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ARCC</w:t>
      </w:r>
    </w:p>
    <w:p>
      <w:pPr>
        <w:keepNext/>
        <w:spacing w:before="240" w:after="60"/>
      </w:pPr>
      <w:r>
        <w:rPr>
          <w:b/>
          <w:color w:val="1A1D21"/>
          <w:sz w:val="22"/>
        </w:rPr>
        <w:t>L-206  For ARCC, last year's own volume beats a national-market- times-share build.</w:t>
      </w:r>
    </w:p>
    <w:p>
      <w:pPr>
        <w:keepNext/>
        <w:spacing w:after="100"/>
      </w:pPr>
      <w:r>
        <w:rPr>
          <w:b/>
          <w:color w:val="B03A2E"/>
          <w:sz w:val="16"/>
        </w:rPr>
        <w:t>ONE COMPANY ONLY</w:t>
      </w:r>
      <w:r>
        <w:rPr>
          <w:color w:val="5B6570"/>
          <w:sz w:val="16"/>
        </w:rPr>
        <w:t xml:space="preserve">   applies to ARCC only   ·   learned from a fundamental walk-forward test, ARCC walk-forward, date not recorded</w:t>
      </w:r>
      <w:r>
        <w:rPr>
          <w:b/>
          <w:color w:val="B03A2E"/>
          <w:sz w:val="16"/>
        </w:rPr>
        <w:t xml:space="preserve">   ·   STATUS: PROVISIONAL</w:t>
      </w:r>
    </w:p>
    <w:p>
      <w:pPr>
        <w:spacing w:after="100"/>
      </w:pPr>
      <w:r>
        <w:rPr>
          <w:b w:val="0"/>
          <w:i w:val="0"/>
          <w:color w:val="1A1D21"/>
          <w:sz w:val="21"/>
        </w:rPr>
        <w:t>Anchoring volume on Egypt's cement market and ACC's share of it is supposed to be more disciplined than extrapolating the company. On this name it is worse, because ACC's own share moved much further than the market did — from 8.1% to 5.4% as it pivoted from domestic cement to clinker exports. The anchor was steady and the company was not.</w:t>
      </w:r>
    </w:p>
    <w:p>
      <w:pPr>
        <w:spacing w:after="60"/>
        <w:ind w:left="283"/>
      </w:pPr>
      <w:r>
        <w:rPr>
          <w:b w:val="0"/>
          <w:i w:val="0"/>
          <w:color w:val="5B6570"/>
          <w:sz w:val="19"/>
        </w:rPr>
        <w:t>How we know.  Negative skill against the freeze benchmark at horizons 3, 4, 5, worst -1.673.</w:t>
      </w:r>
    </w:p>
    <w:p>
      <w:pPr>
        <w:spacing w:after="160"/>
        <w:ind w:left="283"/>
      </w:pPr>
      <w:r>
        <w:rPr>
          <w:b w:val="0"/>
          <w:i w:val="0"/>
          <w:color w:val="5B6570"/>
          <w:sz w:val="19"/>
        </w:rPr>
        <w:t>What would overturn it.  A later ARCC run in which the market-share anchor beats the freeze benchmark, or a second cement name showing the same thing — which would make it a class finding rather than this company's.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