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59</w:t>
            </w:r>
          </w:p>
        </w:tc>
        <w:tc>
          <w:tcPr>
            <w:tcW w:type="dxa" w:w="1066"/>
          </w:tcPr>
          <w:p>
            <w:pPr>
              <w:spacing w:after="20"/>
            </w:pPr>
            <w:r>
              <w:rPr>
                <w:color w:val="1C3A36"/>
                <w:sz w:val="14"/>
              </w:rPr>
              <w:t>Market</w:t>
            </w:r>
          </w:p>
        </w:tc>
        <w:tc>
          <w:tcPr>
            <w:tcW w:type="dxa" w:w="7171"/>
          </w:tcPr>
          <w:p>
            <w:pPr>
              <w:spacing w:after="20"/>
            </w:pPr>
            <w:r>
              <w:rPr>
                <w:color w:val="1C3A36"/>
                <w:sz w:val="14"/>
              </w:rPr>
              <w:t>Closing price 06-Aug-2026 from the supplied EGX daily series (open 58.40, high 59.90, low 58.25)</w:t>
            </w:r>
          </w:p>
        </w:tc>
        <w:tc>
          <w:tcPr>
            <w:tcW w:type="dxa" w:w="1210"/>
          </w:tcPr>
          <w:p>
            <w:pPr>
              <w:spacing w:after="20"/>
            </w:pPr>
            <w:r>
              <w:rPr>
                <w:color w:val="1C3A36"/>
                <w:sz w:val="14"/>
              </w:rPr>
              <w:t>2026-08-06</w:t>
            </w:r>
          </w:p>
        </w:tc>
      </w:tr>
      <w:tr>
        <w:tc>
          <w:tcPr>
            <w:tcW w:type="dxa" w:w="432"/>
          </w:tcPr>
          <w:p>
            <w:pPr>
              <w:spacing w:after="20"/>
            </w:pPr>
            <w:r>
              <w:rPr>
                <w:color w:val="1C3A36"/>
                <w:sz w:val="14"/>
              </w:rPr>
              <w:t>2</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assets under construction, note 13: alternative-fuel system for production line 2 EGP 240.235mn, new steel cement silo for line 1 EGP 146.239mn</w:t>
            </w:r>
          </w:p>
        </w:tc>
        <w:tc>
          <w:tcPr>
            <w:tcW w:type="dxa" w:w="1210"/>
          </w:tcPr>
          <w:p>
            <w:pPr>
              <w:spacing w:after="20"/>
            </w:pPr>
            <w:r>
              <w:rPr>
                <w:color w:val="1C3A36"/>
                <w:sz w:val="14"/>
              </w:rPr>
              <w:t>2025-12-31</w:t>
            </w:r>
          </w:p>
        </w:tc>
      </w:tr>
      <w:tr>
        <w:tc>
          <w:tcPr>
            <w:tcW w:type="dxa" w:w="432"/>
          </w:tcPr>
          <w:p>
            <w:pPr>
              <w:spacing w:after="20"/>
            </w:pPr>
            <w:r>
              <w:rPr>
                <w:color w:val="1C3A36"/>
                <w:sz w:val="14"/>
              </w:rPr>
              <w:t>3</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32"/>
          </w:tcPr>
          <w:p>
            <w:pPr>
              <w:spacing w:after="20"/>
            </w:pPr>
            <w:r>
              <w:rPr>
                <w:color w:val="1C3A36"/>
                <w:sz w:val="14"/>
              </w:rPr>
              <w:t>4</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32"/>
          </w:tcPr>
          <w:p>
            <w:pPr>
              <w:spacing w:after="20"/>
            </w:pPr>
            <w:r>
              <w:rPr>
                <w:color w:val="1C3A36"/>
                <w:sz w:val="14"/>
              </w:rPr>
              <w:t>5</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32"/>
          </w:tcPr>
          <w:p>
            <w:pPr>
              <w:spacing w:after="20"/>
            </w:pPr>
            <w:r>
              <w:rPr>
                <w:color w:val="1C3A36"/>
                <w:sz w:val="14"/>
              </w:rPr>
              <w:t>6</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32"/>
          </w:tcPr>
          <w:p>
            <w:pPr>
              <w:spacing w:after="20"/>
            </w:pPr>
            <w:r>
              <w:rPr>
                <w:color w:val="1C3A36"/>
                <w:sz w:val="14"/>
              </w:rPr>
              <w:t>7</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32"/>
          </w:tcPr>
          <w:p>
            <w:pPr>
              <w:spacing w:after="20"/>
            </w:pPr>
            <w:r>
              <w:rPr>
                <w:color w:val="1C3A36"/>
                <w:sz w:val="14"/>
              </w:rPr>
              <w:t>8</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32"/>
          </w:tcPr>
          <w:p>
            <w:pPr>
              <w:spacing w:after="20"/>
            </w:pPr>
            <w:r>
              <w:rPr>
                <w:color w:val="1C3A36"/>
                <w:sz w:val="14"/>
              </w:rPr>
              <w:t>9</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10</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32"/>
          </w:tcPr>
          <w:p>
            <w:pPr>
              <w:spacing w:after="20"/>
            </w:pPr>
            <w:r>
              <w:rPr>
                <w:color w:val="1C3A36"/>
                <w:sz w:val="14"/>
              </w:rPr>
              <w:t>12</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Company</w:t>
            </w:r>
          </w:p>
        </w:tc>
        <w:tc>
          <w:tcPr>
            <w:tcW w:type="dxa" w:w="7171"/>
          </w:tcPr>
          <w:p>
            <w:pPr>
              <w:spacing w:after="20"/>
            </w:pPr>
            <w:r>
              <w:rPr>
                <w:color w:val="1C3A36"/>
                <w:sz w:val="14"/>
              </w:rPr>
              <w:t>Share of cement SOLD that is exported. FY2025 is DISCLOSED: FY2025 Investor Presentation, Arabian Cement Company S.A.E., investor relations library, page 5 (sales volumes and production indicators) gives cement exports of 629.5 kt against local sales of 2,923.6 kt, i.e. 17.72% of the 3,553.1 kt of cement sold. Well inside the 30% statutory cap; revision 3's single-product build put exports at 31.5% of volume and BREACHED the cap its own text called binding</w:t>
            </w:r>
          </w:p>
        </w:tc>
        <w:tc>
          <w:tcPr>
            <w:tcW w:type="dxa" w:w="1210"/>
          </w:tcPr>
          <w:p>
            <w:pPr>
              <w:spacing w:after="20"/>
            </w:pPr>
            <w:r>
              <w:rPr>
                <w:color w:val="1C3A36"/>
                <w:sz w:val="14"/>
              </w:rPr>
              <w:t>2026-03-01</w:t>
            </w:r>
          </w:p>
        </w:tc>
      </w:tr>
      <w:tr>
        <w:tc>
          <w:tcPr>
            <w:tcW w:type="dxa" w:w="432"/>
          </w:tcPr>
          <w:p>
            <w:pPr>
              <w:spacing w:after="20"/>
            </w:pPr>
            <w:r>
              <w:rPr>
                <w:color w:val="1C3A36"/>
                <w:sz w:val="14"/>
              </w:rPr>
              <w:t>13</w:t>
            </w:r>
          </w:p>
        </w:tc>
        <w:tc>
          <w:tcPr>
            <w:tcW w:type="dxa" w:w="2448"/>
          </w:tcPr>
          <w:p>
            <w:pPr>
              <w:spacing w:after="20"/>
            </w:pPr>
            <w:r>
              <w:rPr>
                <w:color w:val="1C3A36"/>
                <w:sz w:val="14"/>
              </w:rPr>
              <w:t>cem_stock_draw</w:t>
            </w:r>
          </w:p>
        </w:tc>
        <w:tc>
          <w:tcPr>
            <w:tcW w:type="dxa" w:w="1325"/>
          </w:tcPr>
          <w:p>
            <w:pPr>
              <w:spacing w:after="20"/>
            </w:pPr>
            <w:r>
              <w:rPr>
                <w:color w:val="1C3A36"/>
                <w:sz w:val="14"/>
              </w:rPr>
              <w:t>0.0725, 0, 0, 0, 0, 0</w:t>
            </w:r>
          </w:p>
        </w:tc>
        <w:tc>
          <w:tcPr>
            <w:tcW w:type="dxa" w:w="1066"/>
          </w:tcPr>
          <w:p>
            <w:pPr>
              <w:spacing w:after="20"/>
            </w:pPr>
            <w:r>
              <w:rPr>
                <w:color w:val="1C3A36"/>
                <w:sz w:val="14"/>
              </w:rPr>
              <w:t>Company</w:t>
            </w:r>
          </w:p>
        </w:tc>
        <w:tc>
          <w:tcPr>
            <w:tcW w:type="dxa" w:w="7171"/>
          </w:tcPr>
          <w:p>
            <w:pPr>
              <w:spacing w:after="20"/>
            </w:pPr>
            <w:r>
              <w:rPr>
                <w:color w:val="1C3A36"/>
                <w:sz w:val="14"/>
              </w:rPr>
              <w:t>Cement sold LESS cement produced, in Mt. FY2025 Investor Presentation, Arabian Cement Company S.A.E., investor relations library, page 5 (sales volumes and production indicators) discloses cement production of 3,480.6 kt against sales of 3,553.1 kt (2,923.6 local plus 629.5 exported), so FY2025 drew 72.5 kt out of finished-goods inventory. Revision 4 equated sales to production and understated despatches by 1.5%. Held at zero across the forecast: a stock draw is a one-off by construction and the inventory note shows only EGP 320.8mn of finished goods at the year end</w:t>
            </w:r>
          </w:p>
        </w:tc>
        <w:tc>
          <w:tcPr>
            <w:tcW w:type="dxa" w:w="1210"/>
          </w:tcPr>
          <w:p>
            <w:pPr>
              <w:spacing w:after="20"/>
            </w:pPr>
            <w:r>
              <w:rPr>
                <w:color w:val="1C3A36"/>
                <w:sz w:val="14"/>
              </w:rPr>
              <w:t>2026-03-01</w:t>
            </w:r>
          </w:p>
        </w:tc>
      </w:tr>
      <w:tr>
        <w:tc>
          <w:tcPr>
            <w:tcW w:type="dxa" w:w="432"/>
          </w:tcPr>
          <w:p>
            <w:pPr>
              <w:spacing w:after="20"/>
            </w:pPr>
            <w:r>
              <w:rPr>
                <w:color w:val="1C3A36"/>
                <w:sz w:val="14"/>
              </w:rPr>
              <w:t>14</w:t>
            </w:r>
          </w:p>
        </w:tc>
        <w:tc>
          <w:tcPr>
            <w:tcW w:type="dxa" w:w="2448"/>
          </w:tcPr>
          <w:p>
            <w:pPr>
              <w:spacing w:after="20"/>
            </w:pPr>
            <w:r>
              <w:rPr>
                <w:color w:val="1C3A36"/>
                <w:sz w:val="14"/>
              </w:rPr>
              <w:t>clinker_factor</w:t>
            </w:r>
          </w:p>
        </w:tc>
        <w:tc>
          <w:tcPr>
            <w:tcW w:type="dxa" w:w="1325"/>
          </w:tcPr>
          <w:p>
            <w:pPr>
              <w:spacing w:after="20"/>
            </w:pPr>
            <w:r>
              <w:rPr>
                <w:color w:val="1C3A36"/>
                <w:sz w:val="14"/>
              </w:rPr>
              <w:t>0.7329</w:t>
            </w:r>
          </w:p>
        </w:tc>
        <w:tc>
          <w:tcPr>
            <w:tcW w:type="dxa" w:w="1066"/>
          </w:tcPr>
          <w:p>
            <w:pPr>
              <w:spacing w:after="20"/>
            </w:pPr>
            <w:r>
              <w:rPr>
                <w:color w:val="1C3A36"/>
                <w:sz w:val="14"/>
              </w:rPr>
              <w:t>Company</w:t>
            </w:r>
          </w:p>
        </w:tc>
        <w:tc>
          <w:tcPr>
            <w:tcW w:type="dxa" w:w="7171"/>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 FY2025 Investor Presentation, Arabian Cement Company S.A.E., investor relations library, page 5 (sales volumes and production indicators) gives clinker production 3,851.6 kt less clinker exports 1,300.5 kt = 2,551.1 kt ground into 3,480.6 kt of cement</w:t>
            </w:r>
          </w:p>
        </w:tc>
        <w:tc>
          <w:tcPr>
            <w:tcW w:type="dxa" w:w="1210"/>
          </w:tcPr>
          <w:p>
            <w:pPr>
              <w:spacing w:after="20"/>
            </w:pPr>
            <w:r>
              <w:rPr>
                <w:color w:val="1C3A36"/>
                <w:sz w:val="14"/>
              </w:rPr>
              <w:t>2026-03-01</w:t>
            </w:r>
          </w:p>
        </w:tc>
      </w:tr>
      <w:tr>
        <w:tc>
          <w:tcPr>
            <w:tcW w:type="dxa" w:w="432"/>
          </w:tcPr>
          <w:p>
            <w:pPr>
              <w:spacing w:after="20"/>
            </w:pPr>
            <w:r>
              <w:rPr>
                <w:color w:val="1C3A36"/>
                <w:sz w:val="14"/>
              </w:rPr>
              <w:t>15</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Company</w:t>
            </w:r>
          </w:p>
        </w:tc>
        <w:tc>
          <w:tcPr>
            <w:tcW w:type="dxa" w:w="7171"/>
          </w:tcPr>
          <w:p>
            <w:pPr>
              <w:spacing w:after="20"/>
            </w:pPr>
            <w:r>
              <w:rPr>
                <w:color w:val="1C3A36"/>
                <w:sz w:val="14"/>
              </w:rPr>
              <w:t>Share of clinker production sold AS CLINKER rather than ground into cement. FY2025 is DISCLOSED: FY2025 Investor Presentation, Arabian Cement Company S.A.E., investor relations library, page 5 (sales volumes and production indicators) gives clinker exports of 1,300.5 kt on production of 3,851.6 kt = 33.77%. This is the central operating lever and revision 3 could not see it at all: clinker exports and domestic cement compete for the same kiln, and a tonne of clinker realises a fraction of the tonne of cement it could have become. Note the direction of travel — clinker exports FELL 37% in FY2025 (2,074.4 kt to 1,300.5) while cement exports rose 74%, so the mix was already shifting toward the higher-value product before this forecast starts</w:t>
            </w:r>
          </w:p>
        </w:tc>
        <w:tc>
          <w:tcPr>
            <w:tcW w:type="dxa" w:w="1210"/>
          </w:tcPr>
          <w:p>
            <w:pPr>
              <w:spacing w:after="20"/>
            </w:pPr>
            <w:r>
              <w:rPr>
                <w:color w:val="1C3A36"/>
                <w:sz w:val="14"/>
              </w:rPr>
              <w:t>2026-03-01</w:t>
            </w:r>
          </w:p>
        </w:tc>
      </w:tr>
      <w:tr>
        <w:tc>
          <w:tcPr>
            <w:tcW w:type="dxa" w:w="432"/>
          </w:tcPr>
          <w:p>
            <w:pPr>
              <w:spacing w:after="20"/>
            </w:pPr>
            <w:r>
              <w:rPr>
                <w:color w:val="1C3A36"/>
                <w:sz w:val="14"/>
              </w:rPr>
              <w:t>16</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17</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18</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32"/>
          </w:tcPr>
          <w:p>
            <w:pPr>
              <w:spacing w:after="20"/>
            </w:pPr>
            <w:r>
              <w:rPr>
                <w:color w:val="1C3A36"/>
                <w:sz w:val="14"/>
              </w:rPr>
              <w:t>19</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32"/>
          </w:tcPr>
          <w:p>
            <w:pPr>
              <w:spacing w:after="20"/>
            </w:pPr>
            <w:r>
              <w:rPr>
                <w:color w:val="1C3A36"/>
                <w:sz w:val="14"/>
              </w:rPr>
              <w:t>20</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32"/>
          </w:tcPr>
          <w:p>
            <w:pPr>
              <w:spacing w:after="20"/>
            </w:pPr>
            <w:r>
              <w:rPr>
                <w:color w:val="1C3A36"/>
                <w:sz w:val="14"/>
              </w:rPr>
              <w:t>21</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32"/>
          </w:tcPr>
          <w:p>
            <w:pPr>
              <w:spacing w:after="20"/>
            </w:pPr>
            <w:r>
              <w:rPr>
                <w:color w:val="1C3A36"/>
                <w:sz w:val="14"/>
              </w:rPr>
              <w:t>22</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32"/>
          </w:tcPr>
          <w:p>
            <w:pPr>
              <w:spacing w:after="20"/>
            </w:pPr>
            <w:r>
              <w:rPr>
                <w:color w:val="1C3A36"/>
                <w:sz w:val="14"/>
              </w:rPr>
              <w:t>23</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32"/>
          </w:tcPr>
          <w:p>
            <w:pPr>
              <w:spacing w:after="20"/>
            </w:pPr>
            <w:r>
              <w:rPr>
                <w:color w:val="1C3A36"/>
                <w:sz w:val="14"/>
              </w:rPr>
              <w:t>24</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32"/>
          </w:tcPr>
          <w:p>
            <w:pPr>
              <w:spacing w:after="20"/>
            </w:pPr>
            <w:r>
              <w:rPr>
                <w:color w:val="1C3A36"/>
                <w:sz w:val="14"/>
              </w:rPr>
              <w:t>25</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32"/>
          </w:tcPr>
          <w:p>
            <w:pPr>
              <w:spacing w:after="20"/>
            </w:pPr>
            <w:r>
              <w:rPr>
                <w:color w:val="1C3A36"/>
                <w:sz w:val="14"/>
              </w:rPr>
              <w:t>26</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32"/>
          </w:tcPr>
          <w:p>
            <w:pPr>
              <w:spacing w:after="20"/>
            </w:pPr>
            <w:r>
              <w:rPr>
                <w:color w:val="1C3A36"/>
                <w:sz w:val="14"/>
              </w:rPr>
              <w:t>27</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32"/>
          </w:tcPr>
          <w:p>
            <w:pPr>
              <w:spacing w:after="20"/>
            </w:pPr>
            <w:r>
              <w:rPr>
                <w:color w:val="1C3A36"/>
                <w:sz w:val="14"/>
              </w:rPr>
              <w:t>28</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32"/>
          </w:tcPr>
          <w:p>
            <w:pPr>
              <w:spacing w:after="20"/>
            </w:pPr>
            <w:r>
              <w:rPr>
                <w:color w:val="1C3A36"/>
                <w:sz w:val="14"/>
              </w:rPr>
              <w:t>29</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32"/>
          </w:tcPr>
          <w:p>
            <w:pPr>
              <w:spacing w:after="20"/>
            </w:pPr>
            <w:r>
              <w:rPr>
                <w:color w:val="1C3A36"/>
                <w:sz w:val="14"/>
              </w:rPr>
              <w:t>30</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32"/>
          </w:tcPr>
          <w:p>
            <w:pPr>
              <w:spacing w:after="20"/>
            </w:pPr>
            <w:r>
              <w:rPr>
                <w:color w:val="1C3A36"/>
                <w:sz w:val="14"/>
              </w:rPr>
              <w:t>31</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32"/>
          </w:tcPr>
          <w:p>
            <w:pPr>
              <w:spacing w:after="20"/>
            </w:pPr>
            <w:r>
              <w:rPr>
                <w:color w:val="1C3A36"/>
                <w:sz w:val="14"/>
              </w:rPr>
              <w:t>32</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32"/>
          </w:tcPr>
          <w:p>
            <w:pPr>
              <w:spacing w:after="20"/>
            </w:pPr>
            <w:r>
              <w:rPr>
                <w:color w:val="1C3A36"/>
                <w:sz w:val="14"/>
              </w:rPr>
              <w:t>33</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32"/>
          </w:tcPr>
          <w:p>
            <w:pPr>
              <w:spacing w:after="20"/>
            </w:pPr>
            <w:r>
              <w:rPr>
                <w:color w:val="1C3A36"/>
                <w:sz w:val="14"/>
              </w:rPr>
              <w:t>34</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32"/>
          </w:tcPr>
          <w:p>
            <w:pPr>
              <w:spacing w:after="20"/>
            </w:pPr>
            <w:r>
              <w:rPr>
                <w:color w:val="1C3A36"/>
                <w:sz w:val="14"/>
              </w:rPr>
              <w:t>35</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32"/>
          </w:tcPr>
          <w:p>
            <w:pPr>
              <w:spacing w:after="20"/>
            </w:pPr>
            <w:r>
              <w:rPr>
                <w:color w:val="1C3A36"/>
                <w:sz w:val="14"/>
              </w:rPr>
              <w:t>36</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37</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32"/>
          </w:tcPr>
          <w:p>
            <w:pPr>
              <w:spacing w:after="20"/>
            </w:pPr>
            <w:r>
              <w:rPr>
                <w:color w:val="1C3A36"/>
                <w:sz w:val="14"/>
              </w:rPr>
              <w:t>38</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32"/>
          </w:tcPr>
          <w:p>
            <w:pPr>
              <w:spacing w:after="20"/>
            </w:pPr>
            <w:r>
              <w:rPr>
                <w:color w:val="1C3A36"/>
                <w:sz w:val="14"/>
              </w:rPr>
              <w:t>39</w:t>
            </w:r>
          </w:p>
        </w:tc>
        <w:tc>
          <w:tcPr>
            <w:tcW w:type="dxa" w:w="2448"/>
          </w:tcPr>
          <w:p>
            <w:pPr>
              <w:spacing w:after="20"/>
            </w:pPr>
            <w:r>
              <w:rPr>
                <w:color w:val="1C3A36"/>
                <w:sz w:val="14"/>
              </w:rPr>
              <w:t>egy_cons_mt</w:t>
            </w:r>
          </w:p>
        </w:tc>
        <w:tc>
          <w:tcPr>
            <w:tcW w:type="dxa" w:w="1325"/>
          </w:tcPr>
          <w:p>
            <w:pPr>
              <w:spacing w:after="20"/>
            </w:pPr>
            <w:r>
              <w:rPr>
                <w:color w:val="1C3A36"/>
                <w:sz w:val="14"/>
              </w:rPr>
              <w:t>53.9</w:t>
            </w:r>
          </w:p>
        </w:tc>
        <w:tc>
          <w:tcPr>
            <w:tcW w:type="dxa" w:w="1066"/>
          </w:tcPr>
          <w:p>
            <w:pPr>
              <w:spacing w:after="20"/>
            </w:pPr>
            <w:r>
              <w:rPr>
                <w:color w:val="1C3A36"/>
                <w:sz w:val="14"/>
              </w:rPr>
              <w:t>Company</w:t>
            </w:r>
          </w:p>
        </w:tc>
        <w:tc>
          <w:tcPr>
            <w:tcW w:type="dxa" w:w="7171"/>
          </w:tcPr>
          <w:p>
            <w:pPr>
              <w:spacing w:after="20"/>
            </w:pPr>
            <w:r>
              <w:rPr>
                <w:color w:val="1C3A36"/>
                <w:sz w:val="14"/>
              </w:rPr>
              <w:t>Egyptian domestic cement sales 2025. FY2025 Investor Presentation, Arabian Cement Company S.A.E., investor relations library, page 5 (sales volumes and production indicators) page 12 gives 53.9Mt, against the 54.0 previously carried on trade estimate</w:t>
            </w:r>
          </w:p>
        </w:tc>
        <w:tc>
          <w:tcPr>
            <w:tcW w:type="dxa" w:w="1210"/>
          </w:tcPr>
          <w:p>
            <w:pPr>
              <w:spacing w:after="20"/>
            </w:pPr>
            <w:r>
              <w:rPr>
                <w:color w:val="1C3A36"/>
                <w:sz w:val="14"/>
              </w:rPr>
              <w:t>2026-03-01</w:t>
            </w:r>
          </w:p>
        </w:tc>
      </w:tr>
      <w:tr>
        <w:tc>
          <w:tcPr>
            <w:tcW w:type="dxa" w:w="432"/>
          </w:tcPr>
          <w:p>
            <w:pPr>
              <w:spacing w:after="20"/>
            </w:pPr>
            <w:r>
              <w:rPr>
                <w:color w:val="1C3A36"/>
                <w:sz w:val="14"/>
              </w:rPr>
              <w:t>40</w:t>
            </w:r>
          </w:p>
        </w:tc>
        <w:tc>
          <w:tcPr>
            <w:tcW w:type="dxa" w:w="2448"/>
          </w:tcPr>
          <w:p>
            <w:pPr>
              <w:spacing w:after="20"/>
            </w:pPr>
            <w:r>
              <w:rPr>
                <w:color w:val="1C3A36"/>
                <w:sz w:val="14"/>
              </w:rPr>
              <w:t>egy_exports_mt</w:t>
            </w:r>
          </w:p>
        </w:tc>
        <w:tc>
          <w:tcPr>
            <w:tcW w:type="dxa" w:w="1325"/>
          </w:tcPr>
          <w:p>
            <w:pPr>
              <w:spacing w:after="20"/>
            </w:pPr>
            <w:r>
              <w:rPr>
                <w:color w:val="1C3A36"/>
                <w:sz w:val="14"/>
              </w:rPr>
              <w:t>18.6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export sales 2025. FY2025 Investor Presentation, Arabian Cement Company S.A.E., investor relations library, page 5 (sales volumes and production indicators) page 12. The two products are reported together, which is why the earlier balance failed: it set a cement-plus-clinker export figure against a cement-only production figure</w:t>
            </w:r>
          </w:p>
        </w:tc>
        <w:tc>
          <w:tcPr>
            <w:tcW w:type="dxa" w:w="1210"/>
          </w:tcPr>
          <w:p>
            <w:pPr>
              <w:spacing w:after="20"/>
            </w:pPr>
            <w:r>
              <w:rPr>
                <w:color w:val="1C3A36"/>
                <w:sz w:val="14"/>
              </w:rPr>
              <w:t>2026-03-01</w:t>
            </w:r>
          </w:p>
        </w:tc>
      </w:tr>
      <w:tr>
        <w:tc>
          <w:tcPr>
            <w:tcW w:type="dxa" w:w="432"/>
          </w:tcPr>
          <w:p>
            <w:pPr>
              <w:spacing w:after="20"/>
            </w:pPr>
            <w:r>
              <w:rPr>
                <w:color w:val="1C3A36"/>
                <w:sz w:val="14"/>
              </w:rPr>
              <w:t>41</w:t>
            </w:r>
          </w:p>
        </w:tc>
        <w:tc>
          <w:tcPr>
            <w:tcW w:type="dxa" w:w="2448"/>
          </w:tcPr>
          <w:p>
            <w:pPr>
              <w:spacing w:after="20"/>
            </w:pPr>
            <w:r>
              <w:rPr>
                <w:color w:val="1C3A36"/>
                <w:sz w:val="14"/>
              </w:rPr>
              <w:t>egy_prod_mt</w:t>
            </w:r>
          </w:p>
        </w:tc>
        <w:tc>
          <w:tcPr>
            <w:tcW w:type="dxa" w:w="1325"/>
          </w:tcPr>
          <w:p>
            <w:pPr>
              <w:spacing w:after="20"/>
            </w:pPr>
            <w:r>
              <w:rPr>
                <w:color w:val="1C3A36"/>
                <w:sz w:val="14"/>
              </w:rPr>
              <w:t>72.6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SALES 2025 — local plus export. FY2025 Investor Presentation, Arabian Cement Company S.A.E., investor relations library, page 5 (sales volumes and production indicators) page 12 gives local 53.9Mt and exports 18.6Mt, total 72.6Mt. Revisions 1 to 4 carried 65.0Mt as 'production' against exports of 18.5Mt and consumption of 54Mt, a balance that does not close: 65 less 54 is 11Mt, not 18.5. One reviewer caught the gap and the disclosure now closes it. This changes the sector picture materially — see the utilisation note</w:t>
            </w:r>
          </w:p>
        </w:tc>
        <w:tc>
          <w:tcPr>
            <w:tcW w:type="dxa" w:w="1210"/>
          </w:tcPr>
          <w:p>
            <w:pPr>
              <w:spacing w:after="20"/>
            </w:pPr>
            <w:r>
              <w:rPr>
                <w:color w:val="1C3A36"/>
                <w:sz w:val="14"/>
              </w:rPr>
              <w:t>2026-03-01</w:t>
            </w:r>
          </w:p>
        </w:tc>
      </w:tr>
      <w:tr>
        <w:tc>
          <w:tcPr>
            <w:tcW w:type="dxa" w:w="432"/>
          </w:tcPr>
          <w:p>
            <w:pPr>
              <w:spacing w:after="20"/>
            </w:pPr>
            <w:r>
              <w:rPr>
                <w:color w:val="1C3A36"/>
                <w:sz w:val="14"/>
              </w:rPr>
              <w:t>42</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32"/>
          </w:tcPr>
          <w:p>
            <w:pPr>
              <w:spacing w:after="20"/>
            </w:pPr>
            <w:r>
              <w:rPr>
                <w:color w:val="1C3A36"/>
                <w:sz w:val="14"/>
              </w:rPr>
              <w:t>43</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32"/>
          </w:tcPr>
          <w:p>
            <w:pPr>
              <w:spacing w:after="20"/>
            </w:pPr>
            <w:r>
              <w:rPr>
                <w:color w:val="1C3A36"/>
                <w:sz w:val="14"/>
              </w:rPr>
              <w:t>44</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32"/>
          </w:tcPr>
          <w:p>
            <w:pPr>
              <w:spacing w:after="20"/>
            </w:pPr>
            <w:r>
              <w:rPr>
                <w:color w:val="1C3A36"/>
                <w:sz w:val="14"/>
              </w:rPr>
              <w:t>45</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32"/>
          </w:tcPr>
          <w:p>
            <w:pPr>
              <w:spacing w:after="20"/>
            </w:pPr>
            <w:r>
              <w:rPr>
                <w:color w:val="1C3A36"/>
                <w:sz w:val="14"/>
              </w:rPr>
              <w:t>46</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32"/>
          </w:tcPr>
          <w:p>
            <w:pPr>
              <w:spacing w:after="20"/>
            </w:pPr>
            <w:r>
              <w:rPr>
                <w:color w:val="1C3A36"/>
                <w:sz w:val="14"/>
              </w:rPr>
              <w:t>47</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32"/>
          </w:tcPr>
          <w:p>
            <w:pPr>
              <w:spacing w:after="20"/>
            </w:pPr>
            <w:r>
              <w:rPr>
                <w:color w:val="1C3A36"/>
                <w:sz w:val="14"/>
              </w:rPr>
              <w:t>48</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32"/>
          </w:tcPr>
          <w:p>
            <w:pPr>
              <w:spacing w:after="20"/>
            </w:pPr>
            <w:r>
              <w:rPr>
                <w:color w:val="1C3A36"/>
                <w:sz w:val="14"/>
              </w:rPr>
              <w:t>49</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50</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32"/>
          </w:tcPr>
          <w:p>
            <w:pPr>
              <w:spacing w:after="20"/>
            </w:pPr>
            <w:r>
              <w:rPr>
                <w:color w:val="1C3A36"/>
                <w:sz w:val="14"/>
              </w:rPr>
              <w:t>51</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32"/>
          </w:tcPr>
          <w:p>
            <w:pPr>
              <w:spacing w:after="20"/>
            </w:pPr>
            <w:r>
              <w:rPr>
                <w:color w:val="1C3A36"/>
                <w:sz w:val="14"/>
              </w:rPr>
              <w:t>52</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32"/>
          </w:tcPr>
          <w:p>
            <w:pPr>
              <w:spacing w:after="20"/>
            </w:pPr>
            <w:r>
              <w:rPr>
                <w:color w:val="1C3A36"/>
                <w:sz w:val="14"/>
              </w:rPr>
              <w:t>53</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32"/>
          </w:tcPr>
          <w:p>
            <w:pPr>
              <w:spacing w:after="20"/>
            </w:pPr>
            <w:r>
              <w:rPr>
                <w:color w:val="1C3A36"/>
                <w:sz w:val="14"/>
              </w:rPr>
              <w:t>54</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32"/>
          </w:tcPr>
          <w:p>
            <w:pPr>
              <w:spacing w:after="20"/>
            </w:pPr>
            <w:r>
              <w:rPr>
                <w:color w:val="1C3A36"/>
                <w:sz w:val="14"/>
              </w:rPr>
              <w:t>55</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32"/>
          </w:tcPr>
          <w:p>
            <w:pPr>
              <w:spacing w:after="20"/>
            </w:pPr>
            <w:r>
              <w:rPr>
                <w:color w:val="1C3A36"/>
                <w:sz w:val="14"/>
              </w:rPr>
              <w:t>56</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32"/>
          </w:tcPr>
          <w:p>
            <w:pPr>
              <w:spacing w:after="20"/>
            </w:pPr>
            <w:r>
              <w:rPr>
                <w:color w:val="1C3A36"/>
                <w:sz w:val="14"/>
              </w:rPr>
              <w:t>57</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32"/>
          </w:tcPr>
          <w:p>
            <w:pPr>
              <w:spacing w:after="20"/>
            </w:pPr>
            <w:r>
              <w:rPr>
                <w:color w:val="1C3A36"/>
                <w:sz w:val="14"/>
              </w:rPr>
              <w:t>58</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32"/>
          </w:tcPr>
          <w:p>
            <w:pPr>
              <w:spacing w:after="20"/>
            </w:pPr>
            <w:r>
              <w:rPr>
                <w:color w:val="1C3A36"/>
                <w:sz w:val="14"/>
              </w:rPr>
              <w:t>59</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32"/>
          </w:tcPr>
          <w:p>
            <w:pPr>
              <w:spacing w:after="20"/>
            </w:pPr>
            <w:r>
              <w:rPr>
                <w:color w:val="1C3A36"/>
                <w:sz w:val="14"/>
              </w:rPr>
              <w:t>60</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32"/>
          </w:tcPr>
          <w:p>
            <w:pPr>
              <w:spacing w:after="20"/>
            </w:pPr>
            <w:r>
              <w:rPr>
                <w:color w:val="1C3A36"/>
                <w:sz w:val="14"/>
              </w:rPr>
              <w:t>61</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32"/>
          </w:tcPr>
          <w:p>
            <w:pPr>
              <w:spacing w:after="20"/>
            </w:pPr>
            <w:r>
              <w:rPr>
                <w:color w:val="1C3A36"/>
                <w:sz w:val="14"/>
              </w:rPr>
              <w:t>62</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32"/>
          </w:tcPr>
          <w:p>
            <w:pPr>
              <w:spacing w:after="20"/>
            </w:pPr>
            <w:r>
              <w:rPr>
                <w:color w:val="1C3A36"/>
                <w:sz w:val="14"/>
              </w:rPr>
              <w:t>63</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32"/>
          </w:tcPr>
          <w:p>
            <w:pPr>
              <w:spacing w:after="20"/>
            </w:pPr>
            <w:r>
              <w:rPr>
                <w:color w:val="1C3A36"/>
                <w:sz w:val="14"/>
              </w:rPr>
              <w:t>64</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32"/>
          </w:tcPr>
          <w:p>
            <w:pPr>
              <w:spacing w:after="20"/>
            </w:pPr>
            <w:r>
              <w:rPr>
                <w:color w:val="1C3A36"/>
                <w:sz w:val="14"/>
              </w:rPr>
              <w:t>65</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32"/>
          </w:tcPr>
          <w:p>
            <w:pPr>
              <w:spacing w:after="20"/>
            </w:pPr>
            <w:r>
              <w:rPr>
                <w:color w:val="1C3A36"/>
                <w:sz w:val="14"/>
              </w:rPr>
              <w:t>66</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71"/>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32"/>
          </w:tcPr>
          <w:p>
            <w:pPr>
              <w:spacing w:after="20"/>
            </w:pPr>
            <w:r>
              <w:rPr>
                <w:color w:val="1C3A36"/>
                <w:sz w:val="14"/>
              </w:rPr>
              <w:t>67</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Company</w:t>
            </w:r>
          </w:p>
        </w:tc>
        <w:tc>
          <w:tcPr>
            <w:tcW w:type="dxa" w:w="7171"/>
          </w:tcPr>
          <w:p>
            <w:pPr>
              <w:spacing w:after="20"/>
            </w:pPr>
            <w:r>
              <w:rPr>
                <w:color w:val="1C3A36"/>
                <w:sz w:val="14"/>
              </w:rPr>
              <w:t>Clinker-kiln utilisation, FY2025A then FY2026E-FY2030E, and the primary volume driver. FY2025 is now DISCLOSED, not inferred: FY2025 Investor Presentation, Arabian Cement Company S.A.E., investor relations library, page 5 (sales volumes and production indicators) gives clinker production of 3,851.6 kt, which is 91.70% of the audited 4.2Mt kiln, and the company states the rate as 92%. The plant has run 92-94% in three of the last five years, so the path rises only modestly — the kiln is the binding asset and there is little room above here</w:t>
            </w:r>
          </w:p>
        </w:tc>
        <w:tc>
          <w:tcPr>
            <w:tcW w:type="dxa" w:w="1210"/>
          </w:tcPr>
          <w:p>
            <w:pPr>
              <w:spacing w:after="20"/>
            </w:pPr>
            <w:r>
              <w:rPr>
                <w:color w:val="1C3A36"/>
                <w:sz w:val="14"/>
              </w:rPr>
              <w:t>2026-03-01</w:t>
            </w:r>
          </w:p>
        </w:tc>
      </w:tr>
      <w:tr>
        <w:tc>
          <w:tcPr>
            <w:tcW w:type="dxa" w:w="432"/>
          </w:tcPr>
          <w:p>
            <w:pPr>
              <w:spacing w:after="20"/>
            </w:pPr>
            <w:r>
              <w:rPr>
                <w:color w:val="1C3A36"/>
                <w:sz w:val="14"/>
              </w:rPr>
              <w:t>68</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32"/>
          </w:tcPr>
          <w:p>
            <w:pPr>
              <w:spacing w:after="20"/>
            </w:pPr>
            <w:r>
              <w:rPr>
                <w:color w:val="1C3A36"/>
                <w:sz w:val="14"/>
              </w:rPr>
              <w:t>69</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32"/>
          </w:tcPr>
          <w:p>
            <w:pPr>
              <w:spacing w:after="20"/>
            </w:pPr>
            <w:r>
              <w:rPr>
                <w:color w:val="1C3A36"/>
                <w:sz w:val="14"/>
              </w:rPr>
              <w:t>70</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71</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950 times smaller and immaterial to the bridge</w:t>
            </w:r>
          </w:p>
        </w:tc>
        <w:tc>
          <w:tcPr>
            <w:tcW w:type="dxa" w:w="1210"/>
          </w:tcPr>
          <w:p>
            <w:pPr>
              <w:spacing w:after="20"/>
            </w:pPr>
            <w:r>
              <w:rPr>
                <w:color w:val="1C3A36"/>
                <w:sz w:val="14"/>
              </w:rPr>
              <w:t>2025-12-31</w:t>
            </w:r>
          </w:p>
        </w:tc>
      </w:tr>
      <w:tr>
        <w:tc>
          <w:tcPr>
            <w:tcW w:type="dxa" w:w="432"/>
          </w:tcPr>
          <w:p>
            <w:pPr>
              <w:spacing w:after="20"/>
            </w:pPr>
            <w:r>
              <w:rPr>
                <w:color w:val="1C3A36"/>
                <w:sz w:val="14"/>
              </w:rPr>
              <w:t>72</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32"/>
          </w:tcPr>
          <w:p>
            <w:pPr>
              <w:spacing w:after="20"/>
            </w:pPr>
            <w:r>
              <w:rPr>
                <w:color w:val="1C3A36"/>
                <w:sz w:val="14"/>
              </w:rPr>
              <w:t>73</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32"/>
          </w:tcPr>
          <w:p>
            <w:pPr>
              <w:spacing w:after="20"/>
            </w:pPr>
            <w:r>
              <w:rPr>
                <w:color w:val="1C3A36"/>
                <w:sz w:val="14"/>
              </w:rPr>
              <w:t>74</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32"/>
          </w:tcPr>
          <w:p>
            <w:pPr>
              <w:spacing w:after="20"/>
            </w:pPr>
            <w:r>
              <w:rPr>
                <w:color w:val="1C3A36"/>
                <w:sz w:val="14"/>
              </w:rPr>
              <w:t>75</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32"/>
          </w:tcPr>
          <w:p>
            <w:pPr>
              <w:spacing w:after="20"/>
            </w:pPr>
            <w:r>
              <w:rPr>
                <w:color w:val="1C3A36"/>
                <w:sz w:val="14"/>
              </w:rPr>
              <w:t>76</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32"/>
          </w:tcPr>
          <w:p>
            <w:pPr>
              <w:spacing w:after="20"/>
            </w:pPr>
            <w:r>
              <w:rPr>
                <w:color w:val="1C3A36"/>
                <w:sz w:val="14"/>
              </w:rPr>
              <w:t>77</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78</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79</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32"/>
          </w:tcPr>
          <w:p>
            <w:pPr>
              <w:spacing w:after="20"/>
            </w:pPr>
            <w:r>
              <w:rPr>
                <w:color w:val="1C3A36"/>
                <w:sz w:val="14"/>
              </w:rPr>
              <w:t>80</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32"/>
          </w:tcPr>
          <w:p>
            <w:pPr>
              <w:spacing w:after="20"/>
            </w:pPr>
            <w:r>
              <w:rPr>
                <w:color w:val="1C3A36"/>
                <w:sz w:val="14"/>
              </w:rPr>
              <w:t>81</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32"/>
          </w:tcPr>
          <w:p>
            <w:pPr>
              <w:spacing w:after="20"/>
            </w:pPr>
            <w:r>
              <w:rPr>
                <w:color w:val="1C3A36"/>
                <w:sz w:val="14"/>
              </w:rPr>
              <w:t>82</w:t>
            </w:r>
          </w:p>
        </w:tc>
        <w:tc>
          <w:tcPr>
            <w:tcW w:type="dxa" w:w="2448"/>
          </w:tcPr>
          <w:p>
            <w:pPr>
              <w:spacing w:after="20"/>
            </w:pPr>
            <w:r>
              <w:rPr>
                <w:color w:val="1C3A36"/>
                <w:sz w:val="14"/>
              </w:rPr>
              <w:t>price_local_path</w:t>
            </w:r>
          </w:p>
        </w:tc>
        <w:tc>
          <w:tcPr>
            <w:tcW w:type="dxa" w:w="1325"/>
          </w:tcPr>
          <w:p>
            <w:pPr>
              <w:spacing w:after="20"/>
            </w:pPr>
            <w:r>
              <w:rPr>
                <w:color w:val="1C3A36"/>
                <w:sz w:val="14"/>
              </w:rPr>
              <w:t>1, 1.08, 1.177, 1.271, 1.36, 1.449</w:t>
            </w:r>
          </w:p>
        </w:tc>
        <w:tc>
          <w:tcPr>
            <w:tcW w:type="dxa" w:w="1066"/>
          </w:tcPr>
          <w:p>
            <w:pPr>
              <w:spacing w:after="20"/>
            </w:pPr>
            <w:r>
              <w:rPr>
                <w:color w:val="1C3A36"/>
                <w:sz w:val="14"/>
              </w:rPr>
              <w:t>Company</w:t>
            </w:r>
          </w:p>
        </w:tc>
        <w:tc>
          <w:tcPr>
            <w:tcW w:type="dxa" w:w="7171"/>
          </w:tcPr>
          <w:p>
            <w:pPr>
              <w:spacing w:after="20"/>
            </w:pPr>
            <w:r>
              <w:rPr>
                <w:color w:val="1C3A36"/>
                <w:sz w:val="14"/>
              </w:rPr>
              <w:t>Local realised price index on the FY2025 base: growth of 8.0%, 9.0%, 8.0%, 7.0% and 6.5%, below the cost path in every year. IT IS NOW ANCHORED ON A DISCLOSED PRICE HISTORY AND A DISCLOSED EXIT RATE, which no earlier revision had. FY2025 Investor Presentation, Arabian Cement Company S.A.E., investor relations library, page 5 (sales volumes and production indicators) and page 4 give local revenue and local volume for both years and both fourth quarters, so the realised local price can be computed rather than assumed: FY2024 EGP 1,810/t, FY2025 EGP 2,909/t — a rise of 60.7% on volume up 11.7%. The FY2025 margin explosion was PRICE, not volume, which settles a question three revisions argued about without evidence. More useful still is the exit rate: the fourth quarter of 2025 realised EGP 3,118/t, 7.2% ABOVE the full-year average. Simply holding the Q4 exit flat through 2026 therefore produces a full-year average 7.2% higher, so the 8.0% carried here is only 0.8 points above a no-further-increase path. Revision 3 assumed 3.0% against 11.5% cost inflation and had nothing behind it; revision 4 assumed 8.0% and had only a plausibility argument. The number is unchanged from revision 4 — but it is now the conservative reading of a disclosed run rate rather than a guess that happened to land in the right place</w:t>
            </w:r>
          </w:p>
        </w:tc>
        <w:tc>
          <w:tcPr>
            <w:tcW w:type="dxa" w:w="1210"/>
          </w:tcPr>
          <w:p>
            <w:pPr>
              <w:spacing w:after="20"/>
            </w:pPr>
            <w:r>
              <w:rPr>
                <w:color w:val="1C3A36"/>
                <w:sz w:val="14"/>
              </w:rPr>
              <w:t>2026-03-01</w:t>
            </w:r>
          </w:p>
        </w:tc>
      </w:tr>
      <w:tr>
        <w:tc>
          <w:tcPr>
            <w:tcW w:type="dxa" w:w="432"/>
          </w:tcPr>
          <w:p>
            <w:pPr>
              <w:spacing w:after="20"/>
            </w:pPr>
            <w:r>
              <w:rPr>
                <w:color w:val="1C3A36"/>
                <w:sz w:val="14"/>
              </w:rPr>
              <w:t>83</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32"/>
          </w:tcPr>
          <w:p>
            <w:pPr>
              <w:spacing w:after="20"/>
            </w:pPr>
            <w:r>
              <w:rPr>
                <w:color w:val="1C3A36"/>
                <w:sz w:val="14"/>
              </w:rPr>
              <w:t>84</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32"/>
          </w:tcPr>
          <w:p>
            <w:pPr>
              <w:spacing w:after="20"/>
            </w:pPr>
            <w:r>
              <w:rPr>
                <w:color w:val="1C3A36"/>
                <w:sz w:val="14"/>
              </w:rPr>
              <w:t>85</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32"/>
          </w:tcPr>
          <w:p>
            <w:pPr>
              <w:spacing w:after="20"/>
            </w:pPr>
            <w:r>
              <w:rPr>
                <w:color w:val="1C3A36"/>
                <w:sz w:val="14"/>
              </w:rPr>
              <w:t>86</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32"/>
          </w:tcPr>
          <w:p>
            <w:pPr>
              <w:spacing w:after="20"/>
            </w:pPr>
            <w:r>
              <w:rPr>
                <w:color w:val="1C3A36"/>
                <w:sz w:val="14"/>
              </w:rPr>
              <w:t>87</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32"/>
          </w:tcPr>
          <w:p>
            <w:pPr>
              <w:spacing w:after="20"/>
            </w:pPr>
            <w:r>
              <w:rPr>
                <w:color w:val="1C3A36"/>
                <w:sz w:val="14"/>
              </w:rPr>
              <w:t>88</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89</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90</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32"/>
          </w:tcPr>
          <w:p>
            <w:pPr>
              <w:spacing w:after="20"/>
            </w:pPr>
            <w:r>
              <w:rPr>
                <w:color w:val="1C3A36"/>
                <w:sz w:val="14"/>
              </w:rPr>
              <w:t>91</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32"/>
          </w:tcPr>
          <w:p>
            <w:pPr>
              <w:spacing w:after="20"/>
            </w:pPr>
            <w:r>
              <w:rPr>
                <w:color w:val="1C3A36"/>
                <w:sz w:val="14"/>
              </w:rPr>
              <w:t>92</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32"/>
          </w:tcPr>
          <w:p>
            <w:pPr>
              <w:spacing w:after="20"/>
            </w:pPr>
            <w:r>
              <w:rPr>
                <w:color w:val="1C3A36"/>
                <w:sz w:val="14"/>
              </w:rPr>
              <w:t>93</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32"/>
          </w:tcPr>
          <w:p>
            <w:pPr>
              <w:spacing w:after="20"/>
            </w:pPr>
            <w:r>
              <w:rPr>
                <w:color w:val="1C3A36"/>
                <w:sz w:val="14"/>
              </w:rPr>
              <w:t>94</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95</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96</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32"/>
          </w:tcPr>
          <w:p>
            <w:pPr>
              <w:spacing w:after="20"/>
            </w:pPr>
            <w:r>
              <w:rPr>
                <w:color w:val="1C3A36"/>
                <w:sz w:val="14"/>
              </w:rPr>
              <w:t>97</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32"/>
          </w:tcPr>
          <w:p>
            <w:pPr>
              <w:spacing w:after="20"/>
            </w:pPr>
            <w:r>
              <w:rPr>
                <w:color w:val="1C3A36"/>
                <w:sz w:val="14"/>
              </w:rPr>
              <w:t>98</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32"/>
          </w:tcPr>
          <w:p>
            <w:pPr>
              <w:spacing w:after="20"/>
            </w:pPr>
            <w:r>
              <w:rPr>
                <w:color w:val="1C3A36"/>
                <w:sz w:val="14"/>
              </w:rPr>
              <w:t>99</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32"/>
          </w:tcPr>
          <w:p>
            <w:pPr>
              <w:spacing w:after="20"/>
            </w:pPr>
            <w:r>
              <w:rPr>
                <w:color w:val="1C3A36"/>
                <w:sz w:val="14"/>
              </w:rPr>
              <w:t>100</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32"/>
          </w:tcPr>
          <w:p>
            <w:pPr>
              <w:spacing w:after="20"/>
            </w:pPr>
            <w:r>
              <w:rPr>
                <w:color w:val="1C3A36"/>
                <w:sz w:val="14"/>
              </w:rPr>
              <w:t>101</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32"/>
          </w:tcPr>
          <w:p>
            <w:pPr>
              <w:spacing w:after="20"/>
            </w:pPr>
            <w:r>
              <w:rPr>
                <w:color w:val="1C3A36"/>
                <w:sz w:val="14"/>
              </w:rPr>
              <w:t>102</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32"/>
          </w:tcPr>
          <w:p>
            <w:pPr>
              <w:spacing w:after="20"/>
            </w:pPr>
            <w:r>
              <w:rPr>
                <w:color w:val="1C3A36"/>
                <w:sz w:val="14"/>
              </w:rPr>
              <w:t>103</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71"/>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32"/>
          </w:tcPr>
          <w:p>
            <w:pPr>
              <w:spacing w:after="20"/>
            </w:pPr>
            <w:r>
              <w:rPr>
                <w:color w:val="1C3A36"/>
                <w:sz w:val="14"/>
              </w:rPr>
              <w:t>104</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32"/>
          </w:tcPr>
          <w:p>
            <w:pPr>
              <w:spacing w:after="20"/>
            </w:pPr>
            <w:r>
              <w:rPr>
                <w:color w:val="1C3A36"/>
                <w:sz w:val="14"/>
              </w:rPr>
              <w:t>105</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32"/>
          </w:tcPr>
          <w:p>
            <w:pPr>
              <w:spacing w:after="20"/>
            </w:pPr>
            <w:r>
              <w:rPr>
                <w:color w:val="1C3A36"/>
                <w:sz w:val="14"/>
              </w:rPr>
              <w:t>106</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32"/>
          </w:tcPr>
          <w:p>
            <w:pPr>
              <w:spacing w:after="20"/>
            </w:pPr>
            <w:r>
              <w:rPr>
                <w:color w:val="1C3A36"/>
                <w:sz w:val="14"/>
              </w:rPr>
              <w:t>107</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32"/>
          </w:tcPr>
          <w:p>
            <w:pPr>
              <w:spacing w:after="20"/>
            </w:pPr>
            <w:r>
              <w:rPr>
                <w:color w:val="1C3A36"/>
                <w:sz w:val="14"/>
              </w:rPr>
              <w:t>108</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109</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110</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32"/>
          </w:tcPr>
          <w:p>
            <w:pPr>
              <w:spacing w:after="20"/>
            </w:pPr>
            <w:r>
              <w:rPr>
                <w:color w:val="1C3A36"/>
                <w:sz w:val="14"/>
              </w:rPr>
              <w:t>111</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32"/>
          </w:tcPr>
          <w:p>
            <w:pPr>
              <w:spacing w:after="20"/>
            </w:pPr>
            <w:r>
              <w:rPr>
                <w:color w:val="1C3A36"/>
                <w:sz w:val="14"/>
              </w:rPr>
              <w:t>112</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32"/>
          </w:tcPr>
          <w:p>
            <w:pPr>
              <w:spacing w:after="20"/>
            </w:pPr>
            <w:r>
              <w:rPr>
                <w:color w:val="1C3A36"/>
                <w:sz w:val="14"/>
              </w:rPr>
              <w:t>113</w:t>
            </w:r>
          </w:p>
        </w:tc>
        <w:tc>
          <w:tcPr>
            <w:tcW w:type="dxa" w:w="2448"/>
          </w:tcPr>
          <w:p>
            <w:pPr>
              <w:spacing w:after="20"/>
            </w:pPr>
            <w:r>
              <w:rPr>
                <w:color w:val="1C3A36"/>
                <w:sz w:val="14"/>
              </w:rPr>
              <w:t>capex_usd_t_cap</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171"/>
          </w:tcPr>
          <w:p>
            <w:pPr>
              <w:spacing w:after="20"/>
            </w:pPr>
            <w:r>
              <w:rPr>
                <w:color w:val="1C3A36"/>
                <w:sz w:val="14"/>
              </w:rPr>
              <w:t>Maintenance capital expenditure in US dollars per tonne of installed capacity. Cross-check against disclosure: FY2025 capex of EGP 796.471mn on 5.0Mt at an average USD/EGP of 49.26 is USD 3.23/t, and FY2024's EGP 912.015mn is USD 4.11/t — but both years carry the alternative-fuel and silo programmes, so the maintenance level is set at the middle of that band and held</w:t>
            </w:r>
          </w:p>
        </w:tc>
        <w:tc>
          <w:tcPr>
            <w:tcW w:type="dxa" w:w="1210"/>
          </w:tcPr>
          <w:p>
            <w:pPr>
              <w:spacing w:after="20"/>
            </w:pPr>
            <w:r>
              <w:rPr>
                <w:color w:val="1C3A36"/>
                <w:sz w:val="14"/>
              </w:rPr>
              <w:t>2026-08-06</w:t>
            </w:r>
          </w:p>
        </w:tc>
      </w:tr>
      <w:tr>
        <w:tc>
          <w:tcPr>
            <w:tcW w:type="dxa" w:w="432"/>
          </w:tcPr>
          <w:p>
            <w:pPr>
              <w:spacing w:after="20"/>
            </w:pPr>
            <w:r>
              <w:rPr>
                <w:color w:val="1C3A36"/>
                <w:sz w:val="14"/>
              </w:rPr>
              <w:t>114</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71"/>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32"/>
          </w:tcPr>
          <w:p>
            <w:pPr>
              <w:spacing w:after="20"/>
            </w:pPr>
            <w:r>
              <w:rPr>
                <w:color w:val="1C3A36"/>
                <w:sz w:val="14"/>
              </w:rPr>
              <w:t>115</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32"/>
          </w:tcPr>
          <w:p>
            <w:pPr>
              <w:spacing w:after="20"/>
            </w:pPr>
            <w:r>
              <w:rPr>
                <w:color w:val="1C3A36"/>
                <w:sz w:val="14"/>
              </w:rPr>
              <w:t>116</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Egyptian capacity under revival from the second half of 2026</w:t>
            </w:r>
          </w:p>
        </w:tc>
        <w:tc>
          <w:tcPr>
            <w:tcW w:type="dxa" w:w="1210"/>
          </w:tcPr>
          <w:p>
            <w:pPr>
              <w:spacing w:after="20"/>
            </w:pPr>
            <w:r>
              <w:rPr>
                <w:color w:val="1C3A36"/>
                <w:sz w:val="14"/>
              </w:rPr>
              <w:t>2025-10-01</w:t>
            </w:r>
          </w:p>
        </w:tc>
      </w:tr>
      <w:tr>
        <w:tc>
          <w:tcPr>
            <w:tcW w:type="dxa" w:w="432"/>
          </w:tcPr>
          <w:p>
            <w:pPr>
              <w:spacing w:after="20"/>
            </w:pPr>
            <w:r>
              <w:rPr>
                <w:color w:val="1C3A36"/>
                <w:sz w:val="14"/>
              </w:rPr>
              <w:t>117</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118</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119</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120</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71"/>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32"/>
          </w:tcPr>
          <w:p>
            <w:pPr>
              <w:spacing w:after="20"/>
            </w:pPr>
            <w:r>
              <w:rPr>
                <w:color w:val="1C3A36"/>
                <w:sz w:val="14"/>
              </w:rPr>
              <w:t>121</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32"/>
          </w:tcPr>
          <w:p>
            <w:pPr>
              <w:spacing w:after="20"/>
            </w:pPr>
            <w:r>
              <w:rPr>
                <w:color w:val="1C3A36"/>
                <w:sz w:val="14"/>
              </w:rPr>
              <w:t>122</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32"/>
          </w:tcPr>
          <w:p>
            <w:pPr>
              <w:spacing w:after="20"/>
            </w:pPr>
            <w:r>
              <w:rPr>
                <w:color w:val="1C3A36"/>
                <w:sz w:val="14"/>
              </w:rPr>
              <w:t>123</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71"/>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32"/>
          </w:tcPr>
          <w:p>
            <w:pPr>
              <w:spacing w:after="20"/>
            </w:pPr>
            <w:r>
              <w:rPr>
                <w:color w:val="1C3A36"/>
                <w:sz w:val="14"/>
              </w:rPr>
              <w:t>124</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125</w:t>
            </w:r>
          </w:p>
        </w:tc>
        <w:tc>
          <w:tcPr>
            <w:tcW w:type="dxa" w:w="2448"/>
          </w:tcPr>
          <w:p>
            <w:pPr>
              <w:spacing w:after="20"/>
            </w:pPr>
            <w:r>
              <w:rPr>
                <w:color w:val="1C3A36"/>
                <w:sz w:val="14"/>
              </w:rPr>
              <w:t>cost_infl</w:t>
            </w:r>
          </w:p>
        </w:tc>
        <w:tc>
          <w:tcPr>
            <w:tcW w:type="dxa" w:w="1325"/>
          </w:tcPr>
          <w:p>
            <w:pPr>
              <w:spacing w:after="20"/>
            </w:pPr>
            <w:r>
              <w:rPr>
                <w:color w:val="1C3A36"/>
                <w:sz w:val="14"/>
              </w:rPr>
              <w:t>1, 1.115, 1.226, 1.336, 1.443, 1.544</w:t>
            </w:r>
          </w:p>
        </w:tc>
        <w:tc>
          <w:tcPr>
            <w:tcW w:type="dxa" w:w="1066"/>
          </w:tcPr>
          <w:p>
            <w:pPr>
              <w:spacing w:after="20"/>
            </w:pPr>
            <w:r>
              <w:rPr>
                <w:color w:val="1C3A36"/>
                <w:sz w:val="14"/>
              </w:rPr>
              <w:t>Country</w:t>
            </w:r>
          </w:p>
        </w:tc>
        <w:tc>
          <w:tcPr>
            <w:tcW w:type="dxa" w:w="7171"/>
          </w:tcPr>
          <w:p>
            <w:pPr>
              <w:spacing w:after="20"/>
            </w:pPr>
            <w:r>
              <w:rPr>
                <w:color w:val="1C3A36"/>
                <w:sz w:val="14"/>
              </w:rPr>
              <w:t>Cumulative local cost-inflation index from the FY2025 base. Steps of 11.5%, 10.0%, 9.0%, 8.0% and 7.0% track the disinflation path the central bank's own reporting describes, converging on its 7% medium-term target.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32"/>
          </w:tcPr>
          <w:p>
            <w:pPr>
              <w:spacing w:after="20"/>
            </w:pPr>
            <w:r>
              <w:rPr>
                <w:color w:val="1C3A36"/>
                <w:sz w:val="14"/>
              </w:rPr>
              <w:t>126</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71"/>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32"/>
          </w:tcPr>
          <w:p>
            <w:pPr>
              <w:spacing w:after="20"/>
            </w:pPr>
            <w:r>
              <w:rPr>
                <w:color w:val="1C3A36"/>
                <w:sz w:val="14"/>
              </w:rPr>
              <w:t>127</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71"/>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32"/>
          </w:tcPr>
          <w:p>
            <w:pPr>
              <w:spacing w:after="20"/>
            </w:pPr>
            <w:r>
              <w:rPr>
                <w:color w:val="1C3A36"/>
                <w:sz w:val="14"/>
              </w:rPr>
              <w:t>128</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32"/>
          </w:tcPr>
          <w:p>
            <w:pPr>
              <w:spacing w:after="20"/>
            </w:pPr>
            <w:r>
              <w:rPr>
                <w:color w:val="1C3A36"/>
                <w:sz w:val="14"/>
              </w:rPr>
              <w:t>129</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71"/>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32"/>
          </w:tcPr>
          <w:p>
            <w:pPr>
              <w:spacing w:after="20"/>
            </w:pPr>
            <w:r>
              <w:rPr>
                <w:color w:val="1C3A36"/>
                <w:sz w:val="14"/>
              </w:rPr>
              <w:t>130</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71"/>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32"/>
          </w:tcPr>
          <w:p>
            <w:pPr>
              <w:spacing w:after="20"/>
            </w:pPr>
            <w:r>
              <w:rPr>
                <w:color w:val="1C3A36"/>
                <w:sz w:val="14"/>
              </w:rPr>
              <w:t>131</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32"/>
          </w:tcPr>
          <w:p>
            <w:pPr>
              <w:spacing w:after="20"/>
            </w:pPr>
            <w:r>
              <w:rPr>
                <w:color w:val="1C3A36"/>
                <w:sz w:val="14"/>
              </w:rPr>
              <w:t>132</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32"/>
          </w:tcPr>
          <w:p>
            <w:pPr>
              <w:spacing w:after="20"/>
            </w:pPr>
            <w:r>
              <w:rPr>
                <w:color w:val="1C3A36"/>
                <w:sz w:val="14"/>
              </w:rPr>
              <w:t>133</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32"/>
          </w:tcPr>
          <w:p>
            <w:pPr>
              <w:spacing w:after="20"/>
            </w:pPr>
            <w:r>
              <w:rPr>
                <w:color w:val="1C3A36"/>
                <w:sz w:val="14"/>
              </w:rPr>
              <w:t>134</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71"/>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32"/>
          </w:tcPr>
          <w:p>
            <w:pPr>
              <w:spacing w:after="20"/>
            </w:pPr>
            <w:r>
              <w:rPr>
                <w:color w:val="1C3A36"/>
                <w:sz w:val="14"/>
              </w:rPr>
              <w:t>135</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71"/>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32"/>
          </w:tcPr>
          <w:p>
            <w:pPr>
              <w:spacing w:after="20"/>
            </w:pPr>
            <w:r>
              <w:rPr>
                <w:color w:val="1C3A36"/>
                <w:sz w:val="14"/>
              </w:rPr>
              <w:t>136</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71"/>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32"/>
          </w:tcPr>
          <w:p>
            <w:pPr>
              <w:spacing w:after="20"/>
            </w:pPr>
            <w:r>
              <w:rPr>
                <w:color w:val="1C3A36"/>
                <w:sz w:val="14"/>
              </w:rPr>
              <w:t>137</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71"/>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32"/>
          </w:tcPr>
          <w:p>
            <w:pPr>
              <w:spacing w:after="20"/>
            </w:pPr>
            <w:r>
              <w:rPr>
                <w:color w:val="1C3A36"/>
                <w:sz w:val="14"/>
              </w:rPr>
              <w:t>138</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32"/>
          </w:tcPr>
          <w:p>
            <w:pPr>
              <w:spacing w:after="20"/>
            </w:pPr>
            <w:r>
              <w:rPr>
                <w:color w:val="1C3A36"/>
                <w:sz w:val="14"/>
              </w:rPr>
              <w:t>139</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32"/>
          </w:tcPr>
          <w:p>
            <w:pPr>
              <w:spacing w:after="20"/>
            </w:pPr>
            <w:r>
              <w:rPr>
                <w:color w:val="1C3A36"/>
                <w:sz w:val="14"/>
              </w:rPr>
              <w:t>140</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32"/>
          </w:tcPr>
          <w:p>
            <w:pPr>
              <w:spacing w:after="20"/>
            </w:pPr>
            <w:r>
              <w:rPr>
                <w:color w:val="1C3A36"/>
                <w:sz w:val="14"/>
              </w:rPr>
              <w:t>141</w:t>
            </w:r>
          </w:p>
        </w:tc>
        <w:tc>
          <w:tcPr>
            <w:tcW w:type="dxa" w:w="2448"/>
          </w:tcPr>
          <w:p>
            <w:pPr>
              <w:spacing w:after="20"/>
            </w:pPr>
            <w:r>
              <w:rPr>
                <w:color w:val="1C3A36"/>
                <w:sz w:val="14"/>
              </w:rPr>
              <w:t>fx_path</w:t>
            </w:r>
          </w:p>
        </w:tc>
        <w:tc>
          <w:tcPr>
            <w:tcW w:type="dxa" w:w="1325"/>
          </w:tcPr>
          <w:p>
            <w:pPr>
              <w:spacing w:after="20"/>
            </w:pPr>
            <w:r>
              <w:rPr>
                <w:color w:val="1C3A36"/>
                <w:sz w:val="14"/>
              </w:rPr>
              <w:t>49.26, 50.6, 53.1, 55.8, 58.6, 61.5</w:t>
            </w:r>
          </w:p>
        </w:tc>
        <w:tc>
          <w:tcPr>
            <w:tcW w:type="dxa" w:w="1066"/>
          </w:tcPr>
          <w:p>
            <w:pPr>
              <w:spacing w:after="20"/>
            </w:pPr>
            <w:r>
              <w:rPr>
                <w:color w:val="1C3A36"/>
                <w:sz w:val="14"/>
              </w:rPr>
              <w:t>House</w:t>
            </w:r>
          </w:p>
        </w:tc>
        <w:tc>
          <w:tcPr>
            <w:tcW w:type="dxa" w:w="7171"/>
          </w:tcPr>
          <w:p>
            <w:pPr>
              <w:spacing w:after="20"/>
            </w:pPr>
            <w:r>
              <w:rPr>
                <w:color w:val="1C3A36"/>
                <w:sz w:val="14"/>
              </w:rPr>
              <w:t>USD/EGP path, FY2025 actual average then FY2026E-FY2030E</w:t>
            </w:r>
          </w:p>
        </w:tc>
        <w:tc>
          <w:tcPr>
            <w:tcW w:type="dxa" w:w="1210"/>
          </w:tcPr>
          <w:p>
            <w:pPr>
              <w:spacing w:after="20"/>
            </w:pPr>
            <w:r>
              <w:rPr>
                <w:color w:val="1C3A36"/>
                <w:sz w:val="14"/>
              </w:rPr>
              <w:t>2026-08-06</w:t>
            </w:r>
          </w:p>
        </w:tc>
      </w:tr>
      <w:tr>
        <w:tc>
          <w:tcPr>
            <w:tcW w:type="dxa" w:w="432"/>
          </w:tcPr>
          <w:p>
            <w:pPr>
              <w:spacing w:after="20"/>
            </w:pPr>
            <w:r>
              <w:rPr>
                <w:color w:val="1C3A36"/>
                <w:sz w:val="14"/>
              </w:rPr>
              <w:t>142</w:t>
            </w:r>
          </w:p>
        </w:tc>
        <w:tc>
          <w:tcPr>
            <w:tcW w:type="dxa" w:w="2448"/>
          </w:tcPr>
          <w:p>
            <w:pPr>
              <w:spacing w:after="20"/>
            </w:pPr>
            <w:r>
              <w:rPr>
                <w:color w:val="1C3A36"/>
                <w:sz w:val="14"/>
              </w:rPr>
              <w:t>g_term</w:t>
            </w:r>
          </w:p>
        </w:tc>
        <w:tc>
          <w:tcPr>
            <w:tcW w:type="dxa" w:w="1325"/>
          </w:tcPr>
          <w:p>
            <w:pPr>
              <w:spacing w:after="20"/>
            </w:pPr>
            <w:r>
              <w:rPr>
                <w:color w:val="1C3A36"/>
                <w:sz w:val="14"/>
              </w:rPr>
              <w:t>0.05</w:t>
            </w:r>
          </w:p>
        </w:tc>
        <w:tc>
          <w:tcPr>
            <w:tcW w:type="dxa" w:w="1066"/>
          </w:tcPr>
          <w:p>
            <w:pPr>
              <w:spacing w:after="20"/>
            </w:pPr>
            <w:r>
              <w:rPr>
                <w:color w:val="1C3A36"/>
                <w:sz w:val="14"/>
              </w:rPr>
              <w:t>House</w:t>
            </w:r>
          </w:p>
        </w:tc>
        <w:tc>
          <w:tcPr>
            <w:tcW w:type="dxa" w:w="7171"/>
          </w:tcPr>
          <w:p>
            <w:pPr>
              <w:spacing w:after="20"/>
            </w:pPr>
            <w:r>
              <w:rPr>
                <w:color w:val="1C3A36"/>
                <w:sz w:val="14"/>
              </w:rPr>
              <w:t>Terminal growth, the house default for an established emerging-market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32"/>
          </w:tcPr>
          <w:p>
            <w:pPr>
              <w:spacing w:after="20"/>
            </w:pPr>
            <w:r>
              <w:rPr>
                <w:color w:val="1C3A36"/>
                <w:sz w:val="14"/>
              </w:rPr>
              <w:t>143</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71"/>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32"/>
          </w:tcPr>
          <w:p>
            <w:pPr>
              <w:spacing w:after="20"/>
            </w:pPr>
            <w:r>
              <w:rPr>
                <w:color w:val="1C3A36"/>
                <w:sz w:val="14"/>
              </w:rPr>
              <w:t>144</w:t>
            </w:r>
          </w:p>
        </w:tc>
        <w:tc>
          <w:tcPr>
            <w:tcW w:type="dxa" w:w="2448"/>
          </w:tcPr>
          <w:p>
            <w:pPr>
              <w:spacing w:after="20"/>
            </w:pPr>
            <w:r>
              <w:rPr>
                <w:color w:val="1C3A36"/>
                <w:sz w:val="14"/>
              </w:rPr>
              <w:t>kd_term</w:t>
            </w:r>
          </w:p>
        </w:tc>
        <w:tc>
          <w:tcPr>
            <w:tcW w:type="dxa" w:w="1325"/>
          </w:tcPr>
          <w:p>
            <w:pPr>
              <w:spacing w:after="20"/>
            </w:pPr>
            <w:r>
              <w:rPr>
                <w:color w:val="1C3A36"/>
                <w:sz w:val="14"/>
              </w:rPr>
              <w:t>0.135</w:t>
            </w:r>
          </w:p>
        </w:tc>
        <w:tc>
          <w:tcPr>
            <w:tcW w:type="dxa" w:w="1066"/>
          </w:tcPr>
          <w:p>
            <w:pPr>
              <w:spacing w:after="20"/>
            </w:pPr>
            <w:r>
              <w:rPr>
                <w:color w:val="1C3A36"/>
                <w:sz w:val="14"/>
              </w:rPr>
              <w:t>House</w:t>
            </w:r>
          </w:p>
        </w:tc>
        <w:tc>
          <w:tcPr>
            <w:tcW w:type="dxa" w:w="7171"/>
          </w:tcPr>
          <w:p>
            <w:pPr>
              <w:spacing w:after="20"/>
            </w:pPr>
            <w:r>
              <w:rPr>
                <w:color w:val="1C3A36"/>
                <w:sz w:val="14"/>
              </w:rPr>
              <w:t>Terminal cost of debt = the terminal risk-free rate plus a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32"/>
          </w:tcPr>
          <w:p>
            <w:pPr>
              <w:spacing w:after="20"/>
            </w:pPr>
            <w:r>
              <w:rPr>
                <w:color w:val="1C3A36"/>
                <w:sz w:val="14"/>
              </w:rPr>
              <w:t>145</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32"/>
          </w:tcPr>
          <w:p>
            <w:pPr>
              <w:spacing w:after="20"/>
            </w:pPr>
            <w:r>
              <w:rPr>
                <w:color w:val="1C3A36"/>
                <w:sz w:val="14"/>
              </w:rPr>
              <w:t>146</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147</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71"/>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32"/>
          </w:tcPr>
          <w:p>
            <w:pPr>
              <w:spacing w:after="20"/>
            </w:pPr>
            <w:r>
              <w:rPr>
                <w:color w:val="1C3A36"/>
                <w:sz w:val="14"/>
              </w:rPr>
              <w:t>148</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32"/>
          </w:tcPr>
          <w:p>
            <w:pPr>
              <w:spacing w:after="20"/>
            </w:pPr>
            <w:r>
              <w:rPr>
                <w:color w:val="1C3A36"/>
                <w:sz w:val="14"/>
              </w:rPr>
              <w:t>149</w:t>
            </w:r>
          </w:p>
        </w:tc>
        <w:tc>
          <w:tcPr>
            <w:tcW w:type="dxa" w:w="2448"/>
          </w:tcPr>
          <w:p>
            <w:pPr>
              <w:spacing w:after="20"/>
            </w:pPr>
            <w:r>
              <w:rPr>
                <w:color w:val="1C3A36"/>
                <w:sz w:val="14"/>
              </w:rPr>
              <w:t>rf_term</w:t>
            </w:r>
          </w:p>
        </w:tc>
        <w:tc>
          <w:tcPr>
            <w:tcW w:type="dxa" w:w="1325"/>
          </w:tcPr>
          <w:p>
            <w:pPr>
              <w:spacing w:after="20"/>
            </w:pPr>
            <w:r>
              <w:rPr>
                <w:color w:val="1C3A36"/>
                <w:sz w:val="14"/>
              </w:rPr>
              <w:t>0.105</w:t>
            </w:r>
          </w:p>
        </w:tc>
        <w:tc>
          <w:tcPr>
            <w:tcW w:type="dxa" w:w="1066"/>
          </w:tcPr>
          <w:p>
            <w:pPr>
              <w:spacing w:after="20"/>
            </w:pPr>
            <w:r>
              <w:rPr>
                <w:color w:val="1C3A36"/>
                <w:sz w:val="14"/>
              </w:rPr>
              <w:t>House</w:t>
            </w:r>
          </w:p>
        </w:tc>
        <w:tc>
          <w:tcPr>
            <w:tcW w:type="dxa" w:w="7171"/>
          </w:tcPr>
          <w:p>
            <w:pPr>
              <w:spacing w:after="20"/>
            </w:pPr>
            <w:r>
              <w:rPr>
                <w:color w:val="1C3A36"/>
                <w:sz w:val="14"/>
              </w:rPr>
              <w:t>Terminal risk-free rate, NORM-BUILT from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32"/>
          </w:tcPr>
          <w:p>
            <w:pPr>
              <w:spacing w:after="20"/>
            </w:pPr>
            <w:r>
              <w:rPr>
                <w:color w:val="1C3A36"/>
                <w:sz w:val="14"/>
              </w:rPr>
              <w:t>150</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 seven of twelve months</w:t>
            </w:r>
          </w:p>
        </w:tc>
        <w:tc>
          <w:tcPr>
            <w:tcW w:type="dxa" w:w="1210"/>
          </w:tcPr>
          <w:p>
            <w:pPr>
              <w:spacing w:after="20"/>
            </w:pPr>
            <w:r>
              <w:rPr>
                <w:color w:val="1C3A36"/>
                <w:sz w:val="14"/>
              </w:rPr>
              <w:t>2026-08-06</w:t>
            </w:r>
          </w:p>
        </w:tc>
      </w:tr>
      <w:tr>
        <w:tc>
          <w:tcPr>
            <w:tcW w:type="dxa" w:w="432"/>
          </w:tcPr>
          <w:p>
            <w:pPr>
              <w:spacing w:after="20"/>
            </w:pPr>
            <w:r>
              <w:rPr>
                <w:color w:val="1C3A36"/>
                <w:sz w:val="14"/>
              </w:rPr>
              <w:t>151</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32"/>
          </w:tcPr>
          <w:p>
            <w:pPr>
              <w:spacing w:after="20"/>
            </w:pPr>
            <w:r>
              <w:rPr>
                <w:color w:val="1C3A36"/>
                <w:sz w:val="14"/>
              </w:rPr>
              <w:t>152</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153</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71"/>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32"/>
          </w:tcPr>
          <w:p>
            <w:pPr>
              <w:spacing w:after="20"/>
            </w:pPr>
            <w:r>
              <w:rPr>
                <w:color w:val="1C3A36"/>
                <w:sz w:val="14"/>
              </w:rPr>
              <w:t>154</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32"/>
          </w:tcPr>
          <w:p>
            <w:pPr>
              <w:spacing w:after="20"/>
            </w:pPr>
            <w:r>
              <w:rPr>
                <w:color w:val="1C3A36"/>
                <w:sz w:val="14"/>
              </w:rPr>
              <w:t>155</w:t>
            </w:r>
          </w:p>
        </w:tc>
        <w:tc>
          <w:tcPr>
            <w:tcW w:type="dxa" w:w="2448"/>
          </w:tcPr>
          <w:p>
            <w:pPr>
              <w:spacing w:after="20"/>
            </w:pPr>
            <w:r>
              <w:rPr>
                <w:color w:val="1C3A36"/>
                <w:sz w:val="14"/>
              </w:rPr>
              <w:t>wc_pct_drev</w:t>
            </w:r>
          </w:p>
        </w:tc>
        <w:tc>
          <w:tcPr>
            <w:tcW w:type="dxa" w:w="1325"/>
          </w:tcPr>
          <w:p>
            <w:pPr>
              <w:spacing w:after="20"/>
            </w:pPr>
            <w:r>
              <w:rPr>
                <w:color w:val="1C3A36"/>
                <w:sz w:val="14"/>
              </w:rPr>
              <w:t>0.12</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 The FY2025 outturn on the disclosed movements is close to this</w:t>
            </w:r>
          </w:p>
        </w:tc>
        <w:tc>
          <w:tcPr>
            <w:tcW w:type="dxa" w:w="1210"/>
          </w:tcPr>
          <w:p>
            <w:pPr>
              <w:spacing w:after="20"/>
            </w:pPr>
            <w:r>
              <w:rPr>
                <w:color w:val="1C3A36"/>
                <w:sz w:val="14"/>
              </w:rPr>
              <w:t>2026-08-06</w:t>
            </w:r>
          </w:p>
        </w:tc>
      </w:tr>
      <w:tr>
        <w:tc>
          <w:tcPr>
            <w:tcW w:type="dxa" w:w="432"/>
          </w:tcPr>
          <w:p>
            <w:pPr>
              <w:spacing w:after="20"/>
            </w:pPr>
            <w:r>
              <w:rPr>
                <w:color w:val="1C3A36"/>
                <w:sz w:val="14"/>
              </w:rPr>
              <w:t>156</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Arabian Cement Company S.A.E. — FY2025 Investor Presentation</w:t>
            </w:r>
          </w:p>
        </w:tc>
        <w:tc>
          <w:tcPr>
            <w:tcW w:type="dxa" w:w="2333"/>
          </w:tcPr>
          <w:p>
            <w:pPr>
              <w:spacing w:after="20"/>
            </w:pPr>
            <w:r>
              <w:rPr>
                <w:color w:val="1C3A36"/>
                <w:sz w:val="16"/>
              </w:rPr>
              <w:t>COMPANY DISCLOSURE — PHYSICAL</w:t>
            </w:r>
          </w:p>
        </w:tc>
        <w:tc>
          <w:tcPr>
            <w:tcW w:type="dxa" w:w="5803"/>
          </w:tcPr>
          <w:p>
            <w:pPr>
              <w:spacing w:after="20"/>
            </w:pPr>
            <w:r>
              <w:rPr>
                <w:color w:val="1C3A36"/>
                <w:sz w:val="16"/>
              </w:rPr>
              <w:t>The tonnes. Sales volumes by product and market (local cement 2,923.6kt, cement exports 629.5kt, clinker exports 1,300.5kt, total 4,853.6kt), production indicators (clinker 3,851.6kt at 92% kiln utilisation, cement 3,480.6kt), the FY2024 comparatives that give the realised local price series, the fourth-quarter split that gives the exit rate, and the Egyptian market balance of 53.9Mt local plus 18.6Mt export. The audited statements carry no volume table, so every physical figure in three earlier editions of this study was reconstructed from an assumed price; all of them are now read from here. Its FINANCIAL tables are on a narrower basis than the audited consolidated accounts (revenue 12,320 against 12,447; total assets 8,640 against 8,784), so no financial figure is taken from it.</w:t>
            </w:r>
          </w:p>
        </w:tc>
        <w:tc>
          <w:tcPr>
            <w:tcW w:type="dxa" w:w="2880"/>
          </w:tcPr>
          <w:p>
            <w:pPr>
              <w:spacing w:after="20"/>
            </w:pPr>
            <w:r>
              <w:rPr>
                <w:color w:val="1C3A36"/>
                <w:sz w:val="16"/>
              </w:rPr>
              <w:t>Investor relations library, arabiancementcompany.com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LONGEST-DATED published inflation target of 5% for Q4-2028, used to build the terminal risk-free rate — earlier editions used the 7% Q4-2026 target and mis-described it as the medium-term one; headline urban inflation.</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only: nameplate capacity of about 76Mt, production of about 65Mt, domestic consumption of about 54Mt, exports of about 18.5Mt, the abolition of the production quota in May 2025 with exports capped at 30% of output, and the 12.6Mt of dormant capacity under revival from the second half of 2026. No company figure is taken from these sources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1.930Mt, and local sales of goods of EGP 8,350.45mn divided by an assumed EGP 3,500 a tonne gives 2.923Mt. Total 4.854Mt,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157, overheads and cash administration EGP 210, total EGP 1,542.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7.89%</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8.8%</w:t>
            </w:r>
          </w:p>
        </w:tc>
        <w:tc>
          <w:tcPr>
            <w:tcW w:type="dxa" w:w="10224"/>
          </w:tcPr>
          <w:p>
            <w:pPr>
              <w:spacing w:after="20"/>
            </w:pPr>
            <w:r>
              <w:rPr>
                <w:color w:val="1C3A36"/>
                <w:sz w:val="16"/>
              </w:rPr>
              <w:t>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1.0302 adopted (tier 2)</w:t>
            </w:r>
          </w:p>
        </w:tc>
        <w:tc>
          <w:tcPr>
            <w:tcW w:type="dxa" w:w="10224"/>
          </w:tcPr>
          <w:p>
            <w:pPr>
              <w:spacing w:after="20"/>
            </w:pPr>
            <w:r>
              <w:rPr>
                <w:color w:val="1C3A36"/>
                <w:sz w:val="16"/>
              </w:rPr>
              <w:t>Regressor: the PUBLISHED EGX30 index, raw_indices/EG/EGX30.csv, as of 2026-07-22. The own-stock five-year weekly regression gives 0.6981 on 253 observations with R-squared 0.047 and standard error 0.228, which FAILS the usability gate (R-squared floor 0.05) and is therefore reported and set aside, not adopted. Adopted instead: the median of the 5 same-country heavy-industrial peers that do clear the gate against the same index — ABUK 0.6438, EGAL 0.9186, EGCH 1.0302, ELEC 1.0334, SWDY 1.2084. Suez Cement, the direct cement peer, fails the gate too (R-squared 0.025) and is excluded. SUPERSEDES a beta of 0.6281 regressed against an equal-weight composite of the covered Egyptian names, which is not a permissible regressor: a composite of the names a research programme happens to cover is a coverage artefact, not a market. NOT unlevered and re-levered — peer balance sheets were not built from primary filings for this purpose. The company runs net cash, so re-levering would give a LOWER beta and a HIGHER value; the figure used is the conservative one.</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Audited cash of EGP 3,459.39mn less audited interest-bearing debt of EGP 1,135.11mn,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26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40.77%</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gate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