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6 August 2026, issued 8 August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3,459mn against interest-bearing debt of EGP 1,135mn. Every figure in this study is read from the audited consolidated accounts.</w:t>
            </w:r>
          </w:p>
          <w:p>
            <w:pPr>
              <w:spacing w:after="100"/>
            </w:pPr>
            <w:r>
              <w:rPr>
                <w:b/>
                <w:color w:val="1C3A36"/>
                <w:sz w:val="19"/>
              </w:rPr>
              <w:t xml:space="preserve">Where the value lands. </w:t>
            </w:r>
            <w:r>
              <w:rPr>
                <w:color w:val="1C3A36"/>
                <w:sz w:val="19"/>
              </w:rPr>
              <w:t>Four lenses put the shares between EGP 46.50 and EGP 68.87, weighting to a central EGP 50.20 against a market price of EGP 59.00 — -14.9%.</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46.50</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-21.2%</w:t>
            </w:r>
          </w:p>
        </w:tc>
        <w:tc>
          <w:tcPr>
            <w:tcW w:type="dxa" w:w="1958"/>
          </w:tcPr>
          <w:p>
            <w:pPr>
              <w:spacing w:after="20"/>
              <w:jc w:val="right"/>
            </w:pPr>
            <w:r>
              <w:rPr>
                <w:color w:val="1C3A36"/>
                <w:sz w:val="18"/>
              </w:rPr>
              <w:t>44.4%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48.96</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-17.0%</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52.95</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-10.3%</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68.87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+16.7%</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50.20</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-14.9%</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46.50 – 68.87</w:t>
            </w:r>
          </w:p>
        </w:tc>
        <w:tc>
          <w:tcPr>
            <w:tcW w:type="dxa" w:w="1037"/>
          </w:tcPr>
          <w:p>
            <w:pPr>
              <w:spacing w:after="20"/>
              <w:jc w:val="right"/>
            </w:pPr>
            <w:r>
              <w:rPr>
                <w:color w:val="1C3A36"/>
                <w:sz w:val="18"/>
              </w:rPr>
              <w:t>—</w:t>
            </w:r>
          </w:p>
        </w:tc>
        <w:tc>
          <w:tcPr>
            <w:tcW w:type="dxa" w:w="1469"/>
          </w:tcPr>
          <w:p>
            <w:pPr>
              <w:spacing w:after="20"/>
              <w:jc w:val="right"/>
            </w:pPr>
            <w:r>
              <w:rPr>
                <w:color w:val="1C3A36"/>
                <w:sz w:val="18"/>
              </w:rPr>
              <w:t>-21.2% to +16.7%</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6,279</w:t>
            </w:r>
          </w:p>
        </w:tc>
        <w:tc>
          <w:tcPr>
            <w:tcW w:type="dxa" w:w="1872"/>
          </w:tcPr>
          <w:p>
            <w:pPr>
              <w:spacing w:after="20"/>
              <w:jc w:val="right"/>
            </w:pPr>
            <w:r>
              <w:rPr>
                <w:color w:val="1C3A36"/>
                <w:sz w:val="18"/>
              </w:rPr>
              <w:t>8,477</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844</w:t>
            </w:r>
          </w:p>
        </w:tc>
        <w:tc>
          <w:tcPr>
            <w:tcW w:type="dxa" w:w="1872"/>
          </w:tcPr>
          <w:p>
            <w:pPr>
              <w:spacing w:after="20"/>
              <w:jc w:val="right"/>
            </w:pPr>
            <w:r>
              <w:rPr>
                <w:color w:val="1C3A36"/>
                <w:sz w:val="18"/>
              </w:rPr>
              <w:t>1,198</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1,128</w:t>
            </w:r>
          </w:p>
        </w:tc>
        <w:tc>
          <w:tcPr>
            <w:tcW w:type="dxa" w:w="1872"/>
          </w:tcPr>
          <w:p>
            <w:pPr>
              <w:spacing w:after="20"/>
              <w:jc w:val="right"/>
            </w:pPr>
            <w:r>
              <w:rPr>
                <w:color w:val="1C3A36"/>
                <w:sz w:val="18"/>
              </w:rPr>
              <w:t>1,601</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1,716</w:t>
            </w:r>
          </w:p>
        </w:tc>
        <w:tc>
          <w:tcPr>
            <w:tcW w:type="dxa" w:w="1872"/>
            <w:shd w:val="clear" w:color="auto" w:fill="F6F1E6"/>
          </w:tcPr>
          <w:p>
            <w:pPr>
              <w:spacing w:after="20"/>
              <w:jc w:val="right"/>
            </w:pPr>
            <w:r>
              <w:rPr>
                <w:b/>
                <w:color w:val="1C3A36"/>
                <w:sz w:val="18"/>
              </w:rPr>
              <w:t>2,288</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2,709</w:t>
            </w:r>
          </w:p>
        </w:tc>
        <w:tc>
          <w:tcPr>
            <w:tcW w:type="dxa" w:w="1872"/>
          </w:tcPr>
          <w:p>
            <w:pPr>
              <w:spacing w:after="20"/>
              <w:jc w:val="right"/>
            </w:pPr>
            <w:r>
              <w:rPr>
                <w:color w:val="1C3A36"/>
                <w:sz w:val="18"/>
              </w:rPr>
              <w:t>3,555</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4,692</w:t>
            </w:r>
          </w:p>
        </w:tc>
        <w:tc>
          <w:tcPr>
            <w:tcW w:type="dxa" w:w="1872"/>
            <w:shd w:val="clear" w:color="auto" w:fill="F6F1E6"/>
          </w:tcPr>
          <w:p>
            <w:pPr>
              <w:spacing w:after="20"/>
              <w:jc w:val="right"/>
            </w:pPr>
            <w:r>
              <w:rPr>
                <w:b/>
                <w:color w:val="1C3A36"/>
                <w:sz w:val="18"/>
              </w:rPr>
              <w:t>6,138</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36.0%</w:t>
            </w:r>
          </w:p>
        </w:tc>
        <w:tc>
          <w:tcPr>
            <w:tcW w:type="dxa" w:w="1872"/>
            <w:shd w:val="clear" w:color="auto" w:fill="F6F1E6"/>
          </w:tcPr>
          <w:p>
            <w:pPr>
              <w:spacing w:after="20"/>
              <w:jc w:val="right"/>
            </w:pPr>
            <w:r>
              <w:rPr>
                <w:b/>
                <w:color w:val="1C3A36"/>
                <w:sz w:val="18"/>
              </w:rPr>
              <w:t>35.0%</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4.00 per tonne of installed capacity — about EGP 1,012mn in FY2026 against a book charge of EGP 326mn. Setting capex equal to book depreciation would flatter free cash flow by construction; the cost of refusing to do so is computed in section 1.9 and is worth +14.3%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7.89%</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7.89%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+3.1% of the cash-flow lens, because debt is only 4.9%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w:t>
            </w:r>
          </w:p>
        </w:tc>
        <w:tc>
          <w:tcPr>
            <w:tcW w:type="dxa" w:w="2592"/>
          </w:tcPr>
          <w:p>
            <w:pPr>
              <w:spacing w:after="20"/>
              <w:jc w:val="right"/>
            </w:pPr>
            <w:r>
              <w:rPr>
                <w:color w:val="1C3A36"/>
                <w:sz w:val="18"/>
              </w:rPr>
              <w:t>1.030</w:t>
            </w:r>
          </w:p>
        </w:tc>
        <w:tc>
          <w:tcPr>
            <w:tcW w:type="dxa" w:w="2592"/>
          </w:tcPr>
          <w:p>
            <w:pPr>
              <w:spacing w:after="20"/>
              <w:jc w:val="right"/>
            </w:pPr>
            <w:r>
              <w:rPr>
                <w:color w:val="1C3A36"/>
                <w:sz w:val="18"/>
              </w:rPr>
              <w:t>1.183</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29.24%</w:t>
            </w:r>
          </w:p>
        </w:tc>
        <w:tc>
          <w:tcPr>
            <w:tcW w:type="dxa" w:w="2592"/>
          </w:tcPr>
          <w:p>
            <w:pPr>
              <w:spacing w:after="20"/>
              <w:jc w:val="right"/>
            </w:pPr>
            <w:r>
              <w:rPr>
                <w:color w:val="1C3A36"/>
                <w:sz w:val="18"/>
              </w:rPr>
              <w:t>18.78%</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6.12%</w:t>
            </w:r>
          </w:p>
        </w:tc>
        <w:tc>
          <w:tcPr>
            <w:tcW w:type="dxa" w:w="2592"/>
          </w:tcPr>
          <w:p>
            <w:pPr>
              <w:spacing w:after="20"/>
              <w:jc w:val="right"/>
            </w:pPr>
            <w:r>
              <w:rPr>
                <w:color w:val="1C3A36"/>
                <w:sz w:val="18"/>
              </w:rPr>
              <w:t>10.46%</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4.88%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28.12%</w:t>
            </w:r>
          </w:p>
        </w:tc>
        <w:tc>
          <w:tcPr>
            <w:tcW w:type="dxa" w:w="2592"/>
            <w:shd w:val="clear" w:color="auto" w:fill="F6F1E6"/>
          </w:tcPr>
          <w:p>
            <w:pPr>
              <w:spacing w:after="20"/>
              <w:jc w:val="right"/>
            </w:pPr>
            <w:r>
              <w:rPr>
                <w:b/>
                <w:color w:val="1C3A36"/>
                <w:sz w:val="18"/>
              </w:rPr>
              <w:t>17.12%</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32.64% instead of 29.24%.</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28.12%</w:t>
            </w:r>
          </w:p>
        </w:tc>
        <w:tc>
          <w:tcPr>
            <w:tcW w:type="dxa" w:w="1526"/>
          </w:tcPr>
          <w:p>
            <w:pPr>
              <w:spacing w:after="20"/>
              <w:jc w:val="right"/>
            </w:pPr>
            <w:r>
              <w:rPr>
                <w:color w:val="1C3A36"/>
                <w:sz w:val="18"/>
              </w:rPr>
              <w:t>23.95%</w:t>
            </w:r>
          </w:p>
        </w:tc>
        <w:tc>
          <w:tcPr>
            <w:tcW w:type="dxa" w:w="1526"/>
          </w:tcPr>
          <w:p>
            <w:pPr>
              <w:spacing w:after="20"/>
              <w:jc w:val="right"/>
            </w:pPr>
            <w:r>
              <w:rPr>
                <w:color w:val="1C3A36"/>
                <w:sz w:val="18"/>
              </w:rPr>
              <w:t>20.62%</w:t>
            </w:r>
          </w:p>
        </w:tc>
        <w:tc>
          <w:tcPr>
            <w:tcW w:type="dxa" w:w="1526"/>
          </w:tcPr>
          <w:p>
            <w:pPr>
              <w:spacing w:after="20"/>
              <w:jc w:val="right"/>
            </w:pPr>
            <w:r>
              <w:rPr>
                <w:color w:val="1C3A36"/>
                <w:sz w:val="18"/>
              </w:rPr>
              <w:t>18.62%</w:t>
            </w:r>
          </w:p>
        </w:tc>
        <w:tc>
          <w:tcPr>
            <w:tcW w:type="dxa" w:w="1526"/>
          </w:tcPr>
          <w:p>
            <w:pPr>
              <w:spacing w:after="20"/>
              <w:jc w:val="right"/>
            </w:pPr>
            <w:r>
              <w:rPr>
                <w:color w:val="1C3A36"/>
                <w:sz w:val="18"/>
              </w:rPr>
              <w:t>17.12%</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0.9497</w:t>
            </w:r>
          </w:p>
        </w:tc>
        <w:tc>
          <w:tcPr>
            <w:tcW w:type="dxa" w:w="1526"/>
          </w:tcPr>
          <w:p>
            <w:pPr>
              <w:spacing w:after="20"/>
              <w:jc w:val="right"/>
            </w:pPr>
            <w:r>
              <w:rPr>
                <w:color w:val="1C3A36"/>
                <w:sz w:val="18"/>
              </w:rPr>
              <w:t>0.8100</w:t>
            </w:r>
          </w:p>
        </w:tc>
        <w:tc>
          <w:tcPr>
            <w:tcW w:type="dxa" w:w="1526"/>
          </w:tcPr>
          <w:p>
            <w:pPr>
              <w:spacing w:after="20"/>
              <w:jc w:val="right"/>
            </w:pPr>
            <w:r>
              <w:rPr>
                <w:color w:val="1C3A36"/>
                <w:sz w:val="18"/>
              </w:rPr>
              <w:t>0.6625</w:t>
            </w:r>
          </w:p>
        </w:tc>
        <w:tc>
          <w:tcPr>
            <w:tcW w:type="dxa" w:w="1526"/>
          </w:tcPr>
          <w:p>
            <w:pPr>
              <w:spacing w:after="20"/>
              <w:jc w:val="right"/>
            </w:pPr>
            <w:r>
              <w:rPr>
                <w:color w:val="1C3A36"/>
                <w:sz w:val="18"/>
              </w:rPr>
              <w:t>0.5539</w:t>
            </w:r>
          </w:p>
        </w:tc>
        <w:tc>
          <w:tcPr>
            <w:tcW w:type="dxa" w:w="1526"/>
          </w:tcPr>
          <w:p>
            <w:pPr>
              <w:spacing w:after="20"/>
              <w:jc w:val="right"/>
            </w:pPr>
            <w:r>
              <w:rPr>
                <w:color w:val="1C3A36"/>
                <w:sz w:val="18"/>
              </w:rPr>
              <w:t>0.4699</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 the regressor, and why this one is a peer beta</w:t>
      </w:r>
    </w:p>
    <w:p>
      <w:pPr>
        <w:spacing w:after="120" w:before="0"/>
      </w:pPr>
      <w:r>
        <w:rPr>
          <w:b w:val="0"/>
          <w:i w:val="0"/>
          <w:color w:val="1C3A36"/>
          <w:sz w:val="21"/>
        </w:rPr>
        <w:t>Beta is measured against the published index of the exchange the share is listed on: the EGX30, read from the exchange series held in the research library as of 2026-07-22. That is a change from the previous edition of this study, and it is the substantive change in this one. The earlier figure of 0.628 was regressed against an equal-weight basket of the other Egyptian names this research programme happens to cover. Such a basket is not a market: it changes whenever a company is added to the coverage, it mixes businesses that have nothing to do with cement, and it shares its constituents with the very set the estimate is used to price. It is not a weaker version of the right answer; it is a different question.</w:t>
      </w:r>
    </w:p>
    <w:p>
      <w:pPr>
        <w:spacing w:after="120" w:before="0"/>
      </w:pPr>
      <w:r>
        <w:rPr>
          <w:b w:val="0"/>
          <w:i w:val="0"/>
          <w:color w:val="1C3A36"/>
          <w:sz w:val="21"/>
        </w:rPr>
        <w:t>Measured properly, the regression gives a beta of 0.698 on 253 weekly observations, with an R-squared of 4.7% and a standard error of 0.228. THE R-SQUARED IS THE PROBLEM. A usable regression must explain at least 5% of the share's weekly movement, and this one explains under five. The index barely tracks the stock. So the regression is NOT adopted, however convenient its number would have been — it is reported and set aside.</w:t>
      </w:r>
    </w:p>
    <w:p>
      <w:pPr>
        <w:spacing w:after="120" w:before="0"/>
      </w:pPr>
      <w:r>
        <w:rPr>
          <w:b w:val="0"/>
          <w:i w:val="0"/>
          <w:color w:val="1C3A36"/>
          <w:sz w:val="21"/>
        </w:rPr>
        <w:t>What replaces it is a peer beta, which is the next step in a fixed order of preference rather than a matter of taste. Five Egyptian heavy-industrial companies clear the same usability test against the same index, and their median is 1.030: ABUK 0.644, EGAL 0.919, EGCH 1.030, ELEC 1.033, SWDY 1.208. Suez Cement, the one direct cement peer, is excluded because it fails the same test (2.5% R-squared) — neither Egyptian cement company is well explained by the EGX30, which is itself worth knowing about a thirty-name index in a market where cement is a small part of the listed economy.</w:t>
      </w:r>
    </w:p>
    <w:p>
      <w:pPr>
        <w:spacing w:after="120" w:before="0"/>
      </w:pPr>
      <w:r>
        <w:rPr>
          <w:b w:val="0"/>
          <w:i w:val="0"/>
          <w:color w:val="1C3A36"/>
          <w:sz w:val="21"/>
        </w:rPr>
        <w:t>Two things about this are stated plainly rather than left for a reader to find. FIRST, the peer betas are not unlevered and re-levered to this company's own capital structure, because the peers' balance sheets were not built from primary filings for this purpose. The direction of that omission is known and it runs against the valuation: this company holds more cash than debt, and a business with no net borrowings has a lower equity beta than a levered peer, so re-levering would lower the cost of equity and RAISE the value. The number used here is the conservative one. SECOND, the correction is large — from 0.628 to 1.030 — and it is most of the reason the valuation in this edition sits below the last one. The table below shows the value across a beta range that spans both figures, so a reader can see the whole of that sensitivity rather than take the chosen point on trust.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57.47</w:t>
            </w:r>
          </w:p>
        </w:tc>
        <w:tc>
          <w:tcPr>
            <w:tcW w:type="dxa" w:w="1411"/>
          </w:tcPr>
          <w:p>
            <w:pPr>
              <w:spacing w:after="20"/>
              <w:jc w:val="right"/>
            </w:pPr>
            <w:r>
              <w:rPr>
                <w:color w:val="1C3A36"/>
                <w:sz w:val="18"/>
              </w:rPr>
              <w:t>52.18</w:t>
            </w:r>
          </w:p>
        </w:tc>
        <w:tc>
          <w:tcPr>
            <w:tcW w:type="dxa" w:w="1411"/>
          </w:tcPr>
          <w:p>
            <w:pPr>
              <w:spacing w:after="20"/>
              <w:jc w:val="right"/>
            </w:pPr>
            <w:r>
              <w:rPr>
                <w:color w:val="1C3A36"/>
                <w:sz w:val="18"/>
              </w:rPr>
              <w:t>48.00</w:t>
            </w:r>
          </w:p>
        </w:tc>
        <w:tc>
          <w:tcPr>
            <w:tcW w:type="dxa" w:w="1411"/>
          </w:tcPr>
          <w:p>
            <w:pPr>
              <w:spacing w:after="20"/>
              <w:jc w:val="right"/>
            </w:pPr>
            <w:r>
              <w:rPr>
                <w:color w:val="1C3A36"/>
                <w:sz w:val="18"/>
              </w:rPr>
              <w:t>45.39</w:t>
            </w:r>
          </w:p>
        </w:tc>
        <w:tc>
          <w:tcPr>
            <w:tcW w:type="dxa" w:w="1411"/>
          </w:tcPr>
          <w:p>
            <w:pPr>
              <w:spacing w:after="20"/>
              <w:jc w:val="right"/>
            </w:pPr>
            <w:r>
              <w:rPr>
                <w:color w:val="1C3A36"/>
                <w:sz w:val="18"/>
              </w:rPr>
              <w:t>43.13</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13,025</w:t>
            </w:r>
          </w:p>
        </w:tc>
        <w:tc>
          <w:tcPr>
            <w:tcW w:type="dxa" w:w="1325"/>
          </w:tcPr>
          <w:p>
            <w:pPr>
              <w:spacing w:after="20"/>
              <w:jc w:val="right"/>
            </w:pPr>
            <w:r>
              <w:rPr>
                <w:color w:val="1C3A36"/>
                <w:sz w:val="17"/>
              </w:rPr>
              <w:t>14,155</w:t>
            </w:r>
          </w:p>
        </w:tc>
        <w:tc>
          <w:tcPr>
            <w:tcW w:type="dxa" w:w="1325"/>
          </w:tcPr>
          <w:p>
            <w:pPr>
              <w:spacing w:after="20"/>
              <w:jc w:val="right"/>
            </w:pPr>
            <w:r>
              <w:rPr>
                <w:color w:val="1C3A36"/>
                <w:sz w:val="17"/>
              </w:rPr>
              <w:t>15,350</w:t>
            </w:r>
          </w:p>
        </w:tc>
        <w:tc>
          <w:tcPr>
            <w:tcW w:type="dxa" w:w="1325"/>
          </w:tcPr>
          <w:p>
            <w:pPr>
              <w:spacing w:after="20"/>
              <w:jc w:val="right"/>
            </w:pPr>
            <w:r>
              <w:rPr>
                <w:color w:val="1C3A36"/>
                <w:sz w:val="17"/>
              </w:rPr>
              <w:t>16,437</w:t>
            </w:r>
          </w:p>
        </w:tc>
        <w:tc>
          <w:tcPr>
            <w:tcW w:type="dxa" w:w="1325"/>
          </w:tcPr>
          <w:p>
            <w:pPr>
              <w:spacing w:after="20"/>
              <w:jc w:val="right"/>
            </w:pPr>
            <w:r>
              <w:rPr>
                <w:color w:val="1C3A36"/>
                <w:sz w:val="17"/>
              </w:rPr>
              <w:t>17,524</w:t>
            </w:r>
          </w:p>
        </w:tc>
      </w:tr>
      <w:tr>
        <w:tc>
          <w:tcPr>
            <w:tcW w:type="dxa" w:w="3024"/>
          </w:tcPr>
          <w:p>
            <w:pPr>
              <w:spacing w:after="20"/>
            </w:pPr>
            <w:r>
              <w:rPr>
                <w:color w:val="1C3A36"/>
                <w:sz w:val="17"/>
              </w:rPr>
              <w:t>EBITDA</w:t>
            </w:r>
          </w:p>
        </w:tc>
        <w:tc>
          <w:tcPr>
            <w:tcW w:type="dxa" w:w="1325"/>
          </w:tcPr>
          <w:p>
            <w:pPr>
              <w:spacing w:after="20"/>
              <w:jc w:val="right"/>
            </w:pPr>
            <w:r>
              <w:rPr>
                <w:color w:val="1C3A36"/>
                <w:sz w:val="17"/>
              </w:rPr>
              <w:t>4,692</w:t>
            </w:r>
          </w:p>
        </w:tc>
        <w:tc>
          <w:tcPr>
            <w:tcW w:type="dxa" w:w="1325"/>
          </w:tcPr>
          <w:p>
            <w:pPr>
              <w:spacing w:after="20"/>
              <w:jc w:val="right"/>
            </w:pPr>
            <w:r>
              <w:rPr>
                <w:color w:val="1C3A36"/>
                <w:sz w:val="17"/>
              </w:rPr>
              <w:t>5,044</w:t>
            </w:r>
          </w:p>
        </w:tc>
        <w:tc>
          <w:tcPr>
            <w:tcW w:type="dxa" w:w="1325"/>
          </w:tcPr>
          <w:p>
            <w:pPr>
              <w:spacing w:after="20"/>
              <w:jc w:val="right"/>
            </w:pPr>
            <w:r>
              <w:rPr>
                <w:color w:val="1C3A36"/>
                <w:sz w:val="17"/>
              </w:rPr>
              <w:t>5,439</w:t>
            </w:r>
          </w:p>
        </w:tc>
        <w:tc>
          <w:tcPr>
            <w:tcW w:type="dxa" w:w="1325"/>
          </w:tcPr>
          <w:p>
            <w:pPr>
              <w:spacing w:after="20"/>
              <w:jc w:val="right"/>
            </w:pPr>
            <w:r>
              <w:rPr>
                <w:color w:val="1C3A36"/>
                <w:sz w:val="17"/>
              </w:rPr>
              <w:t>5,762</w:t>
            </w:r>
          </w:p>
        </w:tc>
        <w:tc>
          <w:tcPr>
            <w:tcW w:type="dxa" w:w="1325"/>
          </w:tcPr>
          <w:p>
            <w:pPr>
              <w:spacing w:after="20"/>
              <w:jc w:val="right"/>
            </w:pPr>
            <w:r>
              <w:rPr>
                <w:color w:val="1C3A36"/>
                <w:sz w:val="17"/>
              </w:rPr>
              <w:t>6,138</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35.6%</w:t>
            </w:r>
          </w:p>
        </w:tc>
        <w:tc>
          <w:tcPr>
            <w:tcW w:type="dxa" w:w="1325"/>
          </w:tcPr>
          <w:p>
            <w:pPr>
              <w:spacing w:after="20"/>
              <w:jc w:val="right"/>
            </w:pPr>
            <w:r>
              <w:rPr>
                <w:color w:val="1C3A36"/>
                <w:sz w:val="17"/>
              </w:rPr>
              <w:t>35.4%</w:t>
            </w:r>
          </w:p>
        </w:tc>
        <w:tc>
          <w:tcPr>
            <w:tcW w:type="dxa" w:w="1325"/>
          </w:tcPr>
          <w:p>
            <w:pPr>
              <w:spacing w:after="20"/>
              <w:jc w:val="right"/>
            </w:pPr>
            <w:r>
              <w:rPr>
                <w:color w:val="1C3A36"/>
                <w:sz w:val="17"/>
              </w:rPr>
              <w:t>35.1%</w:t>
            </w:r>
          </w:p>
        </w:tc>
        <w:tc>
          <w:tcPr>
            <w:tcW w:type="dxa" w:w="1325"/>
          </w:tcPr>
          <w:p>
            <w:pPr>
              <w:spacing w:after="20"/>
              <w:jc w:val="right"/>
            </w:pPr>
            <w:r>
              <w:rPr>
                <w:color w:val="1C3A36"/>
                <w:sz w:val="17"/>
              </w:rPr>
              <w:t>35.0%</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326</w:t>
            </w:r>
          </w:p>
        </w:tc>
        <w:tc>
          <w:tcPr>
            <w:tcW w:type="dxa" w:w="1325"/>
          </w:tcPr>
          <w:p>
            <w:pPr>
              <w:spacing w:after="20"/>
              <w:jc w:val="right"/>
            </w:pPr>
            <w:r>
              <w:rPr>
                <w:color w:val="1C3A36"/>
                <w:sz w:val="17"/>
              </w:rPr>
              <w:t>382</w:t>
            </w:r>
          </w:p>
        </w:tc>
        <w:tc>
          <w:tcPr>
            <w:tcW w:type="dxa" w:w="1325"/>
          </w:tcPr>
          <w:p>
            <w:pPr>
              <w:spacing w:after="20"/>
              <w:jc w:val="right"/>
            </w:pPr>
            <w:r>
              <w:rPr>
                <w:color w:val="1C3A36"/>
                <w:sz w:val="17"/>
              </w:rPr>
              <w:t>445</w:t>
            </w:r>
          </w:p>
        </w:tc>
        <w:tc>
          <w:tcPr>
            <w:tcW w:type="dxa" w:w="1325"/>
          </w:tcPr>
          <w:p>
            <w:pPr>
              <w:spacing w:after="20"/>
              <w:jc w:val="right"/>
            </w:pPr>
            <w:r>
              <w:rPr>
                <w:color w:val="1C3A36"/>
                <w:sz w:val="17"/>
              </w:rPr>
              <w:t>510</w:t>
            </w:r>
          </w:p>
        </w:tc>
        <w:tc>
          <w:tcPr>
            <w:tcW w:type="dxa" w:w="1325"/>
          </w:tcPr>
          <w:p>
            <w:pPr>
              <w:spacing w:after="20"/>
              <w:jc w:val="right"/>
            </w:pPr>
            <w:r>
              <w:rPr>
                <w:color w:val="1C3A36"/>
                <w:sz w:val="17"/>
              </w:rPr>
              <w:t>578</w:t>
            </w:r>
          </w:p>
        </w:tc>
      </w:tr>
      <w:tr>
        <w:tc>
          <w:tcPr>
            <w:tcW w:type="dxa" w:w="3024"/>
          </w:tcPr>
          <w:p>
            <w:pPr>
              <w:spacing w:after="20"/>
            </w:pPr>
            <w:r>
              <w:rPr>
                <w:color w:val="1C3A36"/>
                <w:sz w:val="17"/>
              </w:rPr>
              <w:t>EBIT</w:t>
            </w:r>
          </w:p>
        </w:tc>
        <w:tc>
          <w:tcPr>
            <w:tcW w:type="dxa" w:w="1325"/>
          </w:tcPr>
          <w:p>
            <w:pPr>
              <w:spacing w:after="20"/>
              <w:jc w:val="right"/>
            </w:pPr>
            <w:r>
              <w:rPr>
                <w:color w:val="1C3A36"/>
                <w:sz w:val="17"/>
              </w:rPr>
              <w:t>4,367</w:t>
            </w:r>
          </w:p>
        </w:tc>
        <w:tc>
          <w:tcPr>
            <w:tcW w:type="dxa" w:w="1325"/>
          </w:tcPr>
          <w:p>
            <w:pPr>
              <w:spacing w:after="20"/>
              <w:jc w:val="right"/>
            </w:pPr>
            <w:r>
              <w:rPr>
                <w:color w:val="1C3A36"/>
                <w:sz w:val="17"/>
              </w:rPr>
              <w:t>4,662</w:t>
            </w:r>
          </w:p>
        </w:tc>
        <w:tc>
          <w:tcPr>
            <w:tcW w:type="dxa" w:w="1325"/>
          </w:tcPr>
          <w:p>
            <w:pPr>
              <w:spacing w:after="20"/>
              <w:jc w:val="right"/>
            </w:pPr>
            <w:r>
              <w:rPr>
                <w:color w:val="1C3A36"/>
                <w:sz w:val="17"/>
              </w:rPr>
              <w:t>4,994</w:t>
            </w:r>
          </w:p>
        </w:tc>
        <w:tc>
          <w:tcPr>
            <w:tcW w:type="dxa" w:w="1325"/>
          </w:tcPr>
          <w:p>
            <w:pPr>
              <w:spacing w:after="20"/>
              <w:jc w:val="right"/>
            </w:pPr>
            <w:r>
              <w:rPr>
                <w:color w:val="1C3A36"/>
                <w:sz w:val="17"/>
              </w:rPr>
              <w:t>5,253</w:t>
            </w:r>
          </w:p>
        </w:tc>
        <w:tc>
          <w:tcPr>
            <w:tcW w:type="dxa" w:w="1325"/>
          </w:tcPr>
          <w:p>
            <w:pPr>
              <w:spacing w:after="20"/>
              <w:jc w:val="right"/>
            </w:pPr>
            <w:r>
              <w:rPr>
                <w:color w:val="1C3A36"/>
                <w:sz w:val="17"/>
              </w:rPr>
              <w:t>5,559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3,327</w:t>
            </w:r>
          </w:p>
        </w:tc>
        <w:tc>
          <w:tcPr>
            <w:tcW w:type="dxa" w:w="1325"/>
          </w:tcPr>
          <w:p>
            <w:pPr>
              <w:spacing w:after="20"/>
              <w:jc w:val="right"/>
            </w:pPr>
            <w:r>
              <w:rPr>
                <w:color w:val="1C3A36"/>
                <w:sz w:val="17"/>
              </w:rPr>
              <w:t>3,552</w:t>
            </w:r>
          </w:p>
        </w:tc>
        <w:tc>
          <w:tcPr>
            <w:tcW w:type="dxa" w:w="1325"/>
          </w:tcPr>
          <w:p>
            <w:pPr>
              <w:spacing w:after="20"/>
              <w:jc w:val="right"/>
            </w:pPr>
            <w:r>
              <w:rPr>
                <w:color w:val="1C3A36"/>
                <w:sz w:val="17"/>
              </w:rPr>
              <w:t>3,804</w:t>
            </w:r>
          </w:p>
        </w:tc>
        <w:tc>
          <w:tcPr>
            <w:tcW w:type="dxa" w:w="1325"/>
          </w:tcPr>
          <w:p>
            <w:pPr>
              <w:spacing w:after="20"/>
              <w:jc w:val="right"/>
            </w:pPr>
            <w:r>
              <w:rPr>
                <w:color w:val="1C3A36"/>
                <w:sz w:val="17"/>
              </w:rPr>
              <w:t>4,002</w:t>
            </w:r>
          </w:p>
        </w:tc>
        <w:tc>
          <w:tcPr>
            <w:tcW w:type="dxa" w:w="1325"/>
          </w:tcPr>
          <w:p>
            <w:pPr>
              <w:spacing w:after="20"/>
              <w:jc w:val="right"/>
            </w:pPr>
            <w:r>
              <w:rPr>
                <w:color w:val="1C3A36"/>
                <w:sz w:val="17"/>
              </w:rPr>
              <w:t>4,235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326</w:t>
            </w:r>
          </w:p>
        </w:tc>
        <w:tc>
          <w:tcPr>
            <w:tcW w:type="dxa" w:w="1325"/>
          </w:tcPr>
          <w:p>
            <w:pPr>
              <w:spacing w:after="20"/>
              <w:jc w:val="right"/>
            </w:pPr>
            <w:r>
              <w:rPr>
                <w:color w:val="1C3A36"/>
                <w:sz w:val="17"/>
              </w:rPr>
              <w:t>382</w:t>
            </w:r>
          </w:p>
        </w:tc>
        <w:tc>
          <w:tcPr>
            <w:tcW w:type="dxa" w:w="1325"/>
          </w:tcPr>
          <w:p>
            <w:pPr>
              <w:spacing w:after="20"/>
              <w:jc w:val="right"/>
            </w:pPr>
            <w:r>
              <w:rPr>
                <w:color w:val="1C3A36"/>
                <w:sz w:val="17"/>
              </w:rPr>
              <w:t>445</w:t>
            </w:r>
          </w:p>
        </w:tc>
        <w:tc>
          <w:tcPr>
            <w:tcW w:type="dxa" w:w="1325"/>
          </w:tcPr>
          <w:p>
            <w:pPr>
              <w:spacing w:after="20"/>
              <w:jc w:val="right"/>
            </w:pPr>
            <w:r>
              <w:rPr>
                <w:color w:val="1C3A36"/>
                <w:sz w:val="17"/>
              </w:rPr>
              <w:t>510</w:t>
            </w:r>
          </w:p>
        </w:tc>
        <w:tc>
          <w:tcPr>
            <w:tcW w:type="dxa" w:w="1325"/>
          </w:tcPr>
          <w:p>
            <w:pPr>
              <w:spacing w:after="20"/>
              <w:jc w:val="right"/>
            </w:pPr>
            <w:r>
              <w:rPr>
                <w:color w:val="1C3A36"/>
                <w:sz w:val="17"/>
              </w:rPr>
              <w:t>578</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(69)</w:t>
            </w:r>
          </w:p>
        </w:tc>
        <w:tc>
          <w:tcPr>
            <w:tcW w:type="dxa" w:w="1325"/>
          </w:tcPr>
          <w:p>
            <w:pPr>
              <w:spacing w:after="20"/>
              <w:jc w:val="right"/>
            </w:pPr>
            <w:r>
              <w:rPr>
                <w:color w:val="1C3A36"/>
                <w:sz w:val="17"/>
              </w:rPr>
              <w:t>(136)</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(130)</w:t>
            </w:r>
          </w:p>
        </w:tc>
        <w:tc>
          <w:tcPr>
            <w:tcW w:type="dxa" w:w="1325"/>
          </w:tcPr>
          <w:p>
            <w:pPr>
              <w:spacing w:after="20"/>
              <w:jc w:val="right"/>
            </w:pPr>
            <w:r>
              <w:rPr>
                <w:color w:val="1C3A36"/>
                <w:sz w:val="17"/>
              </w:rPr>
              <w:t>(131)</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1,072</w:t>
            </w:r>
          </w:p>
        </w:tc>
        <w:tc>
          <w:tcPr>
            <w:tcW w:type="dxa" w:w="1325"/>
            <w:shd w:val="clear" w:color="auto" w:fill="F6F1E6"/>
          </w:tcPr>
          <w:p>
            <w:pPr>
              <w:spacing w:after="20"/>
              <w:jc w:val="right"/>
            </w:pPr>
            <w:r>
              <w:rPr>
                <w:b/>
                <w:color w:val="1C3A36"/>
                <w:sz w:val="17"/>
              </w:rPr>
              <w:t>2,736</w:t>
            </w:r>
          </w:p>
        </w:tc>
        <w:tc>
          <w:tcPr>
            <w:tcW w:type="dxa" w:w="1325"/>
            <w:shd w:val="clear" w:color="auto" w:fill="F6F1E6"/>
          </w:tcPr>
          <w:p>
            <w:pPr>
              <w:spacing w:after="20"/>
              <w:jc w:val="right"/>
            </w:pPr>
            <w:r>
              <w:rPr>
                <w:b/>
                <w:color w:val="1C3A36"/>
                <w:sz w:val="17"/>
              </w:rPr>
              <w:t>2,990</w:t>
            </w:r>
          </w:p>
        </w:tc>
        <w:tc>
          <w:tcPr>
            <w:tcW w:type="dxa" w:w="1325"/>
            <w:shd w:val="clear" w:color="auto" w:fill="F6F1E6"/>
          </w:tcPr>
          <w:p>
            <w:pPr>
              <w:spacing w:after="20"/>
              <w:jc w:val="right"/>
            </w:pPr>
            <w:r>
              <w:rPr>
                <w:b/>
                <w:color w:val="1C3A36"/>
                <w:sz w:val="17"/>
              </w:rPr>
              <w:t>3,209</w:t>
            </w:r>
          </w:p>
        </w:tc>
        <w:tc>
          <w:tcPr>
            <w:tcW w:type="dxa" w:w="1325"/>
            <w:shd w:val="clear" w:color="auto" w:fill="F6F1E6"/>
          </w:tcPr>
          <w:p>
            <w:pPr>
              <w:spacing w:after="20"/>
              <w:jc w:val="right"/>
            </w:pPr>
            <w:r>
              <w:rPr>
                <w:b/>
                <w:color w:val="1C3A36"/>
                <w:sz w:val="17"/>
              </w:rPr>
              <w:t>3,453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0.9497</w:t>
            </w:r>
          </w:p>
        </w:tc>
        <w:tc>
          <w:tcPr>
            <w:tcW w:type="dxa" w:w="1325"/>
          </w:tcPr>
          <w:p>
            <w:pPr>
              <w:spacing w:after="20"/>
              <w:jc w:val="right"/>
            </w:pPr>
            <w:r>
              <w:rPr>
                <w:color w:val="1C3A36"/>
                <w:sz w:val="17"/>
              </w:rPr>
              <w:t>0.8100</w:t>
            </w:r>
          </w:p>
        </w:tc>
        <w:tc>
          <w:tcPr>
            <w:tcW w:type="dxa" w:w="1325"/>
          </w:tcPr>
          <w:p>
            <w:pPr>
              <w:spacing w:after="20"/>
              <w:jc w:val="right"/>
            </w:pPr>
            <w:r>
              <w:rPr>
                <w:color w:val="1C3A36"/>
                <w:sz w:val="17"/>
              </w:rPr>
              <w:t>0.6625</w:t>
            </w:r>
          </w:p>
        </w:tc>
        <w:tc>
          <w:tcPr>
            <w:tcW w:type="dxa" w:w="1325"/>
          </w:tcPr>
          <w:p>
            <w:pPr>
              <w:spacing w:after="20"/>
              <w:jc w:val="right"/>
            </w:pPr>
            <w:r>
              <w:rPr>
                <w:color w:val="1C3A36"/>
                <w:sz w:val="17"/>
              </w:rPr>
              <w:t>0.5539</w:t>
            </w:r>
          </w:p>
        </w:tc>
        <w:tc>
          <w:tcPr>
            <w:tcW w:type="dxa" w:w="1325"/>
          </w:tcPr>
          <w:p>
            <w:pPr>
              <w:spacing w:after="20"/>
              <w:jc w:val="right"/>
            </w:pPr>
            <w:r>
              <w:rPr>
                <w:color w:val="1C3A36"/>
                <w:sz w:val="17"/>
              </w:rPr>
              <w:t>0.4699</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1,018</w:t>
            </w:r>
          </w:p>
        </w:tc>
        <w:tc>
          <w:tcPr>
            <w:tcW w:type="dxa" w:w="1325"/>
            <w:shd w:val="clear" w:color="auto" w:fill="F6F1E6"/>
          </w:tcPr>
          <w:p>
            <w:pPr>
              <w:spacing w:after="20"/>
              <w:jc w:val="right"/>
            </w:pPr>
            <w:r>
              <w:rPr>
                <w:b/>
                <w:color w:val="1C3A36"/>
                <w:sz w:val="17"/>
              </w:rPr>
              <w:t>2,216</w:t>
            </w:r>
          </w:p>
        </w:tc>
        <w:tc>
          <w:tcPr>
            <w:tcW w:type="dxa" w:w="1325"/>
            <w:shd w:val="clear" w:color="auto" w:fill="F6F1E6"/>
          </w:tcPr>
          <w:p>
            <w:pPr>
              <w:spacing w:after="20"/>
              <w:jc w:val="right"/>
            </w:pPr>
            <w:r>
              <w:rPr>
                <w:b/>
                <w:color w:val="1C3A36"/>
                <w:sz w:val="17"/>
              </w:rPr>
              <w:t>1,981</w:t>
            </w:r>
          </w:p>
        </w:tc>
        <w:tc>
          <w:tcPr>
            <w:tcW w:type="dxa" w:w="1325"/>
            <w:shd w:val="clear" w:color="auto" w:fill="F6F1E6"/>
          </w:tcPr>
          <w:p>
            <w:pPr>
              <w:spacing w:after="20"/>
              <w:jc w:val="right"/>
            </w:pPr>
            <w:r>
              <w:rPr>
                <w:b/>
                <w:color w:val="1C3A36"/>
                <w:sz w:val="17"/>
              </w:rPr>
              <w:t>1,777</w:t>
            </w:r>
          </w:p>
        </w:tc>
        <w:tc>
          <w:tcPr>
            <w:tcW w:type="dxa" w:w="1325"/>
            <w:shd w:val="clear" w:color="auto" w:fill="F6F1E6"/>
          </w:tcPr>
          <w:p>
            <w:pPr>
              <w:spacing w:after="20"/>
              <w:jc w:val="right"/>
            </w:pPr>
            <w:r>
              <w:rPr>
                <w:b/>
                <w:color w:val="1C3A36"/>
                <w:sz w:val="17"/>
              </w:rPr>
              <w:t>1,623</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44.9% in total across the five years while pound costs grow 54.4% — a real erosion of about 7%. The EBITDA margin therefore falls from the audited 39.3% to 35.0%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4.69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54.4% — but that is the input-price index, not the cost the model actually charges. Netting the alternative-fuel saving off the materials line, the cash cost per tonne the model charges grows 48.4%, so the real erosion is 2.4%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3,424mn for FY2026, -9.2%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8,615</w:t>
            </w:r>
          </w:p>
        </w:tc>
        <w:tc>
          <w:tcPr>
            <w:tcW w:type="dxa" w:w="2160"/>
          </w:tcPr>
          <w:p>
            <w:pPr>
              <w:spacing w:after="20"/>
              <w:jc w:val="right"/>
            </w:pPr>
            <w:r>
              <w:rPr>
                <w:color w:val="1C3A36"/>
                <w:sz w:val="18"/>
              </w:rPr>
              <w:t>22.98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6,891</w:t>
            </w:r>
          </w:p>
        </w:tc>
        <w:tc>
          <w:tcPr>
            <w:tcW w:type="dxa" w:w="2160"/>
          </w:tcPr>
          <w:p>
            <w:pPr>
              <w:spacing w:after="20"/>
              <w:jc w:val="right"/>
            </w:pPr>
            <w:r>
              <w:rPr>
                <w:color w:val="1C3A36"/>
                <w:sz w:val="18"/>
              </w:rPr>
              <w:t>18.38</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15,506</w:t>
            </w:r>
          </w:p>
        </w:tc>
        <w:tc>
          <w:tcPr>
            <w:tcW w:type="dxa" w:w="2160"/>
            <w:shd w:val="clear" w:color="auto" w:fill="F6F1E6"/>
          </w:tcPr>
          <w:p>
            <w:pPr>
              <w:spacing w:after="20"/>
              <w:jc w:val="right"/>
            </w:pPr>
            <w:r>
              <w:rPr>
                <w:b/>
                <w:color w:val="1C3A36"/>
                <w:sz w:val="18"/>
              </w:rPr>
              <w:t>41.36</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1,926</w:t>
            </w:r>
          </w:p>
        </w:tc>
        <w:tc>
          <w:tcPr>
            <w:tcW w:type="dxa" w:w="2160"/>
          </w:tcPr>
          <w:p>
            <w:pPr>
              <w:spacing w:after="20"/>
              <w:jc w:val="right"/>
            </w:pPr>
            <w:r>
              <w:rPr>
                <w:color w:val="1C3A36"/>
                <w:sz w:val="18"/>
              </w:rPr>
              <w:t>5.14</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17,433</w:t>
            </w:r>
          </w:p>
        </w:tc>
        <w:tc>
          <w:tcPr>
            <w:tcW w:type="dxa" w:w="2160"/>
            <w:shd w:val="clear" w:color="auto" w:fill="F6F1E6"/>
          </w:tcPr>
          <w:p>
            <w:pPr>
              <w:spacing w:after="20"/>
              <w:jc w:val="right"/>
            </w:pPr>
            <w:r>
              <w:rPr>
                <w:b/>
                <w:color w:val="1C3A36"/>
                <w:sz w:val="18"/>
              </w:rPr>
              <w:t>46.50</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44.4%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-21.2%</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audited balance sheet shows EGP 3,459mn of cash against EGP 1,135mn of interest-bearing debt at 31 December 2025. Rolling that forward on the elapsed part of FY2026 and DEDUCTING the EGP 2,002mn FY2025 dividend — declared and still shown as payable in the March 2026 accounts, so a buyer at today's price does not receive it — puts net cash at EGP 1,926mn at the valuation date, or EGP 5.14 a share. The March 2026 balance sheet is the independent check on that: cash of EGP 4,380mn less debt of EGP 1,261mn less the dividend payable of EGP 2,002mn is EGP 1,117mn at 31 March, four months before the valuation date.</w:t>
      </w:r>
    </w:p>
    <w:p>
      <w:pPr>
        <w:spacing w:after="120" w:before="0"/>
      </w:pPr>
      <w:r>
        <w:rPr>
          <w:b w:val="0"/>
          <w:i w:val="0"/>
          <w:color w:val="1C3A36"/>
          <w:sz w:val="21"/>
        </w:rPr>
        <w:t>Minority interests are deducted, and the audited figure is the reason this line is now immaterial: EGP 158,005 — one hundred and fifty-eight thousand pounds, or 0.0009% of equity value. The subsidiaries are 99% to 99.99% owned.</w:t>
      </w:r>
    </w:p>
    <w:p>
      <w:pPr>
        <w:spacing w:after="120" w:before="0"/>
      </w:pPr>
      <w:r>
        <w:rPr>
          <w:b w:val="0"/>
          <w:i w:val="0"/>
          <w:color w:val="1C3A36"/>
          <w:sz w:val="21"/>
        </w:rPr>
        <w:t>At 44.4% of enterprise value, the terminal value carries less of this valuation than the two-thirds to four-fifths a long-horizon discounted cash-flow model usually ends up with, and that is a consequence of the 28.1% explicit-window discount rate rather than a design choice — at that rate the fifth forecast year is already discounted to 47%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50,481mn, being 5.0Mt at USD 130 a tonne. On that basis the terminal return on capital is 8.8% and the reinvestment rate that 5% growth requires is 56.8%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8.8% against a terminal rate of 17.1%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14.61%. This company sits at 8.39% — -623 basis points above it. Growth therefore adds value, and adds almost none of it: the cash-flow lens is EGP 53.41 at 3% terminal growth and EGP 40.49 at 7%, a spread of -24.2% across four points of perpetual growth.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25.12%</w:t>
            </w:r>
          </w:p>
        </w:tc>
        <w:tc>
          <w:tcPr>
            <w:tcW w:type="dxa" w:w="1469"/>
          </w:tcPr>
          <w:p>
            <w:pPr>
              <w:spacing w:after="20"/>
              <w:jc w:val="right"/>
            </w:pPr>
            <w:r>
              <w:rPr>
                <w:color w:val="1C3A36"/>
                <w:sz w:val="18"/>
              </w:rPr>
              <w:t>54.95</w:t>
            </w:r>
          </w:p>
        </w:tc>
        <w:tc>
          <w:tcPr>
            <w:tcW w:type="dxa" w:w="1469"/>
          </w:tcPr>
          <w:p>
            <w:pPr>
              <w:spacing w:after="20"/>
              <w:jc w:val="right"/>
            </w:pPr>
            <w:r>
              <w:rPr>
                <w:color w:val="1C3A36"/>
                <w:sz w:val="18"/>
              </w:rPr>
              <w:t>52.36</w:t>
            </w:r>
          </w:p>
        </w:tc>
        <w:tc>
          <w:tcPr>
            <w:tcW w:type="dxa" w:w="1469"/>
          </w:tcPr>
          <w:p>
            <w:pPr>
              <w:spacing w:after="20"/>
              <w:jc w:val="right"/>
            </w:pPr>
            <w:r>
              <w:rPr>
                <w:color w:val="1C3A36"/>
                <w:sz w:val="18"/>
              </w:rPr>
              <w:t>49.35</w:t>
            </w:r>
          </w:p>
        </w:tc>
        <w:tc>
          <w:tcPr>
            <w:tcW w:type="dxa" w:w="1469"/>
          </w:tcPr>
          <w:p>
            <w:pPr>
              <w:spacing w:after="20"/>
              <w:jc w:val="right"/>
            </w:pPr>
            <w:r>
              <w:rPr>
                <w:color w:val="1C3A36"/>
                <w:sz w:val="18"/>
              </w:rPr>
              <w:t>45.80</w:t>
            </w:r>
          </w:p>
        </w:tc>
        <w:tc>
          <w:tcPr>
            <w:tcW w:type="dxa" w:w="1469"/>
          </w:tcPr>
          <w:p>
            <w:pPr>
              <w:spacing w:after="20"/>
              <w:jc w:val="right"/>
            </w:pPr>
            <w:r>
              <w:rPr>
                <w:color w:val="1C3A36"/>
                <w:sz w:val="18"/>
              </w:rPr>
              <w:t>41.55</w:t>
            </w:r>
          </w:p>
        </w:tc>
      </w:tr>
      <w:tr>
        <w:tc>
          <w:tcPr>
            <w:tcW w:type="dxa" w:w="2477"/>
          </w:tcPr>
          <w:p>
            <w:pPr>
              <w:spacing w:after="20"/>
            </w:pPr>
            <w:r>
              <w:rPr>
                <w:color w:val="1C3A36"/>
                <w:sz w:val="18"/>
              </w:rPr>
              <w:t>26.62%</w:t>
            </w:r>
          </w:p>
        </w:tc>
        <w:tc>
          <w:tcPr>
            <w:tcW w:type="dxa" w:w="1469"/>
          </w:tcPr>
          <w:p>
            <w:pPr>
              <w:spacing w:after="20"/>
              <w:jc w:val="right"/>
            </w:pPr>
            <w:r>
              <w:rPr>
                <w:color w:val="1C3A36"/>
                <w:sz w:val="18"/>
              </w:rPr>
              <w:t>54.17</w:t>
            </w:r>
          </w:p>
        </w:tc>
        <w:tc>
          <w:tcPr>
            <w:tcW w:type="dxa" w:w="1469"/>
          </w:tcPr>
          <w:p>
            <w:pPr>
              <w:spacing w:after="20"/>
              <w:jc w:val="right"/>
            </w:pPr>
            <w:r>
              <w:rPr>
                <w:color w:val="1C3A36"/>
                <w:sz w:val="18"/>
              </w:rPr>
              <w:t>51.63</w:t>
            </w:r>
          </w:p>
        </w:tc>
        <w:tc>
          <w:tcPr>
            <w:tcW w:type="dxa" w:w="1469"/>
          </w:tcPr>
          <w:p>
            <w:pPr>
              <w:spacing w:after="20"/>
              <w:jc w:val="right"/>
            </w:pPr>
            <w:r>
              <w:rPr>
                <w:color w:val="1C3A36"/>
                <w:sz w:val="18"/>
              </w:rPr>
              <w:t>48.68</w:t>
            </w:r>
          </w:p>
        </w:tc>
        <w:tc>
          <w:tcPr>
            <w:tcW w:type="dxa" w:w="1469"/>
          </w:tcPr>
          <w:p>
            <w:pPr>
              <w:spacing w:after="20"/>
              <w:jc w:val="right"/>
            </w:pPr>
            <w:r>
              <w:rPr>
                <w:color w:val="1C3A36"/>
                <w:sz w:val="18"/>
              </w:rPr>
              <w:t>45.19</w:t>
            </w:r>
          </w:p>
        </w:tc>
        <w:tc>
          <w:tcPr>
            <w:tcW w:type="dxa" w:w="1469"/>
          </w:tcPr>
          <w:p>
            <w:pPr>
              <w:spacing w:after="20"/>
              <w:jc w:val="right"/>
            </w:pPr>
            <w:r>
              <w:rPr>
                <w:color w:val="1C3A36"/>
                <w:sz w:val="18"/>
              </w:rPr>
              <w:t>41.01</w:t>
            </w:r>
          </w:p>
        </w:tc>
      </w:tr>
      <w:tr>
        <w:tc>
          <w:tcPr>
            <w:tcW w:type="dxa" w:w="2477"/>
          </w:tcPr>
          <w:p>
            <w:pPr>
              <w:spacing w:after="20"/>
            </w:pPr>
            <w:r>
              <w:rPr>
                <w:color w:val="1C3A36"/>
                <w:sz w:val="18"/>
              </w:rPr>
              <w:t>28.12%</w:t>
            </w:r>
          </w:p>
        </w:tc>
        <w:tc>
          <w:tcPr>
            <w:tcW w:type="dxa" w:w="1469"/>
          </w:tcPr>
          <w:p>
            <w:pPr>
              <w:spacing w:after="20"/>
              <w:jc w:val="right"/>
            </w:pPr>
            <w:r>
              <w:rPr>
                <w:color w:val="1C3A36"/>
                <w:sz w:val="18"/>
              </w:rPr>
              <w:t>53.41</w:t>
            </w:r>
          </w:p>
        </w:tc>
        <w:tc>
          <w:tcPr>
            <w:tcW w:type="dxa" w:w="1469"/>
          </w:tcPr>
          <w:p>
            <w:pPr>
              <w:spacing w:after="20"/>
              <w:jc w:val="right"/>
            </w:pPr>
            <w:r>
              <w:rPr>
                <w:color w:val="1C3A36"/>
                <w:sz w:val="18"/>
              </w:rPr>
              <w:t>50.92</w:t>
            </w:r>
          </w:p>
        </w:tc>
        <w:tc>
          <w:tcPr>
            <w:tcW w:type="dxa" w:w="1469"/>
          </w:tcPr>
          <w:p>
            <w:pPr>
              <w:spacing w:after="20"/>
              <w:jc w:val="right"/>
            </w:pPr>
            <w:r>
              <w:rPr>
                <w:color w:val="1C3A36"/>
                <w:sz w:val="18"/>
              </w:rPr>
              <w:t>48.01</w:t>
            </w:r>
          </w:p>
        </w:tc>
        <w:tc>
          <w:tcPr>
            <w:tcW w:type="dxa" w:w="1469"/>
          </w:tcPr>
          <w:p>
            <w:pPr>
              <w:spacing w:after="20"/>
              <w:jc w:val="right"/>
            </w:pPr>
            <w:r>
              <w:rPr>
                <w:color w:val="1C3A36"/>
                <w:sz w:val="18"/>
              </w:rPr>
              <w:t>44.59</w:t>
            </w:r>
          </w:p>
        </w:tc>
        <w:tc>
          <w:tcPr>
            <w:tcW w:type="dxa" w:w="1469"/>
          </w:tcPr>
          <w:p>
            <w:pPr>
              <w:spacing w:after="20"/>
              <w:jc w:val="right"/>
            </w:pPr>
            <w:r>
              <w:rPr>
                <w:color w:val="1C3A36"/>
                <w:sz w:val="18"/>
              </w:rPr>
              <w:t>40.49</w:t>
            </w:r>
          </w:p>
        </w:tc>
      </w:tr>
      <w:tr>
        <w:tc>
          <w:tcPr>
            <w:tcW w:type="dxa" w:w="2477"/>
          </w:tcPr>
          <w:p>
            <w:pPr>
              <w:spacing w:after="20"/>
            </w:pPr>
            <w:r>
              <w:rPr>
                <w:color w:val="1C3A36"/>
                <w:sz w:val="18"/>
              </w:rPr>
              <w:t>29.62%</w:t>
            </w:r>
          </w:p>
        </w:tc>
        <w:tc>
          <w:tcPr>
            <w:tcW w:type="dxa" w:w="1469"/>
          </w:tcPr>
          <w:p>
            <w:pPr>
              <w:spacing w:after="20"/>
              <w:jc w:val="right"/>
            </w:pPr>
            <w:r>
              <w:rPr>
                <w:color w:val="1C3A36"/>
                <w:sz w:val="18"/>
              </w:rPr>
              <w:t>52.67</w:t>
            </w:r>
          </w:p>
        </w:tc>
        <w:tc>
          <w:tcPr>
            <w:tcW w:type="dxa" w:w="1469"/>
          </w:tcPr>
          <w:p>
            <w:pPr>
              <w:spacing w:after="20"/>
              <w:jc w:val="right"/>
            </w:pPr>
            <w:r>
              <w:rPr>
                <w:color w:val="1C3A36"/>
                <w:sz w:val="18"/>
              </w:rPr>
              <w:t>50.22</w:t>
            </w:r>
          </w:p>
        </w:tc>
        <w:tc>
          <w:tcPr>
            <w:tcW w:type="dxa" w:w="1469"/>
          </w:tcPr>
          <w:p>
            <w:pPr>
              <w:spacing w:after="20"/>
              <w:jc w:val="right"/>
            </w:pPr>
            <w:r>
              <w:rPr>
                <w:color w:val="1C3A36"/>
                <w:sz w:val="18"/>
              </w:rPr>
              <w:t>47.37</w:t>
            </w:r>
          </w:p>
        </w:tc>
        <w:tc>
          <w:tcPr>
            <w:tcW w:type="dxa" w:w="1469"/>
          </w:tcPr>
          <w:p>
            <w:pPr>
              <w:spacing w:after="20"/>
              <w:jc w:val="right"/>
            </w:pPr>
            <w:r>
              <w:rPr>
                <w:color w:val="1C3A36"/>
                <w:sz w:val="18"/>
              </w:rPr>
              <w:t>44.00</w:t>
            </w:r>
          </w:p>
        </w:tc>
        <w:tc>
          <w:tcPr>
            <w:tcW w:type="dxa" w:w="1469"/>
          </w:tcPr>
          <w:p>
            <w:pPr>
              <w:spacing w:after="20"/>
              <w:jc w:val="right"/>
            </w:pPr>
            <w:r>
              <w:rPr>
                <w:color w:val="1C3A36"/>
                <w:sz w:val="18"/>
              </w:rPr>
              <w:t>39.97</w:t>
            </w:r>
          </w:p>
        </w:tc>
      </w:tr>
      <w:tr>
        <w:tc>
          <w:tcPr>
            <w:tcW w:type="dxa" w:w="2477"/>
          </w:tcPr>
          <w:p>
            <w:pPr>
              <w:spacing w:after="20"/>
            </w:pPr>
            <w:r>
              <w:rPr>
                <w:color w:val="1C3A36"/>
                <w:sz w:val="18"/>
              </w:rPr>
              <w:t>31.12%</w:t>
            </w:r>
          </w:p>
        </w:tc>
        <w:tc>
          <w:tcPr>
            <w:tcW w:type="dxa" w:w="1469"/>
          </w:tcPr>
          <w:p>
            <w:pPr>
              <w:spacing w:after="20"/>
              <w:jc w:val="right"/>
            </w:pPr>
            <w:r>
              <w:rPr>
                <w:color w:val="1C3A36"/>
                <w:sz w:val="18"/>
              </w:rPr>
              <w:t>51.94</w:t>
            </w:r>
          </w:p>
        </w:tc>
        <w:tc>
          <w:tcPr>
            <w:tcW w:type="dxa" w:w="1469"/>
          </w:tcPr>
          <w:p>
            <w:pPr>
              <w:spacing w:after="20"/>
              <w:jc w:val="right"/>
            </w:pPr>
            <w:r>
              <w:rPr>
                <w:color w:val="1C3A36"/>
                <w:sz w:val="18"/>
              </w:rPr>
              <w:t>49.54</w:t>
            </w:r>
          </w:p>
        </w:tc>
        <w:tc>
          <w:tcPr>
            <w:tcW w:type="dxa" w:w="1469"/>
          </w:tcPr>
          <w:p>
            <w:pPr>
              <w:spacing w:after="20"/>
              <w:jc w:val="right"/>
            </w:pPr>
            <w:r>
              <w:rPr>
                <w:color w:val="1C3A36"/>
                <w:sz w:val="18"/>
              </w:rPr>
              <w:t>46.74</w:t>
            </w:r>
          </w:p>
        </w:tc>
        <w:tc>
          <w:tcPr>
            <w:tcW w:type="dxa" w:w="1469"/>
          </w:tcPr>
          <w:p>
            <w:pPr>
              <w:spacing w:after="20"/>
              <w:jc w:val="right"/>
            </w:pPr>
            <w:r>
              <w:rPr>
                <w:color w:val="1C3A36"/>
                <w:sz w:val="18"/>
              </w:rPr>
              <w:t>43.43</w:t>
            </w:r>
          </w:p>
        </w:tc>
        <w:tc>
          <w:tcPr>
            <w:tcW w:type="dxa" w:w="1469"/>
          </w:tcPr>
          <w:p>
            <w:pPr>
              <w:spacing w:after="20"/>
              <w:jc w:val="right"/>
            </w:pPr>
            <w:r>
              <w:rPr>
                <w:color w:val="1C3A36"/>
                <w:sz w:val="18"/>
              </w:rPr>
              <w:t>39.48</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13.40, against EGP 3.01 down a column. The paragraphs above set out why the growth axis is nearly flat — on a replacement-cost denominator this plant sits within -623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15.1%</w:t>
            </w:r>
          </w:p>
        </w:tc>
        <w:tc>
          <w:tcPr>
            <w:tcW w:type="dxa" w:w="1469"/>
            <w:shd w:val="clear" w:color="auto" w:fill="EAF0EE"/>
          </w:tcPr>
          <w:p>
            <w:pPr>
              <w:spacing w:after="20"/>
            </w:pPr>
            <w:r>
              <w:rPr>
                <w:b/>
                <w:color w:val="1C3A36"/>
                <w:sz w:val="18"/>
              </w:rPr>
              <w:t>16.1%</w:t>
            </w:r>
          </w:p>
        </w:tc>
        <w:tc>
          <w:tcPr>
            <w:tcW w:type="dxa" w:w="1469"/>
            <w:shd w:val="clear" w:color="auto" w:fill="EAF0EE"/>
          </w:tcPr>
          <w:p>
            <w:pPr>
              <w:spacing w:after="20"/>
            </w:pPr>
            <w:r>
              <w:rPr>
                <w:b/>
                <w:color w:val="1C3A36"/>
                <w:sz w:val="18"/>
              </w:rPr>
              <w:t>17.1%</w:t>
            </w:r>
          </w:p>
        </w:tc>
        <w:tc>
          <w:tcPr>
            <w:tcW w:type="dxa" w:w="1469"/>
            <w:shd w:val="clear" w:color="auto" w:fill="EAF0EE"/>
          </w:tcPr>
          <w:p>
            <w:pPr>
              <w:spacing w:after="20"/>
            </w:pPr>
            <w:r>
              <w:rPr>
                <w:b/>
                <w:color w:val="1C3A36"/>
                <w:sz w:val="18"/>
              </w:rPr>
              <w:t>18.1%</w:t>
            </w:r>
          </w:p>
        </w:tc>
        <w:tc>
          <w:tcPr>
            <w:tcW w:type="dxa" w:w="1469"/>
            <w:shd w:val="clear" w:color="auto" w:fill="EAF0EE"/>
          </w:tcPr>
          <w:p>
            <w:pPr>
              <w:spacing w:after="20"/>
            </w:pPr>
            <w:r>
              <w:rPr>
                <w:b/>
                <w:color w:val="1C3A36"/>
                <w:sz w:val="18"/>
              </w:rPr>
              <w:t>19.1%</w:t>
            </w:r>
          </w:p>
        </w:tc>
      </w:tr>
      <w:tr>
        <w:tc>
          <w:tcPr>
            <w:tcW w:type="dxa" w:w="2477"/>
          </w:tcPr>
          <w:p>
            <w:pPr>
              <w:spacing w:after="20"/>
            </w:pPr>
            <w:r>
              <w:rPr>
                <w:color w:val="1C3A36"/>
                <w:sz w:val="18"/>
              </w:rPr>
              <w:t>25.12%</w:t>
            </w:r>
          </w:p>
        </w:tc>
        <w:tc>
          <w:tcPr>
            <w:tcW w:type="dxa" w:w="1469"/>
          </w:tcPr>
          <w:p>
            <w:pPr>
              <w:spacing w:after="20"/>
              <w:jc w:val="right"/>
            </w:pPr>
            <w:r>
              <w:rPr>
                <w:color w:val="1C3A36"/>
                <w:sz w:val="18"/>
              </w:rPr>
              <w:t>54.86</w:t>
            </w:r>
          </w:p>
        </w:tc>
        <w:tc>
          <w:tcPr>
            <w:tcW w:type="dxa" w:w="1469"/>
          </w:tcPr>
          <w:p>
            <w:pPr>
              <w:spacing w:after="20"/>
              <w:jc w:val="right"/>
            </w:pPr>
            <w:r>
              <w:rPr>
                <w:color w:val="1C3A36"/>
                <w:sz w:val="18"/>
              </w:rPr>
              <w:t>51.87</w:t>
            </w:r>
          </w:p>
        </w:tc>
        <w:tc>
          <w:tcPr>
            <w:tcW w:type="dxa" w:w="1469"/>
          </w:tcPr>
          <w:p>
            <w:pPr>
              <w:spacing w:after="20"/>
              <w:jc w:val="right"/>
            </w:pPr>
            <w:r>
              <w:rPr>
                <w:color w:val="1C3A36"/>
                <w:sz w:val="18"/>
              </w:rPr>
              <w:t>49.35</w:t>
            </w:r>
          </w:p>
        </w:tc>
        <w:tc>
          <w:tcPr>
            <w:tcW w:type="dxa" w:w="1469"/>
          </w:tcPr>
          <w:p>
            <w:pPr>
              <w:spacing w:after="20"/>
              <w:jc w:val="right"/>
            </w:pPr>
            <w:r>
              <w:rPr>
                <w:color w:val="1C3A36"/>
                <w:sz w:val="18"/>
              </w:rPr>
              <w:t>47.20</w:t>
            </w:r>
          </w:p>
        </w:tc>
        <w:tc>
          <w:tcPr>
            <w:tcW w:type="dxa" w:w="1469"/>
          </w:tcPr>
          <w:p>
            <w:pPr>
              <w:spacing w:after="20"/>
              <w:jc w:val="right"/>
            </w:pPr>
            <w:r>
              <w:rPr>
                <w:color w:val="1C3A36"/>
                <w:sz w:val="18"/>
              </w:rPr>
              <w:t>45.35</w:t>
            </w:r>
          </w:p>
        </w:tc>
      </w:tr>
      <w:tr>
        <w:tc>
          <w:tcPr>
            <w:tcW w:type="dxa" w:w="2477"/>
          </w:tcPr>
          <w:p>
            <w:pPr>
              <w:spacing w:after="20"/>
            </w:pPr>
            <w:r>
              <w:rPr>
                <w:color w:val="1C3A36"/>
                <w:sz w:val="18"/>
              </w:rPr>
              <w:t>26.62%</w:t>
            </w:r>
          </w:p>
        </w:tc>
        <w:tc>
          <w:tcPr>
            <w:tcW w:type="dxa" w:w="1469"/>
          </w:tcPr>
          <w:p>
            <w:pPr>
              <w:spacing w:after="20"/>
              <w:jc w:val="right"/>
            </w:pPr>
            <w:r>
              <w:rPr>
                <w:color w:val="1C3A36"/>
                <w:sz w:val="18"/>
              </w:rPr>
              <w:t>54.08</w:t>
            </w:r>
          </w:p>
        </w:tc>
        <w:tc>
          <w:tcPr>
            <w:tcW w:type="dxa" w:w="1469"/>
          </w:tcPr>
          <w:p>
            <w:pPr>
              <w:spacing w:after="20"/>
              <w:jc w:val="right"/>
            </w:pPr>
            <w:r>
              <w:rPr>
                <w:color w:val="1C3A36"/>
                <w:sz w:val="18"/>
              </w:rPr>
              <w:t>51.15</w:t>
            </w:r>
          </w:p>
        </w:tc>
        <w:tc>
          <w:tcPr>
            <w:tcW w:type="dxa" w:w="1469"/>
          </w:tcPr>
          <w:p>
            <w:pPr>
              <w:spacing w:after="20"/>
              <w:jc w:val="right"/>
            </w:pPr>
            <w:r>
              <w:rPr>
                <w:color w:val="1C3A36"/>
                <w:sz w:val="18"/>
              </w:rPr>
              <w:t>48.68</w:t>
            </w:r>
          </w:p>
        </w:tc>
        <w:tc>
          <w:tcPr>
            <w:tcW w:type="dxa" w:w="1469"/>
          </w:tcPr>
          <w:p>
            <w:pPr>
              <w:spacing w:after="20"/>
              <w:jc w:val="right"/>
            </w:pPr>
            <w:r>
              <w:rPr>
                <w:color w:val="1C3A36"/>
                <w:sz w:val="18"/>
              </w:rPr>
              <w:t>46.57</w:t>
            </w:r>
          </w:p>
        </w:tc>
        <w:tc>
          <w:tcPr>
            <w:tcW w:type="dxa" w:w="1469"/>
          </w:tcPr>
          <w:p>
            <w:pPr>
              <w:spacing w:after="20"/>
              <w:jc w:val="right"/>
            </w:pPr>
            <w:r>
              <w:rPr>
                <w:color w:val="1C3A36"/>
                <w:sz w:val="18"/>
              </w:rPr>
              <w:t>44.74</w:t>
            </w:r>
          </w:p>
        </w:tc>
      </w:tr>
      <w:tr>
        <w:tc>
          <w:tcPr>
            <w:tcW w:type="dxa" w:w="2477"/>
          </w:tcPr>
          <w:p>
            <w:pPr>
              <w:spacing w:after="20"/>
            </w:pPr>
            <w:r>
              <w:rPr>
                <w:color w:val="1C3A36"/>
                <w:sz w:val="18"/>
              </w:rPr>
              <w:t>28.12%</w:t>
            </w:r>
          </w:p>
        </w:tc>
        <w:tc>
          <w:tcPr>
            <w:tcW w:type="dxa" w:w="1469"/>
          </w:tcPr>
          <w:p>
            <w:pPr>
              <w:spacing w:after="20"/>
              <w:jc w:val="right"/>
            </w:pPr>
            <w:r>
              <w:rPr>
                <w:color w:val="1C3A36"/>
                <w:sz w:val="18"/>
              </w:rPr>
              <w:t>53.32</w:t>
            </w:r>
          </w:p>
        </w:tc>
        <w:tc>
          <w:tcPr>
            <w:tcW w:type="dxa" w:w="1469"/>
          </w:tcPr>
          <w:p>
            <w:pPr>
              <w:spacing w:after="20"/>
              <w:jc w:val="right"/>
            </w:pPr>
            <w:r>
              <w:rPr>
                <w:color w:val="1C3A36"/>
                <w:sz w:val="18"/>
              </w:rPr>
              <w:t>50.44</w:t>
            </w:r>
          </w:p>
        </w:tc>
        <w:tc>
          <w:tcPr>
            <w:tcW w:type="dxa" w:w="1469"/>
          </w:tcPr>
          <w:p>
            <w:pPr>
              <w:spacing w:after="20"/>
              <w:jc w:val="right"/>
            </w:pPr>
            <w:r>
              <w:rPr>
                <w:color w:val="1C3A36"/>
                <w:sz w:val="18"/>
              </w:rPr>
              <w:t>48.01</w:t>
            </w:r>
          </w:p>
        </w:tc>
        <w:tc>
          <w:tcPr>
            <w:tcW w:type="dxa" w:w="1469"/>
          </w:tcPr>
          <w:p>
            <w:pPr>
              <w:spacing w:after="20"/>
              <w:jc w:val="right"/>
            </w:pPr>
            <w:r>
              <w:rPr>
                <w:color w:val="1C3A36"/>
                <w:sz w:val="18"/>
              </w:rPr>
              <w:t>45.95</w:t>
            </w:r>
          </w:p>
        </w:tc>
        <w:tc>
          <w:tcPr>
            <w:tcW w:type="dxa" w:w="1469"/>
          </w:tcPr>
          <w:p>
            <w:pPr>
              <w:spacing w:after="20"/>
              <w:jc w:val="right"/>
            </w:pPr>
            <w:r>
              <w:rPr>
                <w:color w:val="1C3A36"/>
                <w:sz w:val="18"/>
              </w:rPr>
              <w:t>44.16</w:t>
            </w:r>
          </w:p>
        </w:tc>
      </w:tr>
      <w:tr>
        <w:tc>
          <w:tcPr>
            <w:tcW w:type="dxa" w:w="2477"/>
          </w:tcPr>
          <w:p>
            <w:pPr>
              <w:spacing w:after="20"/>
            </w:pPr>
            <w:r>
              <w:rPr>
                <w:color w:val="1C3A36"/>
                <w:sz w:val="18"/>
              </w:rPr>
              <w:t>29.62%</w:t>
            </w:r>
          </w:p>
        </w:tc>
        <w:tc>
          <w:tcPr>
            <w:tcW w:type="dxa" w:w="1469"/>
          </w:tcPr>
          <w:p>
            <w:pPr>
              <w:spacing w:after="20"/>
              <w:jc w:val="right"/>
            </w:pPr>
            <w:r>
              <w:rPr>
                <w:color w:val="1C3A36"/>
                <w:sz w:val="18"/>
              </w:rPr>
              <w:t>52.58</w:t>
            </w:r>
          </w:p>
        </w:tc>
        <w:tc>
          <w:tcPr>
            <w:tcW w:type="dxa" w:w="1469"/>
          </w:tcPr>
          <w:p>
            <w:pPr>
              <w:spacing w:after="20"/>
              <w:jc w:val="right"/>
            </w:pPr>
            <w:r>
              <w:rPr>
                <w:color w:val="1C3A36"/>
                <w:sz w:val="18"/>
              </w:rPr>
              <w:t>49.75</w:t>
            </w:r>
          </w:p>
        </w:tc>
        <w:tc>
          <w:tcPr>
            <w:tcW w:type="dxa" w:w="1469"/>
          </w:tcPr>
          <w:p>
            <w:pPr>
              <w:spacing w:after="20"/>
              <w:jc w:val="right"/>
            </w:pPr>
            <w:r>
              <w:rPr>
                <w:color w:val="1C3A36"/>
                <w:sz w:val="18"/>
              </w:rPr>
              <w:t>47.37</w:t>
            </w:r>
          </w:p>
        </w:tc>
        <w:tc>
          <w:tcPr>
            <w:tcW w:type="dxa" w:w="1469"/>
          </w:tcPr>
          <w:p>
            <w:pPr>
              <w:spacing w:after="20"/>
              <w:jc w:val="right"/>
            </w:pPr>
            <w:r>
              <w:rPr>
                <w:color w:val="1C3A36"/>
                <w:sz w:val="18"/>
              </w:rPr>
              <w:t>45.34</w:t>
            </w:r>
          </w:p>
        </w:tc>
        <w:tc>
          <w:tcPr>
            <w:tcW w:type="dxa" w:w="1469"/>
          </w:tcPr>
          <w:p>
            <w:pPr>
              <w:spacing w:after="20"/>
              <w:jc w:val="right"/>
            </w:pPr>
            <w:r>
              <w:rPr>
                <w:color w:val="1C3A36"/>
                <w:sz w:val="18"/>
              </w:rPr>
              <w:t>43.58</w:t>
            </w:r>
          </w:p>
        </w:tc>
      </w:tr>
      <w:tr>
        <w:tc>
          <w:tcPr>
            <w:tcW w:type="dxa" w:w="2477"/>
          </w:tcPr>
          <w:p>
            <w:pPr>
              <w:spacing w:after="20"/>
            </w:pPr>
            <w:r>
              <w:rPr>
                <w:color w:val="1C3A36"/>
                <w:sz w:val="18"/>
              </w:rPr>
              <w:t>31.12%</w:t>
            </w:r>
          </w:p>
        </w:tc>
        <w:tc>
          <w:tcPr>
            <w:tcW w:type="dxa" w:w="1469"/>
          </w:tcPr>
          <w:p>
            <w:pPr>
              <w:spacing w:after="20"/>
              <w:jc w:val="right"/>
            </w:pPr>
            <w:r>
              <w:rPr>
                <w:color w:val="1C3A36"/>
                <w:sz w:val="18"/>
              </w:rPr>
              <w:t>51.85</w:t>
            </w:r>
          </w:p>
        </w:tc>
        <w:tc>
          <w:tcPr>
            <w:tcW w:type="dxa" w:w="1469"/>
          </w:tcPr>
          <w:p>
            <w:pPr>
              <w:spacing w:after="20"/>
              <w:jc w:val="right"/>
            </w:pPr>
            <w:r>
              <w:rPr>
                <w:color w:val="1C3A36"/>
                <w:sz w:val="18"/>
              </w:rPr>
              <w:t>49.07</w:t>
            </w:r>
          </w:p>
        </w:tc>
        <w:tc>
          <w:tcPr>
            <w:tcW w:type="dxa" w:w="1469"/>
          </w:tcPr>
          <w:p>
            <w:pPr>
              <w:spacing w:after="20"/>
              <w:jc w:val="right"/>
            </w:pPr>
            <w:r>
              <w:rPr>
                <w:color w:val="1C3A36"/>
                <w:sz w:val="18"/>
              </w:rPr>
              <w:t>46.74</w:t>
            </w:r>
          </w:p>
        </w:tc>
        <w:tc>
          <w:tcPr>
            <w:tcW w:type="dxa" w:w="1469"/>
          </w:tcPr>
          <w:p>
            <w:pPr>
              <w:spacing w:after="20"/>
              <w:jc w:val="right"/>
            </w:pPr>
            <w:r>
              <w:rPr>
                <w:color w:val="1C3A36"/>
                <w:sz w:val="18"/>
              </w:rPr>
              <w:t>44.75</w:t>
            </w:r>
          </w:p>
        </w:tc>
        <w:tc>
          <w:tcPr>
            <w:tcW w:type="dxa" w:w="1469"/>
          </w:tcPr>
          <w:p>
            <w:pPr>
              <w:spacing w:after="20"/>
              <w:jc w:val="right"/>
            </w:pPr>
            <w:r>
              <w:rPr>
                <w:color w:val="1C3A36"/>
                <w:sz w:val="18"/>
              </w:rPr>
              <w:t>43.02</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80.3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currency composition as contracted (adopted) vs the pound-equivalent under uncovered interest parity</w:t>
            </w:r>
          </w:p>
        </w:tc>
        <w:tc>
          <w:tcPr>
            <w:tcW w:type="dxa" w:w="1512"/>
          </w:tcPr>
          <w:p>
            <w:pPr>
              <w:spacing w:after="20"/>
              <w:jc w:val="right"/>
            </w:pPr>
            <w:r>
              <w:rPr>
                <w:color w:val="1C3A36"/>
                <w:sz w:val="17"/>
              </w:rPr>
              <w:t>7.89%</w:t>
            </w:r>
          </w:p>
        </w:tc>
        <w:tc>
          <w:tcPr>
            <w:tcW w:type="dxa" w:w="1728"/>
          </w:tcPr>
          <w:p>
            <w:pPr>
              <w:spacing w:after="20"/>
              <w:jc w:val="right"/>
            </w:pPr>
            <w:r>
              <w:rPr>
                <w:color w:val="1C3A36"/>
                <w:sz w:val="17"/>
              </w:rPr>
              <w:t>13.36%</w:t>
            </w:r>
          </w:p>
        </w:tc>
        <w:tc>
          <w:tcPr>
            <w:tcW w:type="dxa" w:w="2448"/>
          </w:tcPr>
          <w:p>
            <w:pPr>
              <w:spacing w:after="20"/>
              <w:jc w:val="right"/>
            </w:pPr>
            <w:r>
              <w:rPr>
                <w:color w:val="1C3A36"/>
                <w:sz w:val="17"/>
              </w:rPr>
              <w:t>47.92  (+3.1%)</w:t>
            </w:r>
          </w:p>
        </w:tc>
      </w:tr>
      <w:tr>
        <w:tc>
          <w:tcPr>
            <w:tcW w:type="dxa" w:w="3672"/>
          </w:tcPr>
          <w:p>
            <w:pPr>
              <w:spacing w:after="20"/>
            </w:pPr>
            <w:r>
              <w:rPr>
                <w:color w:val="1C3A36"/>
                <w:sz w:val="17"/>
              </w:rPr>
              <w:t>Beta: contemporaneous regression (adopted) vs lead-lag sum-beta</w:t>
            </w:r>
          </w:p>
        </w:tc>
        <w:tc>
          <w:tcPr>
            <w:tcW w:type="dxa" w:w="1512"/>
          </w:tcPr>
          <w:p>
            <w:pPr>
              <w:spacing w:after="20"/>
              <w:jc w:val="right"/>
            </w:pPr>
            <w:r>
              <w:rPr>
                <w:color w:val="1C3A36"/>
                <w:sz w:val="17"/>
              </w:rPr>
              <w:t>1.030</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54.71  (+17.6%)</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53.17  (+14.3%)</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59.00. Both models reproduce FY2025 revenue, cost of sales, gross profit, D&amp;A, capex and net cash to the pound, so the whole EGP 15.10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-7.62</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+2.44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-2.51</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-0.16</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+1.28</w:t>
            </w:r>
          </w:p>
        </w:tc>
        <w:tc>
          <w:tcPr>
            <w:tcW w:type="dxa" w:w="4320"/>
          </w:tcPr>
          <w:p>
            <w:pPr>
              <w:spacing w:after="20"/>
              <w:jc w:val="right"/>
            </w:pPr>
            <w:r>
              <w:rPr>
                <w:color w:val="1C3A36"/>
                <w:sz w:val="17"/>
              </w:rPr>
              <w:t>−3.33 out of window, +4.61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Other three lenses</w:t>
            </w:r>
          </w:p>
        </w:tc>
        <w:tc>
          <w:tcPr>
            <w:tcW w:type="dxa" w:w="1224"/>
          </w:tcPr>
          <w:p>
            <w:pPr>
              <w:spacing w:after="20"/>
              <w:jc w:val="right"/>
            </w:pPr>
            <w:r>
              <w:rPr>
                <w:color w:val="1C3A36"/>
                <w:sz w:val="17"/>
              </w:rPr>
              <w:t>-0.73</w:t>
            </w:r>
          </w:p>
        </w:tc>
        <w:tc>
          <w:tcPr>
            <w:tcW w:type="dxa" w:w="4320"/>
          </w:tcPr>
          <w:p>
            <w:pPr>
              <w:spacing w:after="20"/>
              <w:jc w:val="right"/>
            </w:pPr>
            <w:r>
              <w:rPr>
                <w:color w:val="1C3A36"/>
                <w:sz w:val="17"/>
              </w:rPr>
              <w:t>50/20/22/8 weights and share count</w:t>
            </w:r>
          </w:p>
        </w:tc>
      </w:tr>
      <w:tr>
        <w:tc>
          <w:tcPr>
            <w:tcW w:type="dxa" w:w="3816"/>
          </w:tcPr>
          <w:p>
            <w:pPr>
              <w:spacing w:after="20"/>
            </w:pPr>
            <w:r>
              <w:rPr>
                <w:color w:val="1C3A36"/>
                <w:sz w:val="17"/>
              </w:rPr>
              <w:t>END — this study's weighted central</w:t>
            </w:r>
          </w:p>
        </w:tc>
        <w:tc>
          <w:tcPr>
            <w:tcW w:type="dxa" w:w="1224"/>
          </w:tcPr>
          <w:p>
            <w:pPr>
              <w:spacing w:after="20"/>
              <w:jc w:val="right"/>
            </w:pPr>
            <w:r>
              <w:rPr>
                <w:color w:val="1C3A36"/>
                <w:sz w:val="17"/>
              </w:rPr>
              <w:t>54.65</w:t>
            </w:r>
          </w:p>
        </w:tc>
        <w:tc>
          <w:tcPr>
            <w:tcW w:type="dxa" w:w="4320"/>
          </w:tcPr>
          <w:p>
            <w:pPr>
              <w:spacing w:after="20"/>
              <w:jc w:val="right"/>
            </w:pPr>
            <w:r>
              <w:rPr>
                <w:color w:val="1C3A36"/>
                <w:sz w:val="17"/>
              </w:rPr>
              <w:t>four lenses, weighted</w:t>
            </w:r>
          </w:p>
        </w:tc>
      </w:tr>
    </w:tbl>
    <w:p>
      <w:pPr>
        <w:spacing w:after="40"/>
      </w:pPr>
    </w:p>
    <w:p>
      <w:pPr>
        <w:spacing w:after="200" w:before="0"/>
      </w:pPr>
      <w:r>
        <w:rPr>
          <w:b w:val="0"/>
          <w:i/>
          <w:color w:val="6E7B77"/>
          <w:sz w:val="17"/>
        </w:rPr>
        <w:t>Table 14 — The reconciliation bridge. Bars sum to the gap exactly (-15.10 vs -15.10).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-16.65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+2.28. The remaining -0.73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(-7.62,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(+2.44,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(-2.51,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(-0.16,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(+1.28, EFG off mark). A price is what you pay today. Only 0.417 of FY2026 remains, so 0.583 of that year's FCFF leaves the discounted window — and arrives in the bridge as cash already earned. This step ADDS value on net. The +4.61 of accumulated cash is INSIDE the 54.65;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Other three lenses (-0.73, method, not error). Not an error on either side. They publish a DCF; we weight DCF 50%, multiples 20%, normalised earnings 22%, replacement cost 8%. The three non-DCF lenses land at 48.96 / 52.95 / 68.87 and pull down 0.73 net. The share count (374.867 vs 375.0) is inside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-7.4%</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-2.0%</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+3.4%</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-11.2%</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+12.2%</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59.00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59.00 sits between this study’s central of EGP 50.20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-2.0%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42.75</w:t>
            </w:r>
          </w:p>
        </w:tc>
        <w:tc>
          <w:tcPr>
            <w:tcW w:type="dxa" w:w="1440"/>
          </w:tcPr>
          <w:p>
            <w:pPr>
              <w:spacing w:after="20"/>
              <w:jc w:val="right"/>
            </w:pPr>
            <w:r>
              <w:rPr>
                <w:color w:val="1C3A36"/>
                <w:sz w:val="18"/>
              </w:rPr>
              <w:t>46.50</w:t>
            </w:r>
          </w:p>
        </w:tc>
        <w:tc>
          <w:tcPr>
            <w:tcW w:type="dxa" w:w="1440"/>
          </w:tcPr>
          <w:p>
            <w:pPr>
              <w:spacing w:after="20"/>
              <w:jc w:val="right"/>
            </w:pPr>
            <w:r>
              <w:rPr>
                <w:color w:val="1C3A36"/>
                <w:sz w:val="18"/>
              </w:rPr>
              <w:t>53.45</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-21.2%</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44.06</w:t>
            </w:r>
          </w:p>
        </w:tc>
        <w:tc>
          <w:tcPr>
            <w:tcW w:type="dxa" w:w="1440"/>
          </w:tcPr>
          <w:p>
            <w:pPr>
              <w:spacing w:after="20"/>
              <w:jc w:val="right"/>
            </w:pPr>
            <w:r>
              <w:rPr>
                <w:color w:val="1C3A36"/>
                <w:sz w:val="18"/>
              </w:rPr>
              <w:t>48.96</w:t>
            </w:r>
          </w:p>
        </w:tc>
        <w:tc>
          <w:tcPr>
            <w:tcW w:type="dxa" w:w="1440"/>
          </w:tcPr>
          <w:p>
            <w:pPr>
              <w:spacing w:after="20"/>
              <w:jc w:val="right"/>
            </w:pPr>
            <w:r>
              <w:rPr>
                <w:color w:val="1C3A36"/>
                <w:sz w:val="18"/>
              </w:rPr>
              <w:t>53.86</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-17.0%</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47.65</w:t>
            </w:r>
          </w:p>
        </w:tc>
        <w:tc>
          <w:tcPr>
            <w:tcW w:type="dxa" w:w="1440"/>
          </w:tcPr>
          <w:p>
            <w:pPr>
              <w:spacing w:after="20"/>
              <w:jc w:val="right"/>
            </w:pPr>
            <w:r>
              <w:rPr>
                <w:color w:val="1C3A36"/>
                <w:sz w:val="18"/>
              </w:rPr>
              <w:t>52.95</w:t>
            </w:r>
          </w:p>
        </w:tc>
        <w:tc>
          <w:tcPr>
            <w:tcW w:type="dxa" w:w="1440"/>
          </w:tcPr>
          <w:p>
            <w:pPr>
              <w:spacing w:after="20"/>
              <w:jc w:val="right"/>
            </w:pPr>
            <w:r>
              <w:rPr>
                <w:color w:val="1C3A36"/>
                <w:sz w:val="18"/>
              </w:rPr>
              <w:t>58.24</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-10.3%</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61.99</w:t>
            </w:r>
          </w:p>
        </w:tc>
        <w:tc>
          <w:tcPr>
            <w:tcW w:type="dxa" w:w="1440"/>
          </w:tcPr>
          <w:p>
            <w:pPr>
              <w:spacing w:after="20"/>
              <w:jc w:val="right"/>
            </w:pPr>
            <w:r>
              <w:rPr>
                <w:color w:val="1C3A36"/>
                <w:sz w:val="18"/>
              </w:rPr>
              <w:t>68.87</w:t>
            </w:r>
          </w:p>
        </w:tc>
        <w:tc>
          <w:tcPr>
            <w:tcW w:type="dxa" w:w="1440"/>
          </w:tcPr>
          <w:p>
            <w:pPr>
              <w:spacing w:after="20"/>
              <w:jc w:val="right"/>
            </w:pPr>
            <w:r>
              <w:rPr>
                <w:color w:val="1C3A36"/>
                <w:sz w:val="18"/>
              </w:rPr>
              <w:t>75.76</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+16.7%</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45.63</w:t>
            </w:r>
          </w:p>
        </w:tc>
        <w:tc>
          <w:tcPr>
            <w:tcW w:type="dxa" w:w="1440"/>
            <w:shd w:val="clear" w:color="auto" w:fill="F6F1E6"/>
          </w:tcPr>
          <w:p>
            <w:pPr>
              <w:spacing w:after="20"/>
              <w:jc w:val="right"/>
            </w:pPr>
            <w:r>
              <w:rPr>
                <w:b/>
                <w:color w:val="1C3A36"/>
                <w:sz w:val="18"/>
              </w:rPr>
              <w:t>50.20</w:t>
            </w:r>
          </w:p>
        </w:tc>
        <w:tc>
          <w:tcPr>
            <w:tcW w:type="dxa" w:w="1440"/>
            <w:shd w:val="clear" w:color="auto" w:fill="F6F1E6"/>
          </w:tcPr>
          <w:p>
            <w:pPr>
              <w:spacing w:after="20"/>
              <w:jc w:val="right"/>
            </w:pPr>
            <w:r>
              <w:rPr>
                <w:b/>
                <w:color w:val="1C3A36"/>
                <w:sz w:val="18"/>
              </w:rPr>
              <w:t>56.37</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-14.9%</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Two of them sit ABOVE the market price — Asset / replacement cost, at EGP 68.87 — and two sit below: DCF (cash flow), Relative multiples and Normalised earnings, at EGP 46.50 and EGP 48.96 and EGP 52.95.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The weighting resolves that in favour of earnings, at 50%/20%/22%/8%, and gives a central EGP 50.20 against EGP 59.00 — -14.9%.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94%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3,085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This method has been tested on this company's own history, and it is worth knowing how it did. </w:t>
      </w:r>
      <w:r>
        <w:rPr>
          <w:color w:val="1C3A36"/>
          <w:sz w:val="21"/>
        </w:rPr>
        <w:t>Before this edition was written, the forecasting approach used here was rebuilt as it would have stood at each year-end from 2018 to 2024, projected forward, and scored against what the company actually went on to report — twenty-five separate tests across twelve audited years. Three results from it belong in front of a reader. FIRST, the approach beat both naive alternatives on net profit: simply assuming last year repeats, and extending the recent trend. That is not the usual result and it is not assumed here. SECOND, it was nonetheless wrong in the same direction almost every time — it under-forecast revenue and cost together, because no forecast made before 2022 could have known the pound would fall from 15.6 to the dollar to 49.2. Roughly seven-tenths of the cost error disappears if the model is handed the exchange rate it could not have known. THIRD, and most important for how this document should be read, the two errors partly cancelled: because they ran the same way on both sides of the income statement, the profit forecast looked better than the method deserved. Accuracy from offsetting errors is not skill, and saying so is the point of testing at all.</w:t>
      </w:r>
    </w:p>
    <w:p>
      <w:pPr>
        <w:pStyle w:val="ListBullet"/>
        <w:spacing w:after="60"/>
      </w:pPr>
      <w:r>
        <w:rPr>
          <w:b/>
          <w:color w:val="1C3A36"/>
          <w:sz w:val="21"/>
        </w:rPr>
        <w:t xml:space="preserve">The later years of the forecast are ranges, and that is not a stylistic choice. </w:t>
      </w:r>
      <w:r>
        <w:rPr>
          <w:color w:val="1C3A36"/>
          <w:sz w:val="21"/>
        </w:rPr>
        <w:t>The same test measured how wrong this approach has been at each distance. At one year ahead the middle of its error distribution is essentially zero. At five years the spread runs to a factor of about three and a half on the level. A single number five years out would therefore be a fiction dressed as an estimate, so years three to five are shown as ranges built from that measured record rather than as points. The width should be read as what it is — how wrong this method has been at that distance — and not as a forecast of how wide the company's own outcomes will be. It is dominated by one currency collapse, and nobody has evidence that another of that size is as likely as not.</w:t>
      </w:r>
    </w:p>
    <w:p>
      <w:pPr>
        <w:pStyle w:val="ListBullet"/>
        <w:spacing w:after="60"/>
      </w:pPr>
      <w:r>
        <w:rPr>
          <w:b/>
          <w:color w:val="1C3A36"/>
          <w:sz w:val="21"/>
        </w:rPr>
        <w:t xml:space="preserve">Two parts of the model are known to be weak, and neither is patched over. </w:t>
      </w:r>
      <w:r>
        <w:rPr>
          <w:color w:val="1C3A36"/>
          <w:sz w:val="21"/>
        </w:rPr>
        <w:t>The test found that the interest-cost rule breaks after the company repaid its debt in full in 2023: a rule that keeps repaying eventually reaches zero and stays there, so it forecast no interest at all for a company that then signed a EUR 25mn facility with the EBRD. And the volume rule — anchoring on Egypt's cement market and this company's share of it — was beaten by simply carrying last year's tonnage forward, because the company's own share moved much further than the market did, from 8.1% to 5.4%, as it pivoted from domestic cement to clinker exports. Both are recorded as defects to fix in the next edition. Neither is corrected by a multiplier: a correction factor is honest when the model is right and reality is awkward, and when the model is wrong a correction hides it.</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50.20,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7.89%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+3.1%.</w:t>
      </w:r>
    </w:p>
    <w:p>
      <w:pPr>
        <w:pStyle w:val="ListBullet"/>
        <w:spacing w:after="60"/>
      </w:pPr>
      <w:r>
        <w:rPr>
          <w:b/>
          <w:color w:val="1C3A36"/>
          <w:sz w:val="21"/>
        </w:rPr>
        <w:t xml:space="preserve">The forecast is well below the first-quarter run rate. </w:t>
      </w:r>
      <w:r>
        <w:rPr>
          <w:color w:val="1C3A36"/>
          <w:sz w:val="21"/>
        </w:rPr>
        <w:t>This is the largest judgement in the model and section 1.6 states it with the numbers. The first quarter of 2026 ran a 42.9% gross margin against 40.6% for FY2025 as a whole. If that holds, this valuation is too cautious, and the margin sensitivity below is where to look.</w:t>
      </w:r>
    </w:p>
    <w:p>
      <w:pPr>
        <w:pStyle w:val="ListBullet"/>
        <w:spacing w:after="60"/>
      </w:pPr>
      <w:r>
        <w:rPr>
          <w:b/>
          <w:color w:val="1C3A36"/>
          <w:sz w:val="21"/>
        </w:rPr>
        <w:t xml:space="preserve">The terminal denominator is a choice. </w:t>
      </w:r>
      <w:r>
        <w:rPr>
          <w:color w:val="1C3A36"/>
          <w:sz w:val="21"/>
        </w:rPr>
        <w:t>Return on capital is 60.6% on the audited book and 8.8% on replacement cost. The terminal block uses replacement cost, which leaves the plant roughly breaking even on new tonnes — 8.39% against a hurdle of 14.61%, so four points of terminal growth are worth -24.2%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weak. </w:t>
      </w:r>
      <w:r>
        <w:rPr>
          <w:color w:val="1C3A36"/>
          <w:sz w:val="21"/>
        </w:rPr>
        <w:t>R-squared of 4.7% and a 90% interval of [0.32, 1.07]. The valuation is shown across a beta range for exactly this reason, and the lead-lag correction is published as a value.</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426</w:t>
            </w:r>
          </w:p>
        </w:tc>
        <w:tc>
          <w:tcPr>
            <w:tcW w:type="dxa" w:w="1325"/>
            <w:shd w:val="clear" w:color="auto" w:fill="EAF0EE"/>
          </w:tcPr>
          <w:p>
            <w:pPr>
              <w:spacing w:after="20"/>
            </w:pPr>
            <w:r>
              <w:rPr>
                <w:b/>
                <w:color w:val="1C3A36"/>
                <w:sz w:val="17"/>
              </w:rPr>
              <w:t>1,176</w:t>
            </w:r>
          </w:p>
        </w:tc>
        <w:tc>
          <w:tcPr>
            <w:tcW w:type="dxa" w:w="1325"/>
            <w:shd w:val="clear" w:color="auto" w:fill="EAF0EE"/>
          </w:tcPr>
          <w:p>
            <w:pPr>
              <w:spacing w:after="20"/>
            </w:pPr>
            <w:r>
              <w:rPr>
                <w:b/>
                <w:color w:val="1C3A36"/>
                <w:sz w:val="17"/>
              </w:rPr>
              <w:t>1,926</w:t>
            </w:r>
          </w:p>
        </w:tc>
        <w:tc>
          <w:tcPr>
            <w:tcW w:type="dxa" w:w="1325"/>
            <w:shd w:val="clear" w:color="auto" w:fill="EAF0EE"/>
          </w:tcPr>
          <w:p>
            <w:pPr>
              <w:spacing w:after="20"/>
            </w:pPr>
            <w:r>
              <w:rPr>
                <w:b/>
                <w:color w:val="1C3A36"/>
                <w:sz w:val="17"/>
              </w:rPr>
              <w:t>2,676</w:t>
            </w:r>
          </w:p>
        </w:tc>
        <w:tc>
          <w:tcPr>
            <w:tcW w:type="dxa" w:w="1325"/>
            <w:shd w:val="clear" w:color="auto" w:fill="EAF0EE"/>
          </w:tcPr>
          <w:p>
            <w:pPr>
              <w:spacing w:after="20"/>
            </w:pPr>
            <w:r>
              <w:rPr>
                <w:b/>
                <w:color w:val="1C3A36"/>
                <w:sz w:val="17"/>
              </w:rPr>
              <w:t>3,426</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44.01</w:t>
            </w:r>
          </w:p>
        </w:tc>
        <w:tc>
          <w:tcPr>
            <w:tcW w:type="dxa" w:w="1325"/>
          </w:tcPr>
          <w:p>
            <w:pPr>
              <w:spacing w:after="20"/>
              <w:jc w:val="right"/>
            </w:pPr>
            <w:r>
              <w:rPr>
                <w:color w:val="1C3A36"/>
                <w:sz w:val="17"/>
              </w:rPr>
              <w:t>46.01</w:t>
            </w:r>
          </w:p>
        </w:tc>
        <w:tc>
          <w:tcPr>
            <w:tcW w:type="dxa" w:w="1325"/>
          </w:tcPr>
          <w:p>
            <w:pPr>
              <w:spacing w:after="20"/>
              <w:jc w:val="right"/>
            </w:pPr>
            <w:r>
              <w:rPr>
                <w:color w:val="1C3A36"/>
                <w:sz w:val="17"/>
              </w:rPr>
              <w:t>48.01</w:t>
            </w:r>
          </w:p>
        </w:tc>
        <w:tc>
          <w:tcPr>
            <w:tcW w:type="dxa" w:w="1325"/>
          </w:tcPr>
          <w:p>
            <w:pPr>
              <w:spacing w:after="20"/>
              <w:jc w:val="right"/>
            </w:pPr>
            <w:r>
              <w:rPr>
                <w:color w:val="1C3A36"/>
                <w:sz w:val="17"/>
              </w:rPr>
              <w:t>50.02</w:t>
            </w:r>
          </w:p>
        </w:tc>
        <w:tc>
          <w:tcPr>
            <w:tcW w:type="dxa" w:w="1325"/>
          </w:tcPr>
          <w:p>
            <w:pPr>
              <w:spacing w:after="20"/>
              <w:jc w:val="right"/>
            </w:pPr>
            <w:r>
              <w:rPr>
                <w:color w:val="1C3A36"/>
                <w:sz w:val="17"/>
              </w:rPr>
              <w:t>52.02</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38.63</w:t>
            </w:r>
          </w:p>
        </w:tc>
        <w:tc>
          <w:tcPr>
            <w:tcW w:type="dxa" w:w="1325"/>
          </w:tcPr>
          <w:p>
            <w:pPr>
              <w:spacing w:after="20"/>
              <w:jc w:val="right"/>
            </w:pPr>
            <w:r>
              <w:rPr>
                <w:color w:val="1C3A36"/>
                <w:sz w:val="17"/>
              </w:rPr>
              <w:t>43.32</w:t>
            </w:r>
          </w:p>
        </w:tc>
        <w:tc>
          <w:tcPr>
            <w:tcW w:type="dxa" w:w="1325"/>
          </w:tcPr>
          <w:p>
            <w:pPr>
              <w:spacing w:after="20"/>
              <w:jc w:val="right"/>
            </w:pPr>
            <w:r>
              <w:rPr>
                <w:color w:val="1C3A36"/>
                <w:sz w:val="17"/>
              </w:rPr>
              <w:t>48.01</w:t>
            </w:r>
          </w:p>
        </w:tc>
        <w:tc>
          <w:tcPr>
            <w:tcW w:type="dxa" w:w="1325"/>
          </w:tcPr>
          <w:p>
            <w:pPr>
              <w:spacing w:after="20"/>
              <w:jc w:val="right"/>
            </w:pPr>
            <w:r>
              <w:rPr>
                <w:color w:val="1C3A36"/>
                <w:sz w:val="17"/>
              </w:rPr>
              <w:t>52.71</w:t>
            </w:r>
          </w:p>
        </w:tc>
        <w:tc>
          <w:tcPr>
            <w:tcW w:type="dxa" w:w="1325"/>
          </w:tcPr>
          <w:p>
            <w:pPr>
              <w:spacing w:after="20"/>
              <w:jc w:val="right"/>
            </w:pPr>
            <w:r>
              <w:rPr>
                <w:color w:val="1C3A36"/>
                <w:sz w:val="17"/>
              </w:rPr>
              <w:t>57.40</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6,043</w:t>
            </w:r>
          </w:p>
        </w:tc>
        <w:tc>
          <w:tcPr>
            <w:tcW w:type="dxa" w:w="1037"/>
          </w:tcPr>
          <w:p>
            <w:pPr>
              <w:spacing w:after="20"/>
              <w:jc w:val="right"/>
            </w:pPr>
            <w:r>
              <w:rPr>
                <w:color w:val="1C3A36"/>
                <w:sz w:val="16"/>
              </w:rPr>
              <w:t>8,730</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13,025</w:t>
            </w:r>
          </w:p>
        </w:tc>
        <w:tc>
          <w:tcPr>
            <w:tcW w:type="dxa" w:w="1037"/>
          </w:tcPr>
          <w:p>
            <w:pPr>
              <w:spacing w:after="20"/>
              <w:jc w:val="right"/>
            </w:pPr>
            <w:r>
              <w:rPr>
                <w:color w:val="1C3A36"/>
                <w:sz w:val="16"/>
              </w:rPr>
              <w:t>14,155</w:t>
            </w:r>
          </w:p>
        </w:tc>
        <w:tc>
          <w:tcPr>
            <w:tcW w:type="dxa" w:w="1037"/>
          </w:tcPr>
          <w:p>
            <w:pPr>
              <w:spacing w:after="20"/>
              <w:jc w:val="right"/>
            </w:pPr>
            <w:r>
              <w:rPr>
                <w:color w:val="1C3A36"/>
                <w:sz w:val="16"/>
              </w:rPr>
              <w:t>15,350</w:t>
            </w:r>
          </w:p>
        </w:tc>
        <w:tc>
          <w:tcPr>
            <w:tcW w:type="dxa" w:w="1037"/>
          </w:tcPr>
          <w:p>
            <w:pPr>
              <w:spacing w:after="20"/>
              <w:jc w:val="right"/>
            </w:pPr>
            <w:r>
              <w:rPr>
                <w:color w:val="1C3A36"/>
                <w:sz w:val="16"/>
              </w:rPr>
              <w:t>16,437</w:t>
            </w:r>
          </w:p>
        </w:tc>
        <w:tc>
          <w:tcPr>
            <w:tcW w:type="dxa" w:w="1037"/>
          </w:tcPr>
          <w:p>
            <w:pPr>
              <w:spacing w:after="20"/>
              <w:jc w:val="right"/>
            </w:pPr>
            <w:r>
              <w:rPr>
                <w:color w:val="1C3A36"/>
                <w:sz w:val="16"/>
              </w:rPr>
              <w:t>17,524</w:t>
            </w:r>
          </w:p>
        </w:tc>
      </w:tr>
      <w:tr>
        <w:tc>
          <w:tcPr>
            <w:tcW w:type="dxa" w:w="2189"/>
          </w:tcPr>
          <w:p>
            <w:pPr>
              <w:spacing w:after="20"/>
            </w:pPr>
            <w:r>
              <w:rPr>
                <w:color w:val="1C3A36"/>
                <w:sz w:val="16"/>
              </w:rPr>
              <w:t>Cost of sales</w:t>
            </w:r>
          </w:p>
        </w:tc>
        <w:tc>
          <w:tcPr>
            <w:tcW w:type="dxa" w:w="1037"/>
          </w:tcPr>
          <w:p>
            <w:pPr>
              <w:spacing w:after="20"/>
              <w:jc w:val="right"/>
            </w:pPr>
            <w:r>
              <w:rPr>
                <w:color w:val="1C3A36"/>
                <w:sz w:val="16"/>
              </w:rPr>
              <w:t>(4,760)</w:t>
            </w:r>
          </w:p>
        </w:tc>
        <w:tc>
          <w:tcPr>
            <w:tcW w:type="dxa" w:w="1037"/>
          </w:tcPr>
          <w:p>
            <w:pPr>
              <w:spacing w:after="20"/>
              <w:jc w:val="right"/>
            </w:pPr>
            <w:r>
              <w:rPr>
                <w:color w:val="1C3A36"/>
                <w:sz w:val="16"/>
              </w:rPr>
              <w:t>(6,643)</w:t>
            </w:r>
          </w:p>
        </w:tc>
        <w:tc>
          <w:tcPr>
            <w:tcW w:type="dxa" w:w="1037"/>
          </w:tcPr>
          <w:p>
            <w:pPr>
              <w:spacing w:after="20"/>
              <w:jc w:val="right"/>
            </w:pPr>
            <w:r>
              <w:rPr>
                <w:color w:val="1C3A36"/>
                <w:sz w:val="16"/>
              </w:rPr>
              <w:t>(7,389)</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Gross profit</w:t>
            </w:r>
          </w:p>
        </w:tc>
        <w:tc>
          <w:tcPr>
            <w:tcW w:type="dxa" w:w="1037"/>
          </w:tcPr>
          <w:p>
            <w:pPr>
              <w:spacing w:after="20"/>
              <w:jc w:val="right"/>
            </w:pPr>
            <w:r>
              <w:rPr>
                <w:color w:val="1C3A36"/>
                <w:sz w:val="16"/>
              </w:rPr>
              <w:t>1,283</w:t>
            </w:r>
          </w:p>
        </w:tc>
        <w:tc>
          <w:tcPr>
            <w:tcW w:type="dxa" w:w="1037"/>
          </w:tcPr>
          <w:p>
            <w:pPr>
              <w:spacing w:after="20"/>
              <w:jc w:val="right"/>
            </w:pPr>
            <w:r>
              <w:rPr>
                <w:color w:val="1C3A36"/>
                <w:sz w:val="16"/>
              </w:rPr>
              <w:t>2,087</w:t>
            </w:r>
          </w:p>
        </w:tc>
        <w:tc>
          <w:tcPr>
            <w:tcW w:type="dxa" w:w="1037"/>
          </w:tcPr>
          <w:p>
            <w:pPr>
              <w:spacing w:after="20"/>
              <w:jc w:val="right"/>
            </w:pPr>
            <w:r>
              <w:rPr>
                <w:color w:val="1C3A36"/>
                <w:sz w:val="16"/>
              </w:rPr>
              <w:t>5,058</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Operating profit</w:t>
            </w:r>
          </w:p>
        </w:tc>
        <w:tc>
          <w:tcPr>
            <w:tcW w:type="dxa" w:w="1037"/>
          </w:tcPr>
          <w:p>
            <w:pPr>
              <w:spacing w:after="20"/>
              <w:jc w:val="right"/>
            </w:pPr>
            <w:r>
              <w:rPr>
                <w:color w:val="1C3A36"/>
                <w:sz w:val="16"/>
              </w:rPr>
              <w:t>1,079</w:t>
            </w:r>
          </w:p>
        </w:tc>
        <w:tc>
          <w:tcPr>
            <w:tcW w:type="dxa" w:w="1037"/>
          </w:tcPr>
          <w:p>
            <w:pPr>
              <w:spacing w:after="20"/>
              <w:jc w:val="right"/>
            </w:pPr>
            <w:r>
              <w:rPr>
                <w:color w:val="1C3A36"/>
                <w:sz w:val="16"/>
              </w:rPr>
              <w:t>1,764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4,367</w:t>
            </w:r>
          </w:p>
        </w:tc>
        <w:tc>
          <w:tcPr>
            <w:tcW w:type="dxa" w:w="1037"/>
          </w:tcPr>
          <w:p>
            <w:pPr>
              <w:spacing w:after="20"/>
              <w:jc w:val="right"/>
            </w:pPr>
            <w:r>
              <w:rPr>
                <w:color w:val="1C3A36"/>
                <w:sz w:val="16"/>
              </w:rPr>
              <w:t>4,662</w:t>
            </w:r>
          </w:p>
        </w:tc>
        <w:tc>
          <w:tcPr>
            <w:tcW w:type="dxa" w:w="1037"/>
          </w:tcPr>
          <w:p>
            <w:pPr>
              <w:spacing w:after="20"/>
              <w:jc w:val="right"/>
            </w:pPr>
            <w:r>
              <w:rPr>
                <w:color w:val="1C3A36"/>
                <w:sz w:val="16"/>
              </w:rPr>
              <w:t>4,994</w:t>
            </w:r>
          </w:p>
        </w:tc>
        <w:tc>
          <w:tcPr>
            <w:tcW w:type="dxa" w:w="1037"/>
          </w:tcPr>
          <w:p>
            <w:pPr>
              <w:spacing w:after="20"/>
              <w:jc w:val="right"/>
            </w:pPr>
            <w:r>
              <w:rPr>
                <w:color w:val="1C3A36"/>
                <w:sz w:val="16"/>
              </w:rPr>
              <w:t>5,253</w:t>
            </w:r>
          </w:p>
        </w:tc>
        <w:tc>
          <w:tcPr>
            <w:tcW w:type="dxa" w:w="1037"/>
          </w:tcPr>
          <w:p>
            <w:pPr>
              <w:spacing w:after="20"/>
              <w:jc w:val="right"/>
            </w:pPr>
            <w:r>
              <w:rPr>
                <w:color w:val="1C3A36"/>
                <w:sz w:val="16"/>
              </w:rPr>
              <w:t>5,559</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250</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290</w:t>
            </w:r>
          </w:p>
        </w:tc>
        <w:tc>
          <w:tcPr>
            <w:tcW w:type="dxa" w:w="1037"/>
          </w:tcPr>
          <w:p>
            <w:pPr>
              <w:spacing w:after="20"/>
              <w:jc w:val="right"/>
            </w:pPr>
            <w:r>
              <w:rPr>
                <w:color w:val="1C3A36"/>
                <w:sz w:val="16"/>
              </w:rPr>
              <w:t>326</w:t>
            </w:r>
          </w:p>
        </w:tc>
        <w:tc>
          <w:tcPr>
            <w:tcW w:type="dxa" w:w="1037"/>
          </w:tcPr>
          <w:p>
            <w:pPr>
              <w:spacing w:after="20"/>
              <w:jc w:val="right"/>
            </w:pPr>
            <w:r>
              <w:rPr>
                <w:color w:val="1C3A36"/>
                <w:sz w:val="16"/>
              </w:rPr>
              <w:t>382</w:t>
            </w:r>
          </w:p>
        </w:tc>
        <w:tc>
          <w:tcPr>
            <w:tcW w:type="dxa" w:w="1037"/>
          </w:tcPr>
          <w:p>
            <w:pPr>
              <w:spacing w:after="20"/>
              <w:jc w:val="right"/>
            </w:pPr>
            <w:r>
              <w:rPr>
                <w:color w:val="1C3A36"/>
                <w:sz w:val="16"/>
              </w:rPr>
              <w:t>445</w:t>
            </w:r>
          </w:p>
        </w:tc>
        <w:tc>
          <w:tcPr>
            <w:tcW w:type="dxa" w:w="1037"/>
          </w:tcPr>
          <w:p>
            <w:pPr>
              <w:spacing w:after="20"/>
              <w:jc w:val="right"/>
            </w:pPr>
            <w:r>
              <w:rPr>
                <w:color w:val="1C3A36"/>
                <w:sz w:val="16"/>
              </w:rPr>
              <w:t>510</w:t>
            </w:r>
          </w:p>
        </w:tc>
        <w:tc>
          <w:tcPr>
            <w:tcW w:type="dxa" w:w="1037"/>
          </w:tcPr>
          <w:p>
            <w:pPr>
              <w:spacing w:after="20"/>
              <w:jc w:val="right"/>
            </w:pPr>
            <w:r>
              <w:rPr>
                <w:color w:val="1C3A36"/>
                <w:sz w:val="16"/>
              </w:rPr>
              <w:t>578</w:t>
            </w:r>
          </w:p>
        </w:tc>
      </w:tr>
      <w:tr>
        <w:tc>
          <w:tcPr>
            <w:tcW w:type="dxa" w:w="2189"/>
          </w:tcPr>
          <w:p>
            <w:pPr>
              <w:spacing w:after="20"/>
            </w:pPr>
            <w:r>
              <w:rPr>
                <w:color w:val="1C3A36"/>
                <w:sz w:val="16"/>
              </w:rPr>
              <w:t>EBITDA</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4,886</w:t>
            </w:r>
          </w:p>
        </w:tc>
        <w:tc>
          <w:tcPr>
            <w:tcW w:type="dxa" w:w="1037"/>
          </w:tcPr>
          <w:p>
            <w:pPr>
              <w:spacing w:after="20"/>
              <w:jc w:val="right"/>
            </w:pPr>
            <w:r>
              <w:rPr>
                <w:color w:val="1C3A36"/>
                <w:sz w:val="16"/>
              </w:rPr>
              <w:t>4,692</w:t>
            </w:r>
          </w:p>
        </w:tc>
        <w:tc>
          <w:tcPr>
            <w:tcW w:type="dxa" w:w="1037"/>
          </w:tcPr>
          <w:p>
            <w:pPr>
              <w:spacing w:after="20"/>
              <w:jc w:val="right"/>
            </w:pPr>
            <w:r>
              <w:rPr>
                <w:color w:val="1C3A36"/>
                <w:sz w:val="16"/>
              </w:rPr>
              <w:t>5,044</w:t>
            </w:r>
          </w:p>
        </w:tc>
        <w:tc>
          <w:tcPr>
            <w:tcW w:type="dxa" w:w="1037"/>
          </w:tcPr>
          <w:p>
            <w:pPr>
              <w:spacing w:after="20"/>
              <w:jc w:val="right"/>
            </w:pPr>
            <w:r>
              <w:rPr>
                <w:color w:val="1C3A36"/>
                <w:sz w:val="16"/>
              </w:rPr>
              <w:t>5,439</w:t>
            </w:r>
          </w:p>
        </w:tc>
        <w:tc>
          <w:tcPr>
            <w:tcW w:type="dxa" w:w="1037"/>
          </w:tcPr>
          <w:p>
            <w:pPr>
              <w:spacing w:after="20"/>
              <w:jc w:val="right"/>
            </w:pPr>
            <w:r>
              <w:rPr>
                <w:color w:val="1C3A36"/>
                <w:sz w:val="16"/>
              </w:rPr>
              <w:t>5,762</w:t>
            </w:r>
          </w:p>
        </w:tc>
        <w:tc>
          <w:tcPr>
            <w:tcW w:type="dxa" w:w="1037"/>
          </w:tcPr>
          <w:p>
            <w:pPr>
              <w:spacing w:after="20"/>
              <w:jc w:val="right"/>
            </w:pPr>
            <w:r>
              <w:rPr>
                <w:color w:val="1C3A36"/>
                <w:sz w:val="16"/>
              </w:rPr>
              <w:t>6,138</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23.1%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35.6%</w:t>
            </w:r>
          </w:p>
        </w:tc>
        <w:tc>
          <w:tcPr>
            <w:tcW w:type="dxa" w:w="1037"/>
          </w:tcPr>
          <w:p>
            <w:pPr>
              <w:spacing w:after="20"/>
              <w:jc w:val="right"/>
            </w:pPr>
            <w:r>
              <w:rPr>
                <w:color w:val="1C3A36"/>
                <w:sz w:val="16"/>
              </w:rPr>
              <w:t>35.4%</w:t>
            </w:r>
          </w:p>
        </w:tc>
        <w:tc>
          <w:tcPr>
            <w:tcW w:type="dxa" w:w="1037"/>
          </w:tcPr>
          <w:p>
            <w:pPr>
              <w:spacing w:after="20"/>
              <w:jc w:val="right"/>
            </w:pPr>
            <w:r>
              <w:rPr>
                <w:color w:val="1C3A36"/>
                <w:sz w:val="16"/>
              </w:rPr>
              <w:t>35.1%</w:t>
            </w:r>
          </w:p>
        </w:tc>
        <w:tc>
          <w:tcPr>
            <w:tcW w:type="dxa" w:w="1037"/>
          </w:tcPr>
          <w:p>
            <w:pPr>
              <w:spacing w:after="20"/>
              <w:jc w:val="right"/>
            </w:pPr>
            <w:r>
              <w:rPr>
                <w:color w:val="1C3A36"/>
                <w:sz w:val="16"/>
              </w:rPr>
              <w:t>35.0%</w:t>
            </w:r>
          </w:p>
        </w:tc>
      </w:tr>
      <w:tr>
        <w:tc>
          <w:tcPr>
            <w:tcW w:type="dxa" w:w="2189"/>
          </w:tcPr>
          <w:p>
            <w:pPr>
              <w:spacing w:after="20"/>
            </w:pPr>
            <w:r>
              <w:rPr>
                <w:color w:val="1C3A36"/>
                <w:sz w:val="16"/>
              </w:rPr>
              <w:t>Net finance and other income</w:t>
            </w:r>
          </w:p>
        </w:tc>
        <w:tc>
          <w:tcPr>
            <w:tcW w:type="dxa" w:w="1037"/>
          </w:tcPr>
          <w:p>
            <w:pPr>
              <w:spacing w:after="20"/>
              <w:jc w:val="right"/>
            </w:pPr>
            <w:r>
              <w:rPr>
                <w:color w:val="1C3A36"/>
                <w:sz w:val="16"/>
              </w:rPr>
              <w:t>-149</w:t>
            </w:r>
          </w:p>
        </w:tc>
        <w:tc>
          <w:tcPr>
            <w:tcW w:type="dxa" w:w="1037"/>
          </w:tcPr>
          <w:p>
            <w:pPr>
              <w:spacing w:after="20"/>
              <w:jc w:val="right"/>
            </w:pPr>
            <w:r>
              <w:rPr>
                <w:color w:val="1C3A36"/>
                <w:sz w:val="16"/>
              </w:rPr>
              <w:t>-258</w:t>
            </w:r>
          </w:p>
        </w:tc>
        <w:tc>
          <w:tcPr>
            <w:tcW w:type="dxa" w:w="1037"/>
          </w:tcPr>
          <w:p>
            <w:pPr>
              <w:spacing w:after="20"/>
              <w:jc w:val="right"/>
            </w:pPr>
            <w:r>
              <w:rPr>
                <w:color w:val="1C3A36"/>
                <w:sz w:val="16"/>
              </w:rPr>
              <w:t>129</w:t>
            </w:r>
          </w:p>
        </w:tc>
        <w:tc>
          <w:tcPr>
            <w:tcW w:type="dxa" w:w="1037"/>
          </w:tcPr>
          <w:p>
            <w:pPr>
              <w:spacing w:after="20"/>
              <w:jc w:val="right"/>
            </w:pPr>
            <w:r>
              <w:rPr>
                <w:color w:val="1C3A36"/>
                <w:sz w:val="16"/>
              </w:rPr>
              <w:t>127</w:t>
            </w:r>
          </w:p>
        </w:tc>
        <w:tc>
          <w:tcPr>
            <w:tcW w:type="dxa" w:w="1037"/>
          </w:tcPr>
          <w:p>
            <w:pPr>
              <w:spacing w:after="20"/>
              <w:jc w:val="right"/>
            </w:pPr>
            <w:r>
              <w:rPr>
                <w:color w:val="1C3A36"/>
                <w:sz w:val="16"/>
              </w:rPr>
              <w:t>200</w:t>
            </w:r>
          </w:p>
        </w:tc>
        <w:tc>
          <w:tcPr>
            <w:tcW w:type="dxa" w:w="1037"/>
          </w:tcPr>
          <w:p>
            <w:pPr>
              <w:spacing w:after="20"/>
              <w:jc w:val="right"/>
            </w:pPr>
            <w:r>
              <w:rPr>
                <w:color w:val="1C3A36"/>
                <w:sz w:val="16"/>
              </w:rPr>
              <w:t>279</w:t>
            </w:r>
          </w:p>
        </w:tc>
        <w:tc>
          <w:tcPr>
            <w:tcW w:type="dxa" w:w="1037"/>
          </w:tcPr>
          <w:p>
            <w:pPr>
              <w:spacing w:after="20"/>
              <w:jc w:val="right"/>
            </w:pPr>
            <w:r>
              <w:rPr>
                <w:color w:val="1C3A36"/>
                <w:sz w:val="16"/>
              </w:rPr>
              <w:t>364</w:t>
            </w:r>
          </w:p>
        </w:tc>
        <w:tc>
          <w:tcPr>
            <w:tcW w:type="dxa" w:w="1037"/>
          </w:tcPr>
          <w:p>
            <w:pPr>
              <w:spacing w:after="20"/>
              <w:jc w:val="right"/>
            </w:pPr>
            <w:r>
              <w:rPr>
                <w:color w:val="1C3A36"/>
                <w:sz w:val="16"/>
              </w:rPr>
              <w:t>469</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930</w:t>
            </w:r>
          </w:p>
        </w:tc>
        <w:tc>
          <w:tcPr>
            <w:tcW w:type="dxa" w:w="1037"/>
          </w:tcPr>
          <w:p>
            <w:pPr>
              <w:spacing w:after="20"/>
              <w:jc w:val="right"/>
            </w:pPr>
            <w:r>
              <w:rPr>
                <w:color w:val="1C3A36"/>
                <w:sz w:val="16"/>
              </w:rPr>
              <w:t>1,506</w:t>
            </w:r>
          </w:p>
        </w:tc>
        <w:tc>
          <w:tcPr>
            <w:tcW w:type="dxa" w:w="1037"/>
          </w:tcPr>
          <w:p>
            <w:pPr>
              <w:spacing w:after="20"/>
              <w:jc w:val="right"/>
            </w:pPr>
            <w:r>
              <w:rPr>
                <w:color w:val="1C3A36"/>
                <w:sz w:val="16"/>
              </w:rPr>
              <w:t>4,725</w:t>
            </w:r>
          </w:p>
        </w:tc>
        <w:tc>
          <w:tcPr>
            <w:tcW w:type="dxa" w:w="1037"/>
          </w:tcPr>
          <w:p>
            <w:pPr>
              <w:spacing w:after="20"/>
              <w:jc w:val="right"/>
            </w:pPr>
            <w:r>
              <w:rPr>
                <w:color w:val="1C3A36"/>
                <w:sz w:val="16"/>
              </w:rPr>
              <w:t>4,494</w:t>
            </w:r>
          </w:p>
        </w:tc>
        <w:tc>
          <w:tcPr>
            <w:tcW w:type="dxa" w:w="1037"/>
          </w:tcPr>
          <w:p>
            <w:pPr>
              <w:spacing w:after="20"/>
              <w:jc w:val="right"/>
            </w:pPr>
            <w:r>
              <w:rPr>
                <w:color w:val="1C3A36"/>
                <w:sz w:val="16"/>
              </w:rPr>
              <w:t>4,862</w:t>
            </w:r>
          </w:p>
        </w:tc>
        <w:tc>
          <w:tcPr>
            <w:tcW w:type="dxa" w:w="1037"/>
          </w:tcPr>
          <w:p>
            <w:pPr>
              <w:spacing w:after="20"/>
              <w:jc w:val="right"/>
            </w:pPr>
            <w:r>
              <w:rPr>
                <w:color w:val="1C3A36"/>
                <w:sz w:val="16"/>
              </w:rPr>
              <w:t>5,273</w:t>
            </w:r>
          </w:p>
        </w:tc>
        <w:tc>
          <w:tcPr>
            <w:tcW w:type="dxa" w:w="1037"/>
          </w:tcPr>
          <w:p>
            <w:pPr>
              <w:spacing w:after="20"/>
              <w:jc w:val="right"/>
            </w:pPr>
            <w:r>
              <w:rPr>
                <w:color w:val="1C3A36"/>
                <w:sz w:val="16"/>
              </w:rPr>
              <w:t>5,617</w:t>
            </w:r>
          </w:p>
        </w:tc>
        <w:tc>
          <w:tcPr>
            <w:tcW w:type="dxa" w:w="1037"/>
          </w:tcPr>
          <w:p>
            <w:pPr>
              <w:spacing w:after="20"/>
              <w:jc w:val="right"/>
            </w:pPr>
            <w:r>
              <w:rPr>
                <w:color w:val="1C3A36"/>
                <w:sz w:val="16"/>
              </w:rPr>
              <w:t>6,028</w:t>
            </w:r>
          </w:p>
        </w:tc>
      </w:tr>
      <w:tr>
        <w:tc>
          <w:tcPr>
            <w:tcW w:type="dxa" w:w="2189"/>
          </w:tcPr>
          <w:p>
            <w:pPr>
              <w:spacing w:after="20"/>
            </w:pPr>
            <w:r>
              <w:rPr>
                <w:color w:val="1C3A36"/>
                <w:sz w:val="16"/>
              </w:rPr>
              <w:t>Income tax</w:t>
            </w:r>
          </w:p>
        </w:tc>
        <w:tc>
          <w:tcPr>
            <w:tcW w:type="dxa" w:w="1037"/>
          </w:tcPr>
          <w:p>
            <w:pPr>
              <w:spacing w:after="20"/>
              <w:jc w:val="right"/>
            </w:pPr>
            <w:r>
              <w:rPr>
                <w:color w:val="1C3A36"/>
                <w:sz w:val="16"/>
              </w:rPr>
              <w:t>(233)</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(1,070)</w:t>
            </w:r>
          </w:p>
        </w:tc>
        <w:tc>
          <w:tcPr>
            <w:tcW w:type="dxa" w:w="1037"/>
          </w:tcPr>
          <w:p>
            <w:pPr>
              <w:spacing w:after="20"/>
              <w:jc w:val="right"/>
            </w:pPr>
            <w:r>
              <w:rPr>
                <w:color w:val="1C3A36"/>
                <w:sz w:val="16"/>
              </w:rPr>
              <w:t>(1,158)</w:t>
            </w:r>
          </w:p>
        </w:tc>
        <w:tc>
          <w:tcPr>
            <w:tcW w:type="dxa" w:w="1037"/>
          </w:tcPr>
          <w:p>
            <w:pPr>
              <w:spacing w:after="20"/>
              <w:jc w:val="right"/>
            </w:pPr>
            <w:r>
              <w:rPr>
                <w:color w:val="1C3A36"/>
                <w:sz w:val="16"/>
              </w:rPr>
              <w:t>(1,256)</w:t>
            </w:r>
          </w:p>
        </w:tc>
        <w:tc>
          <w:tcPr>
            <w:tcW w:type="dxa" w:w="1037"/>
          </w:tcPr>
          <w:p>
            <w:pPr>
              <w:spacing w:after="20"/>
              <w:jc w:val="right"/>
            </w:pPr>
            <w:r>
              <w:rPr>
                <w:color w:val="1C3A36"/>
                <w:sz w:val="16"/>
              </w:rPr>
              <w:t>(1,338)</w:t>
            </w:r>
          </w:p>
        </w:tc>
        <w:tc>
          <w:tcPr>
            <w:tcW w:type="dxa" w:w="1037"/>
          </w:tcPr>
          <w:p>
            <w:pPr>
              <w:spacing w:after="20"/>
              <w:jc w:val="right"/>
            </w:pPr>
            <w:r>
              <w:rPr>
                <w:color w:val="1C3A36"/>
                <w:sz w:val="16"/>
              </w:rPr>
              <w:t>(1,436)</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3,600</w:t>
            </w:r>
          </w:p>
        </w:tc>
        <w:tc>
          <w:tcPr>
            <w:tcW w:type="dxa" w:w="1037"/>
            <w:shd w:val="clear" w:color="auto" w:fill="F6F1E6"/>
          </w:tcPr>
          <w:p>
            <w:pPr>
              <w:spacing w:after="20"/>
              <w:jc w:val="right"/>
            </w:pPr>
            <w:r>
              <w:rPr>
                <w:b/>
                <w:color w:val="1C3A36"/>
                <w:sz w:val="16"/>
              </w:rPr>
              <w:t>3,424</w:t>
            </w:r>
          </w:p>
        </w:tc>
        <w:tc>
          <w:tcPr>
            <w:tcW w:type="dxa" w:w="1037"/>
            <w:shd w:val="clear" w:color="auto" w:fill="F6F1E6"/>
          </w:tcPr>
          <w:p>
            <w:pPr>
              <w:spacing w:after="20"/>
              <w:jc w:val="right"/>
            </w:pPr>
            <w:r>
              <w:rPr>
                <w:b/>
                <w:color w:val="1C3A36"/>
                <w:sz w:val="16"/>
              </w:rPr>
              <w:t>3,704</w:t>
            </w:r>
          </w:p>
        </w:tc>
        <w:tc>
          <w:tcPr>
            <w:tcW w:type="dxa" w:w="1037"/>
            <w:shd w:val="clear" w:color="auto" w:fill="F6F1E6"/>
          </w:tcPr>
          <w:p>
            <w:pPr>
              <w:spacing w:after="20"/>
              <w:jc w:val="right"/>
            </w:pPr>
            <w:r>
              <w:rPr>
                <w:b/>
                <w:color w:val="1C3A36"/>
                <w:sz w:val="16"/>
              </w:rPr>
              <w:t>4,017</w:t>
            </w:r>
          </w:p>
        </w:tc>
        <w:tc>
          <w:tcPr>
            <w:tcW w:type="dxa" w:w="1037"/>
            <w:shd w:val="clear" w:color="auto" w:fill="F6F1E6"/>
          </w:tcPr>
          <w:p>
            <w:pPr>
              <w:spacing w:after="20"/>
              <w:jc w:val="right"/>
            </w:pPr>
            <w:r>
              <w:rPr>
                <w:b/>
                <w:color w:val="1C3A36"/>
                <w:sz w:val="16"/>
              </w:rPr>
              <w:t>4,279</w:t>
            </w:r>
          </w:p>
        </w:tc>
        <w:tc>
          <w:tcPr>
            <w:tcW w:type="dxa" w:w="1037"/>
            <w:shd w:val="clear" w:color="auto" w:fill="F6F1E6"/>
          </w:tcPr>
          <w:p>
            <w:pPr>
              <w:spacing w:after="20"/>
              <w:jc w:val="right"/>
            </w:pPr>
            <w:r>
              <w:rPr>
                <w:b/>
                <w:color w:val="1C3A36"/>
                <w:sz w:val="16"/>
              </w:rPr>
              <w:t>4,592</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1.81</w:t>
            </w:r>
          </w:p>
        </w:tc>
        <w:tc>
          <w:tcPr>
            <w:tcW w:type="dxa" w:w="1037"/>
          </w:tcPr>
          <w:p>
            <w:pPr>
              <w:spacing w:after="20"/>
              <w:jc w:val="right"/>
            </w:pPr>
            <w:r>
              <w:rPr>
                <w:color w:val="1C3A36"/>
                <w:sz w:val="16"/>
              </w:rPr>
              <w:t>3.02</w:t>
            </w:r>
          </w:p>
        </w:tc>
        <w:tc>
          <w:tcPr>
            <w:tcW w:type="dxa" w:w="1037"/>
          </w:tcPr>
          <w:p>
            <w:pPr>
              <w:spacing w:after="20"/>
              <w:jc w:val="right"/>
            </w:pPr>
            <w:r>
              <w:rPr>
                <w:color w:val="1C3A36"/>
                <w:sz w:val="16"/>
              </w:rPr>
              <w:t>9.49</w:t>
            </w:r>
          </w:p>
        </w:tc>
        <w:tc>
          <w:tcPr>
            <w:tcW w:type="dxa" w:w="1037"/>
          </w:tcPr>
          <w:p>
            <w:pPr>
              <w:spacing w:after="20"/>
              <w:jc w:val="right"/>
            </w:pPr>
            <w:r>
              <w:rPr>
                <w:color w:val="1C3A36"/>
                <w:sz w:val="16"/>
              </w:rPr>
              <w:t>9.13</w:t>
            </w:r>
          </w:p>
        </w:tc>
        <w:tc>
          <w:tcPr>
            <w:tcW w:type="dxa" w:w="1037"/>
          </w:tcPr>
          <w:p>
            <w:pPr>
              <w:spacing w:after="20"/>
              <w:jc w:val="right"/>
            </w:pPr>
            <w:r>
              <w:rPr>
                <w:color w:val="1C3A36"/>
                <w:sz w:val="16"/>
              </w:rPr>
              <w:t>9.88</w:t>
            </w:r>
          </w:p>
        </w:tc>
        <w:tc>
          <w:tcPr>
            <w:tcW w:type="dxa" w:w="1037"/>
          </w:tcPr>
          <w:p>
            <w:pPr>
              <w:spacing w:after="20"/>
              <w:jc w:val="right"/>
            </w:pPr>
            <w:r>
              <w:rPr>
                <w:color w:val="1C3A36"/>
                <w:sz w:val="16"/>
              </w:rPr>
              <w:t>10.72</w:t>
            </w:r>
          </w:p>
        </w:tc>
        <w:tc>
          <w:tcPr>
            <w:tcW w:type="dxa" w:w="1037"/>
          </w:tcPr>
          <w:p>
            <w:pPr>
              <w:spacing w:after="20"/>
              <w:jc w:val="right"/>
            </w:pPr>
            <w:r>
              <w:rPr>
                <w:color w:val="1C3A36"/>
                <w:sz w:val="16"/>
              </w:rPr>
              <w:t>11.42</w:t>
            </w:r>
          </w:p>
        </w:tc>
        <w:tc>
          <w:tcPr>
            <w:tcW w:type="dxa" w:w="1037"/>
          </w:tcPr>
          <w:p>
            <w:pPr>
              <w:spacing w:after="20"/>
              <w:jc w:val="right"/>
            </w:pPr>
            <w:r>
              <w:rPr>
                <w:color w:val="1C3A36"/>
                <w:sz w:val="16"/>
              </w:rPr>
              <w:t>12.25</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3,888</w:t>
            </w:r>
          </w:p>
        </w:tc>
        <w:tc>
          <w:tcPr>
            <w:tcW w:type="dxa" w:w="1037"/>
            <w:shd w:val="clear" w:color="auto" w:fill="F6F1E6"/>
          </w:tcPr>
          <w:p>
            <w:pPr>
              <w:spacing w:after="20"/>
              <w:jc w:val="right"/>
            </w:pPr>
            <w:r>
              <w:rPr>
                <w:b/>
                <w:color w:val="1C3A36"/>
                <w:sz w:val="16"/>
              </w:rPr>
              <w:t>5,849</w:t>
            </w:r>
          </w:p>
        </w:tc>
        <w:tc>
          <w:tcPr>
            <w:tcW w:type="dxa" w:w="1037"/>
            <w:shd w:val="clear" w:color="auto" w:fill="F6F1E6"/>
          </w:tcPr>
          <w:p>
            <w:pPr>
              <w:spacing w:after="20"/>
              <w:jc w:val="right"/>
            </w:pPr>
            <w:r>
              <w:rPr>
                <w:b/>
                <w:color w:val="1C3A36"/>
                <w:sz w:val="16"/>
              </w:rPr>
              <w:t>8,784</w:t>
            </w:r>
          </w:p>
        </w:tc>
        <w:tc>
          <w:tcPr>
            <w:tcW w:type="dxa" w:w="1037"/>
            <w:shd w:val="clear" w:color="auto" w:fill="F6F1E6"/>
          </w:tcPr>
          <w:p>
            <w:pPr>
              <w:spacing w:after="20"/>
              <w:jc w:val="right"/>
            </w:pPr>
            <w:r>
              <w:rPr>
                <w:b/>
                <w:color w:val="1C3A36"/>
                <w:sz w:val="16"/>
              </w:rPr>
              <w:t>8,301</w:t>
            </w:r>
          </w:p>
        </w:tc>
        <w:tc>
          <w:tcPr>
            <w:tcW w:type="dxa" w:w="1037"/>
            <w:shd w:val="clear" w:color="auto" w:fill="F6F1E6"/>
          </w:tcPr>
          <w:p>
            <w:pPr>
              <w:spacing w:after="20"/>
              <w:jc w:val="right"/>
            </w:pPr>
            <w:r>
              <w:rPr>
                <w:b/>
                <w:color w:val="1C3A36"/>
                <w:sz w:val="16"/>
              </w:rPr>
              <w:t>9,946</w:t>
            </w:r>
          </w:p>
        </w:tc>
        <w:tc>
          <w:tcPr>
            <w:tcW w:type="dxa" w:w="1037"/>
            <w:shd w:val="clear" w:color="auto" w:fill="F6F1E6"/>
          </w:tcPr>
          <w:p>
            <w:pPr>
              <w:spacing w:after="20"/>
              <w:jc w:val="right"/>
            </w:pPr>
            <w:r>
              <w:rPr>
                <w:b/>
                <w:color w:val="1C3A36"/>
                <w:sz w:val="16"/>
              </w:rPr>
              <w:t>11,729</w:t>
            </w:r>
          </w:p>
        </w:tc>
        <w:tc>
          <w:tcPr>
            <w:tcW w:type="dxa" w:w="1037"/>
            <w:shd w:val="clear" w:color="auto" w:fill="F6F1E6"/>
          </w:tcPr>
          <w:p>
            <w:pPr>
              <w:spacing w:after="20"/>
              <w:jc w:val="right"/>
            </w:pPr>
            <w:r>
              <w:rPr>
                <w:b/>
                <w:color w:val="1C3A36"/>
                <w:sz w:val="16"/>
              </w:rPr>
              <w:t>13,629</w:t>
            </w:r>
          </w:p>
        </w:tc>
        <w:tc>
          <w:tcPr>
            <w:tcW w:type="dxa" w:w="1037"/>
            <w:shd w:val="clear" w:color="auto" w:fill="F6F1E6"/>
          </w:tcPr>
          <w:p>
            <w:pPr>
              <w:spacing w:after="20"/>
              <w:jc w:val="right"/>
            </w:pPr>
            <w:r>
              <w:rPr>
                <w:b/>
                <w:color w:val="1C3A36"/>
                <w:sz w:val="16"/>
              </w:rPr>
              <w:t>15,668</w:t>
            </w:r>
          </w:p>
        </w:tc>
      </w:tr>
      <w:tr>
        <w:tc>
          <w:tcPr>
            <w:tcW w:type="dxa" w:w="2189"/>
          </w:tcPr>
          <w:p>
            <w:pPr>
              <w:spacing w:after="20"/>
            </w:pPr>
            <w:r>
              <w:rPr>
                <w:color w:val="1C3A36"/>
                <w:sz w:val="16"/>
              </w:rPr>
              <w:t>Cash and bank balances</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1,687</w:t>
            </w:r>
          </w:p>
        </w:tc>
        <w:tc>
          <w:tcPr>
            <w:tcW w:type="dxa" w:w="1037"/>
          </w:tcPr>
          <w:p>
            <w:pPr>
              <w:spacing w:after="20"/>
              <w:jc w:val="right"/>
            </w:pPr>
            <w:r>
              <w:rPr>
                <w:color w:val="1C3A36"/>
                <w:sz w:val="16"/>
              </w:rPr>
              <w:t>3,459</w:t>
            </w:r>
          </w:p>
        </w:tc>
        <w:tc>
          <w:tcPr>
            <w:tcW w:type="dxa" w:w="1037"/>
          </w:tcPr>
          <w:p>
            <w:pPr>
              <w:spacing w:after="20"/>
              <w:jc w:val="right"/>
            </w:pPr>
            <w:r>
              <w:rPr>
                <w:color w:val="1C3A36"/>
                <w:sz w:val="16"/>
              </w:rPr>
              <w:t>2,222</w:t>
            </w:r>
          </w:p>
        </w:tc>
        <w:tc>
          <w:tcPr>
            <w:tcW w:type="dxa" w:w="1037"/>
          </w:tcPr>
          <w:p>
            <w:pPr>
              <w:spacing w:after="20"/>
              <w:jc w:val="right"/>
            </w:pPr>
            <w:r>
              <w:rPr>
                <w:color w:val="1C3A36"/>
                <w:sz w:val="16"/>
              </w:rPr>
              <w:t>3,051</w:t>
            </w:r>
          </w:p>
        </w:tc>
        <w:tc>
          <w:tcPr>
            <w:tcW w:type="dxa" w:w="1037"/>
          </w:tcPr>
          <w:p>
            <w:pPr>
              <w:spacing w:after="20"/>
              <w:jc w:val="right"/>
            </w:pPr>
            <w:r>
              <w:rPr>
                <w:color w:val="1C3A36"/>
                <w:sz w:val="16"/>
              </w:rPr>
              <w:t>4,020</w:t>
            </w:r>
          </w:p>
        </w:tc>
        <w:tc>
          <w:tcPr>
            <w:tcW w:type="dxa" w:w="1037"/>
          </w:tcPr>
          <w:p>
            <w:pPr>
              <w:spacing w:after="20"/>
              <w:jc w:val="right"/>
            </w:pPr>
            <w:r>
              <w:rPr>
                <w:color w:val="1C3A36"/>
                <w:sz w:val="16"/>
              </w:rPr>
              <w:t>5,127</w:t>
            </w:r>
          </w:p>
        </w:tc>
        <w:tc>
          <w:tcPr>
            <w:tcW w:type="dxa" w:w="1037"/>
          </w:tcPr>
          <w:p>
            <w:pPr>
              <w:spacing w:after="20"/>
              <w:jc w:val="right"/>
            </w:pPr>
            <w:r>
              <w:rPr>
                <w:color w:val="1C3A36"/>
                <w:sz w:val="16"/>
              </w:rPr>
              <w:t>6,384</w:t>
            </w:r>
          </w:p>
        </w:tc>
      </w:tr>
      <w:tr>
        <w:tc>
          <w:tcPr>
            <w:tcW w:type="dxa" w:w="2189"/>
          </w:tcPr>
          <w:p>
            <w:pPr>
              <w:spacing w:after="20"/>
            </w:pPr>
            <w:r>
              <w:rPr>
                <w:color w:val="1C3A36"/>
                <w:sz w:val="16"/>
              </w:rPr>
              <w:t>Interest-bearing debt</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761</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r>
      <w:tr>
        <w:tc>
          <w:tcPr>
            <w:tcW w:type="dxa" w:w="2189"/>
          </w:tcPr>
          <w:p>
            <w:pPr>
              <w:spacing w:after="20"/>
            </w:pPr>
            <w:r>
              <w:rPr>
                <w:color w:val="1C3A36"/>
                <w:sz w:val="16"/>
              </w:rPr>
              <w:t>Net (cash) / debt</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-926</w:t>
            </w:r>
          </w:p>
        </w:tc>
        <w:tc>
          <w:tcPr>
            <w:tcW w:type="dxa" w:w="1037"/>
          </w:tcPr>
          <w:p>
            <w:pPr>
              <w:spacing w:after="20"/>
              <w:jc w:val="right"/>
            </w:pPr>
            <w:r>
              <w:rPr>
                <w:color w:val="1C3A36"/>
                <w:sz w:val="16"/>
              </w:rPr>
              <w:t>-2,324</w:t>
            </w:r>
          </w:p>
        </w:tc>
        <w:tc>
          <w:tcPr>
            <w:tcW w:type="dxa" w:w="1037"/>
          </w:tcPr>
          <w:p>
            <w:pPr>
              <w:spacing w:after="20"/>
              <w:jc w:val="right"/>
            </w:pPr>
            <w:r>
              <w:rPr>
                <w:color w:val="1C3A36"/>
                <w:sz w:val="16"/>
              </w:rPr>
              <w:t>-1,087</w:t>
            </w:r>
          </w:p>
        </w:tc>
        <w:tc>
          <w:tcPr>
            <w:tcW w:type="dxa" w:w="1037"/>
          </w:tcPr>
          <w:p>
            <w:pPr>
              <w:spacing w:after="20"/>
              <w:jc w:val="right"/>
            </w:pPr>
            <w:r>
              <w:rPr>
                <w:color w:val="1C3A36"/>
                <w:sz w:val="16"/>
              </w:rPr>
              <w:t>-1,916</w:t>
            </w:r>
          </w:p>
        </w:tc>
        <w:tc>
          <w:tcPr>
            <w:tcW w:type="dxa" w:w="1037"/>
          </w:tcPr>
          <w:p>
            <w:pPr>
              <w:spacing w:after="20"/>
              <w:jc w:val="right"/>
            </w:pPr>
            <w:r>
              <w:rPr>
                <w:color w:val="1C3A36"/>
                <w:sz w:val="16"/>
              </w:rPr>
              <w:t>-2,885</w:t>
            </w:r>
          </w:p>
        </w:tc>
        <w:tc>
          <w:tcPr>
            <w:tcW w:type="dxa" w:w="1037"/>
          </w:tcPr>
          <w:p>
            <w:pPr>
              <w:spacing w:after="20"/>
              <w:jc w:val="right"/>
            </w:pPr>
            <w:r>
              <w:rPr>
                <w:color w:val="1C3A36"/>
                <w:sz w:val="16"/>
              </w:rPr>
              <w:t>-3,992</w:t>
            </w:r>
          </w:p>
        </w:tc>
        <w:tc>
          <w:tcPr>
            <w:tcW w:type="dxa" w:w="1037"/>
          </w:tcPr>
          <w:p>
            <w:pPr>
              <w:spacing w:after="20"/>
              <w:jc w:val="right"/>
            </w:pPr>
            <w:r>
              <w:rPr>
                <w:color w:val="1C3A36"/>
                <w:sz w:val="16"/>
              </w:rPr>
              <w:t>-5,249</w:t>
            </w:r>
          </w:p>
        </w:tc>
      </w:tr>
      <w:tr>
        <w:tc>
          <w:tcPr>
            <w:tcW w:type="dxa" w:w="2189"/>
          </w:tcPr>
          <w:p>
            <w:pPr>
              <w:spacing w:after="20"/>
            </w:pPr>
            <w:r>
              <w:rPr>
                <w:color w:val="1C3A36"/>
                <w:sz w:val="16"/>
              </w:rPr>
              <w:t>Equity attributable to owners</w:t>
            </w:r>
          </w:p>
        </w:tc>
        <w:tc>
          <w:tcPr>
            <w:tcW w:type="dxa" w:w="1037"/>
          </w:tcPr>
          <w:p>
            <w:pPr>
              <w:spacing w:after="20"/>
              <w:jc w:val="right"/>
            </w:pPr>
            <w:r>
              <w:rPr>
                <w:color w:val="1C3A36"/>
                <w:sz w:val="16"/>
              </w:rPr>
              <w:t>1,754</w:t>
            </w:r>
          </w:p>
        </w:tc>
        <w:tc>
          <w:tcPr>
            <w:tcW w:type="dxa" w:w="1037"/>
          </w:tcPr>
          <w:p>
            <w:pPr>
              <w:spacing w:after="20"/>
              <w:jc w:val="right"/>
            </w:pPr>
            <w:r>
              <w:rPr>
                <w:color w:val="1C3A36"/>
                <w:sz w:val="16"/>
              </w:rPr>
              <w:t>2,303</w:t>
            </w:r>
          </w:p>
        </w:tc>
        <w:tc>
          <w:tcPr>
            <w:tcW w:type="dxa" w:w="1037"/>
          </w:tcPr>
          <w:p>
            <w:pPr>
              <w:spacing w:after="20"/>
              <w:jc w:val="right"/>
            </w:pPr>
            <w:r>
              <w:rPr>
                <w:color w:val="1C3A36"/>
                <w:sz w:val="16"/>
              </w:rPr>
              <w:t>4,643</w:t>
            </w:r>
          </w:p>
        </w:tc>
        <w:tc>
          <w:tcPr>
            <w:tcW w:type="dxa" w:w="1037"/>
          </w:tcPr>
          <w:p>
            <w:pPr>
              <w:spacing w:after="20"/>
              <w:jc w:val="right"/>
            </w:pPr>
            <w:r>
              <w:rPr>
                <w:color w:val="1C3A36"/>
                <w:sz w:val="16"/>
              </w:rPr>
              <w:t>4,161</w:t>
            </w:r>
          </w:p>
        </w:tc>
        <w:tc>
          <w:tcPr>
            <w:tcW w:type="dxa" w:w="1037"/>
          </w:tcPr>
          <w:p>
            <w:pPr>
              <w:spacing w:after="20"/>
              <w:jc w:val="right"/>
            </w:pPr>
            <w:r>
              <w:rPr>
                <w:color w:val="1C3A36"/>
                <w:sz w:val="16"/>
              </w:rPr>
              <w:t>5,805</w:t>
            </w:r>
          </w:p>
        </w:tc>
        <w:tc>
          <w:tcPr>
            <w:tcW w:type="dxa" w:w="1037"/>
          </w:tcPr>
          <w:p>
            <w:pPr>
              <w:spacing w:after="20"/>
              <w:jc w:val="right"/>
            </w:pPr>
            <w:r>
              <w:rPr>
                <w:color w:val="1C3A36"/>
                <w:sz w:val="16"/>
              </w:rPr>
              <w:t>7,589</w:t>
            </w:r>
          </w:p>
        </w:tc>
        <w:tc>
          <w:tcPr>
            <w:tcW w:type="dxa" w:w="1037"/>
          </w:tcPr>
          <w:p>
            <w:pPr>
              <w:spacing w:after="20"/>
              <w:jc w:val="right"/>
            </w:pPr>
            <w:r>
              <w:rPr>
                <w:color w:val="1C3A36"/>
                <w:sz w:val="16"/>
              </w:rPr>
              <w:t>9,489</w:t>
            </w:r>
          </w:p>
        </w:tc>
        <w:tc>
          <w:tcPr>
            <w:tcW w:type="dxa" w:w="1037"/>
          </w:tcPr>
          <w:p>
            <w:pPr>
              <w:spacing w:after="20"/>
              <w:jc w:val="right"/>
            </w:pPr>
            <w:r>
              <w:rPr>
                <w:color w:val="1C3A36"/>
                <w:sz w:val="16"/>
              </w:rPr>
              <w:t>11,528</w:t>
            </w:r>
          </w:p>
        </w:tc>
      </w:tr>
      <w:tr>
        <w:tc>
          <w:tcPr>
            <w:tcW w:type="dxa" w:w="2189"/>
          </w:tcPr>
          <w:p>
            <w:pPr>
              <w:spacing w:after="20"/>
            </w:pPr>
            <w:r>
              <w:rPr>
                <w:color w:val="1C3A36"/>
                <w:sz w:val="16"/>
              </w:rPr>
              <w:t>Book value per share (EGP)</w:t>
            </w:r>
          </w:p>
        </w:tc>
        <w:tc>
          <w:tcPr>
            <w:tcW w:type="dxa" w:w="1037"/>
          </w:tcPr>
          <w:p>
            <w:pPr>
              <w:spacing w:after="20"/>
              <w:jc w:val="right"/>
            </w:pPr>
            <w:r>
              <w:rPr>
                <w:color w:val="1C3A36"/>
                <w:sz w:val="16"/>
              </w:rPr>
              <w:t>4.68</w:t>
            </w:r>
          </w:p>
        </w:tc>
        <w:tc>
          <w:tcPr>
            <w:tcW w:type="dxa" w:w="1037"/>
          </w:tcPr>
          <w:p>
            <w:pPr>
              <w:spacing w:after="20"/>
              <w:jc w:val="right"/>
            </w:pPr>
            <w:r>
              <w:rPr>
                <w:color w:val="1C3A36"/>
                <w:sz w:val="16"/>
              </w:rPr>
              <w:t>6.14</w:t>
            </w:r>
          </w:p>
        </w:tc>
        <w:tc>
          <w:tcPr>
            <w:tcW w:type="dxa" w:w="1037"/>
          </w:tcPr>
          <w:p>
            <w:pPr>
              <w:spacing w:after="20"/>
              <w:jc w:val="right"/>
            </w:pPr>
            <w:r>
              <w:rPr>
                <w:color w:val="1C3A36"/>
                <w:sz w:val="16"/>
              </w:rPr>
              <w:t>12.38</w:t>
            </w:r>
          </w:p>
        </w:tc>
        <w:tc>
          <w:tcPr>
            <w:tcW w:type="dxa" w:w="1037"/>
          </w:tcPr>
          <w:p>
            <w:pPr>
              <w:spacing w:after="20"/>
              <w:jc w:val="right"/>
            </w:pPr>
            <w:r>
              <w:rPr>
                <w:color w:val="1C3A36"/>
                <w:sz w:val="16"/>
              </w:rPr>
              <w:t>11.10</w:t>
            </w:r>
          </w:p>
        </w:tc>
        <w:tc>
          <w:tcPr>
            <w:tcW w:type="dxa" w:w="1037"/>
          </w:tcPr>
          <w:p>
            <w:pPr>
              <w:spacing w:after="20"/>
              <w:jc w:val="right"/>
            </w:pPr>
            <w:r>
              <w:rPr>
                <w:color w:val="1C3A36"/>
                <w:sz w:val="16"/>
              </w:rPr>
              <w:t>15.49</w:t>
            </w:r>
          </w:p>
        </w:tc>
        <w:tc>
          <w:tcPr>
            <w:tcW w:type="dxa" w:w="1037"/>
          </w:tcPr>
          <w:p>
            <w:pPr>
              <w:spacing w:after="20"/>
              <w:jc w:val="right"/>
            </w:pPr>
            <w:r>
              <w:rPr>
                <w:color w:val="1C3A36"/>
                <w:sz w:val="16"/>
              </w:rPr>
              <w:t>20.24</w:t>
            </w:r>
          </w:p>
        </w:tc>
        <w:tc>
          <w:tcPr>
            <w:tcW w:type="dxa" w:w="1037"/>
          </w:tcPr>
          <w:p>
            <w:pPr>
              <w:spacing w:after="20"/>
              <w:jc w:val="right"/>
            </w:pPr>
            <w:r>
              <w:rPr>
                <w:color w:val="1C3A36"/>
                <w:sz w:val="16"/>
              </w:rPr>
              <w:t>25.31</w:t>
            </w:r>
          </w:p>
        </w:tc>
        <w:tc>
          <w:tcPr>
            <w:tcW w:type="dxa" w:w="1037"/>
          </w:tcPr>
          <w:p>
            <w:pPr>
              <w:spacing w:after="20"/>
              <w:jc w:val="right"/>
            </w:pPr>
            <w:r>
              <w:rPr>
                <w:color w:val="1C3A36"/>
                <w:sz w:val="16"/>
              </w:rPr>
              <w:t>30.75</w:t>
            </w:r>
          </w:p>
        </w:tc>
      </w:tr>
      <w:tr>
        <w:tc>
          <w:tcPr>
            <w:tcW w:type="dxa" w:w="2189"/>
          </w:tcPr>
          <w:p>
            <w:pPr>
              <w:spacing w:after="20"/>
            </w:pPr>
            <w:r>
              <w:rPr>
                <w:color w:val="1C3A36"/>
                <w:sz w:val="16"/>
              </w:rPr>
              <w:t>Return on equity</w:t>
            </w:r>
          </w:p>
        </w:tc>
        <w:tc>
          <w:tcPr>
            <w:tcW w:type="dxa" w:w="1037"/>
          </w:tcPr>
          <w:p>
            <w:pPr>
              <w:spacing w:after="20"/>
              <w:jc w:val="right"/>
            </w:pPr>
            <w:r>
              <w:rPr>
                <w:color w:val="1C3A36"/>
                <w:sz w:val="16"/>
              </w:rPr>
              <w:t>39.8%</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77.5%</w:t>
            </w:r>
          </w:p>
        </w:tc>
        <w:tc>
          <w:tcPr>
            <w:tcW w:type="dxa" w:w="1037"/>
          </w:tcPr>
          <w:p>
            <w:pPr>
              <w:spacing w:after="20"/>
              <w:jc w:val="right"/>
            </w:pPr>
            <w:r>
              <w:rPr>
                <w:color w:val="1C3A36"/>
                <w:sz w:val="16"/>
              </w:rPr>
              <w:t>82.3%</w:t>
            </w:r>
          </w:p>
        </w:tc>
        <w:tc>
          <w:tcPr>
            <w:tcW w:type="dxa" w:w="1037"/>
          </w:tcPr>
          <w:p>
            <w:pPr>
              <w:spacing w:after="20"/>
              <w:jc w:val="right"/>
            </w:pPr>
            <w:r>
              <w:rPr>
                <w:color w:val="1C3A36"/>
                <w:sz w:val="16"/>
              </w:rPr>
              <w:t>63.8%</w:t>
            </w:r>
          </w:p>
        </w:tc>
        <w:tc>
          <w:tcPr>
            <w:tcW w:type="dxa" w:w="1037"/>
          </w:tcPr>
          <w:p>
            <w:pPr>
              <w:spacing w:after="20"/>
              <w:jc w:val="right"/>
            </w:pPr>
            <w:r>
              <w:rPr>
                <w:color w:val="1C3A36"/>
                <w:sz w:val="16"/>
              </w:rPr>
              <w:t>52.9%</w:t>
            </w:r>
          </w:p>
        </w:tc>
        <w:tc>
          <w:tcPr>
            <w:tcW w:type="dxa" w:w="1037"/>
          </w:tcPr>
          <w:p>
            <w:pPr>
              <w:spacing w:after="20"/>
              <w:jc w:val="right"/>
            </w:pPr>
            <w:r>
              <w:rPr>
                <w:color w:val="1C3A36"/>
                <w:sz w:val="16"/>
              </w:rPr>
              <w:t>45.1%</w:t>
            </w:r>
          </w:p>
        </w:tc>
        <w:tc>
          <w:tcPr>
            <w:tcW w:type="dxa" w:w="1037"/>
          </w:tcPr>
          <w:p>
            <w:pPr>
              <w:spacing w:after="20"/>
              <w:jc w:val="right"/>
            </w:pPr>
            <w:r>
              <w:rPr>
                <w:color w:val="1C3A36"/>
                <w:sz w:val="16"/>
              </w:rPr>
              <w:t>39.8%</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3,424</w:t>
            </w:r>
          </w:p>
        </w:tc>
        <w:tc>
          <w:tcPr>
            <w:tcW w:type="dxa" w:w="1325"/>
          </w:tcPr>
          <w:p>
            <w:pPr>
              <w:spacing w:after="20"/>
              <w:jc w:val="right"/>
            </w:pPr>
            <w:r>
              <w:rPr>
                <w:color w:val="1C3A36"/>
                <w:sz w:val="17"/>
              </w:rPr>
              <w:t>3,704</w:t>
            </w:r>
          </w:p>
        </w:tc>
        <w:tc>
          <w:tcPr>
            <w:tcW w:type="dxa" w:w="1325"/>
          </w:tcPr>
          <w:p>
            <w:pPr>
              <w:spacing w:after="20"/>
              <w:jc w:val="right"/>
            </w:pPr>
            <w:r>
              <w:rPr>
                <w:color w:val="1C3A36"/>
                <w:sz w:val="17"/>
              </w:rPr>
              <w:t>4,017</w:t>
            </w:r>
          </w:p>
        </w:tc>
        <w:tc>
          <w:tcPr>
            <w:tcW w:type="dxa" w:w="1325"/>
          </w:tcPr>
          <w:p>
            <w:pPr>
              <w:spacing w:after="20"/>
              <w:jc w:val="right"/>
            </w:pPr>
            <w:r>
              <w:rPr>
                <w:color w:val="1C3A36"/>
                <w:sz w:val="17"/>
              </w:rPr>
              <w:t>4,279</w:t>
            </w:r>
          </w:p>
        </w:tc>
        <w:tc>
          <w:tcPr>
            <w:tcW w:type="dxa" w:w="1325"/>
          </w:tcPr>
          <w:p>
            <w:pPr>
              <w:spacing w:after="20"/>
              <w:jc w:val="right"/>
            </w:pPr>
            <w:r>
              <w:rPr>
                <w:color w:val="1C3A36"/>
                <w:sz w:val="17"/>
              </w:rPr>
              <w:t>4,592</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326</w:t>
            </w:r>
          </w:p>
        </w:tc>
        <w:tc>
          <w:tcPr>
            <w:tcW w:type="dxa" w:w="1325"/>
          </w:tcPr>
          <w:p>
            <w:pPr>
              <w:spacing w:after="20"/>
              <w:jc w:val="right"/>
            </w:pPr>
            <w:r>
              <w:rPr>
                <w:color w:val="1C3A36"/>
                <w:sz w:val="17"/>
              </w:rPr>
              <w:t>382</w:t>
            </w:r>
          </w:p>
        </w:tc>
        <w:tc>
          <w:tcPr>
            <w:tcW w:type="dxa" w:w="1325"/>
          </w:tcPr>
          <w:p>
            <w:pPr>
              <w:spacing w:after="20"/>
              <w:jc w:val="right"/>
            </w:pPr>
            <w:r>
              <w:rPr>
                <w:color w:val="1C3A36"/>
                <w:sz w:val="17"/>
              </w:rPr>
              <w:t>445</w:t>
            </w:r>
          </w:p>
        </w:tc>
        <w:tc>
          <w:tcPr>
            <w:tcW w:type="dxa" w:w="1325"/>
          </w:tcPr>
          <w:p>
            <w:pPr>
              <w:spacing w:after="20"/>
              <w:jc w:val="right"/>
            </w:pPr>
            <w:r>
              <w:rPr>
                <w:color w:val="1C3A36"/>
                <w:sz w:val="17"/>
              </w:rPr>
              <w:t>510</w:t>
            </w:r>
          </w:p>
        </w:tc>
        <w:tc>
          <w:tcPr>
            <w:tcW w:type="dxa" w:w="1325"/>
          </w:tcPr>
          <w:p>
            <w:pPr>
              <w:spacing w:after="20"/>
              <w:jc w:val="right"/>
            </w:pPr>
            <w:r>
              <w:rPr>
                <w:color w:val="1C3A36"/>
                <w:sz w:val="17"/>
              </w:rPr>
              <w:t>578</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-69</w:t>
            </w:r>
          </w:p>
        </w:tc>
        <w:tc>
          <w:tcPr>
            <w:tcW w:type="dxa" w:w="1325"/>
          </w:tcPr>
          <w:p>
            <w:pPr>
              <w:spacing w:after="20"/>
              <w:jc w:val="right"/>
            </w:pPr>
            <w:r>
              <w:rPr>
                <w:color w:val="1C3A36"/>
                <w:sz w:val="17"/>
              </w:rPr>
              <w:t>-136</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-130</w:t>
            </w:r>
          </w:p>
        </w:tc>
        <w:tc>
          <w:tcPr>
            <w:tcW w:type="dxa" w:w="1325"/>
          </w:tcPr>
          <w:p>
            <w:pPr>
              <w:spacing w:after="20"/>
              <w:jc w:val="right"/>
            </w:pPr>
            <w:r>
              <w:rPr>
                <w:color w:val="1C3A36"/>
                <w:sz w:val="17"/>
              </w:rPr>
              <w:t>-131</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-1,903</w:t>
            </w:r>
          </w:p>
        </w:tc>
        <w:tc>
          <w:tcPr>
            <w:tcW w:type="dxa" w:w="1325"/>
          </w:tcPr>
          <w:p>
            <w:pPr>
              <w:spacing w:after="20"/>
              <w:jc w:val="right"/>
            </w:pPr>
            <w:r>
              <w:rPr>
                <w:color w:val="1C3A36"/>
                <w:sz w:val="17"/>
              </w:rPr>
              <w:t>-2,059</w:t>
            </w:r>
          </w:p>
        </w:tc>
        <w:tc>
          <w:tcPr>
            <w:tcW w:type="dxa" w:w="1325"/>
          </w:tcPr>
          <w:p>
            <w:pPr>
              <w:spacing w:after="20"/>
              <w:jc w:val="right"/>
            </w:pPr>
            <w:r>
              <w:rPr>
                <w:color w:val="1C3A36"/>
                <w:sz w:val="17"/>
              </w:rPr>
              <w:t>-2,233</w:t>
            </w:r>
          </w:p>
        </w:tc>
        <w:tc>
          <w:tcPr>
            <w:tcW w:type="dxa" w:w="1325"/>
          </w:tcPr>
          <w:p>
            <w:pPr>
              <w:spacing w:after="20"/>
              <w:jc w:val="right"/>
            </w:pPr>
            <w:r>
              <w:rPr>
                <w:color w:val="1C3A36"/>
                <w:sz w:val="17"/>
              </w:rPr>
              <w:t>-2,379</w:t>
            </w:r>
          </w:p>
        </w:tc>
        <w:tc>
          <w:tcPr>
            <w:tcW w:type="dxa" w:w="1325"/>
          </w:tcPr>
          <w:p>
            <w:pPr>
              <w:spacing w:after="20"/>
              <w:jc w:val="right"/>
            </w:pPr>
            <w:r>
              <w:rPr>
                <w:color w:val="1C3A36"/>
                <w:sz w:val="17"/>
              </w:rPr>
              <w:t>-2,553</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2,222</w:t>
            </w:r>
          </w:p>
        </w:tc>
        <w:tc>
          <w:tcPr>
            <w:tcW w:type="dxa" w:w="1325"/>
            <w:shd w:val="clear" w:color="auto" w:fill="F6F1E6"/>
          </w:tcPr>
          <w:p>
            <w:pPr>
              <w:spacing w:after="20"/>
              <w:jc w:val="right"/>
            </w:pPr>
            <w:r>
              <w:rPr>
                <w:b/>
                <w:color w:val="1C3A36"/>
                <w:sz w:val="17"/>
              </w:rPr>
              <w:t>3,051</w:t>
            </w:r>
          </w:p>
        </w:tc>
        <w:tc>
          <w:tcPr>
            <w:tcW w:type="dxa" w:w="1325"/>
            <w:shd w:val="clear" w:color="auto" w:fill="F6F1E6"/>
          </w:tcPr>
          <w:p>
            <w:pPr>
              <w:spacing w:after="20"/>
              <w:jc w:val="right"/>
            </w:pPr>
            <w:r>
              <w:rPr>
                <w:b/>
                <w:color w:val="1C3A36"/>
                <w:sz w:val="17"/>
              </w:rPr>
              <w:t>4,020</w:t>
            </w:r>
          </w:p>
        </w:tc>
        <w:tc>
          <w:tcPr>
            <w:tcW w:type="dxa" w:w="1325"/>
            <w:shd w:val="clear" w:color="auto" w:fill="F6F1E6"/>
          </w:tcPr>
          <w:p>
            <w:pPr>
              <w:spacing w:after="20"/>
              <w:jc w:val="right"/>
            </w:pPr>
            <w:r>
              <w:rPr>
                <w:b/>
                <w:color w:val="1C3A36"/>
                <w:sz w:val="17"/>
              </w:rPr>
              <w:t>5,127</w:t>
            </w:r>
          </w:p>
        </w:tc>
        <w:tc>
          <w:tcPr>
            <w:tcW w:type="dxa" w:w="1325"/>
            <w:shd w:val="clear" w:color="auto" w:fill="F6F1E6"/>
          </w:tcPr>
          <w:p>
            <w:pPr>
              <w:spacing w:after="20"/>
              <w:jc w:val="right"/>
            </w:pPr>
            <w:r>
              <w:rPr>
                <w:b/>
                <w:color w:val="1C3A36"/>
                <w:sz w:val="17"/>
              </w:rPr>
              <w:t>6,384</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1,072</w:t>
            </w:r>
          </w:p>
        </w:tc>
        <w:tc>
          <w:tcPr>
            <w:tcW w:type="dxa" w:w="1325"/>
          </w:tcPr>
          <w:p>
            <w:pPr>
              <w:spacing w:after="20"/>
              <w:jc w:val="right"/>
            </w:pPr>
            <w:r>
              <w:rPr>
                <w:color w:val="1C3A36"/>
                <w:sz w:val="17"/>
              </w:rPr>
              <w:t>2,736</w:t>
            </w:r>
          </w:p>
        </w:tc>
        <w:tc>
          <w:tcPr>
            <w:tcW w:type="dxa" w:w="1325"/>
          </w:tcPr>
          <w:p>
            <w:pPr>
              <w:spacing w:after="20"/>
              <w:jc w:val="right"/>
            </w:pPr>
            <w:r>
              <w:rPr>
                <w:color w:val="1C3A36"/>
                <w:sz w:val="17"/>
              </w:rPr>
              <w:t>2,990</w:t>
            </w:r>
          </w:p>
        </w:tc>
        <w:tc>
          <w:tcPr>
            <w:tcW w:type="dxa" w:w="1325"/>
          </w:tcPr>
          <w:p>
            <w:pPr>
              <w:spacing w:after="20"/>
              <w:jc w:val="right"/>
            </w:pPr>
            <w:r>
              <w:rPr>
                <w:color w:val="1C3A36"/>
                <w:sz w:val="17"/>
              </w:rPr>
              <w:t>3,209</w:t>
            </w:r>
          </w:p>
        </w:tc>
        <w:tc>
          <w:tcPr>
            <w:tcW w:type="dxa" w:w="1325"/>
          </w:tcPr>
          <w:p>
            <w:pPr>
              <w:spacing w:after="20"/>
              <w:jc w:val="right"/>
            </w:pPr>
            <w:r>
              <w:rPr>
                <w:color w:val="1C3A36"/>
                <w:sz w:val="17"/>
              </w:rPr>
              <w:t>3,453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3,600</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6.14x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58.81 to EGP 78.94, central EGP 68.87 (+16.7% against the market price of EGP 59.00).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80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46.12 to EGP 59.78, central EGP 52.95 (-10.3% against the market price of EGP 59.00).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46.45 to EGP 60.21, central EGP 52.35 (-11.3% against the market price of EGP 59.00).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3097mn; required at a 17.5% cash return that is a business worth EGP 17697mn before net cash of EGP 1926mn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46.45. So would maintenance capital spending materially above the USD 4.00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58.81</w:t>
            </w:r>
          </w:p>
        </w:tc>
        <w:tc>
          <w:tcPr>
            <w:tcW w:type="dxa" w:w="1656"/>
          </w:tcPr>
          <w:p>
            <w:pPr>
              <w:spacing w:after="20"/>
              <w:jc w:val="right"/>
            </w:pPr>
            <w:r>
              <w:rPr>
                <w:color w:val="1C3A36"/>
                <w:sz w:val="18"/>
              </w:rPr>
              <w:t>68.87</w:t>
            </w:r>
          </w:p>
        </w:tc>
        <w:tc>
          <w:tcPr>
            <w:tcW w:type="dxa" w:w="1469"/>
          </w:tcPr>
          <w:p>
            <w:pPr>
              <w:spacing w:after="20"/>
              <w:jc w:val="right"/>
            </w:pPr>
            <w:r>
              <w:rPr>
                <w:color w:val="1C3A36"/>
                <w:sz w:val="18"/>
              </w:rPr>
              <w:t>78.94</w:t>
            </w:r>
          </w:p>
        </w:tc>
        <w:tc>
          <w:tcPr>
            <w:tcW w:type="dxa" w:w="1354"/>
          </w:tcPr>
          <w:p>
            <w:pPr>
              <w:spacing w:after="20"/>
              <w:jc w:val="right"/>
            </w:pPr>
            <w:r>
              <w:rPr>
                <w:color w:val="1C3A36"/>
                <w:sz w:val="18"/>
              </w:rPr>
              <w:t>+16.7%</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46.12</w:t>
            </w:r>
          </w:p>
        </w:tc>
        <w:tc>
          <w:tcPr>
            <w:tcW w:type="dxa" w:w="1656"/>
          </w:tcPr>
          <w:p>
            <w:pPr>
              <w:spacing w:after="20"/>
              <w:jc w:val="right"/>
            </w:pPr>
            <w:r>
              <w:rPr>
                <w:color w:val="1C3A36"/>
                <w:sz w:val="18"/>
              </w:rPr>
              <w:t>52.95</w:t>
            </w:r>
          </w:p>
        </w:tc>
        <w:tc>
          <w:tcPr>
            <w:tcW w:type="dxa" w:w="1469"/>
          </w:tcPr>
          <w:p>
            <w:pPr>
              <w:spacing w:after="20"/>
              <w:jc w:val="right"/>
            </w:pPr>
            <w:r>
              <w:rPr>
                <w:color w:val="1C3A36"/>
                <w:sz w:val="18"/>
              </w:rPr>
              <w:t>59.78</w:t>
            </w:r>
          </w:p>
        </w:tc>
        <w:tc>
          <w:tcPr>
            <w:tcW w:type="dxa" w:w="1354"/>
          </w:tcPr>
          <w:p>
            <w:pPr>
              <w:spacing w:after="20"/>
              <w:jc w:val="right"/>
            </w:pPr>
            <w:r>
              <w:rPr>
                <w:color w:val="1C3A36"/>
                <w:sz w:val="18"/>
              </w:rPr>
              <w:t>-10.3%</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46.45</w:t>
            </w:r>
          </w:p>
        </w:tc>
        <w:tc>
          <w:tcPr>
            <w:tcW w:type="dxa" w:w="1656"/>
          </w:tcPr>
          <w:p>
            <w:pPr>
              <w:spacing w:after="20"/>
              <w:jc w:val="right"/>
            </w:pPr>
            <w:r>
              <w:rPr>
                <w:color w:val="1C3A36"/>
                <w:sz w:val="18"/>
              </w:rPr>
              <w:t>52.35</w:t>
            </w:r>
          </w:p>
        </w:tc>
        <w:tc>
          <w:tcPr>
            <w:tcW w:type="dxa" w:w="1469"/>
          </w:tcPr>
          <w:p>
            <w:pPr>
              <w:spacing w:after="20"/>
              <w:jc w:val="right"/>
            </w:pPr>
            <w:r>
              <w:rPr>
                <w:color w:val="1C3A36"/>
                <w:sz w:val="18"/>
              </w:rPr>
              <w:t>60.21</w:t>
            </w:r>
          </w:p>
        </w:tc>
        <w:tc>
          <w:tcPr>
            <w:tcW w:type="dxa" w:w="1354"/>
          </w:tcPr>
          <w:p>
            <w:pPr>
              <w:spacing w:after="20"/>
              <w:jc w:val="right"/>
            </w:pPr>
            <w:r>
              <w:rPr>
                <w:color w:val="1C3A36"/>
                <w:sz w:val="18"/>
              </w:rPr>
              <w:t>-11.3%</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52.95</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-10.3%</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