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prices and probabilities computed 7 Jul 2026 from the attached daily history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the multiples and the Monte-Carlo factor probabilities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The floor-setter</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Closest to spot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a touch above spot: at a 7.9% cost of equity a locked 5.0% yield growing at ~3% is worth slightly more than the market pays, and any repeat of a special distribution (the quarterly-assessment clause) is free upside to this lens.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a one-off SAR 466 mn zakat credit (prior-year provision reversals),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 2–3 subsidiaries are guided to turn contribution-positive from 2026. Normalized attributable profit is therefore ~SAR 14.4 bn (reported FY25 14.8 bn less the zakat credit), or EPS ≈ 2.89, capitalized at a through-cycle 15× — the stock’s own multi-year median area and the peer-set mid.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the floor of the set: it pays nothing for growth beyond today’s earnings power and treats the AI-infrastructure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spot. The bear–bull span (37–48) is driven almost entirely by the DCF’s terminal arithmetic — the bear case is WACC +100 bp with margins 50 bp lighter and capex 100 bp heavier; the bull is the mirror image. Note what the spread is NOT about: revenue. A ±1 pp change to every growth rate moves the central by only ~SAR 2 — this is a margin, capex and discount-rate story, which is exactly what §1.7 and §1.9 sensitize.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management guides capex to 15–17.5% of revenue with 2026–27 “edging up.” The cover table below is the whole tension in one place — at the top of the guided band the dividend is only 0.86× covered by model FY26E free cash flow and the balance sheet funds the rest; at the bottom it is fully covered. Each percentage point of capex intensity is worth ≈SAR 0.8 bn of annual FCF and ≈SAR 1.6 of DCF fair value per share. Second: the discount rate. This is a 90%-equity-weighted WACC built on a 0.48 regressed beta from a nine-week window (§1.8) — at β = 1.0 the DCF falls from ~50 to ~34, below spot, so §1.9 publishes the full beta grid rather than letting one regression settle it. Third: the SAMA/Fed path — the rf is 5.5% today; each 50 bp off the Saudi curve adds ≈SAR 4–5 to the DCF and directly lowers the funding cost of the AI-infrastructure build. A fourth, slower variable: KSA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(raw_indices/SA/TASI.csv,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4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71th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FY26E cover of 0.86–1.04× is an estimate built on management’s own capex band and our margin glide; two consecutive quarters of FCF below the SAR 2.74 bn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KSA mobile — three players, one regulator, heavy 5G capacity — is the scenario in which the margin glide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0.86× bear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At the 17.5% top of the capex band, FY26E cover is 0.86× — the SAR 15.4 bn core cash pile funds the gap for &gt;3 years before leverage exceeds 1× EBITDA; the policy is safe to Q3-2027 barring a margin break.</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the margin glide is the model</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margin glide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margin glide reversing.</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