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88888"/>
          <w:sz w:val="22"/>
          <w:szCs w:val="22"/>
        </w:rPr>
        <w:t xml:space="preserve">TESTAHIL</w:t>
      </w:r>
    </w:p>
    <w:p>
      <w:pPr>
        <w:spacing w:after="80"/>
      </w:pPr>
      <w:r>
        <w:rPr>
          <w:b/>
          <w:bCs/>
          <w:sz w:val="44"/>
          <w:szCs w:val="44"/>
        </w:rPr>
        <w:t xml:space="preserve">The Technical Lessons Register</w:t>
      </w:r>
    </w:p>
    <w:p>
      <w:pPr>
        <w:spacing w:after="120"/>
      </w:pPr>
      <w:r>
        <w:rPr>
          <w:i/>
          <w:iCs/>
          <w:sz w:val="22"/>
          <w:szCs w:val="22"/>
        </w:rPr>
        <w:t xml:space="preserve">Everything the price history has taught us about reading a chart, in plain language, and how far each lesson travels.</w:t>
      </w:r>
    </w:p>
    <w:p>
      <w:pPr>
        <w:spacing w:after="120"/>
      </w:pPr>
      <w:r>
        <w:rPr>
          <w:color w:val="666666"/>
          <w:sz w:val="18"/>
          <w:szCs w:val="18"/>
        </w:rPr>
        <w:t xml:space="preserve">Generated 31 August 2026 from the register's own source. Not hand-written, and not hand-editable — every figure is resolved from the calibration results file at build time, so the register cannot drift from the measurement that produced it.</w:t>
      </w:r>
    </w:p>
    <w:p>
      <w:pPr>
        <w:spacing w:after="120"/>
      </w:pPr>
      <w:r>
        <w:rPr>
          <w:color w:val="666666"/>
          <w:sz w:val="18"/>
          <w:szCs w:val="18"/>
        </w:rPr>
        <w:t xml:space="preserve">Nothing in this register binds any study. It is a record, not a gate. No standing rule refers to it and no quality gate consults it, deliberately — a lesson earns its way into the method by being adopted, not by being written down.</w:t>
      </w:r>
    </w:p>
    <w:p>
      <w:pPr>
        <w:pStyle w:val="Heading1"/>
        <w:spacing w:after="160" w:before="320"/>
      </w:pPr>
      <w:r>
        <w:t xml:space="preserve">How to read this</w:t>
      </w:r>
    </w:p>
    <w:p>
      <w:pPr>
        <w:spacing w:after="120"/>
      </w:pPr>
      <w:r>
        <w:t xml:space="preserve">A lesson is useless until you know how far it carries. Every entry is tagged with one of three scopes, and the difference is not a matter of emphasis: applying a one-ticker lesson to another company is superstition, and applying an every-ticker lesson is mandatory. The middle rung is where most of the value sits and it is the one that has to be earned — a set of per-class numbers is not a class-level finding, because ten draws from one distribution also look different. Each candidate class is therefore tested for heterogeneity, and only reported as a class when the classes differ by more than their own standard errors explain.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100"/>
      </w:tblGrid>
      <w:tr>
        <w:tc>
          <w:tcPr>
            <w:tcW w:type="dxa" w:w="1900"/>
            <w:shd w:fill="F2F2F2" w:val="clear"/>
          </w:tcPr>
          <w:p>
            <w:pPr>
              <w:spacing w:after="0"/>
            </w:pPr>
            <w:r>
              <w:rPr>
                <w:b/>
                <w:bCs/>
                <w:sz w:val="18"/>
                <w:szCs w:val="18"/>
              </w:rPr>
              <w:t xml:space="preserve">Scope</w:t>
            </w:r>
          </w:p>
        </w:tc>
        <w:tc>
          <w:tcPr>
            <w:tcW w:type="dxa" w:w="4200"/>
            <w:shd w:fill="F2F2F2" w:val="clear"/>
          </w:tcPr>
          <w:p>
            <w:pPr>
              <w:spacing w:after="0"/>
            </w:pPr>
            <w:r>
              <w:rPr>
                <w:b/>
                <w:bCs/>
                <w:sz w:val="18"/>
                <w:szCs w:val="18"/>
              </w:rPr>
              <w:t xml:space="preserve">Means</w:t>
            </w:r>
          </w:p>
        </w:tc>
        <w:tc>
          <w:tcPr>
            <w:tcW w:type="dxa" w:w="3100"/>
            <w:shd w:fill="F2F2F2" w:val="clear"/>
          </w:tcPr>
          <w:p>
            <w:pPr>
              <w:spacing w:after="0"/>
            </w:pPr>
            <w:r>
              <w:rPr>
                <w:b/>
                <w:bCs/>
                <w:sz w:val="18"/>
                <w:szCs w:val="18"/>
              </w:rPr>
              <w:t xml:space="preserve">Who must read it</w:t>
            </w:r>
          </w:p>
        </w:tc>
      </w:tr>
      <w:tr>
        <w:tc>
          <w:tcPr>
            <w:tcW w:type="dxa" w:w="1900"/>
          </w:tcPr>
          <w:p>
            <w:pPr>
              <w:spacing w:after="0"/>
            </w:pPr>
            <w:r>
              <w:rPr>
                <w:b w:val="false"/>
                <w:bCs w:val="false"/>
                <w:sz w:val="18"/>
                <w:szCs w:val="18"/>
              </w:rPr>
              <w:t xml:space="preserve">EVERY TICKER</w:t>
            </w:r>
          </w:p>
        </w:tc>
        <w:tc>
          <w:tcPr>
            <w:tcW w:type="dxa" w:w="4200"/>
          </w:tcPr>
          <w:p>
            <w:pPr>
              <w:spacing w:after="0"/>
            </w:pPr>
            <w:r>
              <w:rPr>
                <w:b w:val="false"/>
                <w:bCs w:val="false"/>
                <w:sz w:val="18"/>
                <w:szCs w:val="18"/>
              </w:rPr>
              <w:t xml:space="preserve">holds pooled across the book, and no class differs beyond noise</w:t>
            </w:r>
          </w:p>
        </w:tc>
        <w:tc>
          <w:tcPr>
            <w:tcW w:type="dxa" w:w="3100"/>
          </w:tcPr>
          <w:p>
            <w:pPr>
              <w:spacing w:after="0"/>
            </w:pPr>
            <w:r>
              <w:rPr>
                <w:b w:val="false"/>
                <w:bCs w:val="false"/>
                <w:sz w:val="18"/>
                <w:szCs w:val="18"/>
              </w:rPr>
              <w:t xml:space="preserve">everyone, on every name</w:t>
            </w:r>
          </w:p>
        </w:tc>
      </w:tr>
      <w:tr>
        <w:tc>
          <w:tcPr>
            <w:tcW w:type="dxa" w:w="1900"/>
          </w:tcPr>
          <w:p>
            <w:pPr>
              <w:spacing w:after="0"/>
            </w:pPr>
            <w:r>
              <w:rPr>
                <w:b w:val="false"/>
                <w:bCs w:val="false"/>
                <w:sz w:val="18"/>
                <w:szCs w:val="18"/>
              </w:rPr>
              <w:t xml:space="preserve">A CLASS OF TICKER</w:t>
            </w:r>
          </w:p>
        </w:tc>
        <w:tc>
          <w:tcPr>
            <w:tcW w:type="dxa" w:w="4200"/>
          </w:tcPr>
          <w:p>
            <w:pPr>
              <w:spacing w:after="0"/>
            </w:pPr>
            <w:r>
              <w:rPr>
                <w:b w:val="false"/>
                <w:bCs w:val="false"/>
                <w:sz w:val="18"/>
                <w:szCs w:val="18"/>
              </w:rPr>
              <w:t xml:space="preserve">the classes genuinely disagree (Cochran Q)</w:t>
            </w:r>
          </w:p>
        </w:tc>
        <w:tc>
          <w:tcPr>
            <w:tcW w:type="dxa" w:w="3100"/>
          </w:tcPr>
          <w:p>
            <w:pPr>
              <w:spacing w:after="0"/>
            </w:pPr>
            <w:r>
              <w:rPr>
                <w:b w:val="false"/>
                <w:bCs w:val="false"/>
                <w:sz w:val="18"/>
                <w:szCs w:val="18"/>
              </w:rPr>
              <w:t xml:space="preserve">anyone reading a name in that class</w:t>
            </w:r>
          </w:p>
        </w:tc>
      </w:tr>
      <w:tr>
        <w:tc>
          <w:tcPr>
            <w:tcW w:type="dxa" w:w="1900"/>
          </w:tcPr>
          <w:p>
            <w:pPr>
              <w:spacing w:after="0"/>
            </w:pPr>
            <w:r>
              <w:rPr>
                <w:b w:val="false"/>
                <w:bCs w:val="false"/>
                <w:sz w:val="18"/>
                <w:szCs w:val="18"/>
              </w:rPr>
              <w:t xml:space="preserve">ONE TICKER ONLY</w:t>
            </w:r>
          </w:p>
        </w:tc>
        <w:tc>
          <w:tcPr>
            <w:tcW w:type="dxa" w:w="4200"/>
          </w:tcPr>
          <w:p>
            <w:pPr>
              <w:spacing w:after="0"/>
            </w:pPr>
            <w:r>
              <w:rPr>
                <w:b w:val="false"/>
                <w:bCs w:val="false"/>
                <w:sz w:val="18"/>
                <w:szCs w:val="18"/>
              </w:rPr>
              <w:t xml:space="preserve">proven on that name’s own history alone</w:t>
            </w:r>
          </w:p>
        </w:tc>
        <w:tc>
          <w:tcPr>
            <w:tcW w:type="dxa" w:w="3100"/>
          </w:tcPr>
          <w:p>
            <w:pPr>
              <w:spacing w:after="0"/>
            </w:pPr>
            <w:r>
              <w:rPr>
                <w:b w:val="false"/>
                <w:bCs w:val="false"/>
                <w:sz w:val="18"/>
                <w:szCs w:val="18"/>
              </w:rPr>
              <w:t xml:space="preserve">anyone reading that name</w:t>
            </w:r>
          </w:p>
        </w:tc>
      </w:tr>
    </w:tbl>
    <w:p>
      <w:pPr>
        <w:spacing w:after="120"/>
      </w:pPr>
      <w:r>
        <w:t xml:space="preserve"/>
      </w:r>
    </w:p>
    <w:p>
      <w:pPr>
        <w:spacing w:after="120"/>
      </w:pPr>
      <w:r>
        <w:t xml:space="preserve">Every lesson also records how it was learned, because the strength of the evidence differs enormously, and what would overturn it. A lesson with no falsifier is a habit, not a finding.</w:t>
      </w:r>
    </w:p>
    <w:p>
      <w:pPr>
        <w:pStyle w:val="Heading1"/>
        <w:spacing w:after="160" w:before="320"/>
      </w:pPr>
      <w:r>
        <w:t xml:space="preserve">What is in here, and what is honestly missing</w:t>
      </w:r>
    </w:p>
    <w:p>
      <w:pPr>
        <w:pStyle w:val="Heading2"/>
        <w:spacing w:after="120" w:before="240"/>
      </w:pPr>
      <w:r>
        <w:t xml:space="preserve">This tests the read, not the cone and not the study</w:t>
      </w:r>
    </w:p>
    <w:p>
      <w:pPr>
        <w:spacing w:after="120"/>
      </w:pPr>
      <w:r>
        <w:t xml:space="preserve">Three different tests in this project are all called a walk-forward, and they test different machinery on different evidence. This register covers only the first: the technical read, re-run at every historical origin on a truncated library and graded on what the tape actually did. It covers 85 names carrying enough history to be assessed, over 45,331 readings per horizon.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00"/>
        <w:gridCol w:w="2100"/>
      </w:tblGrid>
      <w:tr>
        <w:tc>
          <w:tcPr>
            <w:tcW w:type="dxa" w:w="2400"/>
            <w:shd w:fill="F2F2F2" w:val="clear"/>
          </w:tcPr>
          <w:p>
            <w:pPr>
              <w:spacing w:after="0"/>
            </w:pPr>
            <w:r>
              <w:rPr>
                <w:b/>
                <w:bCs/>
                <w:sz w:val="18"/>
                <w:szCs w:val="18"/>
              </w:rPr>
              <w:t xml:space="preserve"/>
            </w:r>
          </w:p>
        </w:tc>
        <w:tc>
          <w:tcPr>
            <w:tcW w:type="dxa" w:w="4400"/>
            <w:shd w:fill="F2F2F2" w:val="clear"/>
          </w:tcPr>
          <w:p>
            <w:pPr>
              <w:spacing w:after="0"/>
            </w:pPr>
            <w:r>
              <w:rPr>
                <w:b/>
                <w:bCs/>
                <w:sz w:val="18"/>
                <w:szCs w:val="18"/>
              </w:rPr>
              <w:t xml:space="preserve">What it tests</w:t>
            </w:r>
          </w:p>
        </w:tc>
        <w:tc>
          <w:tcPr>
            <w:tcW w:type="dxa" w:w="1500"/>
            <w:shd w:fill="F2F2F2" w:val="clear"/>
          </w:tcPr>
          <w:p>
            <w:pPr>
              <w:spacing w:after="0"/>
            </w:pPr>
            <w:r>
              <w:rPr>
                <w:b/>
                <w:bCs/>
                <w:sz w:val="18"/>
                <w:szCs w:val="18"/>
              </w:rPr>
              <w:t xml:space="preserve">Names</w:t>
            </w:r>
          </w:p>
        </w:tc>
        <w:tc>
          <w:tcPr>
            <w:tcW w:type="dxa" w:w="2100"/>
            <w:shd w:fill="F2F2F2" w:val="clear"/>
          </w:tcPr>
          <w:p>
            <w:pPr>
              <w:spacing w:after="0"/>
            </w:pPr>
            <w:r>
              <w:rPr>
                <w:b/>
                <w:bCs/>
                <w:sz w:val="18"/>
                <w:szCs w:val="18"/>
              </w:rPr>
              <w:t xml:space="preserve">Resolved observations</w:t>
            </w:r>
          </w:p>
        </w:tc>
      </w:tr>
      <w:tr>
        <w:tc>
          <w:tcPr>
            <w:tcW w:type="dxa" w:w="2400"/>
          </w:tcPr>
          <w:p>
            <w:pPr>
              <w:spacing w:after="0"/>
            </w:pPr>
            <w:r>
              <w:rPr>
                <w:b w:val="false"/>
                <w:bCs w:val="false"/>
                <w:sz w:val="18"/>
                <w:szCs w:val="18"/>
              </w:rPr>
              <w:t xml:space="preserve">Technical walk-forward</w:t>
            </w:r>
          </w:p>
        </w:tc>
        <w:tc>
          <w:tcPr>
            <w:tcW w:type="dxa" w:w="4400"/>
          </w:tcPr>
          <w:p>
            <w:pPr>
              <w:spacing w:after="0"/>
            </w:pPr>
            <w:r>
              <w:rPr>
                <w:b w:val="false"/>
                <w:bCs w:val="false"/>
                <w:sz w:val="18"/>
                <w:szCs w:val="18"/>
              </w:rPr>
              <w:t xml:space="preserve">the technical read, replayed at every historical origin and graded on the tape</w:t>
            </w:r>
          </w:p>
        </w:tc>
        <w:tc>
          <w:tcPr>
            <w:tcW w:type="dxa" w:w="1500"/>
          </w:tcPr>
          <w:p>
            <w:pPr>
              <w:spacing w:after="0"/>
            </w:pPr>
            <w:r>
              <w:rPr>
                <w:b w:val="false"/>
                <w:bCs w:val="false"/>
                <w:sz w:val="18"/>
                <w:szCs w:val="18"/>
              </w:rPr>
              <w:t xml:space="preserve">85 names</w:t>
            </w:r>
          </w:p>
        </w:tc>
        <w:tc>
          <w:tcPr>
            <w:tcW w:type="dxa" w:w="2100"/>
          </w:tcPr>
          <w:p>
            <w:pPr>
              <w:spacing w:after="0"/>
            </w:pPr>
            <w:r>
              <w:rPr>
                <w:b w:val="false"/>
                <w:bCs w:val="false"/>
                <w:sz w:val="18"/>
                <w:szCs w:val="18"/>
              </w:rPr>
              <w:t xml:space="preserve">45,331 readings</w:t>
            </w:r>
          </w:p>
        </w:tc>
      </w:tr>
      <w:tr>
        <w:tc>
          <w:tcPr>
            <w:tcW w:type="dxa" w:w="2400"/>
          </w:tcPr>
          <w:p>
            <w:pPr>
              <w:spacing w:after="0"/>
            </w:pPr>
            <w:r>
              <w:rPr>
                <w:b w:val="false"/>
                <w:bCs w:val="false"/>
                <w:sz w:val="18"/>
                <w:szCs w:val="18"/>
              </w:rPr>
              <w:t xml:space="preserve">Price-engine walk-forward</w:t>
            </w:r>
          </w:p>
        </w:tc>
        <w:tc>
          <w:tcPr>
            <w:tcW w:type="dxa" w:w="4400"/>
          </w:tcPr>
          <w:p>
            <w:pPr>
              <w:spacing w:after="0"/>
            </w:pPr>
            <w:r>
              <w:rPr>
                <w:b w:val="false"/>
                <w:bCs w:val="false"/>
                <w:sz w:val="18"/>
                <w:szCs w:val="18"/>
              </w:rPr>
              <w:t xml:space="preserve">the probability cone, graded against resolved forecasts</w:t>
            </w:r>
          </w:p>
        </w:tc>
        <w:tc>
          <w:tcPr>
            <w:tcW w:type="dxa" w:w="1500"/>
          </w:tcPr>
          <w:p>
            <w:pPr>
              <w:spacing w:after="0"/>
            </w:pPr>
            <w:r>
              <w:rPr>
                <w:b w:val="false"/>
                <w:bCs w:val="false"/>
                <w:sz w:val="18"/>
                <w:szCs w:val="18"/>
              </w:rPr>
              <w:t xml:space="preserve">19 names</w:t>
            </w:r>
          </w:p>
        </w:tc>
        <w:tc>
          <w:tcPr>
            <w:tcW w:type="dxa" w:w="2100"/>
          </w:tcPr>
          <w:p>
            <w:pPr>
              <w:spacing w:after="0"/>
            </w:pPr>
            <w:r>
              <w:rPr>
                <w:b w:val="false"/>
                <w:bCs w:val="false"/>
                <w:sz w:val="18"/>
                <w:szCs w:val="18"/>
              </w:rPr>
              <w:t xml:space="preserve">per the fundamental register</w:t>
            </w:r>
          </w:p>
        </w:tc>
      </w:tr>
      <w:tr>
        <w:tc>
          <w:tcPr>
            <w:tcW w:type="dxa" w:w="2400"/>
          </w:tcPr>
          <w:p>
            <w:pPr>
              <w:spacing w:after="0"/>
            </w:pPr>
            <w:r>
              <w:rPr>
                <w:b w:val="false"/>
                <w:bCs w:val="false"/>
                <w:sz w:val="18"/>
                <w:szCs w:val="18"/>
              </w:rPr>
              <w:t xml:space="preserve">Fundamental walk-forward</w:t>
            </w:r>
          </w:p>
        </w:tc>
        <w:tc>
          <w:tcPr>
            <w:tcW w:type="dxa" w:w="4400"/>
          </w:tcPr>
          <w:p>
            <w:pPr>
              <w:spacing w:after="0"/>
            </w:pPr>
            <w:r>
              <w:rPr>
                <w:b w:val="false"/>
                <w:bCs w:val="false"/>
                <w:sz w:val="18"/>
                <w:szCs w:val="18"/>
              </w:rPr>
              <w:t xml:space="preserve">the valuation method, graded against filed actuals</w:t>
            </w:r>
          </w:p>
        </w:tc>
        <w:tc>
          <w:tcPr>
            <w:tcW w:type="dxa" w:w="1500"/>
          </w:tcPr>
          <w:p>
            <w:pPr>
              <w:spacing w:after="0"/>
            </w:pPr>
            <w:r>
              <w:rPr>
                <w:b w:val="false"/>
                <w:bCs w:val="false"/>
                <w:sz w:val="18"/>
                <w:szCs w:val="18"/>
              </w:rPr>
              <w:t xml:space="preserve">1 name (PHDC)</w:t>
            </w:r>
          </w:p>
        </w:tc>
        <w:tc>
          <w:tcPr>
            <w:tcW w:type="dxa" w:w="2100"/>
          </w:tcPr>
          <w:p>
            <w:pPr>
              <w:spacing w:after="0"/>
            </w:pPr>
            <w:r>
              <w:rPr>
                <w:b w:val="false"/>
                <w:bCs w:val="false"/>
                <w:sz w:val="18"/>
                <w:szCs w:val="18"/>
              </w:rPr>
              <w:t xml:space="preserve">per the fundamental register</w:t>
            </w:r>
          </w:p>
        </w:tc>
      </w:tr>
    </w:tbl>
    <w:p>
      <w:pPr>
        <w:spacing w:after="120"/>
      </w:pPr>
      <w:r>
        <w:t xml:space="preserve"/>
      </w:r>
    </w:p>
    <w:p>
      <w:pPr>
        <w:spacing w:after="120"/>
      </w:pPr>
      <w:r>
        <w:t xml:space="preserve">Honestly missing: the bull and bear trigger sentences ("a close above R1 would open the R3 zone") and the fresh golden-cross clause are not yet scored. Both are explicit conditional forecasts and both are gradeable; neither has been graded. Volume carries no lesson here at all — it is in the libraries and has never been tested.</w:t>
      </w:r>
    </w:p>
    <w:p>
      <w:pPr>
        <w:pStyle w:val="Heading1"/>
        <w:spacing w:after="160" w:before="320"/>
      </w:pPr>
      <w:r>
        <w:t xml:space="preserve">Lessons that bind on EVERY ticker</w:t>
      </w:r>
    </w:p>
    <w:p>
      <w:pPr>
        <w:spacing w:after="120"/>
      </w:pPr>
      <w:r>
        <w:t xml:space="preserve">Read these before reading any chart, of any company, in any market.</w:t>
      </w:r>
    </w:p>
    <w:p>
      <w:pPr>
        <w:spacing w:after="60" w:before="260"/>
      </w:pPr>
      <w:r>
        <w:rPr>
          <w:b/>
          <w:bCs/>
          <w:sz w:val="24"/>
          <w:szCs w:val="24"/>
        </w:rPr>
        <w:t xml:space="preserve">T-001  Score a lens on its own clock, not on the clock of the lens next to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In this project the technical read is the under-one-month view, the probability cone owns one to three months, and the fundamental study owns the year. The first calibration scored the technical read at one and three months — the cone's horizon — and every conclusion drawn from it understated the lens, one of them badly enough to be wrong.</w:t>
      </w:r>
    </w:p>
    <w:p>
      <w:pPr>
        <w:spacing w:after="120"/>
      </w:pPr>
      <w:r>
        <w:rPr>
          <w:b/>
          <w:bCs/>
          <w:sz w:val="21"/>
          <w:szCs w:val="21"/>
        </w:rPr>
        <w:t xml:space="preserve">How we know.  </w:t>
      </w:r>
      <w:r>
        <w:rPr>
          <w:sz w:val="21"/>
          <w:szCs w:val="21"/>
        </w:rPr>
        <w:t xml:space="preserve">A published support or resistance level beats a distance-matched non-level by +9.8pp at one week, +7.1pp at two weeks and +5.0pp at one month — and by only about +3.4pp at three months. Scoring at the cone's horizon reported the weakest reading available and concluded, wrongly, that a per-name level record could never be built. It also throttled the evidence: quarterly windows yield about 60 tests per name, weekly origins yield a median of 636.</w:t>
      </w:r>
    </w:p>
    <w:p>
      <w:pPr>
        <w:spacing w:after="120"/>
      </w:pPr>
      <w:r>
        <w:rPr>
          <w:b/>
          <w:bCs/>
          <w:sz w:val="21"/>
          <w:szCs w:val="21"/>
        </w:rPr>
        <w:t xml:space="preserve">What would overturn it.  </w:t>
      </w:r>
      <w:r>
        <w:rPr>
          <w:sz w:val="21"/>
          <w:szCs w:val="21"/>
        </w:rPr>
        <w:t xml:space="preserve">A lens whose published claims genuinely span the horizon it is scored at. The rule is about matching the two, not about any particular horizon.</w:t>
      </w:r>
    </w:p>
    <w:p>
      <w:pPr>
        <w:spacing w:after="60" w:before="260"/>
      </w:pPr>
      <w:r>
        <w:rPr>
          <w:b/>
          <w:bCs/>
          <w:sz w:val="24"/>
          <w:szCs w:val="24"/>
        </w:rPr>
        <w:t xml:space="preserve">T-002  The tape reading is the most reliable statement a technical read makes.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ATR sentence — "an orderly tape", "a lively tape" — is a genuine forecast of how far the price is about to travel. It is the only clause that is proven on almost every individual name rather than on the book as a whole, and it is currently published as a bare adjective with no record.</w:t>
      </w:r>
    </w:p>
    <w:p>
      <w:pPr>
        <w:spacing w:after="120"/>
      </w:pPr>
      <w:r>
        <w:rPr>
          <w:b/>
          <w:bCs/>
          <w:sz w:val="21"/>
          <w:szCs w:val="21"/>
        </w:rPr>
        <w:t xml:space="preserve">How we know.  </w:t>
      </w:r>
      <w:r>
        <w:rPr>
          <w:sz w:val="21"/>
          <w:szCs w:val="21"/>
        </w:rPr>
        <w:t xml:space="preserve">Rank correlation between the ATR reading at the origin and realized forward volatility is +0.52 at one week and +0.63 at one month, over 45,331 readings (z = 110). It is individually significant on 82 of 85 names with enough history, and positive in every market and every sector tested.</w:t>
      </w:r>
    </w:p>
    <w:p>
      <w:pPr>
        <w:spacing w:after="120"/>
      </w:pPr>
      <w:r>
        <w:rPr>
          <w:b/>
          <w:bCs/>
          <w:sz w:val="21"/>
          <w:szCs w:val="21"/>
        </w:rPr>
        <w:t xml:space="preserve">What would overturn it.  </w:t>
      </w:r>
      <w:r>
        <w:rPr>
          <w:sz w:val="21"/>
          <w:szCs w:val="21"/>
        </w:rPr>
        <w:t xml:space="preserve">A market where the ATR reading and realized forward movement decouple — which would show up as a name-level correlation at or below zero.</w:t>
      </w:r>
    </w:p>
    <w:p>
      <w:pPr>
        <w:spacing w:after="60" w:before="260"/>
      </w:pPr>
      <w:r>
        <w:rPr>
          <w:b/>
          <w:bCs/>
          <w:sz w:val="24"/>
          <w:szCs w:val="24"/>
        </w:rPr>
        <w:t xml:space="preserve">T-003  A charted level is real, and it is worth most in the first week.</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Support and resistance are not decoration, but they are also not walls. Measured against a price the same distance away that sits at no charted structure, a published level is broken through less often — and the edge decays steadily as the horizon lengthens.</w:t>
      </w:r>
    </w:p>
    <w:p>
      <w:pPr>
        <w:spacing w:after="120"/>
      </w:pPr>
      <w:r>
        <w:rPr>
          <w:b/>
          <w:bCs/>
          <w:sz w:val="21"/>
          <w:szCs w:val="21"/>
        </w:rPr>
        <w:t xml:space="preserve">How we know.  </w:t>
      </w:r>
      <w:r>
        <w:rPr>
          <w:sz w:val="21"/>
          <w:szCs w:val="21"/>
        </w:rPr>
        <w:t xml:space="preserve">Conditional on both being reached, the published level is broken through +9.8pp less often than the matched non-level at one week (n = 3,990, z = 15), +7.1pp at two weeks and +5.0pp at one month. The null is a pair — one non-level inside the published distance and one outside — so the comparison is centred on distance by construction.</w:t>
      </w:r>
    </w:p>
    <w:p>
      <w:pPr>
        <w:spacing w:after="120"/>
      </w:pPr>
      <w:r>
        <w:rPr>
          <w:b/>
          <w:bCs/>
          <w:sz w:val="21"/>
          <w:szCs w:val="21"/>
        </w:rPr>
        <w:t xml:space="preserve">What would overturn it.  </w:t>
      </w:r>
      <w:r>
        <w:rPr>
          <w:sz w:val="21"/>
          <w:szCs w:val="21"/>
        </w:rPr>
        <w:t xml:space="preserve">A level-drawing method whose edge does not decay with horizon, which would mean the effect is not about the level being tested.</w:t>
      </w:r>
    </w:p>
    <w:p>
      <w:pPr>
        <w:spacing w:after="60" w:before="260"/>
      </w:pPr>
      <w:r>
        <w:rPr>
          <w:b/>
          <w:bCs/>
          <w:sz w:val="24"/>
          <w:szCs w:val="24"/>
        </w:rPr>
        <w:t xml:space="preserve">T-004  Above the whole moving-average stack is worth about three points, everywhere.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trend clause carries real direction, it is small, and it is the same size in every market tested. That combination is what makes it a rule rather than an observation: it does not need to be re-learned per venue.</w:t>
      </w:r>
    </w:p>
    <w:p>
      <w:pPr>
        <w:spacing w:after="120"/>
      </w:pPr>
      <w:r>
        <w:rPr>
          <w:b/>
          <w:bCs/>
          <w:sz w:val="21"/>
          <w:szCs w:val="21"/>
        </w:rPr>
        <w:t xml:space="preserve">How we know.  </w:t>
      </w:r>
      <w:r>
        <w:rPr>
          <w:sz w:val="21"/>
          <w:szCs w:val="21"/>
        </w:rPr>
        <w:t xml:space="preserve">Trading above the whole stack raises the odds of a higher close by +3.2pp at one week against trading below it (n = 26,943, z = 5.2). Across the three markets with enough names the estimates are +3.6pp, +3.4pp and +3.3pp — a Cochran Q test cannot separate them (p = 0.99), so they are one population.</w:t>
      </w:r>
    </w:p>
    <w:p>
      <w:pPr>
        <w:spacing w:after="120"/>
      </w:pPr>
      <w:r>
        <w:rPr>
          <w:b/>
          <w:bCs/>
          <w:sz w:val="21"/>
          <w:szCs w:val="21"/>
        </w:rPr>
        <w:t xml:space="preserve">What would overturn it.  </w:t>
      </w:r>
      <w:r>
        <w:rPr>
          <w:sz w:val="21"/>
          <w:szCs w:val="21"/>
        </w:rPr>
        <w:t xml:space="preserve">A market whose trend estimate sits outside the others by more than its own standard error, on at least four names.</w:t>
      </w:r>
    </w:p>
    <w:p>
      <w:pPr>
        <w:spacing w:after="60" w:before="260"/>
      </w:pPr>
      <w:r>
        <w:rPr>
          <w:b/>
          <w:bCs/>
          <w:sz w:val="24"/>
          <w:szCs w:val="24"/>
        </w:rPr>
        <w:t xml:space="preserve">T-005  The MACD histogram carries no direction. Do not read one into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positive MACD histogram is followed by a higher close no more often than a negative one, at every horizon the technical lens covers. This is a measured null, not an absence of evidence — the test ran on tens of thousands of readings and found nothing.</w:t>
      </w:r>
    </w:p>
    <w:p>
      <w:pPr>
        <w:spacing w:after="120"/>
      </w:pPr>
      <w:r>
        <w:rPr>
          <w:b/>
          <w:bCs/>
          <w:sz w:val="21"/>
          <w:szCs w:val="21"/>
        </w:rPr>
        <w:t xml:space="preserve">How we know.  </w:t>
      </w:r>
      <w:r>
        <w:rPr>
          <w:sz w:val="21"/>
          <w:szCs w:val="21"/>
        </w:rPr>
        <w:t xml:space="preserve">The lift in forward up-rate from a positive histogram is -0.00pp at one week, -0.03pp at two weeks and -0.38pp at one month, on 22,709 readings — |z| below 1.2 throughout. Only 3 of 74 individual names show anything, about what chance alone produces at the 5% level.</w:t>
      </w:r>
    </w:p>
    <w:p>
      <w:pPr>
        <w:spacing w:after="120"/>
      </w:pPr>
      <w:r>
        <w:rPr>
          <w:b/>
          <w:bCs/>
          <w:sz w:val="21"/>
          <w:szCs w:val="21"/>
        </w:rPr>
        <w:t xml:space="preserve">What would overturn it.  </w:t>
      </w:r>
      <w:r>
        <w:rPr>
          <w:sz w:val="21"/>
          <w:szCs w:val="21"/>
        </w:rPr>
        <w:t xml:space="preserve">A construction of the MACD other than the histogram sign — a crossing, a divergence — tested on its own and clearing the same bar.</w:t>
      </w:r>
    </w:p>
    <w:p>
      <w:pPr>
        <w:spacing w:after="60" w:before="260"/>
      </w:pPr>
      <w:r>
        <w:rPr>
          <w:b/>
          <w:bCs/>
          <w:sz w:val="24"/>
          <w:szCs w:val="24"/>
        </w:rPr>
        <w:t xml:space="preserve">T-006  A cautious-sounding word is still a claim, and gets audited like one.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read described RSI at or above 70 as "stretched" and below 30 as "washed out". Both words imply a reversal to any reader. Both were followed by the opposite. The words survived precisely because they sounded like caution, and conservative-sounding language does not get checked the way a flattering claim would.</w:t>
      </w:r>
    </w:p>
    <w:p>
      <w:pPr>
        <w:spacing w:after="120"/>
      </w:pPr>
      <w:r>
        <w:rPr>
          <w:b/>
          <w:bCs/>
          <w:sz w:val="21"/>
          <w:szCs w:val="21"/>
        </w:rPr>
        <w:t xml:space="preserve">How we know.  </w:t>
      </w:r>
      <w:r>
        <w:rPr>
          <w:sz w:val="21"/>
          <w:szCs w:val="21"/>
        </w:rPr>
        <w:t xml:space="preserve">A reading at or above 70 is followed by an up-rate +2.4pp ABOVE the base rate at one week and +2.5pp at one month (n = 3,822); at three months the same bucket ran 7.6pp above base. Corrected to "very strong" and "very weak" on 31-Aug-2026 and live.</w:t>
      </w:r>
    </w:p>
    <w:p>
      <w:pPr>
        <w:spacing w:after="120"/>
      </w:pPr>
      <w:r>
        <w:rPr>
          <w:b/>
          <w:bCs/>
          <w:sz w:val="21"/>
          <w:szCs w:val="21"/>
        </w:rPr>
        <w:t xml:space="preserve">What would overturn it.  </w:t>
      </w:r>
      <w:r>
        <w:rPr>
          <w:sz w:val="21"/>
          <w:szCs w:val="21"/>
        </w:rPr>
        <w:t xml:space="preserve">Nothing about the direction — it is measured. The wording itself is replaceable by any phrasing that does not imply what it does not predict.</w:t>
      </w:r>
    </w:p>
    <w:p>
      <w:pPr>
        <w:pStyle w:val="Heading1"/>
        <w:spacing w:after="160" w:before="320"/>
      </w:pPr>
      <w:r>
        <w:t xml:space="preserve">Lessons that bind on a CLASS of ticker</w:t>
      </w:r>
    </w:p>
    <w:p>
      <w:pPr>
        <w:spacing w:after="120"/>
      </w:pPr>
      <w:r>
        <w:t xml:space="preserve">Two candidate classes were tested: the market a ticker trades on, and its industry sector. They did not fare equally.</w:t>
      </w:r>
    </w:p>
    <w:p>
      <w:pPr>
        <w:pStyle w:val="Heading2"/>
        <w:spacing w:after="120" w:before="240"/>
      </w:pPr>
      <w:r>
        <w:t xml:space="preserve">Market / exchange</w:t>
      </w:r>
    </w:p>
    <w:p>
      <w:pPr>
        <w:spacing w:after="60" w:before="260"/>
      </w:pPr>
      <w:r>
        <w:rPr>
          <w:b/>
          <w:bCs/>
          <w:sz w:val="24"/>
          <w:szCs w:val="24"/>
        </w:rPr>
        <w:t xml:space="preserve">T-007  How much a level is worth depends on the market it is drawn in.</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The level edge holds everywhere, but not equally. A level in the Saudi market is worth roughly twice one in Egypt. This is the one place where a class genuinely earns its rung: the classes differ by more than their own standard errors explain.</w:t>
      </w:r>
    </w:p>
    <w:p>
      <w:pPr>
        <w:spacing w:after="120"/>
      </w:pPr>
      <w:r>
        <w:rPr>
          <w:b/>
          <w:bCs/>
          <w:sz w:val="21"/>
          <w:szCs w:val="21"/>
        </w:rPr>
        <w:t xml:space="preserve">How we know.  </w:t>
      </w:r>
      <w:r>
        <w:rPr>
          <w:sz w:val="21"/>
          <w:szCs w:val="21"/>
        </w:rPr>
        <w:t xml:space="preserve">At one week the edge is +17.3pp in Saudi, +12.2pp in the UAE and +8.5pp in Egypt. Cochran Q = 9.6 on 2 degrees of freedom (p = 0.008), I-squared = 79% — the spread is real, not sampling noise.</w:t>
      </w:r>
    </w:p>
    <w:p>
      <w:pPr>
        <w:spacing w:after="120"/>
      </w:pPr>
      <w:r>
        <w:rPr>
          <w:b/>
          <w:bCs/>
          <w:sz w:val="21"/>
          <w:szCs w:val="21"/>
        </w:rPr>
        <w:t xml:space="preserve">What would overturn it.  </w:t>
      </w:r>
      <w:r>
        <w:rPr>
          <w:sz w:val="21"/>
          <w:szCs w:val="21"/>
        </w:rPr>
        <w:t xml:space="preserve">Only three markets carry four or more names, so this rests on three estimates. A fourth market landing between them would weaken it; one landing outside would strengthen it.</w:t>
      </w:r>
    </w:p>
    <w:p>
      <w:pPr>
        <w:spacing w:after="60" w:before="260"/>
      </w:pPr>
      <w:r>
        <w:rPr>
          <w:b/>
          <w:bCs/>
          <w:sz w:val="24"/>
          <w:szCs w:val="24"/>
        </w:rPr>
        <w:t xml:space="preserve">T-008  The tape reading works everywhere, but not equally hard.</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Class changes the strength of the tape claim, never its sign. That is an important distinction: the claim itself is universal and belongs on every page, while how much weight it carries is a market-level fact.</w:t>
      </w:r>
    </w:p>
    <w:p>
      <w:pPr>
        <w:spacing w:after="120"/>
      </w:pPr>
      <w:r>
        <w:rPr>
          <w:b/>
          <w:bCs/>
          <w:sz w:val="21"/>
          <w:szCs w:val="21"/>
        </w:rPr>
        <w:t xml:space="preserve">How we know.  </w:t>
      </w:r>
      <w:r>
        <w:rPr>
          <w:sz w:val="21"/>
          <w:szCs w:val="21"/>
        </w:rPr>
        <w:t xml:space="preserve">At one week the correlation runs +0.50 in the UAE, +0.50 in Saudi and +0.37 in Egypt; by sector it spans +0.33 to +0.62. Every class is individually significant and every one is positive.</w:t>
      </w:r>
    </w:p>
    <w:p>
      <w:pPr>
        <w:spacing w:after="120"/>
      </w:pPr>
      <w:r>
        <w:rPr>
          <w:b/>
          <w:bCs/>
          <w:sz w:val="21"/>
          <w:szCs w:val="21"/>
        </w:rPr>
        <w:t xml:space="preserve">What would overturn it.  </w:t>
      </w:r>
      <w:r>
        <w:rPr>
          <w:sz w:val="21"/>
          <w:szCs w:val="21"/>
        </w:rPr>
        <w:t xml:space="preserve">A class whose tape correlation is not distinguishable from zero on at least four names — which would make the claim conditional rather than universal.</w:t>
      </w:r>
    </w:p>
    <w:p>
      <w:pPr>
        <w:pStyle w:val="Heading2"/>
        <w:spacing w:after="120" w:before="240"/>
      </w:pPr>
      <w:r>
        <w:t xml:space="preserve">Industry sector</w:t>
      </w:r>
    </w:p>
    <w:p>
      <w:pPr>
        <w:spacing w:after="60" w:before="260"/>
      </w:pPr>
      <w:r>
        <w:rPr>
          <w:b/>
          <w:bCs/>
          <w:sz w:val="24"/>
          <w:szCs w:val="24"/>
        </w:rPr>
        <w:t xml:space="preserve">T-009  Industry sector is a far weaker class than market, and mostly is not one.</w:t>
      </w:r>
    </w:p>
    <w:p>
      <w:pPr>
        <w:spacing w:after="120"/>
      </w:pPr>
      <w:r>
        <w:rPr>
          <w:caps w:val="false"/>
          <w:color w:val="777777"/>
          <w:sz w:val="16"/>
          <w:szCs w:val="16"/>
        </w:rPr>
        <w:t xml:space="preserve">A CLASS OF TICKER   applies to every ticker in that sector   ·   learned from a technical walk-forward test, 93-ticker replay, 31-Aug-2026   ·   STATUS: WATCH</w:t>
      </w:r>
    </w:p>
    <w:p>
      <w:pPr>
        <w:spacing w:after="120"/>
      </w:pPr>
      <w:r>
        <w:rPr>
          <w:sz w:val="21"/>
          <w:szCs w:val="21"/>
        </w:rPr>
        <w:t xml:space="preserve">The fundamental register learns lessons per class of company, and it is natural to assume the technical lens should too. Tested, it mostly does not: the venue matters and the industry usually does not. Where a sector split does separate, the market split separates harder on the same claim.</w:t>
      </w:r>
    </w:p>
    <w:p>
      <w:pPr>
        <w:spacing w:after="120"/>
      </w:pPr>
      <w:r>
        <w:rPr>
          <w:b/>
          <w:bCs/>
          <w:sz w:val="21"/>
          <w:szCs w:val="21"/>
        </w:rPr>
        <w:t xml:space="preserve">How we know.  </w:t>
      </w:r>
      <w:r>
        <w:rPr>
          <w:sz w:val="21"/>
          <w:szCs w:val="21"/>
        </w:rPr>
        <w:t xml:space="preserve">The trend claim is one population across sectors at one week (Q p = 0.54) and across markets too. The MACD null is one population on both. Sector labels are also thin: the repository carries 32 distinct labels for 84 names, which had to be collapsed into 10 coarse buckets before anything could be tested, and four of those hold five names or fewer.</w:t>
      </w:r>
    </w:p>
    <w:p>
      <w:pPr>
        <w:spacing w:after="120"/>
      </w:pPr>
      <w:r>
        <w:rPr>
          <w:b/>
          <w:bCs/>
          <w:sz w:val="21"/>
          <w:szCs w:val="21"/>
        </w:rPr>
        <w:t xml:space="preserve">What would overturn it.  </w:t>
      </w:r>
      <w:r>
        <w:rPr>
          <w:sz w:val="21"/>
          <w:szCs w:val="21"/>
        </w:rPr>
        <w:t xml:space="preserve">A claim that separates by sector while staying one population across markets — the pattern this lesson says is absent.</w:t>
      </w:r>
    </w:p>
    <w:p>
      <w:pPr>
        <w:pStyle w:val="Heading1"/>
        <w:spacing w:after="160" w:before="320"/>
      </w:pPr>
      <w:r>
        <w:t xml:space="preserve">Lessons that bind on ONE ticker</w:t>
      </w:r>
    </w:p>
    <w:p>
      <w:pPr>
        <w:spacing w:after="120"/>
      </w:pPr>
      <w:r>
        <w:t xml:space="preserve">No single-name lesson has been earned yet. What has been established is which claims can ever be stated per name on the evidence available, which is the entry below.</w:t>
      </w:r>
    </w:p>
    <w:p>
      <w:pPr>
        <w:spacing w:after="60" w:before="260"/>
      </w:pPr>
      <w:r>
        <w:rPr>
          <w:b/>
          <w:bCs/>
          <w:sz w:val="24"/>
          <w:szCs w:val="24"/>
        </w:rPr>
        <w:t xml:space="preserve">T-010  The tape claim is the only one that can be stated per name today.</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A per-name record needs the name's own history to resolve the effect. Only the tape claim is large enough relative to its noise for that to happen on most of the book; the trend claim reaches it on a minority, and the rest not at all.</w:t>
      </w:r>
    </w:p>
    <w:p>
      <w:pPr>
        <w:spacing w:after="120"/>
      </w:pPr>
      <w:r>
        <w:rPr>
          <w:b/>
          <w:bCs/>
          <w:sz w:val="21"/>
          <w:szCs w:val="21"/>
        </w:rPr>
        <w:t xml:space="preserve">How we know.  </w:t>
      </w:r>
      <w:r>
        <w:rPr>
          <w:sz w:val="21"/>
          <w:szCs w:val="21"/>
        </w:rPr>
        <w:t xml:space="preserve">At one week the tape claim is individually significant on 82 of 85 names. The trend claim reaches 7 of 75 at one week and 19 of 75 at one month. The level claim reaches 31 of 56 at one month, but only 9 names have enough one-week tests to be assessed at all — price rarely travels far enough to reach a published level in a week.</w:t>
      </w:r>
    </w:p>
    <w:p>
      <w:pPr>
        <w:spacing w:after="120"/>
      </w:pPr>
      <w:r>
        <w:rPr>
          <w:b/>
          <w:bCs/>
          <w:sz w:val="21"/>
          <w:szCs w:val="21"/>
        </w:rPr>
        <w:t xml:space="preserve">What would overturn it.  </w:t>
      </w:r>
      <w:r>
        <w:rPr>
          <w:sz w:val="21"/>
          <w:szCs w:val="21"/>
        </w:rPr>
        <w:t xml:space="preserve">A longer library, or a denser origin grid, moving a claim above the bar on most of the book. The counts are the test and they are re-run each pass.</w:t>
      </w:r>
    </w:p>
    <w:p>
      <w:pPr>
        <w:pStyle w:val="Heading1"/>
        <w:spacing w:after="160" w:before="320"/>
      </w:pPr>
      <w:r>
        <w:t xml:space="preserve">How a lesson gets added</w:t>
      </w:r>
    </w:p>
    <w:p>
      <w:pPr>
        <w:spacing w:after="120"/>
      </w:pPr>
      <w:r>
        <w:t xml:space="preserve">A lesson enters this register when a measurement produces it, never when someone believes it. It carries a scope that has been tested rather than assumed, evidence with the numbers inline, and a condition that would overturn it. It is regenerated from the results file on every calibration pass, so a lesson whose evidence has moved is rewritten rather than left standing.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2026-08-31T15:09:30.488Z</dcterms:created>
  <dcterms:modified xsi:type="dcterms:W3CDTF">2026-08-31T15:09:30.489Z</dcterms:modified>
</cp:coreProperties>
</file>

<file path=docProps/custom.xml><?xml version="1.0" encoding="utf-8"?>
<Properties xmlns="http://schemas.openxmlformats.org/officeDocument/2006/custom-properties" xmlns:vt="http://schemas.openxmlformats.org/officeDocument/2006/docPropsVTypes"/>
</file>