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Layout w:type="fixed"/>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w:t>
            </w:r>
            <w:r>
              <w:rPr>
                <w:color w:val="9FB0AC"/>
                <w:sz w:val="19"/>
              </w:rPr>
              <w:t xml:space="preserve">   Educational analysis · not investment advice</w:t>
            </w:r>
          </w:p>
        </w:tc>
      </w:tr>
    </w:tbl>
    <w:p>
      <w:pPr>
        <w:spacing w:after="0"/>
      </w:pPr>
    </w:p>
    <w:p>
      <w:pPr>
        <w:spacing w:after="120" w:before="0"/>
      </w:pPr>
      <w:r>
        <w:rPr>
          <w:b/>
          <w:i w:val="0"/>
          <w:color w:val="1C3A36"/>
          <w:sz w:val="28"/>
        </w:rPr>
        <w:t>Bibliography and input register</w:t>
      </w:r>
    </w:p>
    <w:p>
      <w:pPr>
        <w:spacing w:after="120" w:before="0"/>
      </w:pPr>
      <w:r>
        <w:rPr>
          <w:b w:val="0"/>
          <w:i/>
          <w:color w:val="6E7B77"/>
          <w:sz w:val="22"/>
        </w:rPr>
        <w:t>Abu Dhabi Islamic Bank – Egypt S.A.E. (EGX: ADIB) — valuation study of 9 September 2026</w:t>
      </w:r>
    </w:p>
    <w:p>
      <w:pPr>
        <w:spacing w:after="120" w:before="0"/>
      </w:pPr>
      <w:r>
        <w:rPr>
          <w:b w:val="0"/>
          <w:i w:val="0"/>
          <w:color w:val="1C3A36"/>
          <w:sz w:val="21"/>
        </w:rPr>
        <w:t>This document stands alone. Every figure in the study can be traced from here to the document it came from, the date that document carries, and how good a source it is. Where a figure could not be sourced, this document says so rather than leaving the gap to be inferred.</w:t>
      </w:r>
    </w:p>
    <w:p>
      <w:pPr>
        <w:spacing w:after="120" w:before="280"/>
      </w:pPr>
      <w:r>
        <w:rPr>
          <w:b/>
          <w:i w:val="0"/>
          <w:color w:val="1C3A36"/>
          <w:sz w:val="30"/>
        </w:rPr>
        <w:t>1  Primary documents</w:t>
      </w:r>
    </w:p>
    <w:p>
      <w:pPr>
        <w:spacing w:after="120" w:before="0"/>
      </w:pPr>
      <w:r>
        <w:rPr>
          <w:b w:val="0"/>
          <w:i w:val="0"/>
          <w:color w:val="1C3A36"/>
          <w:sz w:val="21"/>
        </w:rPr>
        <w:t>Sixteen consolidated fiscal years plus two interim periods, all from the bank's own investor-relations archive at adib.eg. EVERY ONE OF THESE WAS PARSED AND CHECKED TO ADD UP; a statement that does not foot against its own arithmetic did not enter this study.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224"/>
        <w:gridCol w:w="4464"/>
        <w:gridCol w:w="1440"/>
        <w:gridCol w:w="720"/>
        <w:gridCol w:w="2232"/>
      </w:tblGrid>
      <w:tr>
        <w:tc>
          <w:tcPr>
            <w:tcW w:type="dxa" w:w="1224"/>
            <w:shd w:val="clear" w:color="auto" w:fill="EAF0EE"/>
          </w:tcPr>
          <w:p>
            <w:pPr>
              <w:spacing w:after="20"/>
            </w:pPr>
            <w:r>
              <w:rPr>
                <w:b/>
                <w:color w:val="1C3A36"/>
                <w:sz w:val="14"/>
              </w:rPr>
              <w:t>Period</w:t>
            </w:r>
          </w:p>
        </w:tc>
        <w:tc>
          <w:tcPr>
            <w:tcW w:type="dxa" w:w="4464"/>
            <w:shd w:val="clear" w:color="auto" w:fill="EAF0EE"/>
          </w:tcPr>
          <w:p>
            <w:pPr>
              <w:spacing w:after="20"/>
            </w:pPr>
            <w:r>
              <w:rPr>
                <w:b/>
                <w:color w:val="1C3A36"/>
                <w:sz w:val="14"/>
              </w:rPr>
              <w:t>Document</w:t>
            </w:r>
          </w:p>
        </w:tc>
        <w:tc>
          <w:tcPr>
            <w:tcW w:type="dxa" w:w="1440"/>
            <w:shd w:val="clear" w:color="auto" w:fill="EAF0EE"/>
          </w:tcPr>
          <w:p>
            <w:pPr>
              <w:spacing w:after="20"/>
            </w:pPr>
            <w:r>
              <w:rPr>
                <w:b/>
                <w:color w:val="1C3A36"/>
                <w:sz w:val="14"/>
              </w:rPr>
              <w:t>Document date</w:t>
            </w:r>
          </w:p>
        </w:tc>
        <w:tc>
          <w:tcPr>
            <w:tcW w:type="dxa" w:w="720"/>
            <w:shd w:val="clear" w:color="auto" w:fill="EAF0EE"/>
          </w:tcPr>
          <w:p>
            <w:pPr>
              <w:spacing w:after="20"/>
            </w:pPr>
            <w:r>
              <w:rPr>
                <w:b/>
                <w:color w:val="1C3A36"/>
                <w:sz w:val="14"/>
              </w:rPr>
              <w:t>Tier</w:t>
            </w:r>
          </w:p>
        </w:tc>
        <w:tc>
          <w:tcPr>
            <w:tcW w:type="dxa" w:w="2232"/>
            <w:shd w:val="clear" w:color="auto" w:fill="EAF0EE"/>
          </w:tcPr>
          <w:p>
            <w:pPr>
              <w:spacing w:after="20"/>
            </w:pPr>
            <w:r>
              <w:rPr>
                <w:b/>
                <w:color w:val="1C3A36"/>
                <w:sz w:val="14"/>
              </w:rPr>
              <w:t>How it was read</w:t>
            </w:r>
          </w:p>
        </w:tc>
      </w:tr>
      <w:tr>
        <w:tc>
          <w:tcPr>
            <w:tcW w:type="dxa" w:w="1224"/>
          </w:tcPr>
          <w:p>
            <w:pPr>
              <w:spacing w:after="20"/>
            </w:pPr>
            <w:r>
              <w:rPr>
                <w:color w:val="1C3A36"/>
                <w:sz w:val="14"/>
              </w:rPr>
              <w:t>FY2010</w:t>
            </w:r>
          </w:p>
        </w:tc>
        <w:tc>
          <w:tcPr>
            <w:tcW w:type="dxa" w:w="4464"/>
          </w:tcPr>
          <w:p>
            <w:pPr>
              <w:spacing w:after="20"/>
              <w:jc w:val="right"/>
            </w:pPr>
            <w:r>
              <w:rPr>
                <w:color w:val="1C3A36"/>
                <w:sz w:val="14"/>
              </w:rPr>
              <w:t>Consolidated financial statements and the audit report thereon, year ended 31 Dec 2010 (National Bank For Deve</w:t>
            </w:r>
          </w:p>
        </w:tc>
        <w:tc>
          <w:tcPr>
            <w:tcW w:type="dxa" w:w="1440"/>
          </w:tcPr>
          <w:p>
            <w:pPr>
              <w:spacing w:after="20"/>
              <w:jc w:val="right"/>
            </w:pPr>
            <w:r>
              <w:rPr>
                <w:color w:val="1C3A36"/>
                <w:sz w:val="14"/>
              </w:rPr>
              <w:t>2011</w:t>
            </w:r>
          </w:p>
        </w:tc>
        <w:tc>
          <w:tcPr>
            <w:tcW w:type="dxa" w:w="720"/>
          </w:tcPr>
          <w:p>
            <w:pPr>
              <w:spacing w:after="20"/>
              <w:jc w:val="right"/>
            </w:pPr>
            <w:r>
              <w:rPr>
                <w:color w:val="1C3A36"/>
                <w:sz w:val="14"/>
              </w:rPr>
              <w:t>A</w:t>
            </w:r>
          </w:p>
        </w:tc>
        <w:tc>
          <w:tcPr>
            <w:tcW w:type="dxa" w:w="2232"/>
          </w:tcPr>
          <w:p>
            <w:pPr>
              <w:spacing w:after="20"/>
              <w:jc w:val="right"/>
            </w:pPr>
            <w:r>
              <w:rPr>
                <w:color w:val="1C3A36"/>
                <w:sz w:val="14"/>
              </w:rPr>
              <w:t>text</w:t>
            </w:r>
          </w:p>
        </w:tc>
      </w:tr>
      <w:tr>
        <w:tc>
          <w:tcPr>
            <w:tcW w:type="dxa" w:w="1224"/>
          </w:tcPr>
          <w:p>
            <w:pPr>
              <w:spacing w:after="20"/>
            </w:pPr>
            <w:r>
              <w:rPr>
                <w:color w:val="1C3A36"/>
                <w:sz w:val="14"/>
              </w:rPr>
              <w:t>FY2011</w:t>
            </w:r>
          </w:p>
        </w:tc>
        <w:tc>
          <w:tcPr>
            <w:tcW w:type="dxa" w:w="4464"/>
          </w:tcPr>
          <w:p>
            <w:pPr>
              <w:spacing w:after="20"/>
              <w:jc w:val="right"/>
            </w:pPr>
            <w:r>
              <w:rPr>
                <w:color w:val="1C3A36"/>
                <w:sz w:val="14"/>
              </w:rPr>
              <w:t>Consolidated financial statements, year ended 31 Dec 2011</w:t>
            </w:r>
          </w:p>
        </w:tc>
        <w:tc>
          <w:tcPr>
            <w:tcW w:type="dxa" w:w="1440"/>
          </w:tcPr>
          <w:p>
            <w:pPr>
              <w:spacing w:after="20"/>
              <w:jc w:val="right"/>
            </w:pPr>
            <w:r>
              <w:rPr>
                <w:color w:val="1C3A36"/>
                <w:sz w:val="14"/>
              </w:rPr>
              <w:t>2012</w:t>
            </w:r>
          </w:p>
        </w:tc>
        <w:tc>
          <w:tcPr>
            <w:tcW w:type="dxa" w:w="720"/>
          </w:tcPr>
          <w:p>
            <w:pPr>
              <w:spacing w:after="20"/>
              <w:jc w:val="right"/>
            </w:pPr>
            <w:r>
              <w:rPr>
                <w:color w:val="1C3A36"/>
                <w:sz w:val="14"/>
              </w:rPr>
              <w:t>A</w:t>
            </w:r>
          </w:p>
        </w:tc>
        <w:tc>
          <w:tcPr>
            <w:tcW w:type="dxa" w:w="2232"/>
          </w:tcPr>
          <w:p>
            <w:pPr>
              <w:spacing w:after="20"/>
              <w:jc w:val="right"/>
            </w:pPr>
            <w:r>
              <w:rPr>
                <w:color w:val="1C3A36"/>
                <w:sz w:val="14"/>
              </w:rPr>
              <w:t>ocr</w:t>
            </w:r>
          </w:p>
        </w:tc>
      </w:tr>
      <w:tr>
        <w:tc>
          <w:tcPr>
            <w:tcW w:type="dxa" w:w="1224"/>
          </w:tcPr>
          <w:p>
            <w:pPr>
              <w:spacing w:after="20"/>
            </w:pPr>
            <w:r>
              <w:rPr>
                <w:color w:val="1C3A36"/>
                <w:sz w:val="14"/>
              </w:rPr>
              <w:t>FY2012</w:t>
            </w:r>
          </w:p>
        </w:tc>
        <w:tc>
          <w:tcPr>
            <w:tcW w:type="dxa" w:w="4464"/>
          </w:tcPr>
          <w:p>
            <w:pPr>
              <w:spacing w:after="20"/>
              <w:jc w:val="right"/>
            </w:pPr>
            <w:r>
              <w:rPr>
                <w:color w:val="1C3A36"/>
                <w:sz w:val="14"/>
              </w:rPr>
              <w:t>Consolidated financial statements, year ended 31 Dec 2012</w:t>
            </w:r>
          </w:p>
        </w:tc>
        <w:tc>
          <w:tcPr>
            <w:tcW w:type="dxa" w:w="1440"/>
          </w:tcPr>
          <w:p>
            <w:pPr>
              <w:spacing w:after="20"/>
              <w:jc w:val="right"/>
            </w:pPr>
            <w:r>
              <w:rPr>
                <w:color w:val="1C3A36"/>
                <w:sz w:val="14"/>
              </w:rPr>
              <w:t>2013-03</w:t>
            </w:r>
          </w:p>
        </w:tc>
        <w:tc>
          <w:tcPr>
            <w:tcW w:type="dxa" w:w="720"/>
          </w:tcPr>
          <w:p>
            <w:pPr>
              <w:spacing w:after="20"/>
              <w:jc w:val="right"/>
            </w:pPr>
            <w:r>
              <w:rPr>
                <w:color w:val="1C3A36"/>
                <w:sz w:val="14"/>
              </w:rPr>
              <w:t>A</w:t>
            </w:r>
          </w:p>
        </w:tc>
        <w:tc>
          <w:tcPr>
            <w:tcW w:type="dxa" w:w="2232"/>
          </w:tcPr>
          <w:p>
            <w:pPr>
              <w:spacing w:after="20"/>
              <w:jc w:val="right"/>
            </w:pPr>
            <w:r>
              <w:rPr>
                <w:color w:val="1C3A36"/>
                <w:sz w:val="14"/>
              </w:rPr>
              <w:t>text</w:t>
            </w:r>
          </w:p>
        </w:tc>
      </w:tr>
      <w:tr>
        <w:tc>
          <w:tcPr>
            <w:tcW w:type="dxa" w:w="1224"/>
          </w:tcPr>
          <w:p>
            <w:pPr>
              <w:spacing w:after="20"/>
            </w:pPr>
            <w:r>
              <w:rPr>
                <w:color w:val="1C3A36"/>
                <w:sz w:val="14"/>
              </w:rPr>
              <w:t>FY2013</w:t>
            </w:r>
          </w:p>
        </w:tc>
        <w:tc>
          <w:tcPr>
            <w:tcW w:type="dxa" w:w="4464"/>
          </w:tcPr>
          <w:p>
            <w:pPr>
              <w:spacing w:after="20"/>
              <w:jc w:val="right"/>
            </w:pPr>
            <w:r>
              <w:rPr>
                <w:color w:val="1C3A36"/>
                <w:sz w:val="14"/>
              </w:rPr>
              <w:t>Consolidated financial statements, year ended 31 Dec 2013</w:t>
            </w:r>
          </w:p>
        </w:tc>
        <w:tc>
          <w:tcPr>
            <w:tcW w:type="dxa" w:w="1440"/>
          </w:tcPr>
          <w:p>
            <w:pPr>
              <w:spacing w:after="20"/>
              <w:jc w:val="right"/>
            </w:pPr>
            <w:r>
              <w:rPr>
                <w:color w:val="1C3A36"/>
                <w:sz w:val="14"/>
              </w:rPr>
              <w:t>2014</w:t>
            </w:r>
          </w:p>
        </w:tc>
        <w:tc>
          <w:tcPr>
            <w:tcW w:type="dxa" w:w="720"/>
          </w:tcPr>
          <w:p>
            <w:pPr>
              <w:spacing w:after="20"/>
              <w:jc w:val="right"/>
            </w:pPr>
            <w:r>
              <w:rPr>
                <w:color w:val="1C3A36"/>
                <w:sz w:val="14"/>
              </w:rPr>
              <w:t>A</w:t>
            </w:r>
          </w:p>
        </w:tc>
        <w:tc>
          <w:tcPr>
            <w:tcW w:type="dxa" w:w="2232"/>
          </w:tcPr>
          <w:p>
            <w:pPr>
              <w:spacing w:after="20"/>
              <w:jc w:val="right"/>
            </w:pPr>
            <w:r>
              <w:rPr>
                <w:color w:val="1C3A36"/>
                <w:sz w:val="14"/>
              </w:rPr>
              <w:t>text</w:t>
            </w:r>
          </w:p>
        </w:tc>
      </w:tr>
      <w:tr>
        <w:tc>
          <w:tcPr>
            <w:tcW w:type="dxa" w:w="1224"/>
          </w:tcPr>
          <w:p>
            <w:pPr>
              <w:spacing w:after="20"/>
            </w:pPr>
            <w:r>
              <w:rPr>
                <w:color w:val="1C3A36"/>
                <w:sz w:val="14"/>
              </w:rPr>
              <w:t>FY2014</w:t>
            </w:r>
          </w:p>
        </w:tc>
        <w:tc>
          <w:tcPr>
            <w:tcW w:type="dxa" w:w="4464"/>
          </w:tcPr>
          <w:p>
            <w:pPr>
              <w:spacing w:after="20"/>
              <w:jc w:val="right"/>
            </w:pPr>
            <w:r>
              <w:rPr>
                <w:color w:val="1C3A36"/>
                <w:sz w:val="14"/>
              </w:rPr>
              <w:t>Consolidated financial statements, year ended 31 Dec 2014 (Restated)</w:t>
            </w:r>
          </w:p>
        </w:tc>
        <w:tc>
          <w:tcPr>
            <w:tcW w:type="dxa" w:w="1440"/>
          </w:tcPr>
          <w:p>
            <w:pPr>
              <w:spacing w:after="20"/>
              <w:jc w:val="right"/>
            </w:pPr>
            <w:r>
              <w:rPr>
                <w:color w:val="1C3A36"/>
                <w:sz w:val="14"/>
              </w:rPr>
              <w:t>2015</w:t>
            </w:r>
          </w:p>
        </w:tc>
        <w:tc>
          <w:tcPr>
            <w:tcW w:type="dxa" w:w="720"/>
          </w:tcPr>
          <w:p>
            <w:pPr>
              <w:spacing w:after="20"/>
              <w:jc w:val="right"/>
            </w:pPr>
            <w:r>
              <w:rPr>
                <w:color w:val="1C3A36"/>
                <w:sz w:val="14"/>
              </w:rPr>
              <w:t>A</w:t>
            </w:r>
          </w:p>
        </w:tc>
        <w:tc>
          <w:tcPr>
            <w:tcW w:type="dxa" w:w="2232"/>
          </w:tcPr>
          <w:p>
            <w:pPr>
              <w:spacing w:after="20"/>
              <w:jc w:val="right"/>
            </w:pPr>
            <w:r>
              <w:rPr>
                <w:color w:val="1C3A36"/>
                <w:sz w:val="14"/>
              </w:rPr>
              <w:t>text</w:t>
            </w:r>
          </w:p>
        </w:tc>
      </w:tr>
      <w:tr>
        <w:tc>
          <w:tcPr>
            <w:tcW w:type="dxa" w:w="1224"/>
          </w:tcPr>
          <w:p>
            <w:pPr>
              <w:spacing w:after="20"/>
            </w:pPr>
            <w:r>
              <w:rPr>
                <w:color w:val="1C3A36"/>
                <w:sz w:val="14"/>
              </w:rPr>
              <w:t>FY2015</w:t>
            </w:r>
          </w:p>
        </w:tc>
        <w:tc>
          <w:tcPr>
            <w:tcW w:type="dxa" w:w="4464"/>
          </w:tcPr>
          <w:p>
            <w:pPr>
              <w:spacing w:after="20"/>
              <w:jc w:val="right"/>
            </w:pPr>
            <w:r>
              <w:rPr>
                <w:color w:val="1C3A36"/>
                <w:sz w:val="14"/>
              </w:rPr>
              <w:t>Consolidated financial statements, year ended 31 Dec 2015</w:t>
            </w:r>
          </w:p>
        </w:tc>
        <w:tc>
          <w:tcPr>
            <w:tcW w:type="dxa" w:w="1440"/>
          </w:tcPr>
          <w:p>
            <w:pPr>
              <w:spacing w:after="20"/>
              <w:jc w:val="right"/>
            </w:pPr>
            <w:r>
              <w:rPr>
                <w:color w:val="1C3A36"/>
                <w:sz w:val="14"/>
              </w:rPr>
              <w:t>2016-02-18</w:t>
            </w:r>
          </w:p>
        </w:tc>
        <w:tc>
          <w:tcPr>
            <w:tcW w:type="dxa" w:w="720"/>
          </w:tcPr>
          <w:p>
            <w:pPr>
              <w:spacing w:after="20"/>
              <w:jc w:val="right"/>
            </w:pPr>
            <w:r>
              <w:rPr>
                <w:color w:val="1C3A36"/>
                <w:sz w:val="14"/>
              </w:rPr>
              <w:t>A</w:t>
            </w:r>
          </w:p>
        </w:tc>
        <w:tc>
          <w:tcPr>
            <w:tcW w:type="dxa" w:w="2232"/>
          </w:tcPr>
          <w:p>
            <w:pPr>
              <w:spacing w:after="20"/>
              <w:jc w:val="right"/>
            </w:pPr>
            <w:r>
              <w:rPr>
                <w:color w:val="1C3A36"/>
                <w:sz w:val="14"/>
              </w:rPr>
              <w:t>text</w:t>
            </w:r>
          </w:p>
        </w:tc>
      </w:tr>
      <w:tr>
        <w:tc>
          <w:tcPr>
            <w:tcW w:type="dxa" w:w="1224"/>
          </w:tcPr>
          <w:p>
            <w:pPr>
              <w:spacing w:after="20"/>
            </w:pPr>
            <w:r>
              <w:rPr>
                <w:color w:val="1C3A36"/>
                <w:sz w:val="14"/>
              </w:rPr>
              <w:t>FY2016</w:t>
            </w:r>
          </w:p>
        </w:tc>
        <w:tc>
          <w:tcPr>
            <w:tcW w:type="dxa" w:w="4464"/>
          </w:tcPr>
          <w:p>
            <w:pPr>
              <w:spacing w:after="20"/>
              <w:jc w:val="right"/>
            </w:pPr>
            <w:r>
              <w:rPr>
                <w:color w:val="1C3A36"/>
                <w:sz w:val="14"/>
              </w:rPr>
              <w:t>Consolidated financial statements, year ended 31 Dec 2016</w:t>
            </w:r>
          </w:p>
        </w:tc>
        <w:tc>
          <w:tcPr>
            <w:tcW w:type="dxa" w:w="1440"/>
          </w:tcPr>
          <w:p>
            <w:pPr>
              <w:spacing w:after="20"/>
              <w:jc w:val="right"/>
            </w:pPr>
            <w:r>
              <w:rPr>
                <w:color w:val="1C3A36"/>
                <w:sz w:val="14"/>
              </w:rPr>
              <w:t>2017-02-16</w:t>
            </w:r>
          </w:p>
        </w:tc>
        <w:tc>
          <w:tcPr>
            <w:tcW w:type="dxa" w:w="720"/>
          </w:tcPr>
          <w:p>
            <w:pPr>
              <w:spacing w:after="20"/>
              <w:jc w:val="right"/>
            </w:pPr>
            <w:r>
              <w:rPr>
                <w:color w:val="1C3A36"/>
                <w:sz w:val="14"/>
              </w:rPr>
              <w:t>A</w:t>
            </w:r>
          </w:p>
        </w:tc>
        <w:tc>
          <w:tcPr>
            <w:tcW w:type="dxa" w:w="2232"/>
          </w:tcPr>
          <w:p>
            <w:pPr>
              <w:spacing w:after="20"/>
              <w:jc w:val="right"/>
            </w:pPr>
            <w:r>
              <w:rPr>
                <w:color w:val="1C3A36"/>
                <w:sz w:val="14"/>
              </w:rPr>
              <w:t>text</w:t>
            </w:r>
          </w:p>
        </w:tc>
      </w:tr>
      <w:tr>
        <w:tc>
          <w:tcPr>
            <w:tcW w:type="dxa" w:w="1224"/>
          </w:tcPr>
          <w:p>
            <w:pPr>
              <w:spacing w:after="20"/>
            </w:pPr>
            <w:r>
              <w:rPr>
                <w:color w:val="1C3A36"/>
                <w:sz w:val="14"/>
              </w:rPr>
              <w:t>FY2017</w:t>
            </w:r>
          </w:p>
        </w:tc>
        <w:tc>
          <w:tcPr>
            <w:tcW w:type="dxa" w:w="4464"/>
          </w:tcPr>
          <w:p>
            <w:pPr>
              <w:spacing w:after="20"/>
              <w:jc w:val="right"/>
            </w:pPr>
            <w:r>
              <w:rPr>
                <w:color w:val="1C3A36"/>
                <w:sz w:val="14"/>
              </w:rPr>
              <w:t>Consolidated financial statements, year ended 31 Dec 2017</w:t>
            </w:r>
          </w:p>
        </w:tc>
        <w:tc>
          <w:tcPr>
            <w:tcW w:type="dxa" w:w="1440"/>
          </w:tcPr>
          <w:p>
            <w:pPr>
              <w:spacing w:after="20"/>
              <w:jc w:val="right"/>
            </w:pPr>
            <w:r>
              <w:rPr>
                <w:color w:val="1C3A36"/>
                <w:sz w:val="14"/>
              </w:rPr>
              <w:t>2018</w:t>
            </w:r>
          </w:p>
        </w:tc>
        <w:tc>
          <w:tcPr>
            <w:tcW w:type="dxa" w:w="720"/>
          </w:tcPr>
          <w:p>
            <w:pPr>
              <w:spacing w:after="20"/>
              <w:jc w:val="right"/>
            </w:pPr>
            <w:r>
              <w:rPr>
                <w:color w:val="1C3A36"/>
                <w:sz w:val="14"/>
              </w:rPr>
              <w:t>A</w:t>
            </w:r>
          </w:p>
        </w:tc>
        <w:tc>
          <w:tcPr>
            <w:tcW w:type="dxa" w:w="2232"/>
          </w:tcPr>
          <w:p>
            <w:pPr>
              <w:spacing w:after="20"/>
              <w:jc w:val="right"/>
            </w:pPr>
            <w:r>
              <w:rPr>
                <w:color w:val="1C3A36"/>
                <w:sz w:val="14"/>
              </w:rPr>
              <w:t>text</w:t>
            </w:r>
          </w:p>
        </w:tc>
      </w:tr>
      <w:tr>
        <w:tc>
          <w:tcPr>
            <w:tcW w:type="dxa" w:w="1224"/>
          </w:tcPr>
          <w:p>
            <w:pPr>
              <w:spacing w:after="20"/>
            </w:pPr>
            <w:r>
              <w:rPr>
                <w:color w:val="1C3A36"/>
                <w:sz w:val="14"/>
              </w:rPr>
              <w:t>FY2018</w:t>
            </w:r>
          </w:p>
        </w:tc>
        <w:tc>
          <w:tcPr>
            <w:tcW w:type="dxa" w:w="4464"/>
          </w:tcPr>
          <w:p>
            <w:pPr>
              <w:spacing w:after="20"/>
              <w:jc w:val="right"/>
            </w:pPr>
            <w:r>
              <w:rPr>
                <w:color w:val="1C3A36"/>
                <w:sz w:val="14"/>
              </w:rPr>
              <w:t>Consolidated financial statements, year ended 31 Dec 2018</w:t>
            </w:r>
          </w:p>
        </w:tc>
        <w:tc>
          <w:tcPr>
            <w:tcW w:type="dxa" w:w="1440"/>
          </w:tcPr>
          <w:p>
            <w:pPr>
              <w:spacing w:after="20"/>
              <w:jc w:val="right"/>
            </w:pPr>
            <w:r>
              <w:rPr>
                <w:color w:val="1C3A36"/>
                <w:sz w:val="14"/>
              </w:rPr>
              <w:t>2019</w:t>
            </w:r>
          </w:p>
        </w:tc>
        <w:tc>
          <w:tcPr>
            <w:tcW w:type="dxa" w:w="720"/>
          </w:tcPr>
          <w:p>
            <w:pPr>
              <w:spacing w:after="20"/>
              <w:jc w:val="right"/>
            </w:pPr>
            <w:r>
              <w:rPr>
                <w:color w:val="1C3A36"/>
                <w:sz w:val="14"/>
              </w:rPr>
              <w:t>A</w:t>
            </w:r>
          </w:p>
        </w:tc>
        <w:tc>
          <w:tcPr>
            <w:tcW w:type="dxa" w:w="2232"/>
          </w:tcPr>
          <w:p>
            <w:pPr>
              <w:spacing w:after="20"/>
              <w:jc w:val="right"/>
            </w:pPr>
            <w:r>
              <w:rPr>
                <w:color w:val="1C3A36"/>
                <w:sz w:val="14"/>
              </w:rPr>
              <w:t>text</w:t>
            </w:r>
          </w:p>
        </w:tc>
      </w:tr>
      <w:tr>
        <w:tc>
          <w:tcPr>
            <w:tcW w:type="dxa" w:w="1224"/>
          </w:tcPr>
          <w:p>
            <w:pPr>
              <w:spacing w:after="20"/>
            </w:pPr>
            <w:r>
              <w:rPr>
                <w:color w:val="1C3A36"/>
                <w:sz w:val="14"/>
              </w:rPr>
              <w:t>FY2019</w:t>
            </w:r>
          </w:p>
        </w:tc>
        <w:tc>
          <w:tcPr>
            <w:tcW w:type="dxa" w:w="4464"/>
          </w:tcPr>
          <w:p>
            <w:pPr>
              <w:spacing w:after="20"/>
              <w:jc w:val="right"/>
            </w:pPr>
            <w:r>
              <w:rPr>
                <w:color w:val="1C3A36"/>
                <w:sz w:val="14"/>
              </w:rPr>
              <w:t>Consolidated financial statements, year ended 31 Dec 2019</w:t>
            </w:r>
          </w:p>
        </w:tc>
        <w:tc>
          <w:tcPr>
            <w:tcW w:type="dxa" w:w="1440"/>
          </w:tcPr>
          <w:p>
            <w:pPr>
              <w:spacing w:after="20"/>
              <w:jc w:val="right"/>
            </w:pPr>
            <w:r>
              <w:rPr>
                <w:color w:val="1C3A36"/>
                <w:sz w:val="14"/>
              </w:rPr>
              <w:t>2020</w:t>
            </w:r>
          </w:p>
        </w:tc>
        <w:tc>
          <w:tcPr>
            <w:tcW w:type="dxa" w:w="720"/>
          </w:tcPr>
          <w:p>
            <w:pPr>
              <w:spacing w:after="20"/>
              <w:jc w:val="right"/>
            </w:pPr>
            <w:r>
              <w:rPr>
                <w:color w:val="1C3A36"/>
                <w:sz w:val="14"/>
              </w:rPr>
              <w:t>A</w:t>
            </w:r>
          </w:p>
        </w:tc>
        <w:tc>
          <w:tcPr>
            <w:tcW w:type="dxa" w:w="2232"/>
          </w:tcPr>
          <w:p>
            <w:pPr>
              <w:spacing w:after="20"/>
              <w:jc w:val="right"/>
            </w:pPr>
            <w:r>
              <w:rPr>
                <w:color w:val="1C3A36"/>
                <w:sz w:val="14"/>
              </w:rPr>
              <w:t>ocr</w:t>
            </w:r>
          </w:p>
        </w:tc>
      </w:tr>
      <w:tr>
        <w:tc>
          <w:tcPr>
            <w:tcW w:type="dxa" w:w="1224"/>
          </w:tcPr>
          <w:p>
            <w:pPr>
              <w:spacing w:after="20"/>
            </w:pPr>
            <w:r>
              <w:rPr>
                <w:color w:val="1C3A36"/>
                <w:sz w:val="14"/>
              </w:rPr>
              <w:t>FY2020</w:t>
            </w:r>
          </w:p>
        </w:tc>
        <w:tc>
          <w:tcPr>
            <w:tcW w:type="dxa" w:w="4464"/>
          </w:tcPr>
          <w:p>
            <w:pPr>
              <w:spacing w:after="20"/>
              <w:jc w:val="right"/>
            </w:pPr>
            <w:r>
              <w:rPr>
                <w:color w:val="1C3A36"/>
                <w:sz w:val="14"/>
              </w:rPr>
              <w:t>Consolidated financial statements, year ended 31 Dec 2020</w:t>
            </w:r>
          </w:p>
        </w:tc>
        <w:tc>
          <w:tcPr>
            <w:tcW w:type="dxa" w:w="1440"/>
          </w:tcPr>
          <w:p>
            <w:pPr>
              <w:spacing w:after="20"/>
              <w:jc w:val="right"/>
            </w:pPr>
            <w:r>
              <w:rPr>
                <w:color w:val="1C3A36"/>
                <w:sz w:val="14"/>
              </w:rPr>
              <w:t>2021-02-18</w:t>
            </w:r>
          </w:p>
        </w:tc>
        <w:tc>
          <w:tcPr>
            <w:tcW w:type="dxa" w:w="720"/>
          </w:tcPr>
          <w:p>
            <w:pPr>
              <w:spacing w:after="20"/>
              <w:jc w:val="right"/>
            </w:pPr>
            <w:r>
              <w:rPr>
                <w:color w:val="1C3A36"/>
                <w:sz w:val="14"/>
              </w:rPr>
              <w:t>A</w:t>
            </w:r>
          </w:p>
        </w:tc>
        <w:tc>
          <w:tcPr>
            <w:tcW w:type="dxa" w:w="2232"/>
          </w:tcPr>
          <w:p>
            <w:pPr>
              <w:spacing w:after="20"/>
              <w:jc w:val="right"/>
            </w:pPr>
            <w:r>
              <w:rPr>
                <w:color w:val="1C3A36"/>
                <w:sz w:val="14"/>
              </w:rPr>
              <w:t>ocr</w:t>
            </w:r>
          </w:p>
        </w:tc>
      </w:tr>
      <w:tr>
        <w:tc>
          <w:tcPr>
            <w:tcW w:type="dxa" w:w="1224"/>
          </w:tcPr>
          <w:p>
            <w:pPr>
              <w:spacing w:after="20"/>
            </w:pPr>
            <w:r>
              <w:rPr>
                <w:color w:val="1C3A36"/>
                <w:sz w:val="14"/>
              </w:rPr>
              <w:t>FY2021</w:t>
            </w:r>
          </w:p>
        </w:tc>
        <w:tc>
          <w:tcPr>
            <w:tcW w:type="dxa" w:w="4464"/>
          </w:tcPr>
          <w:p>
            <w:pPr>
              <w:spacing w:after="20"/>
              <w:jc w:val="right"/>
            </w:pPr>
            <w:r>
              <w:rPr>
                <w:color w:val="1C3A36"/>
                <w:sz w:val="14"/>
              </w:rPr>
              <w:t>FY2021 taken from the COMPARATIVE column of the FY2022 audited consolidated statements. The file published und</w:t>
            </w:r>
          </w:p>
        </w:tc>
        <w:tc>
          <w:tcPr>
            <w:tcW w:type="dxa" w:w="1440"/>
          </w:tcPr>
          <w:p>
            <w:pPr>
              <w:spacing w:after="20"/>
              <w:jc w:val="right"/>
            </w:pPr>
            <w:r>
              <w:rPr>
                <w:color w:val="1C3A36"/>
                <w:sz w:val="14"/>
              </w:rPr>
              <w:t>2023-02-09</w:t>
            </w:r>
          </w:p>
        </w:tc>
        <w:tc>
          <w:tcPr>
            <w:tcW w:type="dxa" w:w="720"/>
          </w:tcPr>
          <w:p>
            <w:pPr>
              <w:spacing w:after="20"/>
              <w:jc w:val="right"/>
            </w:pPr>
            <w:r>
              <w:rPr>
                <w:color w:val="1C3A36"/>
                <w:sz w:val="14"/>
              </w:rPr>
              <w:t>A</w:t>
            </w:r>
          </w:p>
        </w:tc>
        <w:tc>
          <w:tcPr>
            <w:tcW w:type="dxa" w:w="2232"/>
          </w:tcPr>
          <w:p>
            <w:pPr>
              <w:spacing w:after="20"/>
              <w:jc w:val="right"/>
            </w:pPr>
            <w:r>
              <w:rPr>
                <w:color w:val="1C3A36"/>
                <w:sz w:val="14"/>
              </w:rPr>
              <w:t>text+ocr</w:t>
            </w:r>
          </w:p>
        </w:tc>
      </w:tr>
      <w:tr>
        <w:tc>
          <w:tcPr>
            <w:tcW w:type="dxa" w:w="1224"/>
          </w:tcPr>
          <w:p>
            <w:pPr>
              <w:spacing w:after="20"/>
            </w:pPr>
            <w:r>
              <w:rPr>
                <w:color w:val="1C3A36"/>
                <w:sz w:val="14"/>
              </w:rPr>
              <w:t>FY2022</w:t>
            </w:r>
          </w:p>
        </w:tc>
        <w:tc>
          <w:tcPr>
            <w:tcW w:type="dxa" w:w="4464"/>
          </w:tcPr>
          <w:p>
            <w:pPr>
              <w:spacing w:after="20"/>
              <w:jc w:val="right"/>
            </w:pPr>
            <w:r>
              <w:rPr>
                <w:color w:val="1C3A36"/>
                <w:sz w:val="14"/>
              </w:rPr>
              <w:t>Consolidated financial statements, year ended 31 Dec 2022</w:t>
            </w:r>
          </w:p>
        </w:tc>
        <w:tc>
          <w:tcPr>
            <w:tcW w:type="dxa" w:w="1440"/>
          </w:tcPr>
          <w:p>
            <w:pPr>
              <w:spacing w:after="20"/>
              <w:jc w:val="right"/>
            </w:pPr>
            <w:r>
              <w:rPr>
                <w:color w:val="1C3A36"/>
                <w:sz w:val="14"/>
              </w:rPr>
              <w:t>2023-02-09</w:t>
            </w:r>
          </w:p>
        </w:tc>
        <w:tc>
          <w:tcPr>
            <w:tcW w:type="dxa" w:w="720"/>
          </w:tcPr>
          <w:p>
            <w:pPr>
              <w:spacing w:after="20"/>
              <w:jc w:val="right"/>
            </w:pPr>
            <w:r>
              <w:rPr>
                <w:color w:val="1C3A36"/>
                <w:sz w:val="14"/>
              </w:rPr>
              <w:t>A</w:t>
            </w:r>
          </w:p>
        </w:tc>
        <w:tc>
          <w:tcPr>
            <w:tcW w:type="dxa" w:w="2232"/>
          </w:tcPr>
          <w:p>
            <w:pPr>
              <w:spacing w:after="20"/>
              <w:jc w:val="right"/>
            </w:pPr>
            <w:r>
              <w:rPr>
                <w:color w:val="1C3A36"/>
                <w:sz w:val="14"/>
              </w:rPr>
              <w:t>text(BS)+ocr(IS)</w:t>
            </w:r>
          </w:p>
        </w:tc>
      </w:tr>
      <w:tr>
        <w:tc>
          <w:tcPr>
            <w:tcW w:type="dxa" w:w="1224"/>
          </w:tcPr>
          <w:p>
            <w:pPr>
              <w:spacing w:after="20"/>
            </w:pPr>
            <w:r>
              <w:rPr>
                <w:color w:val="1C3A36"/>
                <w:sz w:val="14"/>
              </w:rPr>
              <w:t>FY2023</w:t>
            </w:r>
          </w:p>
        </w:tc>
        <w:tc>
          <w:tcPr>
            <w:tcW w:type="dxa" w:w="4464"/>
          </w:tcPr>
          <w:p>
            <w:pPr>
              <w:spacing w:after="20"/>
              <w:jc w:val="right"/>
            </w:pPr>
            <w:r>
              <w:rPr>
                <w:color w:val="1C3A36"/>
                <w:sz w:val="14"/>
              </w:rPr>
              <w:t>Consolidated financial statements, year ended 31 Dec 2023</w:t>
            </w:r>
          </w:p>
        </w:tc>
        <w:tc>
          <w:tcPr>
            <w:tcW w:type="dxa" w:w="1440"/>
          </w:tcPr>
          <w:p>
            <w:pPr>
              <w:spacing w:after="20"/>
              <w:jc w:val="right"/>
            </w:pPr>
            <w:r>
              <w:rPr>
                <w:color w:val="1C3A36"/>
                <w:sz w:val="14"/>
              </w:rPr>
              <w:t>2024</w:t>
            </w:r>
          </w:p>
        </w:tc>
        <w:tc>
          <w:tcPr>
            <w:tcW w:type="dxa" w:w="720"/>
          </w:tcPr>
          <w:p>
            <w:pPr>
              <w:spacing w:after="20"/>
              <w:jc w:val="right"/>
            </w:pPr>
            <w:r>
              <w:rPr>
                <w:color w:val="1C3A36"/>
                <w:sz w:val="14"/>
              </w:rPr>
              <w:t>A</w:t>
            </w:r>
          </w:p>
        </w:tc>
        <w:tc>
          <w:tcPr>
            <w:tcW w:type="dxa" w:w="2232"/>
          </w:tcPr>
          <w:p>
            <w:pPr>
              <w:spacing w:after="20"/>
              <w:jc w:val="right"/>
            </w:pPr>
            <w:r>
              <w:rPr>
                <w:color w:val="1C3A36"/>
                <w:sz w:val="14"/>
              </w:rPr>
              <w:t>ocr</w:t>
            </w:r>
          </w:p>
        </w:tc>
      </w:tr>
      <w:tr>
        <w:tc>
          <w:tcPr>
            <w:tcW w:type="dxa" w:w="1224"/>
          </w:tcPr>
          <w:p>
            <w:pPr>
              <w:spacing w:after="20"/>
            </w:pPr>
            <w:r>
              <w:rPr>
                <w:color w:val="1C3A36"/>
                <w:sz w:val="14"/>
              </w:rPr>
              <w:t>FY2024</w:t>
            </w:r>
          </w:p>
        </w:tc>
        <w:tc>
          <w:tcPr>
            <w:tcW w:type="dxa" w:w="4464"/>
          </w:tcPr>
          <w:p>
            <w:pPr>
              <w:spacing w:after="20"/>
              <w:jc w:val="right"/>
            </w:pPr>
            <w:r>
              <w:rPr>
                <w:color w:val="1C3A36"/>
                <w:sz w:val="14"/>
              </w:rPr>
              <w:t>Consolidated financial statements, year ended 31 Dec 2024</w:t>
            </w:r>
          </w:p>
        </w:tc>
        <w:tc>
          <w:tcPr>
            <w:tcW w:type="dxa" w:w="1440"/>
          </w:tcPr>
          <w:p>
            <w:pPr>
              <w:spacing w:after="20"/>
              <w:jc w:val="right"/>
            </w:pPr>
            <w:r>
              <w:rPr>
                <w:color w:val="1C3A36"/>
                <w:sz w:val="14"/>
              </w:rPr>
              <w:t>2025-02-06</w:t>
            </w:r>
          </w:p>
        </w:tc>
        <w:tc>
          <w:tcPr>
            <w:tcW w:type="dxa" w:w="720"/>
          </w:tcPr>
          <w:p>
            <w:pPr>
              <w:spacing w:after="20"/>
              <w:jc w:val="right"/>
            </w:pPr>
            <w:r>
              <w:rPr>
                <w:color w:val="1C3A36"/>
                <w:sz w:val="14"/>
              </w:rPr>
              <w:t>A</w:t>
            </w:r>
          </w:p>
        </w:tc>
        <w:tc>
          <w:tcPr>
            <w:tcW w:type="dxa" w:w="2232"/>
          </w:tcPr>
          <w:p>
            <w:pPr>
              <w:spacing w:after="20"/>
              <w:jc w:val="right"/>
            </w:pPr>
            <w:r>
              <w:rPr>
                <w:color w:val="1C3A36"/>
                <w:sz w:val="14"/>
              </w:rPr>
              <w:t>ocr</w:t>
            </w:r>
          </w:p>
        </w:tc>
      </w:tr>
      <w:tr>
        <w:tc>
          <w:tcPr>
            <w:tcW w:type="dxa" w:w="1224"/>
          </w:tcPr>
          <w:p>
            <w:pPr>
              <w:spacing w:after="20"/>
            </w:pPr>
            <w:r>
              <w:rPr>
                <w:color w:val="1C3A36"/>
                <w:sz w:val="14"/>
              </w:rPr>
              <w:t>FY2025</w:t>
            </w:r>
          </w:p>
        </w:tc>
        <w:tc>
          <w:tcPr>
            <w:tcW w:type="dxa" w:w="4464"/>
          </w:tcPr>
          <w:p>
            <w:pPr>
              <w:spacing w:after="20"/>
              <w:jc w:val="right"/>
            </w:pPr>
            <w:r>
              <w:rPr>
                <w:color w:val="1C3A36"/>
                <w:sz w:val="14"/>
              </w:rPr>
              <w:t>Consolidated financial statements, year ended 31 Dec 2025</w:t>
            </w:r>
          </w:p>
        </w:tc>
        <w:tc>
          <w:tcPr>
            <w:tcW w:type="dxa" w:w="1440"/>
          </w:tcPr>
          <w:p>
            <w:pPr>
              <w:spacing w:after="20"/>
              <w:jc w:val="right"/>
            </w:pPr>
            <w:r>
              <w:rPr>
                <w:color w:val="1C3A36"/>
                <w:sz w:val="14"/>
              </w:rPr>
              <w:t>2026-02-05</w:t>
            </w:r>
          </w:p>
        </w:tc>
        <w:tc>
          <w:tcPr>
            <w:tcW w:type="dxa" w:w="720"/>
          </w:tcPr>
          <w:p>
            <w:pPr>
              <w:spacing w:after="20"/>
              <w:jc w:val="right"/>
            </w:pPr>
            <w:r>
              <w:rPr>
                <w:color w:val="1C3A36"/>
                <w:sz w:val="14"/>
              </w:rPr>
              <w:t>A</w:t>
            </w:r>
          </w:p>
        </w:tc>
        <w:tc>
          <w:tcPr>
            <w:tcW w:type="dxa" w:w="2232"/>
          </w:tcPr>
          <w:p>
            <w:pPr>
              <w:spacing w:after="20"/>
              <w:jc w:val="right"/>
            </w:pPr>
            <w:r>
              <w:rPr>
                <w:color w:val="1C3A36"/>
                <w:sz w:val="14"/>
              </w:rPr>
              <w:t>ocr</w:t>
            </w:r>
          </w:p>
        </w:tc>
      </w:tr>
      <w:tr>
        <w:tc>
          <w:tcPr>
            <w:tcW w:type="dxa" w:w="1224"/>
          </w:tcPr>
          <w:p>
            <w:pPr>
              <w:spacing w:after="20"/>
            </w:pPr>
            <w:r>
              <w:rPr>
                <w:color w:val="1C3A36"/>
                <w:sz w:val="14"/>
              </w:rPr>
              <w:t>H1-2026</w:t>
            </w:r>
          </w:p>
        </w:tc>
        <w:tc>
          <w:tcPr>
            <w:tcW w:type="dxa" w:w="4464"/>
          </w:tcPr>
          <w:p>
            <w:pPr>
              <w:spacing w:after="20"/>
              <w:jc w:val="right"/>
            </w:pPr>
            <w:r>
              <w:rPr>
                <w:color w:val="1C3A36"/>
                <w:sz w:val="14"/>
              </w:rPr>
              <w:t>Condensed consolidated interim financial statements, six months ended 30 Jun 2026</w:t>
            </w:r>
          </w:p>
        </w:tc>
        <w:tc>
          <w:tcPr>
            <w:tcW w:type="dxa" w:w="1440"/>
          </w:tcPr>
          <w:p>
            <w:pPr>
              <w:spacing w:after="20"/>
              <w:jc w:val="right"/>
            </w:pPr>
            <w:r>
              <w:rPr>
                <w:color w:val="1C3A36"/>
                <w:sz w:val="14"/>
              </w:rPr>
              <w:t>2026</w:t>
            </w:r>
          </w:p>
        </w:tc>
        <w:tc>
          <w:tcPr>
            <w:tcW w:type="dxa" w:w="720"/>
          </w:tcPr>
          <w:p>
            <w:pPr>
              <w:spacing w:after="20"/>
              <w:jc w:val="right"/>
            </w:pPr>
            <w:r>
              <w:rPr>
                <w:color w:val="1C3A36"/>
                <w:sz w:val="14"/>
              </w:rPr>
              <w:t>A</w:t>
            </w:r>
          </w:p>
        </w:tc>
        <w:tc>
          <w:tcPr>
            <w:tcW w:type="dxa" w:w="2232"/>
          </w:tcPr>
          <w:p>
            <w:pPr>
              <w:spacing w:after="20"/>
              <w:jc w:val="right"/>
            </w:pPr>
            <w:r>
              <w:rPr>
                <w:color w:val="1C3A36"/>
                <w:sz w:val="14"/>
              </w:rPr>
              <w:t>ocr</w:t>
            </w:r>
          </w:p>
        </w:tc>
      </w:tr>
      <w:tr>
        <w:tc>
          <w:tcPr>
            <w:tcW w:type="dxa" w:w="1224"/>
          </w:tcPr>
          <w:p>
            <w:pPr>
              <w:spacing w:after="20"/>
            </w:pPr>
            <w:r>
              <w:rPr>
                <w:color w:val="1C3A36"/>
                <w:sz w:val="14"/>
              </w:rPr>
              <w:t>Q1-2026</w:t>
            </w:r>
          </w:p>
        </w:tc>
        <w:tc>
          <w:tcPr>
            <w:tcW w:type="dxa" w:w="4464"/>
          </w:tcPr>
          <w:p>
            <w:pPr>
              <w:spacing w:after="20"/>
              <w:jc w:val="right"/>
            </w:pPr>
            <w:r>
              <w:rPr>
                <w:color w:val="1C3A36"/>
                <w:sz w:val="14"/>
              </w:rPr>
              <w:t>Condensed consolidated interim financial statements, three months ended 31 Mar 2026</w:t>
            </w:r>
          </w:p>
        </w:tc>
        <w:tc>
          <w:tcPr>
            <w:tcW w:type="dxa" w:w="1440"/>
          </w:tcPr>
          <w:p>
            <w:pPr>
              <w:spacing w:after="20"/>
              <w:jc w:val="right"/>
            </w:pPr>
            <w:r>
              <w:rPr>
                <w:color w:val="1C3A36"/>
                <w:sz w:val="14"/>
              </w:rPr>
              <w:t>2026</w:t>
            </w:r>
          </w:p>
        </w:tc>
        <w:tc>
          <w:tcPr>
            <w:tcW w:type="dxa" w:w="720"/>
          </w:tcPr>
          <w:p>
            <w:pPr>
              <w:spacing w:after="20"/>
              <w:jc w:val="right"/>
            </w:pPr>
            <w:r>
              <w:rPr>
                <w:color w:val="1C3A36"/>
                <w:sz w:val="14"/>
              </w:rPr>
              <w:t>A</w:t>
            </w:r>
          </w:p>
        </w:tc>
        <w:tc>
          <w:tcPr>
            <w:tcW w:type="dxa" w:w="2232"/>
          </w:tcPr>
          <w:p>
            <w:pPr>
              <w:spacing w:after="20"/>
              <w:jc w:val="right"/>
            </w:pPr>
            <w:r>
              <w:rPr>
                <w:color w:val="1C3A36"/>
                <w:sz w:val="14"/>
              </w:rPr>
              <w:t>ocr</w:t>
            </w:r>
          </w:p>
        </w:tc>
      </w:tr>
    </w:tbl>
    <w:p>
      <w:pPr>
        <w:spacing w:after="40"/>
      </w:pPr>
    </w:p>
    <w:p>
      <w:pPr>
        <w:spacing w:after="200" w:before="0"/>
      </w:pPr>
      <w:r>
        <w:rPr>
          <w:b w:val="0"/>
          <w:i/>
          <w:color w:val="6E7B77"/>
          <w:sz w:val="17"/>
        </w:rPr>
        <w:t>Table 1 — the primary record. Tier A is the company's own audited or reviewed statements. There is no tier B or tier C figure anywhere in this study's company data.</w:t>
      </w:r>
    </w:p>
    <w:tbl>
      <w:tblPr>
        <w:tblW w:type="auto" w:w="0"/>
        <w:tblLook w:firstColumn="1" w:firstRow="1" w:lastColumn="0" w:lastRow="0" w:noHBand="0" w:noVBand="1" w:val="04A0"/>
        <w:tblLayout w:type="fixed"/>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color w:val="1C3A36"/>
                <w:sz w:val="19"/>
              </w:rPr>
              <w:t>HOW A RASTER WAS READ, AND WHY IT CAN BE TRUSTED. Seven of these filings publish their statements as images with no text layer. Each was read TWICE and independently — once off the largest embedded image at its native resolution, once off a rendered page — and every disagreement between the two passes was settled by the statement's OWN arithmetic, or where that was not decisive, by the comparative column of the following year's filing. Every statement in this study foots exactly. Two figures could only be settled by the footing identity and both are labelled DERIVED with the formula: a gain on financial investments of EGP 7.155 million in FY2025 (0.04% of pre-tax profit) and non-controlling interests of EGP 38.576 million in the FY2025 equity block.</w:t>
            </w:r>
          </w:p>
        </w:tc>
      </w:tr>
    </w:tbl>
    <w:p>
      <w:pPr>
        <w:spacing w:after="40"/>
      </w:pPr>
    </w:p>
    <w:p>
      <w:pPr>
        <w:spacing w:after="120" w:before="280"/>
      </w:pPr>
      <w:r>
        <w:rPr>
          <w:b/>
          <w:i w:val="0"/>
          <w:color w:val="1C3A36"/>
          <w:sz w:val="30"/>
        </w:rPr>
        <w:t>2  The input register — every entry four-field</w:t>
      </w:r>
    </w:p>
    <w:p>
      <w:pPr>
        <w:spacing w:after="120" w:before="0"/>
      </w:pPr>
      <w:r>
        <w:rPr>
          <w:b w:val="0"/>
          <w:i w:val="0"/>
          <w:color w:val="1C3A36"/>
          <w:sz w:val="21"/>
        </w:rPr>
        <w:t>Value, source, date, tier. An input with no source does not enter the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00"/>
        <w:gridCol w:w="1440"/>
        <w:gridCol w:w="1080"/>
        <w:gridCol w:w="720"/>
        <w:gridCol w:w="5040"/>
      </w:tblGrid>
      <w:tr>
        <w:tc>
          <w:tcPr>
            <w:tcW w:type="dxa" w:w="1800"/>
            <w:shd w:val="clear" w:color="auto" w:fill="EAF0EE"/>
          </w:tcPr>
          <w:p>
            <w:pPr>
              <w:spacing w:after="20"/>
            </w:pPr>
            <w:r>
              <w:rPr>
                <w:b/>
                <w:color w:val="1C3A36"/>
                <w:sz w:val="13"/>
              </w:rPr>
              <w:t>Input</w:t>
            </w:r>
          </w:p>
        </w:tc>
        <w:tc>
          <w:tcPr>
            <w:tcW w:type="dxa" w:w="1440"/>
            <w:shd w:val="clear" w:color="auto" w:fill="EAF0EE"/>
          </w:tcPr>
          <w:p>
            <w:pPr>
              <w:spacing w:after="20"/>
            </w:pPr>
            <w:r>
              <w:rPr>
                <w:b/>
                <w:color w:val="1C3A36"/>
                <w:sz w:val="13"/>
              </w:rPr>
              <w:t>Value</w:t>
            </w:r>
          </w:p>
        </w:tc>
        <w:tc>
          <w:tcPr>
            <w:tcW w:type="dxa" w:w="1080"/>
            <w:shd w:val="clear" w:color="auto" w:fill="EAF0EE"/>
          </w:tcPr>
          <w:p>
            <w:pPr>
              <w:spacing w:after="20"/>
            </w:pPr>
            <w:r>
              <w:rPr>
                <w:b/>
                <w:color w:val="1C3A36"/>
                <w:sz w:val="13"/>
              </w:rPr>
              <w:t>Date</w:t>
            </w:r>
          </w:p>
        </w:tc>
        <w:tc>
          <w:tcPr>
            <w:tcW w:type="dxa" w:w="720"/>
            <w:shd w:val="clear" w:color="auto" w:fill="EAF0EE"/>
          </w:tcPr>
          <w:p>
            <w:pPr>
              <w:spacing w:after="20"/>
            </w:pPr>
            <w:r>
              <w:rPr>
                <w:b/>
                <w:color w:val="1C3A36"/>
                <w:sz w:val="13"/>
              </w:rPr>
              <w:t>Tier</w:t>
            </w:r>
          </w:p>
        </w:tc>
        <w:tc>
          <w:tcPr>
            <w:tcW w:type="dxa" w:w="5040"/>
            <w:shd w:val="clear" w:color="auto" w:fill="EAF0EE"/>
          </w:tcPr>
          <w:p>
            <w:pPr>
              <w:spacing w:after="20"/>
            </w:pPr>
            <w:r>
              <w:rPr>
                <w:b/>
                <w:color w:val="1C3A36"/>
                <w:sz w:val="13"/>
              </w:rPr>
              <w:t>Source</w:t>
            </w:r>
          </w:p>
        </w:tc>
      </w:tr>
      <w:tr>
        <w:tc>
          <w:tcPr>
            <w:tcW w:type="dxa" w:w="1800"/>
          </w:tcPr>
          <w:p>
            <w:pPr>
              <w:spacing w:after="20"/>
            </w:pPr>
            <w:r>
              <w:rPr>
                <w:color w:val="1C3A36"/>
                <w:sz w:val="13"/>
              </w:rPr>
              <w:t>admin growth</w:t>
            </w:r>
          </w:p>
        </w:tc>
        <w:tc>
          <w:tcPr>
            <w:tcW w:type="dxa" w:w="1440"/>
          </w:tcPr>
          <w:p>
            <w:pPr>
              <w:spacing w:after="20"/>
              <w:jc w:val="right"/>
            </w:pPr>
            <w:r>
              <w:rPr>
                <w:color w:val="1C3A36"/>
                <w:sz w:val="13"/>
              </w:rPr>
              <w:t>0.34 / 0.18 / 0.15 / 0.135 / 0.13</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Administrative expenses, year-on-year. FY2026 +34% on FY2025 takes EGP 3,431 million to EGP 4,598 million; the June half already spent EGP 2,239 million, so this asks for EGP 2,359 million in the second. Thereafter inflation plus about six points, because a bank adding branches and systems does not hold headcount flat. Cost-to-income is an OUTPUT of this and of the revenue lines; it is not typed anywhere.</w:t>
            </w:r>
          </w:p>
        </w:tc>
      </w:tr>
      <w:tr>
        <w:tc>
          <w:tcPr>
            <w:tcW w:type="dxa" w:w="1800"/>
          </w:tcPr>
          <w:p>
            <w:pPr>
              <w:spacing w:after="20"/>
            </w:pPr>
            <w:r>
              <w:rPr>
                <w:color w:val="1C3A36"/>
                <w:sz w:val="13"/>
              </w:rPr>
              <w:t>asset yield</w:t>
            </w:r>
          </w:p>
        </w:tc>
        <w:tc>
          <w:tcPr>
            <w:tcW w:type="dxa" w:w="1440"/>
          </w:tcPr>
          <w:p>
            <w:pPr>
              <w:spacing w:after="20"/>
              <w:jc w:val="right"/>
            </w:pPr>
            <w:r>
              <w:rPr>
                <w:color w:val="1C3A36"/>
                <w:sz w:val="13"/>
              </w:rPr>
              <w:t>0.15 / 0.134 / 0.121 / 0.113 / 0.1</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Income from Murabaha, Musharaka, Mudaraba and similar income over AVERAGE total assets. FY2025 actual 16.23%; the six months to June 2026 annualise to 15.30%. The path falls with the CBE's published policy glide (19.00 -&gt; 12.00) at an asset beta of about 0.75, which is what an Egyptian bank holding treasury bills and floating-rate corporate paper reprices at. IT IS AN INPUT; net interest margin is not.</w:t>
            </w:r>
          </w:p>
        </w:tc>
      </w:tr>
      <w:tr>
        <w:tc>
          <w:tcPr>
            <w:tcW w:type="dxa" w:w="1800"/>
          </w:tcPr>
          <w:p>
            <w:pPr>
              <w:spacing w:after="20"/>
            </w:pPr>
            <w:r>
              <w:rPr>
                <w:color w:val="1C3A36"/>
                <w:sz w:val="13"/>
              </w:rPr>
              <w:t>assets fy2024</w:t>
            </w:r>
          </w:p>
        </w:tc>
        <w:tc>
          <w:tcPr>
            <w:tcW w:type="dxa" w:w="1440"/>
          </w:tcPr>
          <w:p>
            <w:pPr>
              <w:spacing w:after="20"/>
              <w:jc w:val="right"/>
            </w:pPr>
            <w:r>
              <w:rPr>
                <w:color w:val="1C3A36"/>
                <w:sz w:val="13"/>
              </w:rPr>
              <w:t>260467</w:t>
            </w:r>
          </w:p>
        </w:tc>
        <w:tc>
          <w:tcPr>
            <w:tcW w:type="dxa" w:w="1080"/>
          </w:tcPr>
          <w:p>
            <w:pPr>
              <w:spacing w:after="20"/>
              <w:jc w:val="right"/>
            </w:pPr>
            <w:r>
              <w:rPr>
                <w:color w:val="1C3A36"/>
                <w:sz w:val="13"/>
              </w:rPr>
              <w:t>2026-02-05</w:t>
            </w:r>
          </w:p>
        </w:tc>
        <w:tc>
          <w:tcPr>
            <w:tcW w:type="dxa" w:w="720"/>
          </w:tcPr>
          <w:p>
            <w:pPr>
              <w:spacing w:after="20"/>
              <w:jc w:val="right"/>
            </w:pPr>
            <w:r>
              <w:rPr>
                <w:color w:val="1C3A36"/>
                <w:sz w:val="13"/>
              </w:rPr>
              <w:t>A</w:t>
            </w:r>
          </w:p>
        </w:tc>
        <w:tc>
          <w:tcPr>
            <w:tcW w:type="dxa" w:w="5040"/>
          </w:tcPr>
          <w:p>
            <w:pPr>
              <w:spacing w:after="20"/>
              <w:jc w:val="right"/>
            </w:pPr>
            <w:r>
              <w:rPr>
                <w:color w:val="1C3A36"/>
                <w:sz w:val="13"/>
              </w:rPr>
              <w:t>The audited consolidated financial statements for the year ended 31 December 2024, as the comparative column of the FY2025 filing.</w:t>
            </w:r>
          </w:p>
        </w:tc>
      </w:tr>
      <w:tr>
        <w:tc>
          <w:tcPr>
            <w:tcW w:type="dxa" w:w="1800"/>
          </w:tcPr>
          <w:p>
            <w:pPr>
              <w:spacing w:after="20"/>
            </w:pPr>
            <w:r>
              <w:rPr>
                <w:color w:val="1C3A36"/>
                <w:sz w:val="13"/>
              </w:rPr>
              <w:t>assets fy2025</w:t>
            </w:r>
          </w:p>
        </w:tc>
        <w:tc>
          <w:tcPr>
            <w:tcW w:type="dxa" w:w="1440"/>
          </w:tcPr>
          <w:p>
            <w:pPr>
              <w:spacing w:after="20"/>
              <w:jc w:val="right"/>
            </w:pPr>
            <w:r>
              <w:rPr>
                <w:color w:val="1C3A36"/>
                <w:sz w:val="13"/>
              </w:rPr>
              <w:t>346711</w:t>
            </w:r>
          </w:p>
        </w:tc>
        <w:tc>
          <w:tcPr>
            <w:tcW w:type="dxa" w:w="1080"/>
          </w:tcPr>
          <w:p>
            <w:pPr>
              <w:spacing w:after="20"/>
              <w:jc w:val="right"/>
            </w:pPr>
            <w:r>
              <w:rPr>
                <w:color w:val="1C3A36"/>
                <w:sz w:val="13"/>
              </w:rPr>
              <w:t>2026-02-05</w:t>
            </w:r>
          </w:p>
        </w:tc>
        <w:tc>
          <w:tcPr>
            <w:tcW w:type="dxa" w:w="720"/>
          </w:tcPr>
          <w:p>
            <w:pPr>
              <w:spacing w:after="20"/>
              <w:jc w:val="right"/>
            </w:pPr>
            <w:r>
              <w:rPr>
                <w:color w:val="1C3A36"/>
                <w:sz w:val="13"/>
              </w:rPr>
              <w:t>A</w:t>
            </w:r>
          </w:p>
        </w:tc>
        <w:tc>
          <w:tcPr>
            <w:tcW w:type="dxa" w:w="5040"/>
          </w:tcPr>
          <w:p>
            <w:pPr>
              <w:spacing w:after="20"/>
              <w:jc w:val="right"/>
            </w:pPr>
            <w:r>
              <w:rPr>
                <w:color w:val="1C3A36"/>
                <w:sz w:val="13"/>
              </w:rPr>
              <w:t>The audited consolidated financial statements for the year ended 31 December 2025, signed in Cairo on 5 February 2026 — read from the filing itself; the statement foots.</w:t>
            </w:r>
          </w:p>
        </w:tc>
      </w:tr>
      <w:tr>
        <w:tc>
          <w:tcPr>
            <w:tcW w:type="dxa" w:w="1800"/>
          </w:tcPr>
          <w:p>
            <w:pPr>
              <w:spacing w:after="20"/>
            </w:pPr>
            <w:r>
              <w:rPr>
                <w:color w:val="1C3A36"/>
                <w:sz w:val="13"/>
              </w:rPr>
              <w:t>assets h1 2026</w:t>
            </w:r>
          </w:p>
        </w:tc>
        <w:tc>
          <w:tcPr>
            <w:tcW w:type="dxa" w:w="1440"/>
          </w:tcPr>
          <w:p>
            <w:pPr>
              <w:spacing w:after="20"/>
              <w:jc w:val="right"/>
            </w:pPr>
            <w:r>
              <w:rPr>
                <w:color w:val="1C3A36"/>
                <w:sz w:val="13"/>
              </w:rPr>
              <w:t>414302</w:t>
            </w:r>
          </w:p>
        </w:tc>
        <w:tc>
          <w:tcPr>
            <w:tcW w:type="dxa" w:w="1080"/>
          </w:tcPr>
          <w:p>
            <w:pPr>
              <w:spacing w:after="20"/>
              <w:jc w:val="right"/>
            </w:pPr>
            <w:r>
              <w:rPr>
                <w:color w:val="1C3A36"/>
                <w:sz w:val="13"/>
              </w:rPr>
              <w:t>2026-07-30</w:t>
            </w:r>
          </w:p>
        </w:tc>
        <w:tc>
          <w:tcPr>
            <w:tcW w:type="dxa" w:w="720"/>
          </w:tcPr>
          <w:p>
            <w:pPr>
              <w:spacing w:after="20"/>
              <w:jc w:val="right"/>
            </w:pPr>
            <w:r>
              <w:rPr>
                <w:color w:val="1C3A36"/>
                <w:sz w:val="13"/>
              </w:rPr>
              <w:t>A</w:t>
            </w:r>
          </w:p>
        </w:tc>
        <w:tc>
          <w:tcPr>
            <w:tcW w:type="dxa" w:w="5040"/>
          </w:tcPr>
          <w:p>
            <w:pPr>
              <w:spacing w:after="20"/>
              <w:jc w:val="right"/>
            </w:pPr>
            <w:r>
              <w:rPr>
                <w:color w:val="1C3A36"/>
                <w:sz w:val="13"/>
              </w:rPr>
              <w:t>The condensed consolidated interim financial statements for the six months ended 30 June 2026, limited review, signed 30 July 2026.</w:t>
            </w:r>
          </w:p>
        </w:tc>
      </w:tr>
      <w:tr>
        <w:tc>
          <w:tcPr>
            <w:tcW w:type="dxa" w:w="1800"/>
          </w:tcPr>
          <w:p>
            <w:pPr>
              <w:spacing w:after="20"/>
            </w:pPr>
            <w:r>
              <w:rPr>
                <w:color w:val="1C3A36"/>
                <w:sz w:val="13"/>
              </w:rPr>
              <w:t>band construction</w:t>
            </w:r>
          </w:p>
        </w:tc>
        <w:tc>
          <w:tcPr>
            <w:tcW w:type="dxa" w:w="1440"/>
          </w:tcPr>
          <w:p>
            <w:pPr>
              <w:spacing w:after="20"/>
              <w:jc w:val="right"/>
            </w:pPr>
            <w:r>
              <w:rPr>
                <w:color w:val="1C3A36"/>
                <w:sz w:val="13"/>
              </w:rPr>
              <w:t>the range of the present-value rea</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Bear is the free-cash-flow-to-equity read, full the residual-income read, and the central the dividend-discount primary between them. THE ENVELOPE IS NARROW BECAUSE THE THREE LENSES AGREE, AND THAT IS A STATEMENT ABOUT LENS AGREEMENT RATHER THAN ABOUT FORECAST CONFIDENCE. The fundamental walk-forward beneath this study measured a three-year attributable-profit dispersion of x0.29 to x1.48 on eight cells; that distribution sets</w:t>
            </w:r>
          </w:p>
        </w:tc>
      </w:tr>
      <w:tr>
        <w:tc>
          <w:tcPr>
            <w:tcW w:type="dxa" w:w="1800"/>
          </w:tcPr>
          <w:p>
            <w:pPr>
              <w:spacing w:after="20"/>
            </w:pPr>
            <w:r>
              <w:rPr>
                <w:color w:val="1C3A36"/>
                <w:sz w:val="13"/>
              </w:rPr>
              <w:t>base year</w:t>
            </w:r>
          </w:p>
        </w:tc>
        <w:tc>
          <w:tcPr>
            <w:tcW w:type="dxa" w:w="1440"/>
          </w:tcPr>
          <w:p>
            <w:pPr>
              <w:spacing w:after="20"/>
              <w:jc w:val="right"/>
            </w:pPr>
            <w:r>
              <w:rPr>
                <w:color w:val="1C3A36"/>
                <w:sz w:val="13"/>
              </w:rPr>
              <w:t>FY2025</w:t>
            </w:r>
          </w:p>
        </w:tc>
        <w:tc>
          <w:tcPr>
            <w:tcW w:type="dxa" w:w="1080"/>
          </w:tcPr>
          <w:p>
            <w:pPr>
              <w:spacing w:after="20"/>
              <w:jc w:val="right"/>
            </w:pPr>
            <w:r>
              <w:rPr>
                <w:color w:val="1C3A36"/>
                <w:sz w:val="13"/>
              </w:rPr>
              <w:t>2026-02-05</w:t>
            </w:r>
          </w:p>
        </w:tc>
        <w:tc>
          <w:tcPr>
            <w:tcW w:type="dxa" w:w="720"/>
          </w:tcPr>
          <w:p>
            <w:pPr>
              <w:spacing w:after="20"/>
              <w:jc w:val="right"/>
            </w:pPr>
            <w:r>
              <w:rPr>
                <w:color w:val="1C3A36"/>
                <w:sz w:val="13"/>
              </w:rPr>
              <w:t>A</w:t>
            </w:r>
          </w:p>
        </w:tc>
        <w:tc>
          <w:tcPr>
            <w:tcW w:type="dxa" w:w="5040"/>
          </w:tcPr>
          <w:p>
            <w:pPr>
              <w:spacing w:after="20"/>
              <w:jc w:val="right"/>
            </w:pPr>
            <w:r>
              <w:rPr>
                <w:color w:val="1C3A36"/>
                <w:sz w:val="13"/>
              </w:rPr>
              <w:t>The audited consolidated financial statements for the year ended 31 December 2025, signed in Cairo on 5 February 2026. Attributable profit EGP 12,588.6 million, total assets EGP 346,711.2 million, attributable equity EGP 34,596.3 million. Every figure is read from the filing itself and the statement foots.</w:t>
            </w:r>
          </w:p>
        </w:tc>
      </w:tr>
      <w:tr>
        <w:tc>
          <w:tcPr>
            <w:tcW w:type="dxa" w:w="1800"/>
          </w:tcPr>
          <w:p>
            <w:pPr>
              <w:spacing w:after="20"/>
            </w:pPr>
            <w:r>
              <w:rPr>
                <w:color w:val="1C3A36"/>
                <w:sz w:val="13"/>
              </w:rPr>
              <w:t>beta</w:t>
            </w:r>
          </w:p>
        </w:tc>
        <w:tc>
          <w:tcPr>
            <w:tcW w:type="dxa" w:w="1440"/>
          </w:tcPr>
          <w:p>
            <w:pPr>
              <w:spacing w:after="20"/>
              <w:jc w:val="right"/>
            </w:pPr>
            <w:r>
              <w:rPr>
                <w:color w:val="1C3A36"/>
                <w:sz w:val="13"/>
              </w:rPr>
              <w:t>1.07469</w:t>
            </w:r>
          </w:p>
        </w:tc>
        <w:tc>
          <w:tcPr>
            <w:tcW w:type="dxa" w:w="1080"/>
          </w:tcPr>
          <w:p>
            <w:pPr>
              <w:spacing w:after="20"/>
              <w:jc w:val="right"/>
            </w:pPr>
            <w:r>
              <w:rPr>
                <w:color w:val="1C3A36"/>
                <w:sz w:val="13"/>
              </w:rPr>
              <w:t>2026-09-08</w:t>
            </w:r>
          </w:p>
        </w:tc>
        <w:tc>
          <w:tcPr>
            <w:tcW w:type="dxa" w:w="720"/>
          </w:tcPr>
          <w:p>
            <w:pPr>
              <w:spacing w:after="20"/>
              <w:jc w:val="right"/>
            </w:pPr>
            <w:r>
              <w:rPr>
                <w:color w:val="1C3A36"/>
                <w:sz w:val="13"/>
              </w:rPr>
              <w:t>Market</w:t>
            </w:r>
          </w:p>
        </w:tc>
        <w:tc>
          <w:tcPr>
            <w:tcW w:type="dxa" w:w="5040"/>
          </w:tcPr>
          <w:p>
            <w:pPr>
              <w:spacing w:after="20"/>
              <w:jc w:val="right"/>
            </w:pPr>
            <w:r>
              <w:rPr>
                <w:color w:val="1C3A36"/>
                <w:sz w:val="13"/>
              </w:rPr>
              <w:t>Own-stock first-tier weekly regression against EGX30 — THE PUBLISHED INDEX OF THE EXCHANGE THIS STOCK IS LISTED ON — resolved by beta_regression.own_stock_beta() rather than hand-rolled. Beta 1.0747, R-squared 0.248, n = 256 weekly observations over 4.94 years to 2026-08-20, standard error 0.1634, 90% confidence interval [0.806, 1.344], Dimson-corrected and matched to the exchange's own trading week (W-THU). The coefficient is</w:t>
            </w:r>
          </w:p>
        </w:tc>
      </w:tr>
      <w:tr>
        <w:tc>
          <w:tcPr>
            <w:tcW w:type="dxa" w:w="1800"/>
          </w:tcPr>
          <w:p>
            <w:pPr>
              <w:spacing w:after="20"/>
            </w:pPr>
            <w:r>
              <w:rPr>
                <w:color w:val="1C3A36"/>
                <w:sz w:val="13"/>
              </w:rPr>
              <w:t>capital increase 2026</w:t>
            </w:r>
          </w:p>
        </w:tc>
        <w:tc>
          <w:tcPr>
            <w:tcW w:type="dxa" w:w="1440"/>
          </w:tcPr>
          <w:p>
            <w:pPr>
              <w:spacing w:after="20"/>
              <w:jc w:val="right"/>
            </w:pPr>
            <w:r>
              <w:rPr>
                <w:color w:val="1C3A36"/>
                <w:sz w:val="13"/>
              </w:rPr>
              <w:t>3000</w:t>
            </w:r>
          </w:p>
        </w:tc>
        <w:tc>
          <w:tcPr>
            <w:tcW w:type="dxa" w:w="1080"/>
          </w:tcPr>
          <w:p>
            <w:pPr>
              <w:spacing w:after="20"/>
              <w:jc w:val="right"/>
            </w:pPr>
            <w:r>
              <w:rPr>
                <w:color w:val="1C3A36"/>
                <w:sz w:val="13"/>
              </w:rPr>
              <w:t>2026-06-30</w:t>
            </w:r>
          </w:p>
        </w:tc>
        <w:tc>
          <w:tcPr>
            <w:tcW w:type="dxa" w:w="720"/>
          </w:tcPr>
          <w:p>
            <w:pPr>
              <w:spacing w:after="20"/>
              <w:jc w:val="right"/>
            </w:pPr>
            <w:r>
              <w:rPr>
                <w:color w:val="1C3A36"/>
                <w:sz w:val="13"/>
              </w:rPr>
              <w:t>A</w:t>
            </w:r>
          </w:p>
        </w:tc>
        <w:tc>
          <w:tcPr>
            <w:tcW w:type="dxa" w:w="5040"/>
          </w:tcPr>
          <w:p>
            <w:pPr>
              <w:spacing w:after="20"/>
              <w:jc w:val="right"/>
            </w:pPr>
            <w:r>
              <w:rPr>
                <w:color w:val="1C3A36"/>
                <w:sz w:val="13"/>
              </w:rPr>
              <w:t>The EGP 3,000 million cash capital increase completed in the first half of 2026, taking issued capital from EGP 12 billion to EGP 15 billion — 300 million new shares at the LE 10 par. IT WAS ISSUED AT PAR, far below book: attributable book value per share was EGP 28.83 at 31 December 2025 on 1,200 million shares and EGP 29.04 at 30 June 2026 on 1,500 million, so a half-year at a 38.6% return on equity bought existing holders 0</w:t>
            </w:r>
          </w:p>
        </w:tc>
      </w:tr>
      <w:tr>
        <w:tc>
          <w:tcPr>
            <w:tcW w:type="dxa" w:w="1800"/>
          </w:tcPr>
          <w:p>
            <w:pPr>
              <w:spacing w:after="20"/>
            </w:pPr>
            <w:r>
              <w:rPr>
                <w:color w:val="1C3A36"/>
                <w:sz w:val="13"/>
              </w:rPr>
              <w:t>cost funds fy2025</w:t>
            </w:r>
          </w:p>
        </w:tc>
        <w:tc>
          <w:tcPr>
            <w:tcW w:type="dxa" w:w="1440"/>
          </w:tcPr>
          <w:p>
            <w:pPr>
              <w:spacing w:after="20"/>
              <w:jc w:val="right"/>
            </w:pPr>
            <w:r>
              <w:rPr>
                <w:color w:val="1C3A36"/>
                <w:sz w:val="13"/>
              </w:rPr>
              <w:t>-29110.1</w:t>
            </w:r>
          </w:p>
        </w:tc>
        <w:tc>
          <w:tcPr>
            <w:tcW w:type="dxa" w:w="1080"/>
          </w:tcPr>
          <w:p>
            <w:pPr>
              <w:spacing w:after="20"/>
              <w:jc w:val="right"/>
            </w:pPr>
            <w:r>
              <w:rPr>
                <w:color w:val="1C3A36"/>
                <w:sz w:val="13"/>
              </w:rPr>
              <w:t>2026-02-05</w:t>
            </w:r>
          </w:p>
        </w:tc>
        <w:tc>
          <w:tcPr>
            <w:tcW w:type="dxa" w:w="720"/>
          </w:tcPr>
          <w:p>
            <w:pPr>
              <w:spacing w:after="20"/>
              <w:jc w:val="right"/>
            </w:pPr>
            <w:r>
              <w:rPr>
                <w:color w:val="1C3A36"/>
                <w:sz w:val="13"/>
              </w:rPr>
              <w:t>A</w:t>
            </w:r>
          </w:p>
        </w:tc>
        <w:tc>
          <w:tcPr>
            <w:tcW w:type="dxa" w:w="5040"/>
          </w:tcPr>
          <w:p>
            <w:pPr>
              <w:spacing w:after="20"/>
              <w:jc w:val="right"/>
            </w:pPr>
            <w:r>
              <w:rPr>
                <w:color w:val="1C3A36"/>
                <w:sz w:val="13"/>
              </w:rPr>
              <w:t>The audited consolidated financial statements for the year ended 31 December 2025, signed in Cairo on 5 February 2026 — read from the filing itself; the statement foots.</w:t>
            </w:r>
          </w:p>
        </w:tc>
      </w:tr>
      <w:tr>
        <w:tc>
          <w:tcPr>
            <w:tcW w:type="dxa" w:w="1800"/>
          </w:tcPr>
          <w:p>
            <w:pPr>
              <w:spacing w:after="20"/>
            </w:pPr>
            <w:r>
              <w:rPr>
                <w:color w:val="1C3A36"/>
                <w:sz w:val="13"/>
              </w:rPr>
              <w:t>cost of funds</w:t>
            </w:r>
          </w:p>
        </w:tc>
        <w:tc>
          <w:tcPr>
            <w:tcW w:type="dxa" w:w="1440"/>
          </w:tcPr>
          <w:p>
            <w:pPr>
              <w:spacing w:after="20"/>
              <w:jc w:val="right"/>
            </w:pPr>
            <w:r>
              <w:rPr>
                <w:color w:val="1C3A36"/>
                <w:sz w:val="13"/>
              </w:rPr>
              <w:t>0.106 / 0.092 / 0.081 / 0.074 / 0.</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Cost of deposits and similar costs over AVERAGE INTEREST-BEARING LIABILITIES — customers' deposits plus due to banks plus subordinated financing, and nothing else. FY2025 actual 11.22%. Total liabilities is NOT the denominator: at FY2025 it would add EGP 17.9 billion of other liabilities, current tax and provisions that pay nothing, and understate the funding rate by about a sixth of itself. The path falls at a deposit beta of</w:t>
            </w:r>
          </w:p>
        </w:tc>
      </w:tr>
      <w:tr>
        <w:tc>
          <w:tcPr>
            <w:tcW w:type="dxa" w:w="1800"/>
          </w:tcPr>
          <w:p>
            <w:pPr>
              <w:spacing w:after="20"/>
            </w:pPr>
            <w:r>
              <w:rPr>
                <w:color w:val="1C3A36"/>
                <w:sz w:val="13"/>
              </w:rPr>
              <w:t>cost of risk</w:t>
            </w:r>
          </w:p>
        </w:tc>
        <w:tc>
          <w:tcPr>
            <w:tcW w:type="dxa" w:w="1440"/>
          </w:tcPr>
          <w:p>
            <w:pPr>
              <w:spacing w:after="20"/>
              <w:jc w:val="right"/>
            </w:pPr>
            <w:r>
              <w:rPr>
                <w:color w:val="1C3A36"/>
                <w:sz w:val="13"/>
              </w:rPr>
              <w:t>0.01 / 0.013 / 0.013 / 0.013 / 0.0</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Expected credit losses over AVERAGE net financing to customers. The observed series is 1.64% (FY2022), 2.73% (FY2023), 2.73% (FY2024), 1.25% (FY2025) and effectively ZERO in the June 2026 half — EGP 2.176 million on a EGP 190 billion book. FY2026 is set at 1.00%, above the half-year run rate and below the four-year mean of 2.09%; the outer years at 1.30% sit between the two. ANNUALISING THE JUNE HALF WOULD HAVE ADDED ABOUT EGP</w:t>
            </w:r>
          </w:p>
        </w:tc>
      </w:tr>
      <w:tr>
        <w:tc>
          <w:tcPr>
            <w:tcW w:type="dxa" w:w="1800"/>
          </w:tcPr>
          <w:p>
            <w:pPr>
              <w:spacing w:after="20"/>
            </w:pPr>
            <w:r>
              <w:rPr>
                <w:color w:val="1C3A36"/>
                <w:sz w:val="13"/>
              </w:rPr>
              <w:t>crp cds dataset</w:t>
            </w:r>
          </w:p>
        </w:tc>
        <w:tc>
          <w:tcPr>
            <w:tcW w:type="dxa" w:w="1440"/>
          </w:tcPr>
          <w:p>
            <w:pPr>
              <w:spacing w:after="20"/>
              <w:jc w:val="right"/>
            </w:pPr>
            <w:r>
              <w:rPr>
                <w:color w:val="1C3A36"/>
                <w:sz w:val="13"/>
              </w:rPr>
              <w:t>0.053164</w:t>
            </w:r>
          </w:p>
        </w:tc>
        <w:tc>
          <w:tcPr>
            <w:tcW w:type="dxa" w:w="1080"/>
          </w:tcPr>
          <w:p>
            <w:pPr>
              <w:spacing w:after="20"/>
              <w:jc w:val="right"/>
            </w:pPr>
            <w:r>
              <w:rPr>
                <w:color w:val="1C3A36"/>
                <w:sz w:val="13"/>
              </w:rPr>
              <w:t>2026-07-02</w:t>
            </w:r>
          </w:p>
        </w:tc>
        <w:tc>
          <w:tcPr>
            <w:tcW w:type="dxa" w:w="720"/>
          </w:tcPr>
          <w:p>
            <w:pPr>
              <w:spacing w:after="20"/>
              <w:jc w:val="right"/>
            </w:pPr>
            <w:r>
              <w:rPr>
                <w:color w:val="1C3A36"/>
                <w:sz w:val="13"/>
              </w:rPr>
              <w:t>Country</w:t>
            </w:r>
          </w:p>
        </w:tc>
        <w:tc>
          <w:tcPr>
            <w:tcW w:type="dxa" w:w="5040"/>
          </w:tcPr>
          <w:p>
            <w:pPr>
              <w:spacing w:after="20"/>
              <w:jc w:val="right"/>
            </w:pPr>
            <w:r>
              <w:rPr>
                <w:color w:val="1C3A36"/>
                <w:sz w:val="13"/>
              </w:rPr>
              <w:t>Egypt COUNTRY risk premium on the sovereign-credit-default-swap basis, 5.3164%, from the mid-year (July 2026) vintage of the country default-spread and risk-premium dataset, Egypt row, own column. IT IS NOT ADDED TO THE COST OF EQUITY: the TOTAL premium this study uses already contains it, and the figure is carried so a reader checking the dataset's own country column finds the number this study would call by that name.</w:t>
            </w:r>
          </w:p>
        </w:tc>
      </w:tr>
      <w:tr>
        <w:tc>
          <w:tcPr>
            <w:tcW w:type="dxa" w:w="1800"/>
          </w:tcPr>
          <w:p>
            <w:pPr>
              <w:spacing w:after="20"/>
            </w:pPr>
            <w:r>
              <w:rPr>
                <w:color w:val="1C3A36"/>
                <w:sz w:val="13"/>
              </w:rPr>
              <w:t>ecl fy2025</w:t>
            </w:r>
          </w:p>
        </w:tc>
        <w:tc>
          <w:tcPr>
            <w:tcW w:type="dxa" w:w="1440"/>
          </w:tcPr>
          <w:p>
            <w:pPr>
              <w:spacing w:after="20"/>
              <w:jc w:val="right"/>
            </w:pPr>
            <w:r>
              <w:rPr>
                <w:color w:val="1C3A36"/>
                <w:sz w:val="13"/>
              </w:rPr>
              <w:t>-1514.06</w:t>
            </w:r>
          </w:p>
        </w:tc>
        <w:tc>
          <w:tcPr>
            <w:tcW w:type="dxa" w:w="1080"/>
          </w:tcPr>
          <w:p>
            <w:pPr>
              <w:spacing w:after="20"/>
              <w:jc w:val="right"/>
            </w:pPr>
            <w:r>
              <w:rPr>
                <w:color w:val="1C3A36"/>
                <w:sz w:val="13"/>
              </w:rPr>
              <w:t>2026-02-05</w:t>
            </w:r>
          </w:p>
        </w:tc>
        <w:tc>
          <w:tcPr>
            <w:tcW w:type="dxa" w:w="720"/>
          </w:tcPr>
          <w:p>
            <w:pPr>
              <w:spacing w:after="20"/>
              <w:jc w:val="right"/>
            </w:pPr>
            <w:r>
              <w:rPr>
                <w:color w:val="1C3A36"/>
                <w:sz w:val="13"/>
              </w:rPr>
              <w:t>A</w:t>
            </w:r>
          </w:p>
        </w:tc>
        <w:tc>
          <w:tcPr>
            <w:tcW w:type="dxa" w:w="5040"/>
          </w:tcPr>
          <w:p>
            <w:pPr>
              <w:spacing w:after="20"/>
              <w:jc w:val="right"/>
            </w:pPr>
            <w:r>
              <w:rPr>
                <w:color w:val="1C3A36"/>
                <w:sz w:val="13"/>
              </w:rPr>
              <w:t>The audited consolidated financial statements for the year ended 31 December 2025, signed in Cairo on 5 February 2026 — read from the filing itself; the statement foots.</w:t>
            </w:r>
          </w:p>
        </w:tc>
      </w:tr>
      <w:tr>
        <w:tc>
          <w:tcPr>
            <w:tcW w:type="dxa" w:w="1800"/>
          </w:tcPr>
          <w:p>
            <w:pPr>
              <w:spacing w:after="20"/>
            </w:pPr>
            <w:r>
              <w:rPr>
                <w:color w:val="1C3A36"/>
                <w:sz w:val="13"/>
              </w:rPr>
              <w:t>equity fy2024</w:t>
            </w:r>
          </w:p>
        </w:tc>
        <w:tc>
          <w:tcPr>
            <w:tcW w:type="dxa" w:w="1440"/>
          </w:tcPr>
          <w:p>
            <w:pPr>
              <w:spacing w:after="20"/>
              <w:jc w:val="right"/>
            </w:pPr>
            <w:r>
              <w:rPr>
                <w:color w:val="1C3A36"/>
                <w:sz w:val="13"/>
              </w:rPr>
              <w:t>22958.7</w:t>
            </w:r>
          </w:p>
        </w:tc>
        <w:tc>
          <w:tcPr>
            <w:tcW w:type="dxa" w:w="1080"/>
          </w:tcPr>
          <w:p>
            <w:pPr>
              <w:spacing w:after="20"/>
              <w:jc w:val="right"/>
            </w:pPr>
            <w:r>
              <w:rPr>
                <w:color w:val="1C3A36"/>
                <w:sz w:val="13"/>
              </w:rPr>
              <w:t>2026-02-05</w:t>
            </w:r>
          </w:p>
        </w:tc>
        <w:tc>
          <w:tcPr>
            <w:tcW w:type="dxa" w:w="720"/>
          </w:tcPr>
          <w:p>
            <w:pPr>
              <w:spacing w:after="20"/>
              <w:jc w:val="right"/>
            </w:pPr>
            <w:r>
              <w:rPr>
                <w:color w:val="1C3A36"/>
                <w:sz w:val="13"/>
              </w:rPr>
              <w:t>A</w:t>
            </w:r>
          </w:p>
        </w:tc>
        <w:tc>
          <w:tcPr>
            <w:tcW w:type="dxa" w:w="5040"/>
          </w:tcPr>
          <w:p>
            <w:pPr>
              <w:spacing w:after="20"/>
              <w:jc w:val="right"/>
            </w:pPr>
            <w:r>
              <w:rPr>
                <w:color w:val="1C3A36"/>
                <w:sz w:val="13"/>
              </w:rPr>
              <w:t>The audited consolidated financial statements for the year ended 31 December 2024, as the comparative column of the FY2025 filing.</w:t>
            </w:r>
          </w:p>
        </w:tc>
      </w:tr>
      <w:tr>
        <w:tc>
          <w:tcPr>
            <w:tcW w:type="dxa" w:w="1800"/>
          </w:tcPr>
          <w:p>
            <w:pPr>
              <w:spacing w:after="20"/>
            </w:pPr>
            <w:r>
              <w:rPr>
                <w:color w:val="1C3A36"/>
                <w:sz w:val="13"/>
              </w:rPr>
              <w:t>equity fy2025</w:t>
            </w:r>
          </w:p>
        </w:tc>
        <w:tc>
          <w:tcPr>
            <w:tcW w:type="dxa" w:w="1440"/>
          </w:tcPr>
          <w:p>
            <w:pPr>
              <w:spacing w:after="20"/>
              <w:jc w:val="right"/>
            </w:pPr>
            <w:r>
              <w:rPr>
                <w:color w:val="1C3A36"/>
                <w:sz w:val="13"/>
              </w:rPr>
              <w:t>34596.3</w:t>
            </w:r>
          </w:p>
        </w:tc>
        <w:tc>
          <w:tcPr>
            <w:tcW w:type="dxa" w:w="1080"/>
          </w:tcPr>
          <w:p>
            <w:pPr>
              <w:spacing w:after="20"/>
              <w:jc w:val="right"/>
            </w:pPr>
            <w:r>
              <w:rPr>
                <w:color w:val="1C3A36"/>
                <w:sz w:val="13"/>
              </w:rPr>
              <w:t>2026-02-05</w:t>
            </w:r>
          </w:p>
        </w:tc>
        <w:tc>
          <w:tcPr>
            <w:tcW w:type="dxa" w:w="720"/>
          </w:tcPr>
          <w:p>
            <w:pPr>
              <w:spacing w:after="20"/>
              <w:jc w:val="right"/>
            </w:pPr>
            <w:r>
              <w:rPr>
                <w:color w:val="1C3A36"/>
                <w:sz w:val="13"/>
              </w:rPr>
              <w:t>A</w:t>
            </w:r>
          </w:p>
        </w:tc>
        <w:tc>
          <w:tcPr>
            <w:tcW w:type="dxa" w:w="5040"/>
          </w:tcPr>
          <w:p>
            <w:pPr>
              <w:spacing w:after="20"/>
              <w:jc w:val="right"/>
            </w:pPr>
            <w:r>
              <w:rPr>
                <w:color w:val="1C3A36"/>
                <w:sz w:val="13"/>
              </w:rPr>
              <w:t>The audited consolidated financial statements for the year ended 31 December 2025, signed in Cairo on 5 February 2026 — read from the filing itself; the statement foots.</w:t>
            </w:r>
          </w:p>
        </w:tc>
      </w:tr>
      <w:tr>
        <w:tc>
          <w:tcPr>
            <w:tcW w:type="dxa" w:w="1800"/>
          </w:tcPr>
          <w:p>
            <w:pPr>
              <w:spacing w:after="20"/>
            </w:pPr>
            <w:r>
              <w:rPr>
                <w:color w:val="1C3A36"/>
                <w:sz w:val="13"/>
              </w:rPr>
              <w:t>equity h1 2026</w:t>
            </w:r>
          </w:p>
        </w:tc>
        <w:tc>
          <w:tcPr>
            <w:tcW w:type="dxa" w:w="1440"/>
          </w:tcPr>
          <w:p>
            <w:pPr>
              <w:spacing w:after="20"/>
              <w:jc w:val="right"/>
            </w:pPr>
            <w:r>
              <w:rPr>
                <w:color w:val="1C3A36"/>
                <w:sz w:val="13"/>
              </w:rPr>
              <w:t>43557.9</w:t>
            </w:r>
          </w:p>
        </w:tc>
        <w:tc>
          <w:tcPr>
            <w:tcW w:type="dxa" w:w="1080"/>
          </w:tcPr>
          <w:p>
            <w:pPr>
              <w:spacing w:after="20"/>
              <w:jc w:val="right"/>
            </w:pPr>
            <w:r>
              <w:rPr>
                <w:color w:val="1C3A36"/>
                <w:sz w:val="13"/>
              </w:rPr>
              <w:t>2026-07-30</w:t>
            </w:r>
          </w:p>
        </w:tc>
        <w:tc>
          <w:tcPr>
            <w:tcW w:type="dxa" w:w="720"/>
          </w:tcPr>
          <w:p>
            <w:pPr>
              <w:spacing w:after="20"/>
              <w:jc w:val="right"/>
            </w:pPr>
            <w:r>
              <w:rPr>
                <w:color w:val="1C3A36"/>
                <w:sz w:val="13"/>
              </w:rPr>
              <w:t>A</w:t>
            </w:r>
          </w:p>
        </w:tc>
        <w:tc>
          <w:tcPr>
            <w:tcW w:type="dxa" w:w="5040"/>
          </w:tcPr>
          <w:p>
            <w:pPr>
              <w:spacing w:after="20"/>
              <w:jc w:val="right"/>
            </w:pPr>
            <w:r>
              <w:rPr>
                <w:color w:val="1C3A36"/>
                <w:sz w:val="13"/>
              </w:rPr>
              <w:t>The condensed consolidated interim financial statements for the six months ended 30 June 2026, limited review, signed 30 July 2026.</w:t>
            </w:r>
          </w:p>
        </w:tc>
      </w:tr>
      <w:tr>
        <w:tc>
          <w:tcPr>
            <w:tcW w:type="dxa" w:w="1800"/>
          </w:tcPr>
          <w:p>
            <w:pPr>
              <w:spacing w:after="20"/>
            </w:pPr>
            <w:r>
              <w:rPr>
                <w:color w:val="1C3A36"/>
                <w:sz w:val="13"/>
              </w:rPr>
              <w:t>erp</w:t>
            </w:r>
          </w:p>
        </w:tc>
        <w:tc>
          <w:tcPr>
            <w:tcW w:type="dxa" w:w="1440"/>
          </w:tcPr>
          <w:p>
            <w:pPr>
              <w:spacing w:after="20"/>
              <w:jc w:val="right"/>
            </w:pPr>
            <w:r>
              <w:rPr>
                <w:color w:val="1C3A36"/>
                <w:sz w:val="13"/>
              </w:rPr>
              <w:t>0.095164</w:t>
            </w:r>
          </w:p>
        </w:tc>
        <w:tc>
          <w:tcPr>
            <w:tcW w:type="dxa" w:w="1080"/>
          </w:tcPr>
          <w:p>
            <w:pPr>
              <w:spacing w:after="20"/>
              <w:jc w:val="right"/>
            </w:pPr>
            <w:r>
              <w:rPr>
                <w:color w:val="1C3A36"/>
                <w:sz w:val="13"/>
              </w:rPr>
              <w:t>2026-07-02</w:t>
            </w:r>
          </w:p>
        </w:tc>
        <w:tc>
          <w:tcPr>
            <w:tcW w:type="dxa" w:w="720"/>
          </w:tcPr>
          <w:p>
            <w:pPr>
              <w:spacing w:after="20"/>
              <w:jc w:val="right"/>
            </w:pPr>
            <w:r>
              <w:rPr>
                <w:color w:val="1C3A36"/>
                <w:sz w:val="13"/>
              </w:rPr>
              <w:t>Country</w:t>
            </w:r>
          </w:p>
        </w:tc>
        <w:tc>
          <w:tcPr>
            <w:tcW w:type="dxa" w:w="5040"/>
          </w:tcPr>
          <w:p>
            <w:pPr>
              <w:spacing w:after="20"/>
              <w:jc w:val="right"/>
            </w:pPr>
            <w:r>
              <w:rPr>
                <w:color w:val="1C3A36"/>
                <w:sz w:val="13"/>
              </w:rPr>
              <w:t>Egypt TOTAL equity risk premium on the sovereign-CDS basis, 9.5164%, same mid-year vintage. This is the dataset's TOTAL premium column, not its country premium column — the total is what multiplies beta. The country risk premium alone on this basis is 5.3164% and is NOT added on top.</w:t>
            </w:r>
          </w:p>
        </w:tc>
      </w:tr>
      <w:tr>
        <w:tc>
          <w:tcPr>
            <w:tcW w:type="dxa" w:w="1800"/>
          </w:tcPr>
          <w:p>
            <w:pPr>
              <w:spacing w:after="20"/>
            </w:pPr>
            <w:r>
              <w:rPr>
                <w:color w:val="1C3A36"/>
                <w:sz w:val="13"/>
              </w:rPr>
              <w:t>erp rating</w:t>
            </w:r>
          </w:p>
        </w:tc>
        <w:tc>
          <w:tcPr>
            <w:tcW w:type="dxa" w:w="1440"/>
          </w:tcPr>
          <w:p>
            <w:pPr>
              <w:spacing w:after="20"/>
              <w:jc w:val="right"/>
            </w:pPr>
            <w:r>
              <w:rPr>
                <w:color w:val="1C3A36"/>
                <w:sz w:val="13"/>
              </w:rPr>
              <w:t>0.134806</w:t>
            </w:r>
          </w:p>
        </w:tc>
        <w:tc>
          <w:tcPr>
            <w:tcW w:type="dxa" w:w="1080"/>
          </w:tcPr>
          <w:p>
            <w:pPr>
              <w:spacing w:after="20"/>
              <w:jc w:val="right"/>
            </w:pPr>
            <w:r>
              <w:rPr>
                <w:color w:val="1C3A36"/>
                <w:sz w:val="13"/>
              </w:rPr>
              <w:t>2026-07-02</w:t>
            </w:r>
          </w:p>
        </w:tc>
        <w:tc>
          <w:tcPr>
            <w:tcW w:type="dxa" w:w="720"/>
          </w:tcPr>
          <w:p>
            <w:pPr>
              <w:spacing w:after="20"/>
              <w:jc w:val="right"/>
            </w:pPr>
            <w:r>
              <w:rPr>
                <w:color w:val="1C3A36"/>
                <w:sz w:val="13"/>
              </w:rPr>
              <w:t>Country</w:t>
            </w:r>
          </w:p>
        </w:tc>
        <w:tc>
          <w:tcPr>
            <w:tcW w:type="dxa" w:w="5040"/>
          </w:tcPr>
          <w:p>
            <w:pPr>
              <w:spacing w:after="20"/>
              <w:jc w:val="right"/>
            </w:pPr>
            <w:r>
              <w:rPr>
                <w:color w:val="1C3A36"/>
                <w:sz w:val="13"/>
              </w:rPr>
              <w:t>Egypt TOTAL equity risk premium on the rating basis, 13.4806%, same vintage.</w:t>
            </w:r>
          </w:p>
        </w:tc>
      </w:tr>
      <w:tr>
        <w:tc>
          <w:tcPr>
            <w:tcW w:type="dxa" w:w="1800"/>
          </w:tcPr>
          <w:p>
            <w:pPr>
              <w:spacing w:after="20"/>
            </w:pPr>
            <w:r>
              <w:rPr>
                <w:color w:val="1C3A36"/>
                <w:sz w:val="13"/>
              </w:rPr>
              <w:t>erp terminal</w:t>
            </w:r>
          </w:p>
        </w:tc>
        <w:tc>
          <w:tcPr>
            <w:tcW w:type="dxa" w:w="1440"/>
          </w:tcPr>
          <w:p>
            <w:pPr>
              <w:spacing w:after="20"/>
              <w:jc w:val="right"/>
            </w:pPr>
            <w:r>
              <w:rPr>
                <w:color w:val="1C3A36"/>
                <w:sz w:val="13"/>
              </w:rPr>
              <w:t>0.07</w:t>
            </w:r>
          </w:p>
        </w:tc>
        <w:tc>
          <w:tcPr>
            <w:tcW w:type="dxa" w:w="1080"/>
          </w:tcPr>
          <w:p>
            <w:pPr>
              <w:spacing w:after="20"/>
              <w:jc w:val="right"/>
            </w:pPr>
            <w:r>
              <w:rPr>
                <w:color w:val="1C3A36"/>
                <w:sz w:val="13"/>
              </w:rPr>
              <w:t>2026-09-02</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Terminal equity risk premium, 7.00%, normalised below today's crisis-era level toward the rating-class norm; never held flat into perpetuity.</w:t>
            </w:r>
          </w:p>
        </w:tc>
      </w:tr>
      <w:tr>
        <w:tc>
          <w:tcPr>
            <w:tcW w:type="dxa" w:w="1800"/>
          </w:tcPr>
          <w:p>
            <w:pPr>
              <w:spacing w:after="20"/>
            </w:pPr>
            <w:r>
              <w:rPr>
                <w:color w:val="1C3A36"/>
                <w:sz w:val="13"/>
              </w:rPr>
              <w:t>fee ratio</w:t>
            </w:r>
          </w:p>
        </w:tc>
        <w:tc>
          <w:tcPr>
            <w:tcW w:type="dxa" w:w="1440"/>
          </w:tcPr>
          <w:p>
            <w:pPr>
              <w:spacing w:after="20"/>
              <w:jc w:val="right"/>
            </w:pPr>
            <w:r>
              <w:rPr>
                <w:color w:val="1C3A36"/>
                <w:sz w:val="13"/>
              </w:rPr>
              <w:t>0.008 / 0.0082 / 0.0084 / 0.0085 /</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Net fees and commissions over average total assets. FY2025 actual 0.899%; the June 2026 half annualises to 0.797%. The path opens at the reviewed half's level and recovers slowly as trade finance and card income grow with the branch network.</w:t>
            </w:r>
          </w:p>
        </w:tc>
      </w:tr>
      <w:tr>
        <w:tc>
          <w:tcPr>
            <w:tcW w:type="dxa" w:w="1800"/>
          </w:tcPr>
          <w:p>
            <w:pPr>
              <w:spacing w:after="20"/>
            </w:pPr>
            <w:r>
              <w:rPr>
                <w:color w:val="1C3A36"/>
                <w:sz w:val="13"/>
              </w:rPr>
              <w:t>fin income fy2025</w:t>
            </w:r>
          </w:p>
        </w:tc>
        <w:tc>
          <w:tcPr>
            <w:tcW w:type="dxa" w:w="1440"/>
          </w:tcPr>
          <w:p>
            <w:pPr>
              <w:spacing w:after="20"/>
              <w:jc w:val="right"/>
            </w:pPr>
            <w:r>
              <w:rPr>
                <w:color w:val="1C3A36"/>
                <w:sz w:val="13"/>
              </w:rPr>
              <w:t>49262.5</w:t>
            </w:r>
          </w:p>
        </w:tc>
        <w:tc>
          <w:tcPr>
            <w:tcW w:type="dxa" w:w="1080"/>
          </w:tcPr>
          <w:p>
            <w:pPr>
              <w:spacing w:after="20"/>
              <w:jc w:val="right"/>
            </w:pPr>
            <w:r>
              <w:rPr>
                <w:color w:val="1C3A36"/>
                <w:sz w:val="13"/>
              </w:rPr>
              <w:t>2026-02-05</w:t>
            </w:r>
          </w:p>
        </w:tc>
        <w:tc>
          <w:tcPr>
            <w:tcW w:type="dxa" w:w="720"/>
          </w:tcPr>
          <w:p>
            <w:pPr>
              <w:spacing w:after="20"/>
              <w:jc w:val="right"/>
            </w:pPr>
            <w:r>
              <w:rPr>
                <w:color w:val="1C3A36"/>
                <w:sz w:val="13"/>
              </w:rPr>
              <w:t>A</w:t>
            </w:r>
          </w:p>
        </w:tc>
        <w:tc>
          <w:tcPr>
            <w:tcW w:type="dxa" w:w="5040"/>
          </w:tcPr>
          <w:p>
            <w:pPr>
              <w:spacing w:after="20"/>
              <w:jc w:val="right"/>
            </w:pPr>
            <w:r>
              <w:rPr>
                <w:color w:val="1C3A36"/>
                <w:sz w:val="13"/>
              </w:rPr>
              <w:t>The audited consolidated financial statements for the year ended 31 December 2025, signed in Cairo on 5 February 2026 — read from the filing itself; the statement foots.</w:t>
            </w:r>
          </w:p>
        </w:tc>
      </w:tr>
      <w:tr>
        <w:tc>
          <w:tcPr>
            <w:tcW w:type="dxa" w:w="1800"/>
          </w:tcPr>
          <w:p>
            <w:pPr>
              <w:spacing w:after="20"/>
            </w:pPr>
            <w:r>
              <w:rPr>
                <w:color w:val="1C3A36"/>
                <w:sz w:val="13"/>
              </w:rPr>
              <w:t>fin income h1 2026</w:t>
            </w:r>
          </w:p>
        </w:tc>
        <w:tc>
          <w:tcPr>
            <w:tcW w:type="dxa" w:w="1440"/>
          </w:tcPr>
          <w:p>
            <w:pPr>
              <w:spacing w:after="20"/>
              <w:jc w:val="right"/>
            </w:pPr>
            <w:r>
              <w:rPr>
                <w:color w:val="1C3A36"/>
                <w:sz w:val="13"/>
              </w:rPr>
              <w:t>29117.9</w:t>
            </w:r>
          </w:p>
        </w:tc>
        <w:tc>
          <w:tcPr>
            <w:tcW w:type="dxa" w:w="1080"/>
          </w:tcPr>
          <w:p>
            <w:pPr>
              <w:spacing w:after="20"/>
              <w:jc w:val="right"/>
            </w:pPr>
            <w:r>
              <w:rPr>
                <w:color w:val="1C3A36"/>
                <w:sz w:val="13"/>
              </w:rPr>
              <w:t>2026-07-30</w:t>
            </w:r>
          </w:p>
        </w:tc>
        <w:tc>
          <w:tcPr>
            <w:tcW w:type="dxa" w:w="720"/>
          </w:tcPr>
          <w:p>
            <w:pPr>
              <w:spacing w:after="20"/>
              <w:jc w:val="right"/>
            </w:pPr>
            <w:r>
              <w:rPr>
                <w:color w:val="1C3A36"/>
                <w:sz w:val="13"/>
              </w:rPr>
              <w:t>A</w:t>
            </w:r>
          </w:p>
        </w:tc>
        <w:tc>
          <w:tcPr>
            <w:tcW w:type="dxa" w:w="5040"/>
          </w:tcPr>
          <w:p>
            <w:pPr>
              <w:spacing w:after="20"/>
              <w:jc w:val="right"/>
            </w:pPr>
            <w:r>
              <w:rPr>
                <w:color w:val="1C3A36"/>
                <w:sz w:val="13"/>
              </w:rPr>
              <w:t>The condensed consolidated interim financial statements for the six months ended 30 June 2026, limited review, signed 30 July 2026.</w:t>
            </w:r>
          </w:p>
        </w:tc>
      </w:tr>
      <w:tr>
        <w:tc>
          <w:tcPr>
            <w:tcW w:type="dxa" w:w="1800"/>
          </w:tcPr>
          <w:p>
            <w:pPr>
              <w:spacing w:after="20"/>
            </w:pPr>
            <w:r>
              <w:rPr>
                <w:color w:val="1C3A36"/>
                <w:sz w:val="13"/>
              </w:rPr>
              <w:t>financing growth</w:t>
            </w:r>
          </w:p>
        </w:tc>
        <w:tc>
          <w:tcPr>
            <w:tcW w:type="dxa" w:w="1440"/>
          </w:tcPr>
          <w:p>
            <w:pPr>
              <w:spacing w:after="20"/>
              <w:jc w:val="right"/>
            </w:pPr>
            <w:r>
              <w:rPr>
                <w:color w:val="1C3A36"/>
                <w:sz w:val="13"/>
              </w:rPr>
              <w:t>0.48 / 0.26 / 0.19 / 0.15 / 0.12</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Net financing to customers, year-on-year. FY2026 +48% takes the FY2025 close of EGP 147,226 million to EGP 217,895 million — and the bank was ALREADY at EGP 190,427 million on 30 June, so this asks for only +14.4% in the second half against +29.3% in the first. The path then decays toward nominal GDP. IT IS NOT A FLAT SHARE OF SYSTEM CREDIT, and that is the walk-forward's doing: a flat-share rule under-forecast this name at ev</w:t>
            </w:r>
          </w:p>
        </w:tc>
      </w:tr>
      <w:tr>
        <w:tc>
          <w:tcPr>
            <w:tcW w:type="dxa" w:w="1800"/>
          </w:tcPr>
          <w:p>
            <w:pPr>
              <w:spacing w:after="20"/>
            </w:pPr>
            <w:r>
              <w:rPr>
                <w:color w:val="1C3A36"/>
                <w:sz w:val="13"/>
              </w:rPr>
              <w:t>financing over assets</w:t>
            </w:r>
          </w:p>
        </w:tc>
        <w:tc>
          <w:tcPr>
            <w:tcW w:type="dxa" w:w="1440"/>
          </w:tcPr>
          <w:p>
            <w:pPr>
              <w:spacing w:after="20"/>
              <w:jc w:val="right"/>
            </w:pPr>
            <w:r>
              <w:rPr>
                <w:color w:val="1C3A36"/>
                <w:sz w:val="13"/>
              </w:rPr>
              <w:t>0.47 / 0.485 / 0.5 / 0.51 / 0.52</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Financing to customers over total assets. FY2025 actual 42.46%; 30 June 2026 actual 45.96%. The bank is rotating out of treasury bills into customer financing as policy rates fall and bill yields compress, and the path continues that observed rotation at a decelerating pace. Every point is above both observations, which is the assumption, and it is sensitised.</w:t>
            </w:r>
          </w:p>
        </w:tc>
      </w:tr>
      <w:tr>
        <w:tc>
          <w:tcPr>
            <w:tcW w:type="dxa" w:w="1800"/>
          </w:tcPr>
          <w:p>
            <w:pPr>
              <w:spacing w:after="20"/>
            </w:pPr>
            <w:r>
              <w:rPr>
                <w:color w:val="1C3A36"/>
                <w:sz w:val="13"/>
              </w:rPr>
              <w:t>ga fy2025</w:t>
            </w:r>
          </w:p>
        </w:tc>
        <w:tc>
          <w:tcPr>
            <w:tcW w:type="dxa" w:w="1440"/>
          </w:tcPr>
          <w:p>
            <w:pPr>
              <w:spacing w:after="20"/>
              <w:jc w:val="right"/>
            </w:pPr>
            <w:r>
              <w:rPr>
                <w:color w:val="1C3A36"/>
                <w:sz w:val="13"/>
              </w:rPr>
              <w:t>-3431.22</w:t>
            </w:r>
          </w:p>
        </w:tc>
        <w:tc>
          <w:tcPr>
            <w:tcW w:type="dxa" w:w="1080"/>
          </w:tcPr>
          <w:p>
            <w:pPr>
              <w:spacing w:after="20"/>
              <w:jc w:val="right"/>
            </w:pPr>
            <w:r>
              <w:rPr>
                <w:color w:val="1C3A36"/>
                <w:sz w:val="13"/>
              </w:rPr>
              <w:t>2026-02-05</w:t>
            </w:r>
          </w:p>
        </w:tc>
        <w:tc>
          <w:tcPr>
            <w:tcW w:type="dxa" w:w="720"/>
          </w:tcPr>
          <w:p>
            <w:pPr>
              <w:spacing w:after="20"/>
              <w:jc w:val="right"/>
            </w:pPr>
            <w:r>
              <w:rPr>
                <w:color w:val="1C3A36"/>
                <w:sz w:val="13"/>
              </w:rPr>
              <w:t>A</w:t>
            </w:r>
          </w:p>
        </w:tc>
        <w:tc>
          <w:tcPr>
            <w:tcW w:type="dxa" w:w="5040"/>
          </w:tcPr>
          <w:p>
            <w:pPr>
              <w:spacing w:after="20"/>
              <w:jc w:val="right"/>
            </w:pPr>
            <w:r>
              <w:rPr>
                <w:color w:val="1C3A36"/>
                <w:sz w:val="13"/>
              </w:rPr>
              <w:t>The audited consolidated financial statements for the year ended 31 December 2025, signed in Cairo on 5 February 2026 — read from the filing itself; the statement foots.</w:t>
            </w:r>
          </w:p>
        </w:tc>
      </w:tr>
      <w:tr>
        <w:tc>
          <w:tcPr>
            <w:tcW w:type="dxa" w:w="1800"/>
          </w:tcPr>
          <w:p>
            <w:pPr>
              <w:spacing w:after="20"/>
            </w:pPr>
            <w:r>
              <w:rPr>
                <w:color w:val="1C3A36"/>
                <w:sz w:val="13"/>
              </w:rPr>
              <w:t>h1 2026 ecl</w:t>
            </w:r>
          </w:p>
        </w:tc>
        <w:tc>
          <w:tcPr>
            <w:tcW w:type="dxa" w:w="1440"/>
          </w:tcPr>
          <w:p>
            <w:pPr>
              <w:spacing w:after="20"/>
              <w:jc w:val="right"/>
            </w:pPr>
            <w:r>
              <w:rPr>
                <w:color w:val="1C3A36"/>
                <w:sz w:val="13"/>
              </w:rPr>
              <w:t>2.176</w:t>
            </w:r>
          </w:p>
        </w:tc>
        <w:tc>
          <w:tcPr>
            <w:tcW w:type="dxa" w:w="1080"/>
          </w:tcPr>
          <w:p>
            <w:pPr>
              <w:spacing w:after="20"/>
              <w:jc w:val="right"/>
            </w:pPr>
            <w:r>
              <w:rPr>
                <w:color w:val="1C3A36"/>
                <w:sz w:val="13"/>
              </w:rPr>
              <w:t>2026-07-30</w:t>
            </w:r>
          </w:p>
        </w:tc>
        <w:tc>
          <w:tcPr>
            <w:tcW w:type="dxa" w:w="720"/>
          </w:tcPr>
          <w:p>
            <w:pPr>
              <w:spacing w:after="20"/>
              <w:jc w:val="right"/>
            </w:pPr>
            <w:r>
              <w:rPr>
                <w:color w:val="1C3A36"/>
                <w:sz w:val="13"/>
              </w:rPr>
              <w:t>A</w:t>
            </w:r>
          </w:p>
        </w:tc>
        <w:tc>
          <w:tcPr>
            <w:tcW w:type="dxa" w:w="5040"/>
          </w:tcPr>
          <w:p>
            <w:pPr>
              <w:spacing w:after="20"/>
              <w:jc w:val="right"/>
            </w:pPr>
            <w:r>
              <w:rPr>
                <w:color w:val="1C3A36"/>
                <w:sz w:val="13"/>
              </w:rPr>
              <w:t>THE SINGLE MOST IMPORTANT FACT IN THE BASE YEAR. ADIB-Egypt charged EGP 2.176 million of expected credit losses in the six months to 30 June 2026 — an annualised 0.003% of average financing — against EGP 732.193 million in the same half of 2025 and EGP 1,514.062 million for the whole of FY2025. The line is filed as "Release / (Charge) Expected credit losses", note 11, and the income statement foots on it: every other line on t</w:t>
            </w:r>
          </w:p>
        </w:tc>
      </w:tr>
      <w:tr>
        <w:tc>
          <w:tcPr>
            <w:tcW w:type="dxa" w:w="1800"/>
          </w:tcPr>
          <w:p>
            <w:pPr>
              <w:spacing w:after="20"/>
            </w:pPr>
            <w:r>
              <w:rPr>
                <w:color w:val="1C3A36"/>
                <w:sz w:val="13"/>
              </w:rPr>
              <w:t>ibl over assets</w:t>
            </w:r>
          </w:p>
        </w:tc>
        <w:tc>
          <w:tcPr>
            <w:tcW w:type="dxa" w:w="1440"/>
          </w:tcPr>
          <w:p>
            <w:pPr>
              <w:spacing w:after="20"/>
              <w:jc w:val="right"/>
            </w:pPr>
            <w:r>
              <w:rPr>
                <w:color w:val="1C3A36"/>
                <w:sz w:val="13"/>
              </w:rPr>
              <w:t>0.855</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Average interest-bearing liabilities over average total assets, held at the FY2025 observed 85.5%. The bank funds itself with deposits and that ratio has moved within two points across the whole panel.</w:t>
            </w:r>
          </w:p>
        </w:tc>
      </w:tr>
      <w:tr>
        <w:tc>
          <w:tcPr>
            <w:tcW w:type="dxa" w:w="1800"/>
          </w:tcPr>
          <w:p>
            <w:pPr>
              <w:spacing w:after="20"/>
            </w:pPr>
            <w:r>
              <w:rPr>
                <w:color w:val="1C3A36"/>
                <w:sz w:val="13"/>
              </w:rPr>
              <w:t>inflation path</w:t>
            </w:r>
          </w:p>
        </w:tc>
        <w:tc>
          <w:tcPr>
            <w:tcW w:type="dxa" w:w="1440"/>
          </w:tcPr>
          <w:p>
            <w:pPr>
              <w:spacing w:after="20"/>
              <w:jc w:val="right"/>
            </w:pPr>
            <w:r>
              <w:rPr>
                <w:color w:val="1C3A36"/>
                <w:sz w:val="13"/>
              </w:rPr>
              <w:t>0.16 / 0.12 / 0.09 / 0.075 / 0.07</w:t>
            </w:r>
          </w:p>
        </w:tc>
        <w:tc>
          <w:tcPr>
            <w:tcW w:type="dxa" w:w="1080"/>
          </w:tcPr>
          <w:p>
            <w:pPr>
              <w:spacing w:after="20"/>
              <w:jc w:val="right"/>
            </w:pPr>
            <w:r>
              <w:rPr>
                <w:color w:val="1C3A36"/>
                <w:sz w:val="13"/>
              </w:rPr>
              <w:t>2026-09-02</w:t>
            </w:r>
          </w:p>
        </w:tc>
        <w:tc>
          <w:tcPr>
            <w:tcW w:type="dxa" w:w="720"/>
          </w:tcPr>
          <w:p>
            <w:pPr>
              <w:spacing w:after="20"/>
              <w:jc w:val="right"/>
            </w:pPr>
            <w:r>
              <w:rPr>
                <w:color w:val="1C3A36"/>
                <w:sz w:val="13"/>
              </w:rPr>
              <w:t>Country</w:t>
            </w:r>
          </w:p>
        </w:tc>
        <w:tc>
          <w:tcPr>
            <w:tcW w:type="dxa" w:w="5040"/>
          </w:tcPr>
          <w:p>
            <w:pPr>
              <w:spacing w:after="20"/>
              <w:jc w:val="right"/>
            </w:pPr>
            <w:r>
              <w:rPr>
                <w:color w:val="1C3A36"/>
                <w:sz w:val="13"/>
              </w:rPr>
              <w:t>Central Bank of Egypt baseline average annual headline inflation, 16.0% in 2026 and 12.0% in 2027 (Q1-2026 Monetary Policy Report as reported 11 May 2026); 2028-2030 interpolated on the bank's own glide between the published 2027 baseline and the 7% target-band midpoint, labelled as interpolation and never presented as a central-bank forecast. Held in the house macroeconomic path, the path every Egyptian study runs on.</w:t>
            </w:r>
          </w:p>
        </w:tc>
      </w:tr>
      <w:tr>
        <w:tc>
          <w:tcPr>
            <w:tcW w:type="dxa" w:w="1800"/>
          </w:tcPr>
          <w:p>
            <w:pPr>
              <w:spacing w:after="20"/>
            </w:pPr>
            <w:r>
              <w:rPr>
                <w:color w:val="1C3A36"/>
                <w:sz w:val="13"/>
              </w:rPr>
              <w:t>ke construction</w:t>
            </w:r>
          </w:p>
        </w:tc>
        <w:tc>
          <w:tcPr>
            <w:tcW w:type="dxa" w:w="1440"/>
          </w:tcPr>
          <w:p>
            <w:pPr>
              <w:spacing w:after="20"/>
              <w:jc w:val="right"/>
            </w:pPr>
            <w:r>
              <w:rPr>
                <w:color w:val="1C3A36"/>
                <w:sz w:val="13"/>
              </w:rPr>
              <w:t>same_beta</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The terminal cost of equity uses the SAME regression beta as the explicit window. ADIB-Egypt is a deposit-funded bank whose capital structure is its business, so there is no leverage to relever: the beta already embeds the balance sheet it is measured on. The record names the construction from a closed list so that two right answers a hundred basis points apart are not indistinguishable from a typo.</w:t>
            </w:r>
          </w:p>
        </w:tc>
      </w:tr>
      <w:tr>
        <w:tc>
          <w:tcPr>
            <w:tcW w:type="dxa" w:w="1800"/>
          </w:tcPr>
          <w:p>
            <w:pPr>
              <w:spacing w:after="20"/>
            </w:pPr>
            <w:r>
              <w:rPr>
                <w:color w:val="1C3A36"/>
                <w:sz w:val="13"/>
              </w:rPr>
              <w:t>latest reviewed</w:t>
            </w:r>
          </w:p>
        </w:tc>
        <w:tc>
          <w:tcPr>
            <w:tcW w:type="dxa" w:w="1440"/>
          </w:tcPr>
          <w:p>
            <w:pPr>
              <w:spacing w:after="20"/>
              <w:jc w:val="right"/>
            </w:pPr>
            <w:r>
              <w:rPr>
                <w:color w:val="1C3A36"/>
                <w:sz w:val="13"/>
              </w:rPr>
              <w:t>H1-2026</w:t>
            </w:r>
          </w:p>
        </w:tc>
        <w:tc>
          <w:tcPr>
            <w:tcW w:type="dxa" w:w="1080"/>
          </w:tcPr>
          <w:p>
            <w:pPr>
              <w:spacing w:after="20"/>
              <w:jc w:val="right"/>
            </w:pPr>
            <w:r>
              <w:rPr>
                <w:color w:val="1C3A36"/>
                <w:sz w:val="13"/>
              </w:rPr>
              <w:t>2026-07-30</w:t>
            </w:r>
          </w:p>
        </w:tc>
        <w:tc>
          <w:tcPr>
            <w:tcW w:type="dxa" w:w="720"/>
          </w:tcPr>
          <w:p>
            <w:pPr>
              <w:spacing w:after="20"/>
              <w:jc w:val="right"/>
            </w:pPr>
            <w:r>
              <w:rPr>
                <w:color w:val="1C3A36"/>
                <w:sz w:val="13"/>
              </w:rPr>
              <w:t>A</w:t>
            </w:r>
          </w:p>
        </w:tc>
        <w:tc>
          <w:tcPr>
            <w:tcW w:type="dxa" w:w="5040"/>
          </w:tcPr>
          <w:p>
            <w:pPr>
              <w:spacing w:after="20"/>
              <w:jc w:val="right"/>
            </w:pPr>
            <w:r>
              <w:rPr>
                <w:color w:val="1C3A36"/>
                <w:sz w:val="13"/>
              </w:rPr>
              <w:t>The condensed consolidated interim statements for the six months ended 30 June 2026, signed 30 July 2026. Attributable profit EGP 7,536.8 million, total assets EGP 414,302.1 million, financing to customers EGP 190,427.1 million, attributable equity EGP 43,557.9 million. This is the period the forecast is anchored on.</w:t>
            </w:r>
          </w:p>
        </w:tc>
      </w:tr>
      <w:tr>
        <w:tc>
          <w:tcPr>
            <w:tcW w:type="dxa" w:w="1800"/>
          </w:tcPr>
          <w:p>
            <w:pPr>
              <w:spacing w:after="20"/>
            </w:pPr>
            <w:r>
              <w:rPr>
                <w:color w:val="1C3A36"/>
                <w:sz w:val="13"/>
              </w:rPr>
              <w:t>lens architecture</w:t>
            </w:r>
          </w:p>
        </w:tc>
        <w:tc>
          <w:tcPr>
            <w:tcW w:type="dxa" w:w="1440"/>
          </w:tcPr>
          <w:p>
            <w:pPr>
              <w:spacing w:after="20"/>
              <w:jc w:val="right"/>
            </w:pPr>
            <w:r>
              <w:rPr>
                <w:color w:val="1C3A36"/>
                <w:sz w:val="13"/>
              </w:rPr>
              <w:t>class primary = dividend discount;</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The bank class is keyed to a dividend-discount PRIMARY with residual income, a relative multiple and book value beside it. The central IS the primary. The envelope is the range of the three present-value reads and no spread is invented around it.</w:t>
            </w:r>
          </w:p>
        </w:tc>
      </w:tr>
      <w:tr>
        <w:tc>
          <w:tcPr>
            <w:tcW w:type="dxa" w:w="1800"/>
          </w:tcPr>
          <w:p>
            <w:pPr>
              <w:spacing w:after="20"/>
            </w:pPr>
            <w:r>
              <w:rPr>
                <w:color w:val="1C3A36"/>
                <w:sz w:val="13"/>
              </w:rPr>
              <w:t>nci share</w:t>
            </w:r>
          </w:p>
        </w:tc>
        <w:tc>
          <w:tcPr>
            <w:tcW w:type="dxa" w:w="1440"/>
          </w:tcPr>
          <w:p>
            <w:pPr>
              <w:spacing w:after="20"/>
              <w:jc w:val="right"/>
            </w:pPr>
            <w:r>
              <w:rPr>
                <w:color w:val="1C3A36"/>
                <w:sz w:val="13"/>
              </w:rPr>
              <w:t>0.001</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A</w:t>
            </w:r>
          </w:p>
        </w:tc>
        <w:tc>
          <w:tcPr>
            <w:tcW w:type="dxa" w:w="5040"/>
          </w:tcPr>
          <w:p>
            <w:pPr>
              <w:spacing w:after="20"/>
              <w:jc w:val="right"/>
            </w:pPr>
            <w:r>
              <w:rPr>
                <w:color w:val="1C3A36"/>
                <w:sz w:val="13"/>
              </w:rPr>
              <w:t>Non-controlling interests take 0.10% of net profit — EGP 12.4 million of EGP 12,601.0 million in FY2025. Held at that level; it is immaterial and is carried rather than dropped so the bridge to attributable profit closes.</w:t>
            </w:r>
          </w:p>
        </w:tc>
      </w:tr>
      <w:tr>
        <w:tc>
          <w:tcPr>
            <w:tcW w:type="dxa" w:w="1800"/>
          </w:tcPr>
          <w:p>
            <w:pPr>
              <w:spacing w:after="20"/>
            </w:pPr>
            <w:r>
              <w:rPr>
                <w:color w:val="1C3A36"/>
                <w:sz w:val="13"/>
              </w:rPr>
              <w:t>net fees fy2025</w:t>
            </w:r>
          </w:p>
        </w:tc>
        <w:tc>
          <w:tcPr>
            <w:tcW w:type="dxa" w:w="1440"/>
          </w:tcPr>
          <w:p>
            <w:pPr>
              <w:spacing w:after="20"/>
              <w:jc w:val="right"/>
            </w:pPr>
            <w:r>
              <w:rPr>
                <w:color w:val="1C3A36"/>
                <w:sz w:val="13"/>
              </w:rPr>
              <w:t>2729.85</w:t>
            </w:r>
          </w:p>
        </w:tc>
        <w:tc>
          <w:tcPr>
            <w:tcW w:type="dxa" w:w="1080"/>
          </w:tcPr>
          <w:p>
            <w:pPr>
              <w:spacing w:after="20"/>
              <w:jc w:val="right"/>
            </w:pPr>
            <w:r>
              <w:rPr>
                <w:color w:val="1C3A36"/>
                <w:sz w:val="13"/>
              </w:rPr>
              <w:t>2026-02-05</w:t>
            </w:r>
          </w:p>
        </w:tc>
        <w:tc>
          <w:tcPr>
            <w:tcW w:type="dxa" w:w="720"/>
          </w:tcPr>
          <w:p>
            <w:pPr>
              <w:spacing w:after="20"/>
              <w:jc w:val="right"/>
            </w:pPr>
            <w:r>
              <w:rPr>
                <w:color w:val="1C3A36"/>
                <w:sz w:val="13"/>
              </w:rPr>
              <w:t>A</w:t>
            </w:r>
          </w:p>
        </w:tc>
        <w:tc>
          <w:tcPr>
            <w:tcW w:type="dxa" w:w="5040"/>
          </w:tcPr>
          <w:p>
            <w:pPr>
              <w:spacing w:after="20"/>
              <w:jc w:val="right"/>
            </w:pPr>
            <w:r>
              <w:rPr>
                <w:color w:val="1C3A36"/>
                <w:sz w:val="13"/>
              </w:rPr>
              <w:t>The audited consolidated financial statements for the year ended 31 December 2025, signed in Cairo on 5 February 2026 — read from the filing itself; the statement foots.</w:t>
            </w:r>
          </w:p>
        </w:tc>
      </w:tr>
      <w:tr>
        <w:tc>
          <w:tcPr>
            <w:tcW w:type="dxa" w:w="1800"/>
          </w:tcPr>
          <w:p>
            <w:pPr>
              <w:spacing w:after="20"/>
            </w:pPr>
            <w:r>
              <w:rPr>
                <w:color w:val="1C3A36"/>
                <w:sz w:val="13"/>
              </w:rPr>
              <w:t>net fees h1 2026</w:t>
            </w:r>
          </w:p>
        </w:tc>
        <w:tc>
          <w:tcPr>
            <w:tcW w:type="dxa" w:w="1440"/>
          </w:tcPr>
          <w:p>
            <w:pPr>
              <w:spacing w:after="20"/>
              <w:jc w:val="right"/>
            </w:pPr>
            <w:r>
              <w:rPr>
                <w:color w:val="1C3A36"/>
                <w:sz w:val="13"/>
              </w:rPr>
              <w:t>1516.56</w:t>
            </w:r>
          </w:p>
        </w:tc>
        <w:tc>
          <w:tcPr>
            <w:tcW w:type="dxa" w:w="1080"/>
          </w:tcPr>
          <w:p>
            <w:pPr>
              <w:spacing w:after="20"/>
              <w:jc w:val="right"/>
            </w:pPr>
            <w:r>
              <w:rPr>
                <w:color w:val="1C3A36"/>
                <w:sz w:val="13"/>
              </w:rPr>
              <w:t>2026-07-30</w:t>
            </w:r>
          </w:p>
        </w:tc>
        <w:tc>
          <w:tcPr>
            <w:tcW w:type="dxa" w:w="720"/>
          </w:tcPr>
          <w:p>
            <w:pPr>
              <w:spacing w:after="20"/>
              <w:jc w:val="right"/>
            </w:pPr>
            <w:r>
              <w:rPr>
                <w:color w:val="1C3A36"/>
                <w:sz w:val="13"/>
              </w:rPr>
              <w:t>A</w:t>
            </w:r>
          </w:p>
        </w:tc>
        <w:tc>
          <w:tcPr>
            <w:tcW w:type="dxa" w:w="5040"/>
          </w:tcPr>
          <w:p>
            <w:pPr>
              <w:spacing w:after="20"/>
              <w:jc w:val="right"/>
            </w:pPr>
            <w:r>
              <w:rPr>
                <w:color w:val="1C3A36"/>
                <w:sz w:val="13"/>
              </w:rPr>
              <w:t>The condensed consolidated interim financial statements for the six months ended 30 June 2026, limited review, signed 30 July 2026.</w:t>
            </w:r>
          </w:p>
        </w:tc>
      </w:tr>
      <w:tr>
        <w:tc>
          <w:tcPr>
            <w:tcW w:type="dxa" w:w="1800"/>
          </w:tcPr>
          <w:p>
            <w:pPr>
              <w:spacing w:after="20"/>
            </w:pPr>
            <w:r>
              <w:rPr>
                <w:color w:val="1C3A36"/>
                <w:sz w:val="13"/>
              </w:rPr>
              <w:t>net funds fy2025</w:t>
            </w:r>
          </w:p>
        </w:tc>
        <w:tc>
          <w:tcPr>
            <w:tcW w:type="dxa" w:w="1440"/>
          </w:tcPr>
          <w:p>
            <w:pPr>
              <w:spacing w:after="20"/>
              <w:jc w:val="right"/>
            </w:pPr>
            <w:r>
              <w:rPr>
                <w:color w:val="1C3A36"/>
                <w:sz w:val="13"/>
              </w:rPr>
              <w:t>20152.3</w:t>
            </w:r>
          </w:p>
        </w:tc>
        <w:tc>
          <w:tcPr>
            <w:tcW w:type="dxa" w:w="1080"/>
          </w:tcPr>
          <w:p>
            <w:pPr>
              <w:spacing w:after="20"/>
              <w:jc w:val="right"/>
            </w:pPr>
            <w:r>
              <w:rPr>
                <w:color w:val="1C3A36"/>
                <w:sz w:val="13"/>
              </w:rPr>
              <w:t>2026-02-05</w:t>
            </w:r>
          </w:p>
        </w:tc>
        <w:tc>
          <w:tcPr>
            <w:tcW w:type="dxa" w:w="720"/>
          </w:tcPr>
          <w:p>
            <w:pPr>
              <w:spacing w:after="20"/>
              <w:jc w:val="right"/>
            </w:pPr>
            <w:r>
              <w:rPr>
                <w:color w:val="1C3A36"/>
                <w:sz w:val="13"/>
              </w:rPr>
              <w:t>A</w:t>
            </w:r>
          </w:p>
        </w:tc>
        <w:tc>
          <w:tcPr>
            <w:tcW w:type="dxa" w:w="5040"/>
          </w:tcPr>
          <w:p>
            <w:pPr>
              <w:spacing w:after="20"/>
              <w:jc w:val="right"/>
            </w:pPr>
            <w:r>
              <w:rPr>
                <w:color w:val="1C3A36"/>
                <w:sz w:val="13"/>
              </w:rPr>
              <w:t>The audited consolidated financial statements for the year ended 31 December 2025, signed in Cairo on 5 February 2026 — read from the filing itself; the statement foots.</w:t>
            </w:r>
          </w:p>
        </w:tc>
      </w:tr>
      <w:tr>
        <w:tc>
          <w:tcPr>
            <w:tcW w:type="dxa" w:w="1800"/>
          </w:tcPr>
          <w:p>
            <w:pPr>
              <w:spacing w:after="20"/>
            </w:pPr>
            <w:r>
              <w:rPr>
                <w:color w:val="1C3A36"/>
                <w:sz w:val="13"/>
              </w:rPr>
              <w:t>net funds h1 2026</w:t>
            </w:r>
          </w:p>
        </w:tc>
        <w:tc>
          <w:tcPr>
            <w:tcW w:type="dxa" w:w="1440"/>
          </w:tcPr>
          <w:p>
            <w:pPr>
              <w:spacing w:after="20"/>
              <w:jc w:val="right"/>
            </w:pPr>
            <w:r>
              <w:rPr>
                <w:color w:val="1C3A36"/>
                <w:sz w:val="13"/>
              </w:rPr>
              <w:t>12253.9</w:t>
            </w:r>
          </w:p>
        </w:tc>
        <w:tc>
          <w:tcPr>
            <w:tcW w:type="dxa" w:w="1080"/>
          </w:tcPr>
          <w:p>
            <w:pPr>
              <w:spacing w:after="20"/>
              <w:jc w:val="right"/>
            </w:pPr>
            <w:r>
              <w:rPr>
                <w:color w:val="1C3A36"/>
                <w:sz w:val="13"/>
              </w:rPr>
              <w:t>2026-07-30</w:t>
            </w:r>
          </w:p>
        </w:tc>
        <w:tc>
          <w:tcPr>
            <w:tcW w:type="dxa" w:w="720"/>
          </w:tcPr>
          <w:p>
            <w:pPr>
              <w:spacing w:after="20"/>
              <w:jc w:val="right"/>
            </w:pPr>
            <w:r>
              <w:rPr>
                <w:color w:val="1C3A36"/>
                <w:sz w:val="13"/>
              </w:rPr>
              <w:t>A</w:t>
            </w:r>
          </w:p>
        </w:tc>
        <w:tc>
          <w:tcPr>
            <w:tcW w:type="dxa" w:w="5040"/>
          </w:tcPr>
          <w:p>
            <w:pPr>
              <w:spacing w:after="20"/>
              <w:jc w:val="right"/>
            </w:pPr>
            <w:r>
              <w:rPr>
                <w:color w:val="1C3A36"/>
                <w:sz w:val="13"/>
              </w:rPr>
              <w:t>The condensed consolidated interim financial statements for the six months ended 30 June 2026, limited review, signed 30 July 2026.</w:t>
            </w:r>
          </w:p>
        </w:tc>
      </w:tr>
      <w:tr>
        <w:tc>
          <w:tcPr>
            <w:tcW w:type="dxa" w:w="1800"/>
          </w:tcPr>
          <w:p>
            <w:pPr>
              <w:spacing w:after="20"/>
            </w:pPr>
            <w:r>
              <w:rPr>
                <w:color w:val="1C3A36"/>
                <w:sz w:val="13"/>
              </w:rPr>
              <w:t>np fy2025</w:t>
            </w:r>
          </w:p>
        </w:tc>
        <w:tc>
          <w:tcPr>
            <w:tcW w:type="dxa" w:w="1440"/>
          </w:tcPr>
          <w:p>
            <w:pPr>
              <w:spacing w:after="20"/>
              <w:jc w:val="right"/>
            </w:pPr>
            <w:r>
              <w:rPr>
                <w:color w:val="1C3A36"/>
                <w:sz w:val="13"/>
              </w:rPr>
              <w:t>12601</w:t>
            </w:r>
          </w:p>
        </w:tc>
        <w:tc>
          <w:tcPr>
            <w:tcW w:type="dxa" w:w="1080"/>
          </w:tcPr>
          <w:p>
            <w:pPr>
              <w:spacing w:after="20"/>
              <w:jc w:val="right"/>
            </w:pPr>
            <w:r>
              <w:rPr>
                <w:color w:val="1C3A36"/>
                <w:sz w:val="13"/>
              </w:rPr>
              <w:t>2026-02-05</w:t>
            </w:r>
          </w:p>
        </w:tc>
        <w:tc>
          <w:tcPr>
            <w:tcW w:type="dxa" w:w="720"/>
          </w:tcPr>
          <w:p>
            <w:pPr>
              <w:spacing w:after="20"/>
              <w:jc w:val="right"/>
            </w:pPr>
            <w:r>
              <w:rPr>
                <w:color w:val="1C3A36"/>
                <w:sz w:val="13"/>
              </w:rPr>
              <w:t>A</w:t>
            </w:r>
          </w:p>
        </w:tc>
        <w:tc>
          <w:tcPr>
            <w:tcW w:type="dxa" w:w="5040"/>
          </w:tcPr>
          <w:p>
            <w:pPr>
              <w:spacing w:after="20"/>
              <w:jc w:val="right"/>
            </w:pPr>
            <w:r>
              <w:rPr>
                <w:color w:val="1C3A36"/>
                <w:sz w:val="13"/>
              </w:rPr>
              <w:t>The audited consolidated financial statements for the year ended 31 December 2025, signed in Cairo on 5 February 2026 — read from the filing itself; the statement foots.</w:t>
            </w:r>
          </w:p>
        </w:tc>
      </w:tr>
      <w:tr>
        <w:tc>
          <w:tcPr>
            <w:tcW w:type="dxa" w:w="1800"/>
          </w:tcPr>
          <w:p>
            <w:pPr>
              <w:spacing w:after="20"/>
            </w:pPr>
            <w:r>
              <w:rPr>
                <w:color w:val="1C3A36"/>
                <w:sz w:val="13"/>
              </w:rPr>
              <w:t>npa fy2024</w:t>
            </w:r>
          </w:p>
        </w:tc>
        <w:tc>
          <w:tcPr>
            <w:tcW w:type="dxa" w:w="1440"/>
          </w:tcPr>
          <w:p>
            <w:pPr>
              <w:spacing w:after="20"/>
              <w:jc w:val="right"/>
            </w:pPr>
            <w:r>
              <w:rPr>
                <w:color w:val="1C3A36"/>
                <w:sz w:val="13"/>
              </w:rPr>
              <w:t>9008.93</w:t>
            </w:r>
          </w:p>
        </w:tc>
        <w:tc>
          <w:tcPr>
            <w:tcW w:type="dxa" w:w="1080"/>
          </w:tcPr>
          <w:p>
            <w:pPr>
              <w:spacing w:after="20"/>
              <w:jc w:val="right"/>
            </w:pPr>
            <w:r>
              <w:rPr>
                <w:color w:val="1C3A36"/>
                <w:sz w:val="13"/>
              </w:rPr>
              <w:t>2026-02-05</w:t>
            </w:r>
          </w:p>
        </w:tc>
        <w:tc>
          <w:tcPr>
            <w:tcW w:type="dxa" w:w="720"/>
          </w:tcPr>
          <w:p>
            <w:pPr>
              <w:spacing w:after="20"/>
              <w:jc w:val="right"/>
            </w:pPr>
            <w:r>
              <w:rPr>
                <w:color w:val="1C3A36"/>
                <w:sz w:val="13"/>
              </w:rPr>
              <w:t>A</w:t>
            </w:r>
          </w:p>
        </w:tc>
        <w:tc>
          <w:tcPr>
            <w:tcW w:type="dxa" w:w="5040"/>
          </w:tcPr>
          <w:p>
            <w:pPr>
              <w:spacing w:after="20"/>
              <w:jc w:val="right"/>
            </w:pPr>
            <w:r>
              <w:rPr>
                <w:color w:val="1C3A36"/>
                <w:sz w:val="13"/>
              </w:rPr>
              <w:t>The audited consolidated financial statements for the year ended 31 December 2024, as the comparative column of the FY2025 filing.</w:t>
            </w:r>
          </w:p>
        </w:tc>
      </w:tr>
      <w:tr>
        <w:tc>
          <w:tcPr>
            <w:tcW w:type="dxa" w:w="1800"/>
          </w:tcPr>
          <w:p>
            <w:pPr>
              <w:spacing w:after="20"/>
            </w:pPr>
            <w:r>
              <w:rPr>
                <w:color w:val="1C3A36"/>
                <w:sz w:val="13"/>
              </w:rPr>
              <w:t>npa fy2025</w:t>
            </w:r>
          </w:p>
        </w:tc>
        <w:tc>
          <w:tcPr>
            <w:tcW w:type="dxa" w:w="1440"/>
          </w:tcPr>
          <w:p>
            <w:pPr>
              <w:spacing w:after="20"/>
              <w:jc w:val="right"/>
            </w:pPr>
            <w:r>
              <w:rPr>
                <w:color w:val="1C3A36"/>
                <w:sz w:val="13"/>
              </w:rPr>
              <w:t>12588.6</w:t>
            </w:r>
          </w:p>
        </w:tc>
        <w:tc>
          <w:tcPr>
            <w:tcW w:type="dxa" w:w="1080"/>
          </w:tcPr>
          <w:p>
            <w:pPr>
              <w:spacing w:after="20"/>
              <w:jc w:val="right"/>
            </w:pPr>
            <w:r>
              <w:rPr>
                <w:color w:val="1C3A36"/>
                <w:sz w:val="13"/>
              </w:rPr>
              <w:t>2026-02-05</w:t>
            </w:r>
          </w:p>
        </w:tc>
        <w:tc>
          <w:tcPr>
            <w:tcW w:type="dxa" w:w="720"/>
          </w:tcPr>
          <w:p>
            <w:pPr>
              <w:spacing w:after="20"/>
              <w:jc w:val="right"/>
            </w:pPr>
            <w:r>
              <w:rPr>
                <w:color w:val="1C3A36"/>
                <w:sz w:val="13"/>
              </w:rPr>
              <w:t>A</w:t>
            </w:r>
          </w:p>
        </w:tc>
        <w:tc>
          <w:tcPr>
            <w:tcW w:type="dxa" w:w="5040"/>
          </w:tcPr>
          <w:p>
            <w:pPr>
              <w:spacing w:after="20"/>
              <w:jc w:val="right"/>
            </w:pPr>
            <w:r>
              <w:rPr>
                <w:color w:val="1C3A36"/>
                <w:sz w:val="13"/>
              </w:rPr>
              <w:t>The audited consolidated financial statements for the year ended 31 December 2025, signed in Cairo on 5 February 2026 — read from the filing itself; the statement foots.</w:t>
            </w:r>
          </w:p>
        </w:tc>
      </w:tr>
      <w:tr>
        <w:tc>
          <w:tcPr>
            <w:tcW w:type="dxa" w:w="1800"/>
          </w:tcPr>
          <w:p>
            <w:pPr>
              <w:spacing w:after="20"/>
            </w:pPr>
            <w:r>
              <w:rPr>
                <w:color w:val="1C3A36"/>
                <w:sz w:val="13"/>
              </w:rPr>
              <w:t>npa h1 2026</w:t>
            </w:r>
          </w:p>
        </w:tc>
        <w:tc>
          <w:tcPr>
            <w:tcW w:type="dxa" w:w="1440"/>
          </w:tcPr>
          <w:p>
            <w:pPr>
              <w:spacing w:after="20"/>
              <w:jc w:val="right"/>
            </w:pPr>
            <w:r>
              <w:rPr>
                <w:color w:val="1C3A36"/>
                <w:sz w:val="13"/>
              </w:rPr>
              <w:t>7536.8</w:t>
            </w:r>
          </w:p>
        </w:tc>
        <w:tc>
          <w:tcPr>
            <w:tcW w:type="dxa" w:w="1080"/>
          </w:tcPr>
          <w:p>
            <w:pPr>
              <w:spacing w:after="20"/>
              <w:jc w:val="right"/>
            </w:pPr>
            <w:r>
              <w:rPr>
                <w:color w:val="1C3A36"/>
                <w:sz w:val="13"/>
              </w:rPr>
              <w:t>2026-07-30</w:t>
            </w:r>
          </w:p>
        </w:tc>
        <w:tc>
          <w:tcPr>
            <w:tcW w:type="dxa" w:w="720"/>
          </w:tcPr>
          <w:p>
            <w:pPr>
              <w:spacing w:after="20"/>
              <w:jc w:val="right"/>
            </w:pPr>
            <w:r>
              <w:rPr>
                <w:color w:val="1C3A36"/>
                <w:sz w:val="13"/>
              </w:rPr>
              <w:t>A</w:t>
            </w:r>
          </w:p>
        </w:tc>
        <w:tc>
          <w:tcPr>
            <w:tcW w:type="dxa" w:w="5040"/>
          </w:tcPr>
          <w:p>
            <w:pPr>
              <w:spacing w:after="20"/>
              <w:jc w:val="right"/>
            </w:pPr>
            <w:r>
              <w:rPr>
                <w:color w:val="1C3A36"/>
                <w:sz w:val="13"/>
              </w:rPr>
              <w:t>The condensed consolidated interim financial statements for the six months ended 30 June 2026, limited review, signed 30 July 2026.</w:t>
            </w:r>
          </w:p>
        </w:tc>
      </w:tr>
      <w:tr>
        <w:tc>
          <w:tcPr>
            <w:tcW w:type="dxa" w:w="1800"/>
          </w:tcPr>
          <w:p>
            <w:pPr>
              <w:spacing w:after="20"/>
            </w:pPr>
            <w:r>
              <w:rPr>
                <w:color w:val="1C3A36"/>
                <w:sz w:val="13"/>
              </w:rPr>
              <w:t>other nii ratio</w:t>
            </w:r>
          </w:p>
        </w:tc>
        <w:tc>
          <w:tcPr>
            <w:tcW w:type="dxa" w:w="1440"/>
          </w:tcPr>
          <w:p>
            <w:pPr>
              <w:spacing w:after="20"/>
              <w:jc w:val="right"/>
            </w:pPr>
            <w:r>
              <w:rPr>
                <w:color w:val="1C3A36"/>
                <w:sz w:val="13"/>
              </w:rPr>
              <w:t xml:space="preserve">0.0028 / 0.0026 / 0.0024 / 0.0023 </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Dividends, net trading, share of associates and gains on investments, as one block, over average total assets. FY2025 actual 0.238%; the June 2026 half annualises to 0.372%, flattered by trading gains on a moving currency. The path normalises DOWN toward the FY2022-FY2024 average as the pound settles.</w:t>
            </w:r>
          </w:p>
        </w:tc>
      </w:tr>
      <w:tr>
        <w:tc>
          <w:tcPr>
            <w:tcW w:type="dxa" w:w="1800"/>
          </w:tcPr>
          <w:p>
            <w:pPr>
              <w:spacing w:after="20"/>
            </w:pPr>
            <w:r>
              <w:rPr>
                <w:color w:val="1C3A36"/>
                <w:sz w:val="13"/>
              </w:rPr>
              <w:t>other op ratio</w:t>
            </w:r>
          </w:p>
        </w:tc>
        <w:tc>
          <w:tcPr>
            <w:tcW w:type="dxa" w:w="1440"/>
          </w:tcPr>
          <w:p>
            <w:pPr>
              <w:spacing w:after="20"/>
              <w:jc w:val="right"/>
            </w:pPr>
            <w:r>
              <w:rPr>
                <w:color w:val="1C3A36"/>
                <w:sz w:val="13"/>
              </w:rPr>
              <w:t>-0.0075 / -0.007 / -0.0065 / -0.00</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Other operating expenses over average total assets — deposit insurance, central-bank charges and the operating-provision line. FY2025 actual -0.387%; the June 2026 half annualises to -0.797%, more than double. The path opens at the reviewed level and decays, which is the conservative reading of a line that has doubled.</w:t>
            </w:r>
          </w:p>
        </w:tc>
      </w:tr>
      <w:tr>
        <w:tc>
          <w:tcPr>
            <w:tcW w:type="dxa" w:w="1800"/>
          </w:tcPr>
          <w:p>
            <w:pPr>
              <w:spacing w:after="20"/>
            </w:pPr>
            <w:r>
              <w:rPr>
                <w:color w:val="1C3A36"/>
                <w:sz w:val="13"/>
              </w:rPr>
              <w:t>payout</w:t>
            </w:r>
          </w:p>
        </w:tc>
        <w:tc>
          <w:tcPr>
            <w:tcW w:type="dxa" w:w="1440"/>
          </w:tcPr>
          <w:p>
            <w:pPr>
              <w:spacing w:after="20"/>
              <w:jc w:val="right"/>
            </w:pPr>
            <w:r>
              <w:rPr>
                <w:color w:val="1C3A36"/>
                <w:sz w:val="13"/>
              </w:rPr>
              <w:t>DERIVED — see below</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THE PAYOUT IS NOT TYPED. It is what is left after the balance sheet has taken the capital it needs: payout(t) = 1 - (target equity/assets x the year's asset growth) / attributable profit, floored at zero and capped at 80%. A typed payout path is an assumption about the single thing a growing bank has least discretion over, and typing one made this model's dividend and free-cash-flow lenses disagree by EGP 7 a share while its e</w:t>
            </w:r>
          </w:p>
        </w:tc>
      </w:tr>
      <w:tr>
        <w:tc>
          <w:tcPr>
            <w:tcW w:type="dxa" w:w="1800"/>
          </w:tcPr>
          <w:p>
            <w:pPr>
              <w:spacing w:after="20"/>
            </w:pPr>
            <w:r>
              <w:rPr>
                <w:color w:val="1C3A36"/>
                <w:sz w:val="13"/>
              </w:rPr>
              <w:t>pbt fy2025</w:t>
            </w:r>
          </w:p>
        </w:tc>
        <w:tc>
          <w:tcPr>
            <w:tcW w:type="dxa" w:w="1440"/>
          </w:tcPr>
          <w:p>
            <w:pPr>
              <w:spacing w:after="20"/>
              <w:jc w:val="right"/>
            </w:pPr>
            <w:r>
              <w:rPr>
                <w:color w:val="1C3A36"/>
                <w:sz w:val="13"/>
              </w:rPr>
              <w:t>17482.1</w:t>
            </w:r>
          </w:p>
        </w:tc>
        <w:tc>
          <w:tcPr>
            <w:tcW w:type="dxa" w:w="1080"/>
          </w:tcPr>
          <w:p>
            <w:pPr>
              <w:spacing w:after="20"/>
              <w:jc w:val="right"/>
            </w:pPr>
            <w:r>
              <w:rPr>
                <w:color w:val="1C3A36"/>
                <w:sz w:val="13"/>
              </w:rPr>
              <w:t>2026-02-05</w:t>
            </w:r>
          </w:p>
        </w:tc>
        <w:tc>
          <w:tcPr>
            <w:tcW w:type="dxa" w:w="720"/>
          </w:tcPr>
          <w:p>
            <w:pPr>
              <w:spacing w:after="20"/>
              <w:jc w:val="right"/>
            </w:pPr>
            <w:r>
              <w:rPr>
                <w:color w:val="1C3A36"/>
                <w:sz w:val="13"/>
              </w:rPr>
              <w:t>A</w:t>
            </w:r>
          </w:p>
        </w:tc>
        <w:tc>
          <w:tcPr>
            <w:tcW w:type="dxa" w:w="5040"/>
          </w:tcPr>
          <w:p>
            <w:pPr>
              <w:spacing w:after="20"/>
              <w:jc w:val="right"/>
            </w:pPr>
            <w:r>
              <w:rPr>
                <w:color w:val="1C3A36"/>
                <w:sz w:val="13"/>
              </w:rPr>
              <w:t>The audited consolidated financial statements for the year ended 31 December 2025, signed in Cairo on 5 February 2026 — read from the filing itself; the statement foots.</w:t>
            </w:r>
          </w:p>
        </w:tc>
      </w:tr>
      <w:tr>
        <w:tc>
          <w:tcPr>
            <w:tcW w:type="dxa" w:w="1800"/>
          </w:tcPr>
          <w:p>
            <w:pPr>
              <w:spacing w:after="20"/>
            </w:pPr>
            <w:r>
              <w:rPr>
                <w:color w:val="1C3A36"/>
                <w:sz w:val="13"/>
              </w:rPr>
              <w:t>peer comi price</w:t>
            </w:r>
          </w:p>
        </w:tc>
        <w:tc>
          <w:tcPr>
            <w:tcW w:type="dxa" w:w="1440"/>
          </w:tcPr>
          <w:p>
            <w:pPr>
              <w:spacing w:after="20"/>
              <w:jc w:val="right"/>
            </w:pPr>
            <w:r>
              <w:rPr>
                <w:color w:val="1C3A36"/>
                <w:sz w:val="13"/>
              </w:rPr>
              <w:t>138.98</w:t>
            </w:r>
          </w:p>
        </w:tc>
        <w:tc>
          <w:tcPr>
            <w:tcW w:type="dxa" w:w="1080"/>
          </w:tcPr>
          <w:p>
            <w:pPr>
              <w:spacing w:after="20"/>
              <w:jc w:val="right"/>
            </w:pPr>
            <w:r>
              <w:rPr>
                <w:color w:val="1C3A36"/>
                <w:sz w:val="13"/>
              </w:rPr>
              <w:t>2026-09-03</w:t>
            </w:r>
          </w:p>
        </w:tc>
        <w:tc>
          <w:tcPr>
            <w:tcW w:type="dxa" w:w="720"/>
          </w:tcPr>
          <w:p>
            <w:pPr>
              <w:spacing w:after="20"/>
              <w:jc w:val="right"/>
            </w:pPr>
            <w:r>
              <w:rPr>
                <w:color w:val="1C3A36"/>
                <w:sz w:val="13"/>
              </w:rPr>
              <w:t>Market</w:t>
            </w:r>
          </w:p>
        </w:tc>
        <w:tc>
          <w:tcPr>
            <w:tcW w:type="dxa" w:w="5040"/>
          </w:tcPr>
          <w:p>
            <w:pPr>
              <w:spacing w:after="20"/>
              <w:jc w:val="right"/>
            </w:pPr>
            <w:r>
              <w:rPr>
                <w:color w:val="1C3A36"/>
                <w:sz w:val="13"/>
              </w:rPr>
              <w:t>Commercial International Bank (EGX: COMI), EGP 138.98, the close on 3 September 2026 from the committed price file — the same file, the same date and the same supplier as ADIB's own price, so the two are struck on one day.</w:t>
            </w:r>
          </w:p>
        </w:tc>
      </w:tr>
      <w:tr>
        <w:tc>
          <w:tcPr>
            <w:tcW w:type="dxa" w:w="1800"/>
          </w:tcPr>
          <w:p>
            <w:pPr>
              <w:spacing w:after="20"/>
            </w:pPr>
            <w:r>
              <w:rPr>
                <w:color w:val="1C3A36"/>
                <w:sz w:val="13"/>
              </w:rPr>
              <w:t>peer pb band</w:t>
            </w:r>
          </w:p>
        </w:tc>
        <w:tc>
          <w:tcPr>
            <w:tcW w:type="dxa" w:w="1440"/>
          </w:tcPr>
          <w:p>
            <w:pPr>
              <w:spacing w:after="20"/>
              <w:jc w:val="right"/>
            </w:pPr>
            <w:r>
              <w:rPr>
                <w:color w:val="1C3A36"/>
                <w:sz w:val="13"/>
              </w:rPr>
              <w:t>1.4 / 2.2</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The price-to-book band Egyptian large-cap banks trade in. It is a BAND and not a point because this study could not source a same-day book value for any Egyptian bank other than ADIB itself: the only peer whose price it holds on the same day is CIB, and CIB's own book value is not in this repository. The band is carried as a cross-check on the two cash-flow lenses, weighted at 15%, and it is NOT allowed to set the answer. Wher</w:t>
            </w:r>
          </w:p>
        </w:tc>
      </w:tr>
      <w:tr>
        <w:tc>
          <w:tcPr>
            <w:tcW w:type="dxa" w:w="1800"/>
          </w:tcPr>
          <w:p>
            <w:pPr>
              <w:spacing w:after="20"/>
            </w:pPr>
            <w:r>
              <w:rPr>
                <w:color w:val="1C3A36"/>
                <w:sz w:val="13"/>
              </w:rPr>
              <w:t>peer pe band</w:t>
            </w:r>
          </w:p>
        </w:tc>
        <w:tc>
          <w:tcPr>
            <w:tcW w:type="dxa" w:w="1440"/>
          </w:tcPr>
          <w:p>
            <w:pPr>
              <w:spacing w:after="20"/>
              <w:jc w:val="right"/>
            </w:pPr>
            <w:r>
              <w:rPr>
                <w:color w:val="1C3A36"/>
                <w:sz w:val="13"/>
              </w:rPr>
              <w:t>5.5 / 8.5</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The trailing price-to-earnings band for the same group, on the same caveat.</w:t>
            </w:r>
          </w:p>
        </w:tc>
      </w:tr>
      <w:tr>
        <w:tc>
          <w:tcPr>
            <w:tcW w:type="dxa" w:w="1800"/>
          </w:tcPr>
          <w:p>
            <w:pPr>
              <w:spacing w:after="20"/>
            </w:pPr>
            <w:r>
              <w:rPr>
                <w:color w:val="1C3A36"/>
                <w:sz w:val="13"/>
              </w:rPr>
              <w:t>policy rate path</w:t>
            </w:r>
          </w:p>
        </w:tc>
        <w:tc>
          <w:tcPr>
            <w:tcW w:type="dxa" w:w="1440"/>
          </w:tcPr>
          <w:p>
            <w:pPr>
              <w:spacing w:after="20"/>
              <w:jc w:val="right"/>
            </w:pPr>
            <w:r>
              <w:rPr>
                <w:color w:val="1C3A36"/>
                <w:sz w:val="13"/>
              </w:rPr>
              <w:t>0.19 / 0.165 / 0.145 / 0.13 / 0.12</w:t>
            </w:r>
          </w:p>
        </w:tc>
        <w:tc>
          <w:tcPr>
            <w:tcW w:type="dxa" w:w="1080"/>
          </w:tcPr>
          <w:p>
            <w:pPr>
              <w:spacing w:after="20"/>
              <w:jc w:val="right"/>
            </w:pPr>
            <w:r>
              <w:rPr>
                <w:color w:val="1C3A36"/>
                <w:sz w:val="13"/>
              </w:rPr>
              <w:t>2026-08-20</w:t>
            </w:r>
          </w:p>
        </w:tc>
        <w:tc>
          <w:tcPr>
            <w:tcW w:type="dxa" w:w="720"/>
          </w:tcPr>
          <w:p>
            <w:pPr>
              <w:spacing w:after="20"/>
              <w:jc w:val="right"/>
            </w:pPr>
            <w:r>
              <w:rPr>
                <w:color w:val="1C3A36"/>
                <w:sz w:val="13"/>
              </w:rPr>
              <w:t>Country</w:t>
            </w:r>
          </w:p>
        </w:tc>
        <w:tc>
          <w:tcPr>
            <w:tcW w:type="dxa" w:w="5040"/>
          </w:tcPr>
          <w:p>
            <w:pPr>
              <w:spacing w:after="20"/>
              <w:jc w:val="right"/>
            </w:pPr>
            <w:r>
              <w:rPr>
                <w:color w:val="1C3A36"/>
                <w:sz w:val="13"/>
              </w:rPr>
              <w:t>Overnight deposit rate 19.00% now, gliding 19.00 -&gt; 16.50 -&gt; 14.50 -&gt; 13.00 -&gt; 12.00 with the published inflation path at an approximately constant real policy rate. Held for a fourth consecutive meeting on 20 August 2026. This is the SHAPE input for the asset-yield and cost-of-funds paths below; it is not a second free parameter and no valuation input is set from it independently.</w:t>
            </w:r>
          </w:p>
        </w:tc>
      </w:tr>
      <w:tr>
        <w:tc>
          <w:tcPr>
            <w:tcW w:type="dxa" w:w="1800"/>
          </w:tcPr>
          <w:p>
            <w:pPr>
              <w:spacing w:after="20"/>
            </w:pPr>
            <w:r>
              <w:rPr>
                <w:color w:val="1C3A36"/>
                <w:sz w:val="13"/>
              </w:rPr>
              <w:t>rf</w:t>
            </w:r>
          </w:p>
        </w:tc>
        <w:tc>
          <w:tcPr>
            <w:tcW w:type="dxa" w:w="1440"/>
          </w:tcPr>
          <w:p>
            <w:pPr>
              <w:spacing w:after="20"/>
              <w:jc w:val="right"/>
            </w:pPr>
            <w:r>
              <w:rPr>
                <w:color w:val="1C3A36"/>
                <w:sz w:val="13"/>
              </w:rPr>
              <w:t>0.23</w:t>
            </w:r>
          </w:p>
        </w:tc>
        <w:tc>
          <w:tcPr>
            <w:tcW w:type="dxa" w:w="1080"/>
          </w:tcPr>
          <w:p>
            <w:pPr>
              <w:spacing w:after="20"/>
              <w:jc w:val="right"/>
            </w:pPr>
            <w:r>
              <w:rPr>
                <w:color w:val="1C3A36"/>
                <w:sz w:val="13"/>
              </w:rPr>
              <w:t>2026-08-06</w:t>
            </w:r>
          </w:p>
        </w:tc>
        <w:tc>
          <w:tcPr>
            <w:tcW w:type="dxa" w:w="720"/>
          </w:tcPr>
          <w:p>
            <w:pPr>
              <w:spacing w:after="20"/>
              <w:jc w:val="right"/>
            </w:pPr>
            <w:r>
              <w:rPr>
                <w:color w:val="1C3A36"/>
                <w:sz w:val="13"/>
              </w:rPr>
              <w:t>Country</w:t>
            </w:r>
          </w:p>
        </w:tc>
        <w:tc>
          <w:tcPr>
            <w:tcW w:type="dxa" w:w="5040"/>
          </w:tcPr>
          <w:p>
            <w:pPr>
              <w:spacing w:after="20"/>
              <w:jc w:val="right"/>
            </w:pPr>
            <w:r>
              <w:rPr>
                <w:color w:val="1C3A36"/>
                <w:sz w:val="13"/>
              </w:rPr>
              <w:t>Egypt ten-year EGP government bond yield, 23.00%, the quote of 6 August 2026 held in the house macroeconomic path and already used by the PHDC, EGCH and PHAR cost-of-capital records. IT IS 34 DAYS OLD AGAINST THIS STUDY'S PRICING DATE AND THE HOUSE PATH'S OWN 14-DAY STALENESS RULE FLAGS IT AS STALE. A live re-source was attempted on 9 September 2026 down four routes and all four failed: the central bank's treasury-bond auction</w:t>
            </w:r>
          </w:p>
        </w:tc>
      </w:tr>
      <w:tr>
        <w:tc>
          <w:tcPr>
            <w:tcW w:type="dxa" w:w="1800"/>
          </w:tcPr>
          <w:p>
            <w:pPr>
              <w:spacing w:after="20"/>
            </w:pPr>
            <w:r>
              <w:rPr>
                <w:color w:val="1C3A36"/>
                <w:sz w:val="13"/>
              </w:rPr>
              <w:t>rf terminal</w:t>
            </w:r>
          </w:p>
        </w:tc>
        <w:tc>
          <w:tcPr>
            <w:tcW w:type="dxa" w:w="1440"/>
          </w:tcPr>
          <w:p>
            <w:pPr>
              <w:spacing w:after="20"/>
              <w:jc w:val="right"/>
            </w:pPr>
            <w:r>
              <w:rPr>
                <w:color w:val="1C3A36"/>
                <w:sz w:val="13"/>
              </w:rPr>
              <w:t>0.105</w:t>
            </w:r>
          </w:p>
        </w:tc>
        <w:tc>
          <w:tcPr>
            <w:tcW w:type="dxa" w:w="1080"/>
          </w:tcPr>
          <w:p>
            <w:pPr>
              <w:spacing w:after="20"/>
              <w:jc w:val="right"/>
            </w:pPr>
            <w:r>
              <w:rPr>
                <w:color w:val="1C3A36"/>
                <w:sz w:val="13"/>
              </w:rPr>
              <w:t>2026-09-02</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Terminal risk-free rate, DERIVED and never quoted: terminal inflation of 7.00% (the CBE target-band midpoint in force) plus the 5.50% emerging-market terminal real convention. It cannot disagree with the inflation the rest of the model runs on because it is computed from it.</w:t>
            </w:r>
          </w:p>
        </w:tc>
      </w:tr>
      <w:tr>
        <w:tc>
          <w:tcPr>
            <w:tcW w:type="dxa" w:w="1800"/>
          </w:tcPr>
          <w:p>
            <w:pPr>
              <w:spacing w:after="20"/>
            </w:pPr>
            <w:r>
              <w:rPr>
                <w:color w:val="1C3A36"/>
                <w:sz w:val="13"/>
              </w:rPr>
              <w:t>shares</w:t>
            </w:r>
          </w:p>
        </w:tc>
        <w:tc>
          <w:tcPr>
            <w:tcW w:type="dxa" w:w="1440"/>
          </w:tcPr>
          <w:p>
            <w:pPr>
              <w:spacing w:after="20"/>
              <w:jc w:val="right"/>
            </w:pPr>
            <w:r>
              <w:rPr>
                <w:color w:val="1C3A36"/>
                <w:sz w:val="13"/>
              </w:rPr>
              <w:t>1500</w:t>
            </w:r>
          </w:p>
        </w:tc>
        <w:tc>
          <w:tcPr>
            <w:tcW w:type="dxa" w:w="1080"/>
          </w:tcPr>
          <w:p>
            <w:pPr>
              <w:spacing w:after="20"/>
              <w:jc w:val="right"/>
            </w:pPr>
            <w:r>
              <w:rPr>
                <w:color w:val="1C3A36"/>
                <w:sz w:val="13"/>
              </w:rPr>
              <w:t>2026-06-30</w:t>
            </w:r>
          </w:p>
        </w:tc>
        <w:tc>
          <w:tcPr>
            <w:tcW w:type="dxa" w:w="720"/>
          </w:tcPr>
          <w:p>
            <w:pPr>
              <w:spacing w:after="20"/>
              <w:jc w:val="right"/>
            </w:pPr>
            <w:r>
              <w:rPr>
                <w:color w:val="1C3A36"/>
                <w:sz w:val="13"/>
              </w:rPr>
              <w:t>A</w:t>
            </w:r>
          </w:p>
        </w:tc>
        <w:tc>
          <w:tcPr>
            <w:tcW w:type="dxa" w:w="5040"/>
          </w:tcPr>
          <w:p>
            <w:pPr>
              <w:spacing w:after="20"/>
              <w:jc w:val="right"/>
            </w:pPr>
            <w:r>
              <w:rPr>
                <w:color w:val="1C3A36"/>
                <w:sz w:val="13"/>
              </w:rPr>
              <w:t>ADIB-Egypt issued and paid-up capital of EGP 15,000,000 thousand at 30 June 2026, over the LE 10 par value the filings state (FY2018 note 34/2), = 1,500 million shares. THE CAPITAL FIGURE IS PROVED BY THE EQUITY BLOCK'S OWN ARITHMETIC RATHER THAN BY THE OCR: attributable equity of 43,557,932 less the subordinated-financing difference of 16,454 leaves 43,541,478 for capital plus reserves plus retained earnings; retained earning</w:t>
            </w:r>
          </w:p>
        </w:tc>
      </w:tr>
      <w:tr>
        <w:tc>
          <w:tcPr>
            <w:tcW w:type="dxa" w:w="1800"/>
          </w:tcPr>
          <w:p>
            <w:pPr>
              <w:spacing w:after="20"/>
            </w:pPr>
            <w:r>
              <w:rPr>
                <w:color w:val="1C3A36"/>
                <w:sz w:val="13"/>
              </w:rPr>
              <w:t>sov default spread</w:t>
            </w:r>
          </w:p>
        </w:tc>
        <w:tc>
          <w:tcPr>
            <w:tcW w:type="dxa" w:w="1440"/>
          </w:tcPr>
          <w:p>
            <w:pPr>
              <w:spacing w:after="20"/>
              <w:jc w:val="right"/>
            </w:pPr>
            <w:r>
              <w:rPr>
                <w:color w:val="1C3A36"/>
                <w:sz w:val="13"/>
              </w:rPr>
              <w:t>0.0342</w:t>
            </w:r>
          </w:p>
        </w:tc>
        <w:tc>
          <w:tcPr>
            <w:tcW w:type="dxa" w:w="1080"/>
          </w:tcPr>
          <w:p>
            <w:pPr>
              <w:spacing w:after="20"/>
              <w:jc w:val="right"/>
            </w:pPr>
            <w:r>
              <w:rPr>
                <w:color w:val="1C3A36"/>
                <w:sz w:val="13"/>
              </w:rPr>
              <w:t>2026-07-02</w:t>
            </w:r>
          </w:p>
        </w:tc>
        <w:tc>
          <w:tcPr>
            <w:tcW w:type="dxa" w:w="720"/>
          </w:tcPr>
          <w:p>
            <w:pPr>
              <w:spacing w:after="20"/>
              <w:jc w:val="right"/>
            </w:pPr>
            <w:r>
              <w:rPr>
                <w:color w:val="1C3A36"/>
                <w:sz w:val="13"/>
              </w:rPr>
              <w:t>Country</w:t>
            </w:r>
          </w:p>
        </w:tc>
        <w:tc>
          <w:tcPr>
            <w:tcW w:type="dxa" w:w="5040"/>
          </w:tcPr>
          <w:p>
            <w:pPr>
              <w:spacing w:after="20"/>
              <w:jc w:val="right"/>
            </w:pPr>
            <w:r>
              <w:rPr>
                <w:color w:val="1C3A36"/>
                <w:sz w:val="13"/>
              </w:rPr>
              <w:t>Egypt sovereign credit-default-swap spread, 3.42%, mid-year (July 2026) vintage of the country default-spread dataset, Egypt row, "Sovereign CDS net of Swiss CDS". Netted out of the local-currency risk-free rate so that sovereign default risk is charged ONCE, inside the equity risk premium, and not twice. The house macroeconomic path carries 3.41% for the same field from the same file; the one-basis-point difference is a round</w:t>
            </w:r>
          </w:p>
        </w:tc>
      </w:tr>
      <w:tr>
        <w:tc>
          <w:tcPr>
            <w:tcW w:type="dxa" w:w="1800"/>
          </w:tcPr>
          <w:p>
            <w:pPr>
              <w:spacing w:after="20"/>
            </w:pPr>
            <w:r>
              <w:rPr>
                <w:color w:val="1C3A36"/>
                <w:sz w:val="13"/>
              </w:rPr>
              <w:t>sov default spread rating</w:t>
            </w:r>
          </w:p>
        </w:tc>
        <w:tc>
          <w:tcPr>
            <w:tcW w:type="dxa" w:w="1440"/>
          </w:tcPr>
          <w:p>
            <w:pPr>
              <w:spacing w:after="20"/>
              <w:jc w:val="right"/>
            </w:pPr>
            <w:r>
              <w:rPr>
                <w:color w:val="1C3A36"/>
                <w:sz w:val="13"/>
              </w:rPr>
              <w:t>0.059702</w:t>
            </w:r>
          </w:p>
        </w:tc>
        <w:tc>
          <w:tcPr>
            <w:tcW w:type="dxa" w:w="1080"/>
          </w:tcPr>
          <w:p>
            <w:pPr>
              <w:spacing w:after="20"/>
              <w:jc w:val="right"/>
            </w:pPr>
            <w:r>
              <w:rPr>
                <w:color w:val="1C3A36"/>
                <w:sz w:val="13"/>
              </w:rPr>
              <w:t>2026-07-02</w:t>
            </w:r>
          </w:p>
        </w:tc>
        <w:tc>
          <w:tcPr>
            <w:tcW w:type="dxa" w:w="720"/>
          </w:tcPr>
          <w:p>
            <w:pPr>
              <w:spacing w:after="20"/>
              <w:jc w:val="right"/>
            </w:pPr>
            <w:r>
              <w:rPr>
                <w:color w:val="1C3A36"/>
                <w:sz w:val="13"/>
              </w:rPr>
              <w:t>Country</w:t>
            </w:r>
          </w:p>
        </w:tc>
        <w:tc>
          <w:tcPr>
            <w:tcW w:type="dxa" w:w="5040"/>
          </w:tcPr>
          <w:p>
            <w:pPr>
              <w:spacing w:after="20"/>
              <w:jc w:val="right"/>
            </w:pPr>
            <w:r>
              <w:rPr>
                <w:color w:val="1C3A36"/>
                <w:sz w:val="13"/>
              </w:rPr>
              <w:t>Egypt adjusted default spread on the rating basis (Moody's Caa1), 5.9702%, same vintage — the alternative construction, published for the audit trail and never mixed with the CDS basis.</w:t>
            </w:r>
          </w:p>
        </w:tc>
      </w:tr>
      <w:tr>
        <w:tc>
          <w:tcPr>
            <w:tcW w:type="dxa" w:w="1800"/>
          </w:tcPr>
          <w:p>
            <w:pPr>
              <w:spacing w:after="20"/>
            </w:pPr>
            <w:r>
              <w:rPr>
                <w:color w:val="1C3A36"/>
                <w:sz w:val="13"/>
              </w:rPr>
              <w:t>spot</w:t>
            </w:r>
          </w:p>
        </w:tc>
        <w:tc>
          <w:tcPr>
            <w:tcW w:type="dxa" w:w="1440"/>
          </w:tcPr>
          <w:p>
            <w:pPr>
              <w:spacing w:after="20"/>
              <w:jc w:val="right"/>
            </w:pPr>
            <w:r>
              <w:rPr>
                <w:color w:val="1C3A36"/>
                <w:sz w:val="13"/>
              </w:rPr>
              <w:t>52.05</w:t>
            </w:r>
          </w:p>
        </w:tc>
        <w:tc>
          <w:tcPr>
            <w:tcW w:type="dxa" w:w="1080"/>
          </w:tcPr>
          <w:p>
            <w:pPr>
              <w:spacing w:after="20"/>
              <w:jc w:val="right"/>
            </w:pPr>
            <w:r>
              <w:rPr>
                <w:color w:val="1C3A36"/>
                <w:sz w:val="13"/>
              </w:rPr>
              <w:t>2026-09-03</w:t>
            </w:r>
          </w:p>
        </w:tc>
        <w:tc>
          <w:tcPr>
            <w:tcW w:type="dxa" w:w="720"/>
          </w:tcPr>
          <w:p>
            <w:pPr>
              <w:spacing w:after="20"/>
              <w:jc w:val="right"/>
            </w:pPr>
            <w:r>
              <w:rPr>
                <w:color w:val="1C3A36"/>
                <w:sz w:val="13"/>
              </w:rPr>
              <w:t>Market</w:t>
            </w:r>
          </w:p>
        </w:tc>
        <w:tc>
          <w:tcPr>
            <w:tcW w:type="dxa" w:w="5040"/>
          </w:tcPr>
          <w:p>
            <w:pPr>
              <w:spacing w:after="20"/>
              <w:jc w:val="right"/>
            </w:pPr>
            <w:r>
              <w:rPr>
                <w:color w:val="1C3A36"/>
                <w:sz w:val="13"/>
              </w:rPr>
              <w:t>EGP 52.05, the close on 3 September 2026, supplied by the principal and committed to the house price file for that date. THIS IS THE LATEST KNOWN PRICE and it is the one the gap is measured against. The published site still carries 54.40 at the 23 August close, which is 11 days older; a study audited against its own past is audited against nothing.</w:t>
            </w:r>
          </w:p>
        </w:tc>
      </w:tr>
      <w:tr>
        <w:tc>
          <w:tcPr>
            <w:tcW w:type="dxa" w:w="1800"/>
          </w:tcPr>
          <w:p>
            <w:pPr>
              <w:spacing w:after="20"/>
            </w:pPr>
            <w:r>
              <w:rPr>
                <w:color w:val="1C3A36"/>
                <w:sz w:val="13"/>
              </w:rPr>
              <w:t>target equity assets</w:t>
            </w:r>
          </w:p>
        </w:tc>
        <w:tc>
          <w:tcPr>
            <w:tcW w:type="dxa" w:w="1440"/>
          </w:tcPr>
          <w:p>
            <w:pPr>
              <w:spacing w:after="20"/>
              <w:jc w:val="right"/>
            </w:pPr>
            <w:r>
              <w:rPr>
                <w:color w:val="1C3A36"/>
                <w:sz w:val="13"/>
              </w:rPr>
              <w:t>0.105</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Attributable equity to total assets, held at 10.5% — the level ADIB-Egypt actually stood at on 30 June 2026 after its EGP 3 billion cash increase, against 9.98% at the FY2025 year end. THIS IS THE BINDING CONSTRAINT ON A GROWING BANK and the model pins the RATIO, not the increment: equity each year is 10.5% of that year's assets and the dividend is whatever profit is left after getting there. A bank growing its balance sheet 3</w:t>
            </w:r>
          </w:p>
        </w:tc>
      </w:tr>
      <w:tr>
        <w:tc>
          <w:tcPr>
            <w:tcW w:type="dxa" w:w="1800"/>
          </w:tcPr>
          <w:p>
            <w:pPr>
              <w:spacing w:after="20"/>
            </w:pPr>
            <w:r>
              <w:rPr>
                <w:color w:val="1C3A36"/>
                <w:sz w:val="13"/>
              </w:rPr>
              <w:t>tax fy2025</w:t>
            </w:r>
          </w:p>
        </w:tc>
        <w:tc>
          <w:tcPr>
            <w:tcW w:type="dxa" w:w="1440"/>
          </w:tcPr>
          <w:p>
            <w:pPr>
              <w:spacing w:after="20"/>
              <w:jc w:val="right"/>
            </w:pPr>
            <w:r>
              <w:rPr>
                <w:color w:val="1C3A36"/>
                <w:sz w:val="13"/>
              </w:rPr>
              <w:t>-4881.19</w:t>
            </w:r>
          </w:p>
        </w:tc>
        <w:tc>
          <w:tcPr>
            <w:tcW w:type="dxa" w:w="1080"/>
          </w:tcPr>
          <w:p>
            <w:pPr>
              <w:spacing w:after="20"/>
              <w:jc w:val="right"/>
            </w:pPr>
            <w:r>
              <w:rPr>
                <w:color w:val="1C3A36"/>
                <w:sz w:val="13"/>
              </w:rPr>
              <w:t>2026-02-05</w:t>
            </w:r>
          </w:p>
        </w:tc>
        <w:tc>
          <w:tcPr>
            <w:tcW w:type="dxa" w:w="720"/>
          </w:tcPr>
          <w:p>
            <w:pPr>
              <w:spacing w:after="20"/>
              <w:jc w:val="right"/>
            </w:pPr>
            <w:r>
              <w:rPr>
                <w:color w:val="1C3A36"/>
                <w:sz w:val="13"/>
              </w:rPr>
              <w:t>A</w:t>
            </w:r>
          </w:p>
        </w:tc>
        <w:tc>
          <w:tcPr>
            <w:tcW w:type="dxa" w:w="5040"/>
          </w:tcPr>
          <w:p>
            <w:pPr>
              <w:spacing w:after="20"/>
              <w:jc w:val="right"/>
            </w:pPr>
            <w:r>
              <w:rPr>
                <w:color w:val="1C3A36"/>
                <w:sz w:val="13"/>
              </w:rPr>
              <w:t>The audited consolidated financial statements for the year ended 31 December 2025, signed in Cairo on 5 February 2026 — read from the filing itself; the statement foots.</w:t>
            </w:r>
          </w:p>
        </w:tc>
      </w:tr>
      <w:tr>
        <w:tc>
          <w:tcPr>
            <w:tcW w:type="dxa" w:w="1800"/>
          </w:tcPr>
          <w:p>
            <w:pPr>
              <w:spacing w:after="20"/>
            </w:pPr>
            <w:r>
              <w:rPr>
                <w:color w:val="1C3A36"/>
                <w:sz w:val="13"/>
              </w:rPr>
              <w:t>tax rate</w:t>
            </w:r>
          </w:p>
        </w:tc>
        <w:tc>
          <w:tcPr>
            <w:tcW w:type="dxa" w:w="1440"/>
          </w:tcPr>
          <w:p>
            <w:pPr>
              <w:spacing w:after="20"/>
              <w:jc w:val="right"/>
            </w:pPr>
            <w:r>
              <w:rPr>
                <w:color w:val="1C3A36"/>
                <w:sz w:val="13"/>
              </w:rPr>
              <w:t>0.285</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Effective tax rate. FY2025 actual 27.92%, FY2024 26.64%, the June 2026 half 29.57%. The Egyptian statutory corporate rate is 22.5%; an Egyptian bank pays materially more because the 20% withholding on treasury-bill income is not creditable and part of its cost base is disallowed. 28.5% sits inside the observed range and above the statutory rate for that reason.</w:t>
            </w:r>
          </w:p>
        </w:tc>
      </w:tr>
      <w:tr>
        <w:tc>
          <w:tcPr>
            <w:tcW w:type="dxa" w:w="1800"/>
          </w:tcPr>
          <w:p>
            <w:pPr>
              <w:spacing w:after="20"/>
            </w:pPr>
            <w:r>
              <w:rPr>
                <w:color w:val="1C3A36"/>
                <w:sz w:val="13"/>
              </w:rPr>
              <w:t>tax rate h1 2026</w:t>
            </w:r>
          </w:p>
        </w:tc>
        <w:tc>
          <w:tcPr>
            <w:tcW w:type="dxa" w:w="1440"/>
          </w:tcPr>
          <w:p>
            <w:pPr>
              <w:spacing w:after="20"/>
              <w:jc w:val="right"/>
            </w:pPr>
            <w:r>
              <w:rPr>
                <w:color w:val="1C3A36"/>
                <w:sz w:val="13"/>
              </w:rPr>
              <w:t>0.295749</w:t>
            </w:r>
          </w:p>
        </w:tc>
        <w:tc>
          <w:tcPr>
            <w:tcW w:type="dxa" w:w="1080"/>
          </w:tcPr>
          <w:p>
            <w:pPr>
              <w:spacing w:after="20"/>
              <w:jc w:val="right"/>
            </w:pPr>
            <w:r>
              <w:rPr>
                <w:color w:val="1C3A36"/>
                <w:sz w:val="13"/>
              </w:rPr>
              <w:t>2026-07-30</w:t>
            </w:r>
          </w:p>
        </w:tc>
        <w:tc>
          <w:tcPr>
            <w:tcW w:type="dxa" w:w="720"/>
          </w:tcPr>
          <w:p>
            <w:pPr>
              <w:spacing w:after="20"/>
              <w:jc w:val="right"/>
            </w:pPr>
            <w:r>
              <w:rPr>
                <w:color w:val="1C3A36"/>
                <w:sz w:val="13"/>
              </w:rPr>
              <w:t>A</w:t>
            </w:r>
          </w:p>
        </w:tc>
        <w:tc>
          <w:tcPr>
            <w:tcW w:type="dxa" w:w="5040"/>
          </w:tcPr>
          <w:p>
            <w:pPr>
              <w:spacing w:after="20"/>
              <w:jc w:val="right"/>
            </w:pPr>
            <w:r>
              <w:rPr>
                <w:color w:val="1C3A36"/>
                <w:sz w:val="13"/>
              </w:rPr>
              <w:t>Effective tax rate for the six months ended 30 June 2026, DERIVED from the reviewed statement's own tax charge over its own profit before tax. It is the highest of the three readings this study holds and is why the forecast carries 28.5% rather than the 27.92% of the last full year.</w:t>
            </w:r>
          </w:p>
        </w:tc>
      </w:tr>
      <w:tr>
        <w:tc>
          <w:tcPr>
            <w:tcW w:type="dxa" w:w="1800"/>
          </w:tcPr>
          <w:p>
            <w:pPr>
              <w:spacing w:after="20"/>
            </w:pPr>
            <w:r>
              <w:rPr>
                <w:color w:val="1C3A36"/>
                <w:sz w:val="13"/>
              </w:rPr>
              <w:t>terminal growth</w:t>
            </w:r>
          </w:p>
        </w:tc>
        <w:tc>
          <w:tcPr>
            <w:tcW w:type="dxa" w:w="1440"/>
          </w:tcPr>
          <w:p>
            <w:pPr>
              <w:spacing w:after="20"/>
              <w:jc w:val="right"/>
            </w:pPr>
            <w:r>
              <w:rPr>
                <w:color w:val="1C3A36"/>
                <w:sz w:val="13"/>
              </w:rPr>
              <w:t>0.07</w:t>
            </w:r>
          </w:p>
        </w:tc>
        <w:tc>
          <w:tcPr>
            <w:tcW w:type="dxa" w:w="1080"/>
          </w:tcPr>
          <w:p>
            <w:pPr>
              <w:spacing w:after="20"/>
              <w:jc w:val="right"/>
            </w:pPr>
            <w:r>
              <w:rPr>
                <w:color w:val="1C3A36"/>
                <w:sz w:val="13"/>
              </w:rPr>
              <w:t>2026-09-02</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Terminal growth 7.00% = terminal inflation, ZERO REAL. For a bank in an economy whose private credit is 26% of GDP that is deliberately conservative: it assumes ADIB-Egypt stops taking share and stops participating in credit deepening the moment the explicit window closes. It sits BELOW the 12.50% terminal risk-free rate and equals the inflation inside it, so the terminal cannot grow faster than the money it is discounted in.</w:t>
            </w:r>
          </w:p>
        </w:tc>
      </w:tr>
    </w:tbl>
    <w:p>
      <w:pPr>
        <w:spacing w:after="40"/>
      </w:pPr>
    </w:p>
    <w:p>
      <w:pPr>
        <w:spacing w:after="200" w:before="0"/>
      </w:pPr>
      <w:r>
        <w:rPr>
          <w:b w:val="0"/>
          <w:i/>
          <w:color w:val="6E7B77"/>
          <w:sz w:val="17"/>
        </w:rPr>
        <w:t>Table 2 — the full input register.</w:t>
      </w:r>
    </w:p>
    <w:p>
      <w:pPr>
        <w:spacing w:after="120" w:before="280"/>
      </w:pPr>
      <w:r>
        <w:rPr>
          <w:b/>
          <w:i w:val="0"/>
          <w:color w:val="1C3A36"/>
          <w:sz w:val="30"/>
        </w:rPr>
        <w:t>3  Judgements, and what would overturn each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3600"/>
        <w:gridCol w:w="4320"/>
      </w:tblGrid>
      <w:tr>
        <w:tc>
          <w:tcPr>
            <w:tcW w:type="dxa" w:w="2160"/>
            <w:shd w:val="clear" w:color="auto" w:fill="EAF0EE"/>
          </w:tcPr>
          <w:p>
            <w:pPr>
              <w:spacing w:after="20"/>
            </w:pPr>
            <w:r>
              <w:rPr>
                <w:b/>
                <w:color w:val="1C3A36"/>
                <w:sz w:val="15"/>
              </w:rPr>
              <w:t>Judgement</w:t>
            </w:r>
          </w:p>
        </w:tc>
        <w:tc>
          <w:tcPr>
            <w:tcW w:type="dxa" w:w="3600"/>
            <w:shd w:val="clear" w:color="auto" w:fill="EAF0EE"/>
          </w:tcPr>
          <w:p>
            <w:pPr>
              <w:spacing w:after="20"/>
            </w:pPr>
            <w:r>
              <w:rPr>
                <w:b/>
                <w:color w:val="1C3A36"/>
                <w:sz w:val="15"/>
              </w:rPr>
              <w:t>What it is</w:t>
            </w:r>
          </w:p>
        </w:tc>
        <w:tc>
          <w:tcPr>
            <w:tcW w:type="dxa" w:w="4320"/>
            <w:shd w:val="clear" w:color="auto" w:fill="EAF0EE"/>
          </w:tcPr>
          <w:p>
            <w:pPr>
              <w:spacing w:after="20"/>
            </w:pPr>
            <w:r>
              <w:rPr>
                <w:b/>
                <w:color w:val="1C3A36"/>
                <w:sz w:val="15"/>
              </w:rPr>
              <w:t>What would overturn it</w:t>
            </w:r>
          </w:p>
        </w:tc>
      </w:tr>
      <w:tr>
        <w:tc>
          <w:tcPr>
            <w:tcW w:type="dxa" w:w="2160"/>
          </w:tcPr>
          <w:p>
            <w:pPr>
              <w:spacing w:after="20"/>
            </w:pPr>
            <w:r>
              <w:rPr>
                <w:color w:val="1C3A36"/>
                <w:sz w:val="15"/>
              </w:rPr>
              <w:t>The cost of risk</w:t>
            </w:r>
          </w:p>
        </w:tc>
        <w:tc>
          <w:tcPr>
            <w:tcW w:type="dxa" w:w="3600"/>
          </w:tcPr>
          <w:p>
            <w:pPr>
              <w:spacing w:after="20"/>
              <w:jc w:val="right"/>
            </w:pPr>
            <w:r>
              <w:rPr>
                <w:color w:val="1C3A36"/>
                <w:sz w:val="15"/>
              </w:rPr>
              <w:t>1.00% of average financing in FY2026 and 1.30% thereafter, against a FY2022-25 mean of 2.09% and a June-2026 half of effectively zero</w:t>
            </w:r>
          </w:p>
        </w:tc>
        <w:tc>
          <w:tcPr>
            <w:tcW w:type="dxa" w:w="4320"/>
          </w:tcPr>
          <w:p>
            <w:pPr>
              <w:spacing w:after="20"/>
              <w:jc w:val="right"/>
            </w:pPr>
            <w:r>
              <w:rPr>
                <w:color w:val="1C3A36"/>
                <w:sz w:val="15"/>
              </w:rPr>
              <w:t>A third-quarter 2026 charge still near zero would say the release is structural and the assumption too harsh. A charge back above 2% would say the opposite. This is the single most consequential judgement in the study and it is worth EGP 10.86 a share.</w:t>
            </w:r>
          </w:p>
        </w:tc>
      </w:tr>
      <w:tr>
        <w:tc>
          <w:tcPr>
            <w:tcW w:type="dxa" w:w="2160"/>
          </w:tcPr>
          <w:p>
            <w:pPr>
              <w:spacing w:after="20"/>
            </w:pPr>
            <w:r>
              <w:rPr>
                <w:color w:val="1C3A36"/>
                <w:sz w:val="15"/>
              </w:rPr>
              <w:t>The share of Egyptian credit rises</w:t>
            </w:r>
          </w:p>
        </w:tc>
        <w:tc>
          <w:tcPr>
            <w:tcW w:type="dxa" w:w="3600"/>
          </w:tcPr>
          <w:p>
            <w:pPr>
              <w:spacing w:after="20"/>
              <w:jc w:val="right"/>
            </w:pPr>
            <w:r>
              <w:rPr>
                <w:color w:val="1C3A36"/>
                <w:sz w:val="15"/>
              </w:rPr>
              <w:t>financing grows at 2.26x nominal GDP in 2026, decaying to parity by 2030, taking the bank from 3.14% of Egyptian private credit to 4.42%</w:t>
            </w:r>
          </w:p>
        </w:tc>
        <w:tc>
          <w:tcPr>
            <w:tcW w:type="dxa" w:w="4320"/>
          </w:tcPr>
          <w:p>
            <w:pPr>
              <w:spacing w:after="20"/>
              <w:jc w:val="right"/>
            </w:pPr>
            <w:r>
              <w:rPr>
                <w:color w:val="1C3A36"/>
                <w:sz w:val="15"/>
              </w:rPr>
              <w:t>Two consecutive halves of financing growth at or below nominal GDP. The walk-forward beneath this study measured the historical drift at about 8.7% a year for a decade, so the assumption is slower than history and faster than none.</w:t>
            </w:r>
          </w:p>
        </w:tc>
      </w:tr>
      <w:tr>
        <w:tc>
          <w:tcPr>
            <w:tcW w:type="dxa" w:w="2160"/>
          </w:tcPr>
          <w:p>
            <w:pPr>
              <w:spacing w:after="20"/>
            </w:pPr>
            <w:r>
              <w:rPr>
                <w:color w:val="1C3A36"/>
                <w:sz w:val="15"/>
              </w:rPr>
              <w:t>The margin compresses with the policy glide</w:t>
            </w:r>
          </w:p>
        </w:tc>
        <w:tc>
          <w:tcPr>
            <w:tcW w:type="dxa" w:w="3600"/>
          </w:tcPr>
          <w:p>
            <w:pPr>
              <w:spacing w:after="20"/>
              <w:jc w:val="right"/>
            </w:pPr>
            <w:r>
              <w:rPr>
                <w:color w:val="1C3A36"/>
                <w:sz w:val="15"/>
              </w:rPr>
              <w:t>asset yield falls at about 0.75 of the central bank's published path and the cost of funds at about 0.80, so the margin goes from 6.64% to 4.81%</w:t>
            </w:r>
          </w:p>
        </w:tc>
        <w:tc>
          <w:tcPr>
            <w:tcW w:type="dxa" w:w="4320"/>
          </w:tcPr>
          <w:p>
            <w:pPr>
              <w:spacing w:after="20"/>
              <w:jc w:val="right"/>
            </w:pPr>
            <w:r>
              <w:rPr>
                <w:color w:val="1C3A36"/>
                <w:sz w:val="15"/>
              </w:rPr>
              <w:t>A half in which the margin holds while the policy rate falls. The Islamic financing book prices at origination for its whole term, so the mix could slow the repricing more than assumed — which would RAISE the value.</w:t>
            </w:r>
          </w:p>
        </w:tc>
      </w:tr>
      <w:tr>
        <w:tc>
          <w:tcPr>
            <w:tcW w:type="dxa" w:w="2160"/>
          </w:tcPr>
          <w:p>
            <w:pPr>
              <w:spacing w:after="20"/>
            </w:pPr>
            <w:r>
              <w:rPr>
                <w:color w:val="1C3A36"/>
                <w:sz w:val="15"/>
              </w:rPr>
              <w:t>Equity is pinned at 10.5% of assets</w:t>
            </w:r>
          </w:p>
        </w:tc>
        <w:tc>
          <w:tcPr>
            <w:tcW w:type="dxa" w:w="3600"/>
          </w:tcPr>
          <w:p>
            <w:pPr>
              <w:spacing w:after="20"/>
              <w:jc w:val="right"/>
            </w:pPr>
            <w:r>
              <w:rPr>
                <w:color w:val="1C3A36"/>
                <w:sz w:val="15"/>
              </w:rPr>
              <w:t>the level the bank actually stood at on 30 June 2026, and the constraint that makes the dividend what is left rather than what is chosen</w:t>
            </w:r>
          </w:p>
        </w:tc>
        <w:tc>
          <w:tcPr>
            <w:tcW w:type="dxa" w:w="4320"/>
          </w:tcPr>
          <w:p>
            <w:pPr>
              <w:spacing w:after="20"/>
              <w:jc w:val="right"/>
            </w:pPr>
            <w:r>
              <w:rPr>
                <w:color w:val="1C3A36"/>
                <w:sz w:val="15"/>
              </w:rPr>
              <w:t>A disclosed regulatory capital target materially different from it, or a balance sheet run at a visibly lower ratio for two years.</w:t>
            </w:r>
          </w:p>
        </w:tc>
      </w:tr>
      <w:tr>
        <w:tc>
          <w:tcPr>
            <w:tcW w:type="dxa" w:w="2160"/>
          </w:tcPr>
          <w:p>
            <w:pPr>
              <w:spacing w:after="20"/>
            </w:pPr>
            <w:r>
              <w:rPr>
                <w:color w:val="1C3A36"/>
                <w:sz w:val="15"/>
              </w:rPr>
              <w:t>The cost of equity is 29.42%</w:t>
            </w:r>
          </w:p>
        </w:tc>
        <w:tc>
          <w:tcPr>
            <w:tcW w:type="dxa" w:w="3600"/>
          </w:tcPr>
          <w:p>
            <w:pPr>
              <w:spacing w:after="20"/>
              <w:jc w:val="right"/>
            </w:pPr>
            <w:r>
              <w:rPr>
                <w:color w:val="1C3A36"/>
                <w:sz w:val="15"/>
              </w:rPr>
              <w:t>a 23.00% ten-year yield less a 3.42% sovereign spread, plus a 1.0747 beta times the 4.3180% MATURE premium, plus the 5.1984% country premium charged flat and once — beta multiplies the mature leg and nothing else [R-COC-03]</w:t>
            </w:r>
          </w:p>
        </w:tc>
        <w:tc>
          <w:tcPr>
            <w:tcW w:type="dxa" w:w="4320"/>
          </w:tcPr>
          <w:p>
            <w:pPr>
              <w:spacing w:after="20"/>
              <w:jc w:val="right"/>
            </w:pPr>
            <w:r>
              <w:rPr>
                <w:color w:val="1C3A36"/>
                <w:sz w:val="15"/>
              </w:rPr>
              <w:t>A CURRENT ten-year yield. The one carried is 34 days old and the only recent market evidence found is 171 basis points lower.</w:t>
            </w:r>
          </w:p>
        </w:tc>
      </w:tr>
      <w:tr>
        <w:tc>
          <w:tcPr>
            <w:tcW w:type="dxa" w:w="2160"/>
          </w:tcPr>
          <w:p>
            <w:pPr>
              <w:spacing w:after="20"/>
            </w:pPr>
            <w:r>
              <w:rPr>
                <w:color w:val="1C3A36"/>
                <w:sz w:val="15"/>
              </w:rPr>
              <w:t>Terminal growth is 7.00%</w:t>
            </w:r>
          </w:p>
        </w:tc>
        <w:tc>
          <w:tcPr>
            <w:tcW w:type="dxa" w:w="3600"/>
          </w:tcPr>
          <w:p>
            <w:pPr>
              <w:spacing w:after="20"/>
              <w:jc w:val="right"/>
            </w:pPr>
            <w:r>
              <w:rPr>
                <w:color w:val="1C3A36"/>
                <w:sz w:val="15"/>
              </w:rPr>
              <w:t>equal to terminal inflation — zero real growth in perpetuity</w:t>
            </w:r>
          </w:p>
        </w:tc>
        <w:tc>
          <w:tcPr>
            <w:tcW w:type="dxa" w:w="4320"/>
          </w:tcPr>
          <w:p>
            <w:pPr>
              <w:spacing w:after="20"/>
              <w:jc w:val="right"/>
            </w:pPr>
            <w:r>
              <w:rPr>
                <w:color w:val="1C3A36"/>
                <w:sz w:val="15"/>
              </w:rPr>
              <w:t>Nothing in the evidence; it is deliberately the conservative end. A bank in an economy with private credit at 26% of GDP growing at zero real for ever is an assumption against value, and it is worth about 1.4% per percentage point.</w:t>
            </w:r>
          </w:p>
        </w:tc>
      </w:tr>
    </w:tbl>
    <w:p>
      <w:pPr>
        <w:spacing w:after="40"/>
      </w:pPr>
    </w:p>
    <w:p>
      <w:pPr>
        <w:spacing w:after="200" w:before="0"/>
      </w:pPr>
      <w:r>
        <w:rPr>
          <w:b w:val="0"/>
          <w:i/>
          <w:color w:val="6E7B77"/>
          <w:sz w:val="17"/>
        </w:rPr>
        <w:t>Table 3 — every judgement, and the observation that would kill it.</w:t>
      </w:r>
    </w:p>
    <w:p>
      <w:pPr>
        <w:spacing w:after="120" w:before="280"/>
      </w:pPr>
      <w:r>
        <w:rPr>
          <w:b/>
          <w:i w:val="0"/>
          <w:color w:val="1C3A36"/>
          <w:sz w:val="30"/>
        </w:rPr>
        <w:t>4  Negative results — what was looked for and not found</w:t>
      </w:r>
    </w:p>
    <w:p>
      <w:pPr>
        <w:spacing w:after="120" w:before="0"/>
      </w:pPr>
      <w:r>
        <w:rPr>
          <w:b w:val="0"/>
          <w:i w:val="0"/>
          <w:color w:val="1C3A36"/>
          <w:sz w:val="21"/>
        </w:rPr>
        <w:t>A source that would not yield is a fact worth recording. These are the attempts that failed, with what was done instead.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4176"/>
        <w:gridCol w:w="3456"/>
      </w:tblGrid>
      <w:tr>
        <w:tc>
          <w:tcPr>
            <w:tcW w:type="dxa" w:w="2448"/>
            <w:shd w:val="clear" w:color="auto" w:fill="EAF0EE"/>
          </w:tcPr>
          <w:p>
            <w:pPr>
              <w:spacing w:after="20"/>
            </w:pPr>
            <w:r>
              <w:rPr>
                <w:b/>
                <w:color w:val="1C3A36"/>
                <w:sz w:val="14"/>
              </w:rPr>
              <w:t>What was sought</w:t>
            </w:r>
          </w:p>
        </w:tc>
        <w:tc>
          <w:tcPr>
            <w:tcW w:type="dxa" w:w="4176"/>
            <w:shd w:val="clear" w:color="auto" w:fill="EAF0EE"/>
          </w:tcPr>
          <w:p>
            <w:pPr>
              <w:spacing w:after="20"/>
            </w:pPr>
            <w:r>
              <w:rPr>
                <w:b/>
                <w:color w:val="1C3A36"/>
                <w:sz w:val="14"/>
              </w:rPr>
              <w:t>What happened</w:t>
            </w:r>
          </w:p>
        </w:tc>
        <w:tc>
          <w:tcPr>
            <w:tcW w:type="dxa" w:w="3456"/>
            <w:shd w:val="clear" w:color="auto" w:fill="EAF0EE"/>
          </w:tcPr>
          <w:p>
            <w:pPr>
              <w:spacing w:after="20"/>
            </w:pPr>
            <w:r>
              <w:rPr>
                <w:b/>
                <w:color w:val="1C3A36"/>
                <w:sz w:val="14"/>
              </w:rPr>
              <w:t>What was done instead</w:t>
            </w:r>
          </w:p>
        </w:tc>
      </w:tr>
      <w:tr>
        <w:tc>
          <w:tcPr>
            <w:tcW w:type="dxa" w:w="2448"/>
          </w:tcPr>
          <w:p>
            <w:pPr>
              <w:spacing w:after="20"/>
            </w:pPr>
            <w:r>
              <w:rPr>
                <w:color w:val="1C3A36"/>
                <w:sz w:val="14"/>
              </w:rPr>
              <w:t>ADIB-Egypt IR (trailing slash + /en/ prefix)</w:t>
            </w:r>
          </w:p>
        </w:tc>
        <w:tc>
          <w:tcPr>
            <w:tcW w:type="dxa" w:w="4176"/>
          </w:tcPr>
          <w:p>
            <w:pPr>
              <w:spacing w:after="20"/>
              <w:jc w:val="right"/>
            </w:pPr>
            <w:r>
              <w:rPr>
                <w:color w:val="1C3A36"/>
                <w:sz w:val="14"/>
              </w:rPr>
              <w:t>REJECTED by the site WAF ("Request Rejected", support ID returned). The path without the /en/ prefix serves the same page and was used.</w:t>
            </w:r>
          </w:p>
        </w:tc>
        <w:tc>
          <w:tcPr>
            <w:tcW w:type="dxa" w:w="3456"/>
          </w:tcPr>
          <w:p>
            <w:pPr>
              <w:spacing w:after="20"/>
              <w:jc w:val="right"/>
            </w:pPr>
            <w:r>
              <w:rPr>
                <w:color w:val="1C3A36"/>
                <w:sz w:val="14"/>
              </w:rPr>
            </w:r>
          </w:p>
        </w:tc>
      </w:tr>
      <w:tr>
        <w:tc>
          <w:tcPr>
            <w:tcW w:type="dxa" w:w="2448"/>
          </w:tcPr>
          <w:p>
            <w:pPr>
              <w:spacing w:after="20"/>
            </w:pPr>
            <w:r>
              <w:rPr>
                <w:color w:val="1C3A36"/>
                <w:sz w:val="14"/>
              </w:rPr>
              <w:t>FY2021 English consolidated, alternative names</w:t>
            </w:r>
          </w:p>
        </w:tc>
        <w:tc>
          <w:tcPr>
            <w:tcW w:type="dxa" w:w="4176"/>
          </w:tcPr>
          <w:p>
            <w:pPr>
              <w:spacing w:after="20"/>
              <w:jc w:val="right"/>
            </w:pPr>
            <w:r>
              <w:rPr>
                <w:color w:val="1C3A36"/>
                <w:sz w:val="14"/>
              </w:rPr>
              <w:t>404 on both</w:t>
            </w:r>
          </w:p>
        </w:tc>
        <w:tc>
          <w:tcPr>
            <w:tcW w:type="dxa" w:w="3456"/>
          </w:tcPr>
          <w:p>
            <w:pPr>
              <w:spacing w:after="20"/>
              <w:jc w:val="right"/>
            </w:pPr>
            <w:r>
              <w:rPr>
                <w:color w:val="1C3A36"/>
                <w:sz w:val="14"/>
              </w:rPr>
            </w:r>
          </w:p>
        </w:tc>
      </w:tr>
      <w:tr>
        <w:tc>
          <w:tcPr>
            <w:tcW w:type="dxa" w:w="2448"/>
          </w:tcPr>
          <w:p>
            <w:pPr>
              <w:spacing w:after="20"/>
            </w:pPr>
            <w:r>
              <w:rPr>
                <w:color w:val="1C3A36"/>
                <w:sz w:val="14"/>
              </w:rPr>
              <w:t>FY2021 standalone English</w:t>
            </w:r>
          </w:p>
        </w:tc>
        <w:tc>
          <w:tcPr>
            <w:tcW w:type="dxa" w:w="4176"/>
          </w:tcPr>
          <w:p>
            <w:pPr>
              <w:spacing w:after="20"/>
              <w:jc w:val="right"/>
            </w:pPr>
            <w:r>
              <w:rPr>
                <w:color w:val="1C3A36"/>
                <w:sz w:val="14"/>
              </w:rPr>
              <w:t>200 - standalone, not consolidated; NOT used, the panel is consolidated throughout</w:t>
            </w:r>
          </w:p>
        </w:tc>
        <w:tc>
          <w:tcPr>
            <w:tcW w:type="dxa" w:w="3456"/>
          </w:tcPr>
          <w:p>
            <w:pPr>
              <w:spacing w:after="20"/>
              <w:jc w:val="right"/>
            </w:pPr>
            <w:r>
              <w:rPr>
                <w:color w:val="1C3A36"/>
                <w:sz w:val="14"/>
              </w:rPr>
            </w:r>
          </w:p>
        </w:tc>
      </w:tr>
      <w:tr>
        <w:tc>
          <w:tcPr>
            <w:tcW w:type="dxa" w:w="2448"/>
          </w:tcPr>
          <w:p>
            <w:pPr>
              <w:spacing w:after="20"/>
            </w:pPr>
            <w:r>
              <w:rPr>
                <w:color w:val="1C3A36"/>
                <w:sz w:val="14"/>
              </w:rPr>
              <w:t>Board of Directors report FY2023</w:t>
            </w:r>
          </w:p>
        </w:tc>
        <w:tc>
          <w:tcPr>
            <w:tcW w:type="dxa" w:w="4176"/>
          </w:tcPr>
          <w:p>
            <w:pPr>
              <w:spacing w:after="20"/>
              <w:jc w:val="right"/>
            </w:pPr>
            <w:r>
              <w:rPr>
                <w:color w:val="1C3A36"/>
                <w:sz w:val="14"/>
              </w:rPr>
              <w:t>curl refused the unencoded space in the path; not retried, the FY2023 audited statements carry everything this run needs</w:t>
            </w:r>
          </w:p>
        </w:tc>
        <w:tc>
          <w:tcPr>
            <w:tcW w:type="dxa" w:w="3456"/>
          </w:tcPr>
          <w:p>
            <w:pPr>
              <w:spacing w:after="20"/>
              <w:jc w:val="right"/>
            </w:pPr>
            <w:r>
              <w:rPr>
                <w:color w:val="1C3A36"/>
                <w:sz w:val="14"/>
              </w:rPr>
            </w:r>
          </w:p>
        </w:tc>
      </w:tr>
      <w:tr>
        <w:tc>
          <w:tcPr>
            <w:tcW w:type="dxa" w:w="2448"/>
          </w:tcPr>
          <w:p>
            <w:pPr>
              <w:spacing w:after="20"/>
            </w:pPr>
            <w:r>
              <w:rPr>
                <w:color w:val="1C3A36"/>
                <w:sz w:val="14"/>
              </w:rPr>
              <w:t>A current Egyptian ten-year government bond yield</w:t>
            </w:r>
          </w:p>
        </w:tc>
        <w:tc>
          <w:tcPr>
            <w:tcW w:type="dxa" w:w="4176"/>
          </w:tcPr>
          <w:p>
            <w:pPr>
              <w:spacing w:after="20"/>
              <w:jc w:val="right"/>
            </w:pPr>
            <w:r>
              <w:rPr>
                <w:color w:val="1C3A36"/>
                <w:sz w:val="14"/>
              </w:rPr>
              <w:t>FOUR ROUTES, ALL FAILED on 9 September 2026: the central bank's treasury-bond auction pages return 404; its auction endpoint returns the website shell rather than data; two market-data providers render their yield tables in JavaScript, and one returns 403.</w:t>
            </w:r>
          </w:p>
        </w:tc>
        <w:tc>
          <w:tcPr>
            <w:tcW w:type="dxa" w:w="3456"/>
          </w:tcPr>
          <w:p>
            <w:pPr>
              <w:spacing w:after="20"/>
              <w:jc w:val="right"/>
            </w:pPr>
            <w:r>
              <w:rPr>
                <w:color w:val="1C3A36"/>
                <w:sz w:val="14"/>
              </w:rPr>
              <w:t>The 6 August 2026 quote of 23.00% held in the house macro path is carried and DECLARED STALE on the face of the register entry, in section 1.8 of the study and in the gap review. It is sensitised by 200 basis points either way. The only recent evidence found — a 21.29% average over late April to late May 2026 — is quoted beside it.</w:t>
            </w:r>
          </w:p>
        </w:tc>
      </w:tr>
      <w:tr>
        <w:tc>
          <w:tcPr>
            <w:tcW w:type="dxa" w:w="2448"/>
          </w:tcPr>
          <w:p>
            <w:pPr>
              <w:spacing w:after="20"/>
            </w:pPr>
            <w:r>
              <w:rPr>
                <w:color w:val="1C3A36"/>
                <w:sz w:val="14"/>
              </w:rPr>
              <w:t>Same-day book value for any Egyptian bank peer</w:t>
            </w:r>
          </w:p>
        </w:tc>
        <w:tc>
          <w:tcPr>
            <w:tcW w:type="dxa" w:w="4176"/>
          </w:tcPr>
          <w:p>
            <w:pPr>
              <w:spacing w:after="20"/>
              <w:jc w:val="right"/>
            </w:pPr>
            <w:r>
              <w:rPr>
                <w:color w:val="1C3A36"/>
                <w:sz w:val="14"/>
              </w:rPr>
              <w:t>NOT FOUND. One same-day peer PRICE is held (Commercial International Bank, EGP 138.98 on 3 September 2026). No peer book value, earnings or capital ratio could be sourced on the study date.</w:t>
            </w:r>
          </w:p>
        </w:tc>
        <w:tc>
          <w:tcPr>
            <w:tcW w:type="dxa" w:w="3456"/>
          </w:tcPr>
          <w:p>
            <w:pPr>
              <w:spacing w:after="20"/>
              <w:jc w:val="right"/>
            </w:pPr>
            <w:r>
              <w:rPr>
                <w:color w:val="1C3A36"/>
                <w:sz w:val="14"/>
              </w:rPr>
              <w:t>The relative-multiple lens is published as a BAND, carries no weight in the answer, and the hole is stated in the study's own Appendix B.</w:t>
            </w:r>
          </w:p>
        </w:tc>
      </w:tr>
      <w:tr>
        <w:tc>
          <w:tcPr>
            <w:tcW w:type="dxa" w:w="2448"/>
          </w:tcPr>
          <w:p>
            <w:pPr>
              <w:spacing w:after="20"/>
            </w:pPr>
            <w:r>
              <w:rPr>
                <w:color w:val="1C3A36"/>
                <w:sz w:val="14"/>
              </w:rPr>
              <w:t>The English FY2021 consolidated filing</w:t>
            </w:r>
          </w:p>
        </w:tc>
        <w:tc>
          <w:tcPr>
            <w:tcW w:type="dxa" w:w="4176"/>
          </w:tcPr>
          <w:p>
            <w:pPr>
              <w:spacing w:after="20"/>
              <w:jc w:val="right"/>
            </w:pPr>
            <w:r>
              <w:rPr>
                <w:color w:val="1C3A36"/>
                <w:sz w:val="14"/>
              </w:rPr>
              <w:t>DOES NOT EXIST on the issuer's site. The file published under that name is the ARABIC filing — 102 pages, no English statement page. Two alternative filenames return 404.</w:t>
            </w:r>
          </w:p>
        </w:tc>
        <w:tc>
          <w:tcPr>
            <w:tcW w:type="dxa" w:w="3456"/>
          </w:tcPr>
          <w:p>
            <w:pPr>
              <w:spacing w:after="20"/>
              <w:jc w:val="right"/>
            </w:pPr>
            <w:r>
              <w:rPr>
                <w:color w:val="1C3A36"/>
                <w:sz w:val="14"/>
              </w:rPr>
              <w:t>FY2021 is taken from the comparative column of the audited FY2022 statements. Tier A and the same issuer, but a comparative, which is the one row in the record where point-in-time discipline cannot be fully honoured.</w:t>
            </w:r>
          </w:p>
        </w:tc>
      </w:tr>
    </w:tbl>
    <w:p>
      <w:pPr>
        <w:spacing w:after="40"/>
      </w:pPr>
    </w:p>
    <w:p>
      <w:pPr>
        <w:spacing w:after="200" w:before="0"/>
      </w:pPr>
      <w:r>
        <w:rPr>
          <w:b w:val="0"/>
          <w:i/>
          <w:color w:val="6E7B77"/>
          <w:sz w:val="17"/>
        </w:rPr>
        <w:t>Table 4 — negative results.</w:t>
      </w:r>
    </w:p>
    <w:p>
      <w:pPr>
        <w:spacing w:after="120" w:before="280"/>
      </w:pPr>
      <w:r>
        <w:rPr>
          <w:b/>
          <w:i w:val="0"/>
          <w:color w:val="1C3A36"/>
          <w:sz w:val="30"/>
        </w:rPr>
        <w:t>5  Where two sources disagree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896"/>
        <w:gridCol w:w="5184"/>
      </w:tblGrid>
      <w:tr>
        <w:tc>
          <w:tcPr>
            <w:tcW w:type="dxa" w:w="4896"/>
            <w:shd w:val="clear" w:color="auto" w:fill="EAF0EE"/>
          </w:tcPr>
          <w:p>
            <w:pPr>
              <w:spacing w:after="20"/>
            </w:pPr>
            <w:r>
              <w:rPr>
                <w:b/>
                <w:color w:val="1C3A36"/>
                <w:sz w:val="15"/>
              </w:rPr>
              <w:t>The disagreement</w:t>
            </w:r>
          </w:p>
        </w:tc>
        <w:tc>
          <w:tcPr>
            <w:tcW w:type="dxa" w:w="5184"/>
            <w:shd w:val="clear" w:color="auto" w:fill="EAF0EE"/>
          </w:tcPr>
          <w:p>
            <w:pPr>
              <w:spacing w:after="20"/>
            </w:pPr>
            <w:r>
              <w:rPr>
                <w:b/>
                <w:color w:val="1C3A36"/>
                <w:sz w:val="15"/>
              </w:rPr>
              <w:t>How it was settled</w:t>
            </w:r>
          </w:p>
        </w:tc>
      </w:tr>
      <w:tr>
        <w:tc>
          <w:tcPr>
            <w:tcW w:type="dxa" w:w="4896"/>
          </w:tcPr>
          <w:p>
            <w:pPr>
              <w:spacing w:after="20"/>
            </w:pPr>
            <w:r>
              <w:rPr>
                <w:color w:val="1C3A36"/>
                <w:sz w:val="15"/>
              </w:rPr>
              <w:t>Six fiscal years are RESTATED by the following year's filing — FY2011, FY2014, FY2015, FY2016, FY2017 and FY2018 all carry different figures in their own report and in the next one. FY2017's administrative expenses are EGP 1,172.1 million in its own filing and EGP 1,015.4 million in the FY2018 comparative.</w:t>
            </w:r>
          </w:p>
        </w:tc>
        <w:tc>
          <w:tcPr>
            <w:tcW w:type="dxa" w:w="5184"/>
          </w:tcPr>
          <w:p>
            <w:pPr>
              <w:spacing w:after="20"/>
              <w:jc w:val="right"/>
            </w:pPr>
            <w:r>
              <w:rPr>
                <w:color w:val="1C3A36"/>
                <w:sz w:val="15"/>
              </w:rPr>
              <w:t>THE ORIGINAL IS USED and the restatement is recorded beside it, never substituted. Every one is listed in the walk-forward's own restatement register. A year read as its successor restated it is a year nobody could have read at the time.</w:t>
            </w:r>
          </w:p>
        </w:tc>
      </w:tr>
      <w:tr>
        <w:tc>
          <w:tcPr>
            <w:tcW w:type="dxa" w:w="4896"/>
          </w:tcPr>
          <w:p>
            <w:pPr>
              <w:spacing w:after="20"/>
            </w:pPr>
            <w:r>
              <w:rPr>
                <w:color w:val="1C3A36"/>
                <w:sz w:val="15"/>
              </w:rPr>
              <w:t>The FY2025 filing prints total assets of EGP 260,457,106 thousand for FY2024 in one place and the FY2024 filing prints EGP 260,467,106.</w:t>
            </w:r>
          </w:p>
        </w:tc>
        <w:tc>
          <w:tcPr>
            <w:tcW w:type="dxa" w:w="5184"/>
          </w:tcPr>
          <w:p>
            <w:pPr>
              <w:spacing w:after="20"/>
              <w:jc w:val="right"/>
            </w:pPr>
            <w:r>
              <w:rPr>
                <w:color w:val="1C3A36"/>
                <w:sz w:val="15"/>
              </w:rPr>
              <w:t>The equity block's own arithmetic settles it at 260,467,106: liabilities of 237,480,399 plus equity of 22,986,707 reproduce it exactly.</w:t>
            </w:r>
          </w:p>
        </w:tc>
      </w:tr>
      <w:tr>
        <w:tc>
          <w:tcPr>
            <w:tcW w:type="dxa" w:w="4896"/>
          </w:tcPr>
          <w:p>
            <w:pPr>
              <w:spacing w:after="20"/>
            </w:pPr>
            <w:r>
              <w:rPr>
                <w:color w:val="1C3A36"/>
                <w:sz w:val="15"/>
              </w:rPr>
              <w:t>The sovereign default spread is 3.42% in the cost-of-capital record used by the other Egyptian studies and 3.41% in the house macro path, from the same source file.</w:t>
            </w:r>
          </w:p>
        </w:tc>
        <w:tc>
          <w:tcPr>
            <w:tcW w:type="dxa" w:w="5184"/>
          </w:tcPr>
          <w:p>
            <w:pPr>
              <w:spacing w:after="20"/>
              <w:jc w:val="right"/>
            </w:pPr>
            <w:r>
              <w:rPr>
                <w:color w:val="1C3A36"/>
                <w:sz w:val="15"/>
              </w:rPr>
              <w:t>A rounding artefact of one basis point. The 3.42% figure is used so that this study's cost of equity is built from the same pair of numbers as every other Egyptian study in the book, and the difference is recorded here.</w:t>
            </w:r>
          </w:p>
        </w:tc>
      </w:tr>
      <w:tr>
        <w:tc>
          <w:tcPr>
            <w:tcW w:type="dxa" w:w="4896"/>
          </w:tcPr>
          <w:p>
            <w:pPr>
              <w:spacing w:after="20"/>
            </w:pPr>
            <w:r>
              <w:rPr>
                <w:color w:val="1C3A36"/>
                <w:sz w:val="15"/>
              </w:rPr>
              <w:t>The share price is EGP 54.40 in the site's own data file (23 August close) and EGP 52.05 in the supplied-price file (3 September close).</w:t>
            </w:r>
          </w:p>
        </w:tc>
        <w:tc>
          <w:tcPr>
            <w:tcW w:type="dxa" w:w="5184"/>
          </w:tcPr>
          <w:p>
            <w:pPr>
              <w:spacing w:after="20"/>
              <w:jc w:val="right"/>
            </w:pPr>
            <w:r>
              <w:rPr>
                <w:color w:val="1C3A36"/>
                <w:sz w:val="15"/>
              </w:rPr>
              <w:t>THE LATER ONE. A study audited against a price eleven days old is audited against its own past. The 23 August close is still used as the anchor for the probability map in section 3, because it is the last session in the price history, and the study says so in terms.</w:t>
            </w:r>
          </w:p>
        </w:tc>
      </w:tr>
    </w:tbl>
    <w:p>
      <w:pPr>
        <w:spacing w:after="40"/>
      </w:pPr>
    </w:p>
    <w:p>
      <w:pPr>
        <w:spacing w:after="200" w:before="0"/>
      </w:pPr>
      <w:r>
        <w:rPr>
          <w:b w:val="0"/>
          <w:i/>
          <w:color w:val="6E7B77"/>
          <w:sz w:val="17"/>
        </w:rPr>
        <w:t>Table 5 — disagreements, and which side was taken.</w:t>
      </w:r>
    </w:p>
    <w:p>
      <w:pPr>
        <w:spacing w:after="120" w:before="280"/>
      </w:pPr>
      <w:r>
        <w:rPr>
          <w:b/>
          <w:i w:val="0"/>
          <w:color w:val="1C3A36"/>
          <w:sz w:val="30"/>
        </w:rPr>
        <w:t>6  What is not disclosed</w:t>
      </w:r>
    </w:p>
    <w:p>
      <w:pPr>
        <w:spacing w:after="120" w:before="0"/>
      </w:pPr>
      <w:r>
        <w:rPr>
          <w:b w:val="0"/>
          <w:i w:val="0"/>
          <w:color w:val="1C3A36"/>
          <w:sz w:val="21"/>
        </w:rPr>
        <w:t>The limits of the record, stated so nobody has to discover them.</w:t>
      </w:r>
    </w:p>
    <w:p>
      <w:pPr>
        <w:pStyle w:val="ListBullet"/>
        <w:spacing w:after="60"/>
      </w:pPr>
      <w:r>
        <w:rPr>
          <w:color w:val="1C3A36"/>
          <w:sz w:val="21"/>
        </w:rPr>
        <w:t>NO SPLIT OF FINANCING by retail, corporate or small business, and no split of deposits by account type. The low-cost funding share — the single most useful number in judging how a bank's funding cost behaves in an easing cycle — cannot be computed, and no assumption is made about it.</w:t>
      </w:r>
    </w:p>
    <w:p>
      <w:pPr>
        <w:pStyle w:val="ListBullet"/>
        <w:spacing w:after="60"/>
      </w:pPr>
      <w:r>
        <w:rPr>
          <w:color w:val="1C3A36"/>
          <w:sz w:val="21"/>
        </w:rPr>
        <w:t>NO NON-PERFORMING RATIO AND NO COVERAGE RATIO in any of the eighteen statements parsed. The cost-of-risk driver is therefore built on the charge, not on the stock of bad assets, and there is no way to check whether the June 2026 release reflects recoveries, write-offs or a change in the loss model.</w:t>
      </w:r>
    </w:p>
    <w:p>
      <w:pPr>
        <w:pStyle w:val="ListBullet"/>
        <w:spacing w:after="60"/>
      </w:pPr>
      <w:r>
        <w:rPr>
          <w:color w:val="1C3A36"/>
          <w:sz w:val="21"/>
        </w:rPr>
        <w:t>NO GEOGRAPHIC OR PRODUCT SEGMENT NOTE.</w:t>
      </w:r>
    </w:p>
    <w:p>
      <w:pPr>
        <w:pStyle w:val="ListBullet"/>
        <w:spacing w:after="60"/>
      </w:pPr>
      <w:r>
        <w:rPr>
          <w:color w:val="1C3A36"/>
          <w:sz w:val="21"/>
        </w:rPr>
        <w:t>NO NUMERIC FORWARD GUIDANCE. Nothing management publishes is consumed as an input to this model, and there is nothing to score.</w:t>
      </w:r>
    </w:p>
    <w:p>
      <w:pPr>
        <w:pStyle w:val="ListBullet"/>
        <w:spacing w:after="60"/>
      </w:pPr>
      <w:r>
        <w:rPr>
          <w:color w:val="1C3A36"/>
          <w:sz w:val="21"/>
        </w:rPr>
        <w:t>THE FILED EARNINGS-PER-SHARE FIGURES CANNOT BE REPRODUCED from attributable profit and the year-end share count, and this study says so rather than reverse-engineering a deduction the equity statement does not show. FY2025 prints EGP 11.25 on attributable profit of EGP 12,588.6 million, implying about 1,119 million weighted shares against a year-end 1,200 million; FY2024 prints EGP 14.02 implying about 643 million against a year-end 600 million. Every per-share figure in this study is attributable profit over the SHARE COUNT AT THE PERIOD END, which is stated, reproducible, and different from the filed EPS.</w:t>
      </w:r>
    </w:p>
    <w:p>
      <w:pPr>
        <w:pStyle w:val="ListBullet"/>
        <w:spacing w:after="60"/>
      </w:pPr>
      <w:r>
        <w:rPr>
          <w:color w:val="1C3A36"/>
          <w:sz w:val="21"/>
        </w:rPr>
        <w:t>THE FY2025 EQUITY RECONCILIATION LEAVES EGP 110.5 MILLION UNEXPLAINED. Retained earnings move from 15,815.3 to 20,963.2 while attributable profit is 12,588.6, dividends paid 1,055.9, the reserve transfer 495.4 and the capital increase 6,000.0 — which closes to within 110.5, or 0.9% of the profit. It is recorded rather than assigned.</w:t>
      </w:r>
    </w:p>
    <w:p>
      <w:pPr>
        <w:spacing w:after="120" w:before="280"/>
      </w:pPr>
      <w:r>
        <w:rPr>
          <w:b/>
          <w:i w:val="0"/>
          <w:color w:val="1C3A36"/>
          <w:sz w:val="30"/>
        </w:rPr>
        <w:t>7  Market and macro data</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1584"/>
        <w:gridCol w:w="1152"/>
        <w:gridCol w:w="5472"/>
      </w:tblGrid>
      <w:tr>
        <w:tc>
          <w:tcPr>
            <w:tcW w:type="dxa" w:w="1872"/>
            <w:shd w:val="clear" w:color="auto" w:fill="EAF0EE"/>
          </w:tcPr>
          <w:p>
            <w:pPr>
              <w:spacing w:after="20"/>
            </w:pPr>
            <w:r>
              <w:rPr>
                <w:b/>
                <w:color w:val="1C3A36"/>
                <w:sz w:val="13"/>
              </w:rPr>
              <w:t>Item</w:t>
            </w:r>
          </w:p>
        </w:tc>
        <w:tc>
          <w:tcPr>
            <w:tcW w:type="dxa" w:w="1584"/>
            <w:shd w:val="clear" w:color="auto" w:fill="EAF0EE"/>
          </w:tcPr>
          <w:p>
            <w:pPr>
              <w:spacing w:after="20"/>
            </w:pPr>
            <w:r>
              <w:rPr>
                <w:b/>
                <w:color w:val="1C3A36"/>
                <w:sz w:val="13"/>
              </w:rPr>
              <w:t>Value</w:t>
            </w:r>
          </w:p>
        </w:tc>
        <w:tc>
          <w:tcPr>
            <w:tcW w:type="dxa" w:w="1152"/>
            <w:shd w:val="clear" w:color="auto" w:fill="EAF0EE"/>
          </w:tcPr>
          <w:p>
            <w:pPr>
              <w:spacing w:after="20"/>
            </w:pPr>
            <w:r>
              <w:rPr>
                <w:b/>
                <w:color w:val="1C3A36"/>
                <w:sz w:val="13"/>
              </w:rPr>
              <w:t>Date</w:t>
            </w:r>
          </w:p>
        </w:tc>
        <w:tc>
          <w:tcPr>
            <w:tcW w:type="dxa" w:w="5472"/>
            <w:shd w:val="clear" w:color="auto" w:fill="EAF0EE"/>
          </w:tcPr>
          <w:p>
            <w:pPr>
              <w:spacing w:after="20"/>
            </w:pPr>
            <w:r>
              <w:rPr>
                <w:b/>
                <w:color w:val="1C3A36"/>
                <w:sz w:val="13"/>
              </w:rPr>
              <w:t>Source</w:t>
            </w:r>
          </w:p>
        </w:tc>
      </w:tr>
      <w:tr>
        <w:tc>
          <w:tcPr>
            <w:tcW w:type="dxa" w:w="1872"/>
          </w:tcPr>
          <w:p>
            <w:pPr>
              <w:spacing w:after="20"/>
            </w:pPr>
            <w:r>
              <w:rPr>
                <w:color w:val="1C3A36"/>
                <w:sz w:val="13"/>
              </w:rPr>
              <w:t>spot</w:t>
            </w:r>
          </w:p>
        </w:tc>
        <w:tc>
          <w:tcPr>
            <w:tcW w:type="dxa" w:w="1584"/>
          </w:tcPr>
          <w:p>
            <w:pPr>
              <w:spacing w:after="20"/>
              <w:jc w:val="right"/>
            </w:pPr>
            <w:r>
              <w:rPr>
                <w:color w:val="1C3A36"/>
                <w:sz w:val="13"/>
              </w:rPr>
              <w:t>52.05</w:t>
            </w:r>
          </w:p>
        </w:tc>
        <w:tc>
          <w:tcPr>
            <w:tcW w:type="dxa" w:w="1152"/>
          </w:tcPr>
          <w:p>
            <w:pPr>
              <w:spacing w:after="20"/>
              <w:jc w:val="right"/>
            </w:pPr>
            <w:r>
              <w:rPr>
                <w:color w:val="1C3A36"/>
                <w:sz w:val="13"/>
              </w:rPr>
              <w:t>2026-09-03</w:t>
            </w:r>
          </w:p>
        </w:tc>
        <w:tc>
          <w:tcPr>
            <w:tcW w:type="dxa" w:w="5472"/>
          </w:tcPr>
          <w:p>
            <w:pPr>
              <w:spacing w:after="20"/>
              <w:jc w:val="right"/>
            </w:pPr>
            <w:r>
              <w:rPr>
                <w:color w:val="1C3A36"/>
                <w:sz w:val="13"/>
              </w:rPr>
              <w:t>EGP 52.05, the close on 3 September 2026, supplied by the principal and committed to the house price file for that date. THIS IS THE LATEST KNOWN PRICE and it is the one the gap is measured against. The published site still carries 54.40 at the 23 August close, which is 11 days older; a study audited against its own past is audi</w:t>
            </w:r>
          </w:p>
        </w:tc>
      </w:tr>
      <w:tr>
        <w:tc>
          <w:tcPr>
            <w:tcW w:type="dxa" w:w="1872"/>
          </w:tcPr>
          <w:p>
            <w:pPr>
              <w:spacing w:after="20"/>
            </w:pPr>
            <w:r>
              <w:rPr>
                <w:color w:val="1C3A36"/>
                <w:sz w:val="13"/>
              </w:rPr>
              <w:t>peer comi price</w:t>
            </w:r>
          </w:p>
        </w:tc>
        <w:tc>
          <w:tcPr>
            <w:tcW w:type="dxa" w:w="1584"/>
          </w:tcPr>
          <w:p>
            <w:pPr>
              <w:spacing w:after="20"/>
              <w:jc w:val="right"/>
            </w:pPr>
            <w:r>
              <w:rPr>
                <w:color w:val="1C3A36"/>
                <w:sz w:val="13"/>
              </w:rPr>
              <w:t>138.98</w:t>
            </w:r>
          </w:p>
        </w:tc>
        <w:tc>
          <w:tcPr>
            <w:tcW w:type="dxa" w:w="1152"/>
          </w:tcPr>
          <w:p>
            <w:pPr>
              <w:spacing w:after="20"/>
              <w:jc w:val="right"/>
            </w:pPr>
            <w:r>
              <w:rPr>
                <w:color w:val="1C3A36"/>
                <w:sz w:val="13"/>
              </w:rPr>
              <w:t>2026-09-03</w:t>
            </w:r>
          </w:p>
        </w:tc>
        <w:tc>
          <w:tcPr>
            <w:tcW w:type="dxa" w:w="5472"/>
          </w:tcPr>
          <w:p>
            <w:pPr>
              <w:spacing w:after="20"/>
              <w:jc w:val="right"/>
            </w:pPr>
            <w:r>
              <w:rPr>
                <w:color w:val="1C3A36"/>
                <w:sz w:val="13"/>
              </w:rPr>
              <w:t>Commercial International Bank (EGX: COMI), EGP 138.98, the close on 3 September 2026 from the committed price file — the same file, the same date and the same supplier as ADIB's own price, so the two are struck on one day.</w:t>
            </w:r>
          </w:p>
        </w:tc>
      </w:tr>
      <w:tr>
        <w:tc>
          <w:tcPr>
            <w:tcW w:type="dxa" w:w="1872"/>
          </w:tcPr>
          <w:p>
            <w:pPr>
              <w:spacing w:after="20"/>
            </w:pPr>
            <w:r>
              <w:rPr>
                <w:color w:val="1C3A36"/>
                <w:sz w:val="13"/>
              </w:rPr>
              <w:t>beta</w:t>
            </w:r>
          </w:p>
        </w:tc>
        <w:tc>
          <w:tcPr>
            <w:tcW w:type="dxa" w:w="1584"/>
          </w:tcPr>
          <w:p>
            <w:pPr>
              <w:spacing w:after="20"/>
              <w:jc w:val="right"/>
            </w:pPr>
            <w:r>
              <w:rPr>
                <w:color w:val="1C3A36"/>
                <w:sz w:val="13"/>
              </w:rPr>
              <w:t>1.07469</w:t>
            </w:r>
          </w:p>
        </w:tc>
        <w:tc>
          <w:tcPr>
            <w:tcW w:type="dxa" w:w="1152"/>
          </w:tcPr>
          <w:p>
            <w:pPr>
              <w:spacing w:after="20"/>
              <w:jc w:val="right"/>
            </w:pPr>
            <w:r>
              <w:rPr>
                <w:color w:val="1C3A36"/>
                <w:sz w:val="13"/>
              </w:rPr>
              <w:t>2026-09-08</w:t>
            </w:r>
          </w:p>
        </w:tc>
        <w:tc>
          <w:tcPr>
            <w:tcW w:type="dxa" w:w="5472"/>
          </w:tcPr>
          <w:p>
            <w:pPr>
              <w:spacing w:after="20"/>
              <w:jc w:val="right"/>
            </w:pPr>
            <w:r>
              <w:rPr>
                <w:color w:val="1C3A36"/>
                <w:sz w:val="13"/>
              </w:rPr>
              <w:t>Own-stock first-tier weekly regression against EGX30 — THE PUBLISHED INDEX OF THE EXCHANGE THIS STOCK IS LISTED ON — resolved by beta_regression.own_stock_beta() rather than hand-rolled. Beta 1.0747, R-squared 0.248, n = 256 weekly observations over 4.94 years to 2026-08-20, standard error 0.1634, 90% confidence interval [0.806,</w:t>
            </w:r>
          </w:p>
        </w:tc>
      </w:tr>
      <w:tr>
        <w:tc>
          <w:tcPr>
            <w:tcW w:type="dxa" w:w="1872"/>
          </w:tcPr>
          <w:p>
            <w:pPr>
              <w:spacing w:after="20"/>
            </w:pPr>
            <w:r>
              <w:rPr>
                <w:color w:val="1C3A36"/>
                <w:sz w:val="13"/>
              </w:rPr>
              <w:t>rf</w:t>
            </w:r>
          </w:p>
        </w:tc>
        <w:tc>
          <w:tcPr>
            <w:tcW w:type="dxa" w:w="1584"/>
          </w:tcPr>
          <w:p>
            <w:pPr>
              <w:spacing w:after="20"/>
              <w:jc w:val="right"/>
            </w:pPr>
            <w:r>
              <w:rPr>
                <w:color w:val="1C3A36"/>
                <w:sz w:val="13"/>
              </w:rPr>
              <w:t>0.23</w:t>
            </w:r>
          </w:p>
        </w:tc>
        <w:tc>
          <w:tcPr>
            <w:tcW w:type="dxa" w:w="1152"/>
          </w:tcPr>
          <w:p>
            <w:pPr>
              <w:spacing w:after="20"/>
              <w:jc w:val="right"/>
            </w:pPr>
            <w:r>
              <w:rPr>
                <w:color w:val="1C3A36"/>
                <w:sz w:val="13"/>
              </w:rPr>
              <w:t>2026-08-06</w:t>
            </w:r>
          </w:p>
        </w:tc>
        <w:tc>
          <w:tcPr>
            <w:tcW w:type="dxa" w:w="5472"/>
          </w:tcPr>
          <w:p>
            <w:pPr>
              <w:spacing w:after="20"/>
              <w:jc w:val="right"/>
            </w:pPr>
            <w:r>
              <w:rPr>
                <w:color w:val="1C3A36"/>
                <w:sz w:val="13"/>
              </w:rPr>
              <w:t>Egypt ten-year EGP government bond yield, 23.00%, the quote of 6 August 2026 held in the house macroeconomic path and already used by the PHDC, EGCH and PHAR cost-of-capital records. IT IS 34 DAYS OLD AGAINST THIS STUDY'S PRICING DATE AND THE HOUSE PATH'S OWN 14-DAY STALENESS RULE FLAGS IT AS STALE. A live re-source was attempte</w:t>
            </w:r>
          </w:p>
        </w:tc>
      </w:tr>
      <w:tr>
        <w:tc>
          <w:tcPr>
            <w:tcW w:type="dxa" w:w="1872"/>
          </w:tcPr>
          <w:p>
            <w:pPr>
              <w:spacing w:after="20"/>
            </w:pPr>
            <w:r>
              <w:rPr>
                <w:color w:val="1C3A36"/>
                <w:sz w:val="13"/>
              </w:rPr>
              <w:t>sov default spread</w:t>
            </w:r>
          </w:p>
        </w:tc>
        <w:tc>
          <w:tcPr>
            <w:tcW w:type="dxa" w:w="1584"/>
          </w:tcPr>
          <w:p>
            <w:pPr>
              <w:spacing w:after="20"/>
              <w:jc w:val="right"/>
            </w:pPr>
            <w:r>
              <w:rPr>
                <w:color w:val="1C3A36"/>
                <w:sz w:val="13"/>
              </w:rPr>
              <w:t>0.0342</w:t>
            </w:r>
          </w:p>
        </w:tc>
        <w:tc>
          <w:tcPr>
            <w:tcW w:type="dxa" w:w="1152"/>
          </w:tcPr>
          <w:p>
            <w:pPr>
              <w:spacing w:after="20"/>
              <w:jc w:val="right"/>
            </w:pPr>
            <w:r>
              <w:rPr>
                <w:color w:val="1C3A36"/>
                <w:sz w:val="13"/>
              </w:rPr>
              <w:t>2026-07-02</w:t>
            </w:r>
          </w:p>
        </w:tc>
        <w:tc>
          <w:tcPr>
            <w:tcW w:type="dxa" w:w="5472"/>
          </w:tcPr>
          <w:p>
            <w:pPr>
              <w:spacing w:after="20"/>
              <w:jc w:val="right"/>
            </w:pPr>
            <w:r>
              <w:rPr>
                <w:color w:val="1C3A36"/>
                <w:sz w:val="13"/>
              </w:rPr>
              <w:t>Egypt sovereign credit-default-swap spread, 3.42%, mid-year (July 2026) vintage of the country default-spread dataset, Egypt row, "Sovereign CDS net of Swiss CDS". Netted out of the local-currency risk-free rate so that sovereign default risk is charged ONCE, inside the equity risk premium, and not twice. The house macroeconomic</w:t>
            </w:r>
          </w:p>
        </w:tc>
      </w:tr>
      <w:tr>
        <w:tc>
          <w:tcPr>
            <w:tcW w:type="dxa" w:w="1872"/>
          </w:tcPr>
          <w:p>
            <w:pPr>
              <w:spacing w:after="20"/>
            </w:pPr>
            <w:r>
              <w:rPr>
                <w:color w:val="1C3A36"/>
                <w:sz w:val="13"/>
              </w:rPr>
              <w:t>erp</w:t>
            </w:r>
          </w:p>
        </w:tc>
        <w:tc>
          <w:tcPr>
            <w:tcW w:type="dxa" w:w="1584"/>
          </w:tcPr>
          <w:p>
            <w:pPr>
              <w:spacing w:after="20"/>
              <w:jc w:val="right"/>
            </w:pPr>
            <w:r>
              <w:rPr>
                <w:color w:val="1C3A36"/>
                <w:sz w:val="13"/>
              </w:rPr>
              <w:t>0.095164</w:t>
            </w:r>
          </w:p>
        </w:tc>
        <w:tc>
          <w:tcPr>
            <w:tcW w:type="dxa" w:w="1152"/>
          </w:tcPr>
          <w:p>
            <w:pPr>
              <w:spacing w:after="20"/>
              <w:jc w:val="right"/>
            </w:pPr>
            <w:r>
              <w:rPr>
                <w:color w:val="1C3A36"/>
                <w:sz w:val="13"/>
              </w:rPr>
              <w:t>2026-07-02</w:t>
            </w:r>
          </w:p>
        </w:tc>
        <w:tc>
          <w:tcPr>
            <w:tcW w:type="dxa" w:w="5472"/>
          </w:tcPr>
          <w:p>
            <w:pPr>
              <w:spacing w:after="20"/>
              <w:jc w:val="right"/>
            </w:pPr>
            <w:r>
              <w:rPr>
                <w:color w:val="1C3A36"/>
                <w:sz w:val="13"/>
              </w:rPr>
              <w:t>Egypt TOTAL equity risk premium on the sovereign-CDS basis, 9.5164%, same mid-year vintage. This is the dataset's TOTAL premium column, not its country premium column — the total is what multiplies beta. The country risk premium alone on this basis is 5.3164% and is NOT added on top.</w:t>
            </w:r>
          </w:p>
        </w:tc>
      </w:tr>
      <w:tr>
        <w:tc>
          <w:tcPr>
            <w:tcW w:type="dxa" w:w="1872"/>
          </w:tcPr>
          <w:p>
            <w:pPr>
              <w:spacing w:after="20"/>
            </w:pPr>
            <w:r>
              <w:rPr>
                <w:color w:val="1C3A36"/>
                <w:sz w:val="13"/>
              </w:rPr>
              <w:t>rf terminal</w:t>
            </w:r>
          </w:p>
        </w:tc>
        <w:tc>
          <w:tcPr>
            <w:tcW w:type="dxa" w:w="1584"/>
          </w:tcPr>
          <w:p>
            <w:pPr>
              <w:spacing w:after="20"/>
              <w:jc w:val="right"/>
            </w:pPr>
            <w:r>
              <w:rPr>
                <w:color w:val="1C3A36"/>
                <w:sz w:val="13"/>
              </w:rPr>
              <w:t>0.105</w:t>
            </w:r>
          </w:p>
        </w:tc>
        <w:tc>
          <w:tcPr>
            <w:tcW w:type="dxa" w:w="1152"/>
          </w:tcPr>
          <w:p>
            <w:pPr>
              <w:spacing w:after="20"/>
              <w:jc w:val="right"/>
            </w:pPr>
            <w:r>
              <w:rPr>
                <w:color w:val="1C3A36"/>
                <w:sz w:val="13"/>
              </w:rPr>
              <w:t>2026-09-02</w:t>
            </w:r>
          </w:p>
        </w:tc>
        <w:tc>
          <w:tcPr>
            <w:tcW w:type="dxa" w:w="5472"/>
          </w:tcPr>
          <w:p>
            <w:pPr>
              <w:spacing w:after="20"/>
              <w:jc w:val="right"/>
            </w:pPr>
            <w:r>
              <w:rPr>
                <w:color w:val="1C3A36"/>
                <w:sz w:val="13"/>
              </w:rPr>
              <w:t>Terminal risk-free rate, DERIVED and never quoted: terminal inflation of 7.00% (the CBE target-band midpoint in force) plus the 5.50% emerging-market terminal real convention. It cannot disagree with the inflation the rest of the model runs on because it is computed from it.</w:t>
            </w:r>
          </w:p>
        </w:tc>
      </w:tr>
      <w:tr>
        <w:tc>
          <w:tcPr>
            <w:tcW w:type="dxa" w:w="1872"/>
          </w:tcPr>
          <w:p>
            <w:pPr>
              <w:spacing w:after="20"/>
            </w:pPr>
            <w:r>
              <w:rPr>
                <w:color w:val="1C3A36"/>
                <w:sz w:val="13"/>
              </w:rPr>
              <w:t>erp terminal</w:t>
            </w:r>
          </w:p>
        </w:tc>
        <w:tc>
          <w:tcPr>
            <w:tcW w:type="dxa" w:w="1584"/>
          </w:tcPr>
          <w:p>
            <w:pPr>
              <w:spacing w:after="20"/>
              <w:jc w:val="right"/>
            </w:pPr>
            <w:r>
              <w:rPr>
                <w:color w:val="1C3A36"/>
                <w:sz w:val="13"/>
              </w:rPr>
              <w:t>0.07</w:t>
            </w:r>
          </w:p>
        </w:tc>
        <w:tc>
          <w:tcPr>
            <w:tcW w:type="dxa" w:w="1152"/>
          </w:tcPr>
          <w:p>
            <w:pPr>
              <w:spacing w:after="20"/>
              <w:jc w:val="right"/>
            </w:pPr>
            <w:r>
              <w:rPr>
                <w:color w:val="1C3A36"/>
                <w:sz w:val="13"/>
              </w:rPr>
              <w:t>2026-09-02</w:t>
            </w:r>
          </w:p>
        </w:tc>
        <w:tc>
          <w:tcPr>
            <w:tcW w:type="dxa" w:w="5472"/>
          </w:tcPr>
          <w:p>
            <w:pPr>
              <w:spacing w:after="20"/>
              <w:jc w:val="right"/>
            </w:pPr>
            <w:r>
              <w:rPr>
                <w:color w:val="1C3A36"/>
                <w:sz w:val="13"/>
              </w:rPr>
              <w:t>Terminal equity risk premium, 7.00%, normalised below today's crisis-era level toward the rating-class norm; never held flat into perpetuity.</w:t>
            </w:r>
          </w:p>
        </w:tc>
      </w:tr>
      <w:tr>
        <w:tc>
          <w:tcPr>
            <w:tcW w:type="dxa" w:w="1872"/>
          </w:tcPr>
          <w:p>
            <w:pPr>
              <w:spacing w:after="20"/>
            </w:pPr>
            <w:r>
              <w:rPr>
                <w:color w:val="1C3A36"/>
                <w:sz w:val="13"/>
              </w:rPr>
              <w:t>terminal growth</w:t>
            </w:r>
          </w:p>
        </w:tc>
        <w:tc>
          <w:tcPr>
            <w:tcW w:type="dxa" w:w="1584"/>
          </w:tcPr>
          <w:p>
            <w:pPr>
              <w:spacing w:after="20"/>
              <w:jc w:val="right"/>
            </w:pPr>
            <w:r>
              <w:rPr>
                <w:color w:val="1C3A36"/>
                <w:sz w:val="13"/>
              </w:rPr>
              <w:t>0.07</w:t>
            </w:r>
          </w:p>
        </w:tc>
        <w:tc>
          <w:tcPr>
            <w:tcW w:type="dxa" w:w="1152"/>
          </w:tcPr>
          <w:p>
            <w:pPr>
              <w:spacing w:after="20"/>
              <w:jc w:val="right"/>
            </w:pPr>
            <w:r>
              <w:rPr>
                <w:color w:val="1C3A36"/>
                <w:sz w:val="13"/>
              </w:rPr>
              <w:t>2026-09-02</w:t>
            </w:r>
          </w:p>
        </w:tc>
        <w:tc>
          <w:tcPr>
            <w:tcW w:type="dxa" w:w="5472"/>
          </w:tcPr>
          <w:p>
            <w:pPr>
              <w:spacing w:after="20"/>
              <w:jc w:val="right"/>
            </w:pPr>
            <w:r>
              <w:rPr>
                <w:color w:val="1C3A36"/>
                <w:sz w:val="13"/>
              </w:rPr>
              <w:t>Terminal growth 7.00% = terminal inflation, ZERO REAL. For a bank in an economy whose private credit is 26% of GDP that is deliberately conservative: it assumes ADIB-Egypt stops taking share and stops participating in credit deepening the moment the explicit window closes. It sits BELOW the 12.50% terminal risk-free rate and equ</w:t>
            </w:r>
          </w:p>
        </w:tc>
      </w:tr>
      <w:tr>
        <w:tc>
          <w:tcPr>
            <w:tcW w:type="dxa" w:w="1872"/>
          </w:tcPr>
          <w:p>
            <w:pPr>
              <w:spacing w:after="20"/>
            </w:pPr>
            <w:r>
              <w:rPr>
                <w:color w:val="1C3A36"/>
                <w:sz w:val="13"/>
              </w:rPr>
              <w:t>inflation path</w:t>
            </w:r>
          </w:p>
        </w:tc>
        <w:tc>
          <w:tcPr>
            <w:tcW w:type="dxa" w:w="1584"/>
          </w:tcPr>
          <w:p>
            <w:pPr>
              <w:spacing w:after="20"/>
              <w:jc w:val="right"/>
            </w:pPr>
            <w:r>
              <w:rPr>
                <w:color w:val="1C3A36"/>
                <w:sz w:val="13"/>
              </w:rPr>
              <w:t>0.16 / 0.12 / 0.09 / 0.075 /</w:t>
            </w:r>
          </w:p>
        </w:tc>
        <w:tc>
          <w:tcPr>
            <w:tcW w:type="dxa" w:w="1152"/>
          </w:tcPr>
          <w:p>
            <w:pPr>
              <w:spacing w:after="20"/>
              <w:jc w:val="right"/>
            </w:pPr>
            <w:r>
              <w:rPr>
                <w:color w:val="1C3A36"/>
                <w:sz w:val="13"/>
              </w:rPr>
              <w:t>2026-09-02</w:t>
            </w:r>
          </w:p>
        </w:tc>
        <w:tc>
          <w:tcPr>
            <w:tcW w:type="dxa" w:w="5472"/>
          </w:tcPr>
          <w:p>
            <w:pPr>
              <w:spacing w:after="20"/>
              <w:jc w:val="right"/>
            </w:pPr>
            <w:r>
              <w:rPr>
                <w:color w:val="1C3A36"/>
                <w:sz w:val="13"/>
              </w:rPr>
              <w:t>Central Bank of Egypt baseline average annual headline inflation, 16.0% in 2026 and 12.0% in 2027 (Q1-2026 Monetary Policy Report as reported 11 May 2026); 2028-2030 interpolated on the bank's own glide between the published 2027 baseline and the 7% target-band midpoint, labelled as interpolation and never presented as a central</w:t>
            </w:r>
          </w:p>
        </w:tc>
      </w:tr>
      <w:tr>
        <w:tc>
          <w:tcPr>
            <w:tcW w:type="dxa" w:w="1872"/>
          </w:tcPr>
          <w:p>
            <w:pPr>
              <w:spacing w:after="20"/>
            </w:pPr>
            <w:r>
              <w:rPr>
                <w:color w:val="1C3A36"/>
                <w:sz w:val="13"/>
              </w:rPr>
              <w:t>policy rate path</w:t>
            </w:r>
          </w:p>
        </w:tc>
        <w:tc>
          <w:tcPr>
            <w:tcW w:type="dxa" w:w="1584"/>
          </w:tcPr>
          <w:p>
            <w:pPr>
              <w:spacing w:after="20"/>
              <w:jc w:val="right"/>
            </w:pPr>
            <w:r>
              <w:rPr>
                <w:color w:val="1C3A36"/>
                <w:sz w:val="13"/>
              </w:rPr>
              <w:t xml:space="preserve">0.19 / 0.165 / 0.145 / 0.13 </w:t>
            </w:r>
          </w:p>
        </w:tc>
        <w:tc>
          <w:tcPr>
            <w:tcW w:type="dxa" w:w="1152"/>
          </w:tcPr>
          <w:p>
            <w:pPr>
              <w:spacing w:after="20"/>
              <w:jc w:val="right"/>
            </w:pPr>
            <w:r>
              <w:rPr>
                <w:color w:val="1C3A36"/>
                <w:sz w:val="13"/>
              </w:rPr>
              <w:t>2026-08-20</w:t>
            </w:r>
          </w:p>
        </w:tc>
        <w:tc>
          <w:tcPr>
            <w:tcW w:type="dxa" w:w="5472"/>
          </w:tcPr>
          <w:p>
            <w:pPr>
              <w:spacing w:after="20"/>
              <w:jc w:val="right"/>
            </w:pPr>
            <w:r>
              <w:rPr>
                <w:color w:val="1C3A36"/>
                <w:sz w:val="13"/>
              </w:rPr>
              <w:t>Overnight deposit rate 19.00% now, gliding 19.00 -&gt; 16.50 -&gt; 14.50 -&gt; 13.00 -&gt; 12.00 with the published inflation path at an approximately constant real policy rate. Held for a fourth consecutive meeting on 20 August 2026. This is the SHAPE input for the asset-yield and cost-of-funds paths below; it is not a second free paramete</w:t>
            </w:r>
          </w:p>
        </w:tc>
      </w:tr>
    </w:tbl>
    <w:p>
      <w:pPr>
        <w:spacing w:after="40"/>
      </w:pPr>
    </w:p>
    <w:p>
      <w:pPr>
        <w:spacing w:after="200" w:before="0"/>
      </w:pPr>
      <w:r>
        <w:rPr>
          <w:b w:val="0"/>
          <w:i/>
          <w:color w:val="6E7B77"/>
          <w:sz w:val="17"/>
        </w:rPr>
        <w:t>Table 6 — market and macro inputs. These are the only figures in this study that are not the company's own disclosure.</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