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10 September 2026  ·  Reporting and valuation currency: Egyptian pounds  ·  Anchor price EGP 14.41 at the close of 2026-09-03</w:t>
      </w:r>
    </w:p>
    <w:p>
      <w:pPr>
        <w:keepNext/>
        <w:spacing w:after="120" w:before="280"/>
      </w:pPr>
      <w:r>
        <w:rPr>
          <w:b/>
          <w:i w:val="0"/>
          <w:color w:val="1C3A36"/>
          <w:sz w:val="30"/>
        </w:rPr>
        <w:t>Read first</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5.10 a share if the capital programme is carried through and EGP 8.63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4.35 and EGP 16.05 a share. It trades at EGP 14.41. The gap is not a rounding difference between the lenses: it is the whole disagreement. The multiple lens, on the range Egyptian fertilizer producers actually trade at, centres at EGP 16.05 — above the traded price — and it reaches that answer only by never asking what the capital programme does to cash. THE TWO LENSES THAT DO ASK SPLIT ON THE ANSWER, and the split is the study: carrying the programme through gives EGP 5.10 and stopping it gives EGP 8.63 — a difference of EGP 3.53 a share that is what the capital costs its owners. Both sit below the traded price, and so does normalised earnings at EGP 4.35.</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13.2%,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25.6% to 16.9%, terminal growth 7.0%</w:t>
            </w:r>
          </w:p>
        </w:tc>
        <w:tc>
          <w:tcPr>
            <w:tcW w:type="dxa" w:w="1512"/>
          </w:tcPr>
          <w:p>
            <w:pPr>
              <w:spacing w:after="20"/>
              <w:jc w:val="right"/>
            </w:pPr>
            <w:r>
              <w:rPr>
                <w:color w:val="1C3A36"/>
                <w:sz w:val="15"/>
              </w:rPr>
              <w:t>1.01 to 5.45</w:t>
            </w:r>
          </w:p>
        </w:tc>
        <w:tc>
          <w:tcPr>
            <w:tcW w:type="dxa" w:w="1008"/>
          </w:tcPr>
          <w:p>
            <w:pPr>
              <w:spacing w:after="20"/>
              <w:jc w:val="right"/>
            </w:pPr>
            <w:r>
              <w:rPr>
                <w:color w:val="1C3A36"/>
                <w:sz w:val="15"/>
              </w:rPr>
              <w:t>5.10</w:t>
            </w:r>
          </w:p>
        </w:tc>
        <w:tc>
          <w:tcPr>
            <w:tcW w:type="dxa" w:w="936"/>
          </w:tcPr>
          <w:p>
            <w:pPr>
              <w:spacing w:after="20"/>
              <w:jc w:val="right"/>
            </w:pPr>
            <w:r>
              <w:rPr>
                <w:color w:val="1C3A36"/>
                <w:sz w:val="15"/>
              </w:rPr>
              <w:t>-65%</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5.63 to 8.70</w:t>
            </w:r>
          </w:p>
        </w:tc>
        <w:tc>
          <w:tcPr>
            <w:tcW w:type="dxa" w:w="1008"/>
          </w:tcPr>
          <w:p>
            <w:pPr>
              <w:spacing w:after="20"/>
              <w:jc w:val="right"/>
            </w:pPr>
            <w:r>
              <w:rPr>
                <w:color w:val="1C3A36"/>
                <w:sz w:val="15"/>
              </w:rPr>
              <w:t>8.63</w:t>
            </w:r>
          </w:p>
        </w:tc>
        <w:tc>
          <w:tcPr>
            <w:tcW w:type="dxa" w:w="936"/>
          </w:tcPr>
          <w:p>
            <w:pPr>
              <w:spacing w:after="20"/>
              <w:jc w:val="right"/>
            </w:pPr>
            <w:r>
              <w:rPr>
                <w:color w:val="1C3A36"/>
                <w:sz w:val="15"/>
              </w:rPr>
              <w:t>-40%</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11.33 to 20.77</w:t>
            </w:r>
          </w:p>
        </w:tc>
        <w:tc>
          <w:tcPr>
            <w:tcW w:type="dxa" w:w="1008"/>
          </w:tcPr>
          <w:p>
            <w:pPr>
              <w:spacing w:after="20"/>
              <w:jc w:val="right"/>
            </w:pPr>
            <w:r>
              <w:rPr>
                <w:color w:val="1C3A36"/>
                <w:sz w:val="15"/>
              </w:rPr>
              <w:t>16.05</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2.84 to 5.86</w:t>
            </w:r>
          </w:p>
        </w:tc>
        <w:tc>
          <w:tcPr>
            <w:tcW w:type="dxa" w:w="1008"/>
          </w:tcPr>
          <w:p>
            <w:pPr>
              <w:spacing w:after="20"/>
              <w:jc w:val="right"/>
            </w:pPr>
            <w:r>
              <w:rPr>
                <w:color w:val="1C3A36"/>
                <w:sz w:val="15"/>
              </w:rPr>
              <w:t>4.35</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29.1%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5.10 with the capital programme carried through — the company's own stated plan — and EGP 8.63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4.35 to 16.05</w:t>
            </w:r>
          </w:p>
        </w:tc>
        <w:tc>
          <w:tcPr>
            <w:tcW w:type="dxa" w:w="1008"/>
            <w:shd w:val="clear" w:color="auto" w:fill="F6F1E6"/>
          </w:tcPr>
          <w:p>
            <w:pPr>
              <w:spacing w:after="20"/>
              <w:jc w:val="right"/>
            </w:pPr>
            <w:r>
              <w:rPr>
                <w:b/>
                <w:color w:val="1C3A36"/>
                <w:sz w:val="15"/>
              </w:rPr>
              <w:t>5.10</w:t>
            </w:r>
          </w:p>
        </w:tc>
        <w:tc>
          <w:tcPr>
            <w:tcW w:type="dxa" w:w="936"/>
            <w:shd w:val="clear" w:color="auto" w:fill="F6F1E6"/>
          </w:tcPr>
          <w:p>
            <w:pPr>
              <w:spacing w:after="20"/>
              <w:jc w:val="right"/>
            </w:pPr>
            <w:r>
              <w:rPr>
                <w:b/>
                <w:color w:val="1C3A36"/>
                <w:sz w:val="15"/>
              </w:rPr>
              <w:t>-65%</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A 10% ad-valorem export duty charged on every export tonne, for ever</w:t>
            </w:r>
          </w:p>
        </w:tc>
        <w:tc>
          <w:tcPr>
            <w:tcW w:type="dxa" w:w="3960"/>
          </w:tcPr>
          <w:p>
            <w:pPr>
              <w:spacing w:after="20"/>
            </w:pPr>
            <w:r>
              <w:rPr>
                <w:color w:val="1C3A36"/>
                <w:sz w:val="15"/>
              </w:rPr>
              <w:t>No duty at all (8.0748) or half the rate (6.5857)</w:t>
            </w:r>
          </w:p>
        </w:tc>
        <w:tc>
          <w:tcPr>
            <w:tcW w:type="dxa" w:w="1512"/>
          </w:tcPr>
          <w:p>
            <w:pPr>
              <w:spacing w:after="20"/>
              <w:jc w:val="right"/>
            </w:pPr>
            <w:r>
              <w:rPr>
                <w:color w:val="1C3A36"/>
                <w:sz w:val="15"/>
              </w:rPr>
              <w:t>—</w:t>
            </w:r>
          </w:p>
        </w:tc>
        <w:tc>
          <w:tcPr>
            <w:tcW w:type="dxa" w:w="1008"/>
          </w:tcPr>
          <w:p>
            <w:pPr>
              <w:spacing w:after="20"/>
              <w:jc w:val="right"/>
            </w:pPr>
            <w:r>
              <w:rPr>
                <w:color w:val="1C3A36"/>
                <w:sz w:val="15"/>
              </w:rPr>
              <w:t>8.07</w:t>
            </w:r>
          </w:p>
        </w:tc>
        <w:tc>
          <w:tcPr>
            <w:tcW w:type="dxa" w:w="936"/>
          </w:tcPr>
          <w:p>
            <w:pPr>
              <w:spacing w:after="20"/>
              <w:jc w:val="right"/>
            </w:pPr>
            <w:r>
              <w:rPr>
                <w:color w:val="1C3A36"/>
                <w:sz w:val="15"/>
              </w:rPr>
              <w:t>-44%</w:t>
            </w:r>
          </w:p>
        </w:tc>
      </w:tr>
      <w:tr>
        <w:trPr>
          <w:cantSplit/>
        </w:trPr>
        <w:tc>
          <w:tcPr>
            <w:tcW w:type="dxa" w:w="2232"/>
          </w:tcPr>
          <w:p>
            <w:pPr>
              <w:spacing w:after="20"/>
            </w:pPr>
            <w:r>
              <w:rPr>
                <w:color w:val="1C3A36"/>
                <w:sz w:val="15"/>
              </w:rPr>
              <w:t>The new complex's granulated ammonium nitrate priced at the SAME PRODUCT'S OWN DISCLOSED REALISED PRICE — EGP 20,000/t from note 20, carried on the currency exactly as the existing nitrate business is</w:t>
            </w:r>
          </w:p>
        </w:tc>
        <w:tc>
          <w:tcPr>
            <w:tcW w:type="dxa" w:w="3960"/>
          </w:tcPr>
          <w:p>
            <w:pPr>
              <w:spacing w:after="20"/>
            </w:pPr>
            <w:r>
              <w:rPr>
                <w:color w:val="1C3A36"/>
                <w:sz w:val="15"/>
              </w:rPr>
              <w:t>Priced at the retired typed US$280/t, the weakest-sourced input in a 304-input register, whose source string was four words long and named no assessor, series, date or basis (4.5220)</w:t>
            </w:r>
          </w:p>
        </w:tc>
        <w:tc>
          <w:tcPr>
            <w:tcW w:type="dxa" w:w="1512"/>
          </w:tcPr>
          <w:p>
            <w:pPr>
              <w:spacing w:after="20"/>
              <w:jc w:val="right"/>
            </w:pPr>
            <w:r>
              <w:rPr>
                <w:color w:val="1C3A36"/>
                <w:sz w:val="15"/>
              </w:rPr>
              <w:t>—</w:t>
            </w:r>
          </w:p>
        </w:tc>
        <w:tc>
          <w:tcPr>
            <w:tcW w:type="dxa" w:w="1008"/>
          </w:tcPr>
          <w:p>
            <w:pPr>
              <w:spacing w:after="20"/>
              <w:jc w:val="right"/>
            </w:pPr>
            <w:r>
              <w:rPr>
                <w:color w:val="1C3A36"/>
                <w:sz w:val="15"/>
              </w:rPr>
              <w:t>4.52</w:t>
            </w:r>
          </w:p>
        </w:tc>
        <w:tc>
          <w:tcPr>
            <w:tcW w:type="dxa" w:w="936"/>
          </w:tcPr>
          <w:p>
            <w:pPr>
              <w:spacing w:after="20"/>
              <w:jc w:val="right"/>
            </w:pPr>
            <w:r>
              <w:rPr>
                <w:color w:val="1C3A36"/>
                <w:sz w:val="15"/>
              </w:rPr>
              <w:t>-69%</w:t>
            </w:r>
          </w:p>
        </w:tc>
      </w:tr>
      <w:tr>
        <w:trPr>
          <w:cantSplit/>
        </w:trPr>
        <w:tc>
          <w:tcPr>
            <w:tcW w:type="dxa" w:w="2232"/>
          </w:tcPr>
          <w:p>
            <w:pPr>
              <w:spacing w:after="20"/>
            </w:pPr>
            <w:r>
              <w:rPr>
                <w:color w:val="1C3A36"/>
                <w:sz w:val="15"/>
              </w:rPr>
              <w:t>Country risk priced off the sovereign's traded default swap</w:t>
            </w:r>
          </w:p>
        </w:tc>
        <w:tc>
          <w:tcPr>
            <w:tcW w:type="dxa" w:w="3960"/>
          </w:tcPr>
          <w:p>
            <w:pPr>
              <w:spacing w:after="20"/>
            </w:pPr>
            <w:r>
              <w:rPr>
                <w:color w:val="1C3A36"/>
                <w:sz w:val="15"/>
              </w:rPr>
              <w:t>Priced off the sovereign's credit rating instead, which is the wider of the two spreads and gives a cost of capital 104 basis points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3.01</w:t>
            </w:r>
          </w:p>
        </w:tc>
        <w:tc>
          <w:tcPr>
            <w:tcW w:type="dxa" w:w="936"/>
          </w:tcPr>
          <w:p>
            <w:pPr>
              <w:spacing w:after="20"/>
              <w:jc w:val="right"/>
            </w:pPr>
            <w:r>
              <w:rPr>
                <w:color w:val="1C3A36"/>
                <w:sz w:val="15"/>
              </w:rPr>
              <w:t>-79%</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1.24</w:t>
            </w:r>
          </w:p>
        </w:tc>
        <w:tc>
          <w:tcPr>
            <w:tcW w:type="dxa" w:w="936"/>
          </w:tcPr>
          <w:p>
            <w:pPr>
              <w:spacing w:after="20"/>
              <w:jc w:val="right"/>
            </w:pPr>
            <w:r>
              <w:rPr>
                <w:color w:val="1C3A36"/>
                <w:sz w:val="15"/>
              </w:rPr>
              <w:t>-91%</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2.87</w:t>
            </w:r>
          </w:p>
        </w:tc>
        <w:tc>
          <w:tcPr>
            <w:tcW w:type="dxa" w:w="936"/>
          </w:tcPr>
          <w:p>
            <w:pPr>
              <w:spacing w:after="20"/>
              <w:jc w:val="right"/>
            </w:pPr>
            <w:r>
              <w:rPr>
                <w:color w:val="1C3A36"/>
                <w:sz w:val="15"/>
              </w:rPr>
              <w:t>-80%</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3.49</w:t>
            </w:r>
          </w:p>
        </w:tc>
        <w:tc>
          <w:tcPr>
            <w:tcW w:type="dxa" w:w="936"/>
          </w:tcPr>
          <w:p>
            <w:pPr>
              <w:spacing w:after="20"/>
              <w:jc w:val="right"/>
            </w:pPr>
            <w:r>
              <w:rPr>
                <w:color w:val="1C3A36"/>
                <w:sz w:val="15"/>
              </w:rPr>
              <w:t>-76%</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6.05</w:t>
            </w:r>
          </w:p>
        </w:tc>
        <w:tc>
          <w:tcPr>
            <w:tcW w:type="dxa" w:w="936"/>
          </w:tcPr>
          <w:p>
            <w:pPr>
              <w:spacing w:after="20"/>
              <w:jc w:val="right"/>
            </w:pPr>
            <w:r>
              <w:rPr>
                <w:color w:val="1C3A36"/>
                <w:sz w:val="15"/>
              </w:rPr>
              <w:t>-58%</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2.09</w:t>
            </w:r>
          </w:p>
        </w:tc>
        <w:tc>
          <w:tcPr>
            <w:tcW w:type="dxa" w:w="936"/>
          </w:tcPr>
          <w:p>
            <w:pPr>
              <w:spacing w:after="20"/>
              <w:jc w:val="right"/>
            </w:pPr>
            <w:r>
              <w:rPr>
                <w:color w:val="1C3A36"/>
                <w:sz w:val="15"/>
              </w:rPr>
              <w:t>-85%</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5.83</w:t>
            </w:r>
          </w:p>
        </w:tc>
        <w:tc>
          <w:tcPr>
            <w:tcW w:type="dxa" w:w="936"/>
          </w:tcPr>
          <w:p>
            <w:pPr>
              <w:spacing w:after="20"/>
              <w:jc w:val="right"/>
            </w:pPr>
            <w:r>
              <w:rPr>
                <w:color w:val="1C3A36"/>
                <w:sz w:val="15"/>
              </w:rPr>
              <w:t>-60%</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4.18</w:t>
            </w:r>
          </w:p>
        </w:tc>
        <w:tc>
          <w:tcPr>
            <w:tcW w:type="dxa" w:w="936"/>
          </w:tcPr>
          <w:p>
            <w:pPr>
              <w:spacing w:after="20"/>
              <w:jc w:val="right"/>
            </w:pPr>
            <w:r>
              <w:rPr>
                <w:color w:val="1C3A36"/>
                <w:sz w:val="15"/>
              </w:rPr>
              <w:t>-71%</w:t>
            </w:r>
          </w:p>
        </w:tc>
      </w:tr>
      <w:tr>
        <w:trPr>
          <w:cantSplit/>
        </w:trPr>
        <w:tc>
          <w:tcPr>
            <w:tcW w:type="dxa" w:w="2232"/>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3960"/>
          </w:tcPr>
          <w:p>
            <w:pPr>
              <w:spacing w:after="20"/>
            </w:pPr>
            <w:r>
              <w:rPr>
                <w:color w:val="1C3A36"/>
                <w:sz w:val="15"/>
              </w:rPr>
              <w:t>Half the 22.1-year life the same accounts imply, 11.04 years, which is what has to be assumed where a company does not disclose enough to measure it</w:t>
            </w:r>
          </w:p>
        </w:tc>
        <w:tc>
          <w:tcPr>
            <w:tcW w:type="dxa" w:w="1512"/>
          </w:tcPr>
          <w:p>
            <w:pPr>
              <w:spacing w:after="20"/>
              <w:jc w:val="right"/>
            </w:pPr>
            <w:r>
              <w:rPr>
                <w:color w:val="1C3A36"/>
                <w:sz w:val="15"/>
              </w:rPr>
              <w:t>—</w:t>
            </w:r>
          </w:p>
        </w:tc>
        <w:tc>
          <w:tcPr>
            <w:tcW w:type="dxa" w:w="1008"/>
          </w:tcPr>
          <w:p>
            <w:pPr>
              <w:spacing w:after="20"/>
              <w:jc w:val="right"/>
            </w:pPr>
            <w:r>
              <w:rPr>
                <w:color w:val="1C3A36"/>
                <w:sz w:val="15"/>
              </w:rPr>
              <w:t>2.48</w:t>
            </w:r>
          </w:p>
        </w:tc>
        <w:tc>
          <w:tcPr>
            <w:tcW w:type="dxa" w:w="936"/>
          </w:tcPr>
          <w:p>
            <w:pPr>
              <w:spacing w:after="20"/>
              <w:jc w:val="right"/>
            </w:pPr>
            <w:r>
              <w:rPr>
                <w:color w:val="1C3A36"/>
                <w:sz w:val="15"/>
              </w:rPr>
              <w:t>-83%</w:t>
            </w:r>
          </w:p>
        </w:tc>
      </w:tr>
      <w:tr>
        <w:trPr>
          <w:cantSplit/>
        </w:trPr>
        <w:tc>
          <w:tcPr>
            <w:tcW w:type="dxa" w:w="2232"/>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3960"/>
          </w:tcPr>
          <w:p>
            <w:pPr>
              <w:spacing w:after="20"/>
            </w:pPr>
            <w:r>
              <w:rPr>
                <w:color w:val="1C3A36"/>
                <w:sz w:val="15"/>
              </w:rPr>
              <w:t>The auditor's own disclosed STANDARD rate of 1,200 cubic metres a tonne, which is what the plant consumes when it runs to specification and excludes the losses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6.03</w:t>
            </w:r>
          </w:p>
        </w:tc>
        <w:tc>
          <w:tcPr>
            <w:tcW w:type="dxa" w:w="936"/>
          </w:tcPr>
          <w:p>
            <w:pPr>
              <w:spacing w:after="20"/>
              <w:jc w:val="right"/>
            </w:pPr>
            <w:r>
              <w:rPr>
                <w:color w:val="1C3A36"/>
                <w:sz w:val="15"/>
              </w:rPr>
              <w:t>-58%</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4.89</w:t>
            </w:r>
          </w:p>
        </w:tc>
        <w:tc>
          <w:tcPr>
            <w:tcW w:type="dxa" w:w="936"/>
          </w:tcPr>
          <w:p>
            <w:pPr>
              <w:spacing w:after="20"/>
              <w:jc w:val="right"/>
            </w:pPr>
            <w:r>
              <w:rPr>
                <w:color w:val="1C3A36"/>
                <w:sz w:val="15"/>
              </w:rPr>
              <w:t>-66%</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83.3%</w:t>
            </w:r>
          </w:p>
        </w:tc>
        <w:tc>
          <w:tcPr>
            <w:tcW w:type="dxa" w:w="2736"/>
          </w:tcPr>
          <w:p>
            <w:pPr>
              <w:spacing w:after="20"/>
              <w:jc w:val="right"/>
            </w:pPr>
            <w:r>
              <w:rPr>
                <w:color w:val="1C3A36"/>
                <w:sz w:val="17"/>
              </w:rPr>
              <w:t>57.4%</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2,761 million on the carried-through case, so the terminal block carries 83.3%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3.00 a share. The narrowest is terminal growth, worth EGP 2.22.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4,812</w:t>
            </w:r>
          </w:p>
        </w:tc>
        <w:tc>
          <w:tcPr>
            <w:tcW w:type="dxa" w:w="1426"/>
            <w:shd w:val="clear" w:color="auto" w:fill="F6F1E6"/>
          </w:tcPr>
          <w:p>
            <w:pPr>
              <w:spacing w:after="20"/>
              <w:jc w:val="right"/>
            </w:pPr>
            <w:r>
              <w:rPr>
                <w:b/>
                <w:color w:val="1C3A36"/>
                <w:sz w:val="16"/>
              </w:rPr>
              <w:t>5,203</w:t>
            </w:r>
          </w:p>
        </w:tc>
        <w:tc>
          <w:tcPr>
            <w:tcW w:type="dxa" w:w="1426"/>
            <w:shd w:val="clear" w:color="auto" w:fill="F6F1E6"/>
          </w:tcPr>
          <w:p>
            <w:pPr>
              <w:spacing w:after="20"/>
              <w:jc w:val="right"/>
            </w:pPr>
            <w:r>
              <w:rPr>
                <w:b/>
                <w:color w:val="1C3A36"/>
                <w:sz w:val="16"/>
              </w:rPr>
              <w:t>5,492</w:t>
            </w:r>
          </w:p>
        </w:tc>
        <w:tc>
          <w:tcPr>
            <w:tcW w:type="dxa" w:w="1426"/>
            <w:shd w:val="clear" w:color="auto" w:fill="F6F1E6"/>
          </w:tcPr>
          <w:p>
            <w:pPr>
              <w:spacing w:after="20"/>
              <w:jc w:val="right"/>
            </w:pPr>
            <w:r>
              <w:rPr>
                <w:b/>
                <w:color w:val="1C3A36"/>
                <w:sz w:val="16"/>
              </w:rPr>
              <w:t>5,746</w:t>
            </w:r>
          </w:p>
        </w:tc>
        <w:tc>
          <w:tcPr>
            <w:tcW w:type="dxa" w:w="1426"/>
            <w:shd w:val="clear" w:color="auto" w:fill="F6F1E6"/>
          </w:tcPr>
          <w:p>
            <w:pPr>
              <w:spacing w:after="20"/>
              <w:jc w:val="right"/>
            </w:pPr>
            <w:r>
              <w:rPr>
                <w:b/>
                <w:color w:val="1C3A36"/>
                <w:sz w:val="16"/>
              </w:rPr>
              <w:t>5,987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3,921</w:t>
            </w:r>
          </w:p>
        </w:tc>
        <w:tc>
          <w:tcPr>
            <w:tcW w:type="dxa" w:w="1426"/>
            <w:shd w:val="clear" w:color="auto" w:fill="F6F1E6"/>
          </w:tcPr>
          <w:p>
            <w:pPr>
              <w:spacing w:after="20"/>
              <w:jc w:val="right"/>
            </w:pPr>
            <w:r>
              <w:rPr>
                <w:b/>
                <w:color w:val="1C3A36"/>
                <w:sz w:val="16"/>
              </w:rPr>
              <w:t>4,194</w:t>
            </w:r>
          </w:p>
        </w:tc>
        <w:tc>
          <w:tcPr>
            <w:tcW w:type="dxa" w:w="1426"/>
            <w:shd w:val="clear" w:color="auto" w:fill="F6F1E6"/>
          </w:tcPr>
          <w:p>
            <w:pPr>
              <w:spacing w:after="20"/>
              <w:jc w:val="right"/>
            </w:pPr>
            <w:r>
              <w:rPr>
                <w:b/>
                <w:color w:val="1C3A36"/>
                <w:sz w:val="16"/>
              </w:rPr>
              <w:t>4,346</w:t>
            </w:r>
          </w:p>
        </w:tc>
        <w:tc>
          <w:tcPr>
            <w:tcW w:type="dxa" w:w="1426"/>
            <w:shd w:val="clear" w:color="auto" w:fill="F6F1E6"/>
          </w:tcPr>
          <w:p>
            <w:pPr>
              <w:spacing w:after="20"/>
              <w:jc w:val="right"/>
            </w:pPr>
            <w:r>
              <w:rPr>
                <w:b/>
                <w:color w:val="1C3A36"/>
                <w:sz w:val="16"/>
              </w:rPr>
              <w:t>4,453</w:t>
            </w:r>
          </w:p>
        </w:tc>
        <w:tc>
          <w:tcPr>
            <w:tcW w:type="dxa" w:w="1426"/>
            <w:shd w:val="clear" w:color="auto" w:fill="F6F1E6"/>
          </w:tcPr>
          <w:p>
            <w:pPr>
              <w:spacing w:after="20"/>
              <w:jc w:val="right"/>
            </w:pPr>
            <w:r>
              <w:rPr>
                <w:b/>
                <w:color w:val="1C3A36"/>
                <w:sz w:val="16"/>
              </w:rPr>
              <w:t>4,553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3,039</w:t>
            </w:r>
          </w:p>
        </w:tc>
        <w:tc>
          <w:tcPr>
            <w:tcW w:type="dxa" w:w="1426"/>
          </w:tcPr>
          <w:p>
            <w:pPr>
              <w:spacing w:after="20"/>
              <w:jc w:val="right"/>
            </w:pPr>
            <w:r>
              <w:rPr>
                <w:color w:val="1C3A36"/>
                <w:sz w:val="16"/>
              </w:rPr>
              <w:t>3,251</w:t>
            </w:r>
          </w:p>
        </w:tc>
        <w:tc>
          <w:tcPr>
            <w:tcW w:type="dxa" w:w="1426"/>
          </w:tcPr>
          <w:p>
            <w:pPr>
              <w:spacing w:after="20"/>
              <w:jc w:val="right"/>
            </w:pPr>
            <w:r>
              <w:rPr>
                <w:color w:val="1C3A36"/>
                <w:sz w:val="16"/>
              </w:rPr>
              <w:t>3,368</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3,529</w:t>
            </w:r>
          </w:p>
        </w:tc>
      </w:tr>
      <w:tr>
        <w:trPr>
          <w:cantSplit/>
        </w:trPr>
        <w:tc>
          <w:tcPr>
            <w:tcW w:type="dxa" w:w="2952"/>
          </w:tcPr>
          <w:p>
            <w:pPr>
              <w:spacing w:after="20"/>
            </w:pPr>
            <w:r>
              <w:rPr>
                <w:color w:val="1C3A36"/>
                <w:sz w:val="16"/>
              </w:rPr>
              <w:t>Depreciation added back</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Change in working capital — a release adds, a build subtracts</w:t>
            </w:r>
          </w:p>
        </w:tc>
        <w:tc>
          <w:tcPr>
            <w:tcW w:type="dxa" w:w="1426"/>
          </w:tcPr>
          <w:p>
            <w:pPr>
              <w:spacing w:after="20"/>
              <w:jc w:val="right"/>
            </w:pPr>
            <w:r>
              <w:rPr>
                <w:color w:val="1C3A36"/>
                <w:sz w:val="16"/>
              </w:rPr>
              <w:t>-619</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581</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25.63%</w:t>
            </w:r>
          </w:p>
        </w:tc>
        <w:tc>
          <w:tcPr>
            <w:tcW w:type="dxa" w:w="1426"/>
          </w:tcPr>
          <w:p>
            <w:pPr>
              <w:spacing w:after="20"/>
              <w:jc w:val="right"/>
            </w:pPr>
            <w:r>
              <w:rPr>
                <w:color w:val="1C3A36"/>
                <w:sz w:val="16"/>
              </w:rPr>
              <w:t>23.42%</w:t>
            </w:r>
          </w:p>
        </w:tc>
        <w:tc>
          <w:tcPr>
            <w:tcW w:type="dxa" w:w="1426"/>
          </w:tcPr>
          <w:p>
            <w:pPr>
              <w:spacing w:after="20"/>
              <w:jc w:val="right"/>
            </w:pPr>
            <w:r>
              <w:rPr>
                <w:color w:val="1C3A36"/>
                <w:sz w:val="16"/>
              </w:rPr>
              <w:t>21.58%</w:t>
            </w:r>
          </w:p>
        </w:tc>
        <w:tc>
          <w:tcPr>
            <w:tcW w:type="dxa" w:w="1426"/>
          </w:tcPr>
          <w:p>
            <w:pPr>
              <w:spacing w:after="20"/>
              <w:jc w:val="right"/>
            </w:pPr>
            <w:r>
              <w:rPr>
                <w:color w:val="1C3A36"/>
                <w:sz w:val="16"/>
              </w:rPr>
              <w:t>20.09%</w:t>
            </w:r>
          </w:p>
        </w:tc>
        <w:tc>
          <w:tcPr>
            <w:tcW w:type="dxa" w:w="1426"/>
          </w:tcPr>
          <w:p>
            <w:pPr>
              <w:spacing w:after="20"/>
              <w:jc w:val="right"/>
            </w:pPr>
            <w:r>
              <w:rPr>
                <w:color w:val="1C3A36"/>
                <w:sz w:val="16"/>
              </w:rPr>
              <w:t>18.82%</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0.7960</w:t>
            </w:r>
          </w:p>
        </w:tc>
        <w:tc>
          <w:tcPr>
            <w:tcW w:type="dxa" w:w="1426"/>
          </w:tcPr>
          <w:p>
            <w:pPr>
              <w:spacing w:after="20"/>
              <w:jc w:val="right"/>
            </w:pPr>
            <w:r>
              <w:rPr>
                <w:color w:val="1C3A36"/>
                <w:sz w:val="16"/>
              </w:rPr>
              <w:t>0.6449</w:t>
            </w:r>
          </w:p>
        </w:tc>
        <w:tc>
          <w:tcPr>
            <w:tcW w:type="dxa" w:w="1426"/>
          </w:tcPr>
          <w:p>
            <w:pPr>
              <w:spacing w:after="20"/>
              <w:jc w:val="right"/>
            </w:pPr>
            <w:r>
              <w:rPr>
                <w:color w:val="1C3A36"/>
                <w:sz w:val="16"/>
              </w:rPr>
              <w:t>0.5305</w:t>
            </w:r>
          </w:p>
        </w:tc>
        <w:tc>
          <w:tcPr>
            <w:tcW w:type="dxa" w:w="1426"/>
          </w:tcPr>
          <w:p>
            <w:pPr>
              <w:spacing w:after="20"/>
              <w:jc w:val="right"/>
            </w:pPr>
            <w:r>
              <w:rPr>
                <w:color w:val="1C3A36"/>
                <w:sz w:val="16"/>
              </w:rPr>
              <w:t>0.4417</w:t>
            </w:r>
          </w:p>
        </w:tc>
        <w:tc>
          <w:tcPr>
            <w:tcW w:type="dxa" w:w="1426"/>
          </w:tcPr>
          <w:p>
            <w:pPr>
              <w:spacing w:after="20"/>
              <w:jc w:val="right"/>
            </w:pPr>
            <w:r>
              <w:rPr>
                <w:color w:val="1C3A36"/>
                <w:sz w:val="16"/>
              </w:rPr>
              <w:t>0.3718</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463</w:t>
            </w:r>
          </w:p>
        </w:tc>
        <w:tc>
          <w:tcPr>
            <w:tcW w:type="dxa" w:w="1426"/>
            <w:shd w:val="clear" w:color="auto" w:fill="F6F1E6"/>
          </w:tcPr>
          <w:p>
            <w:pPr>
              <w:spacing w:after="20"/>
              <w:jc w:val="right"/>
            </w:pPr>
            <w:r>
              <w:rPr>
                <w:b/>
                <w:color w:val="1C3A36"/>
                <w:sz w:val="16"/>
              </w:rPr>
              <w:t>515</w:t>
            </w:r>
          </w:p>
        </w:tc>
        <w:tc>
          <w:tcPr>
            <w:tcW w:type="dxa" w:w="1426"/>
            <w:shd w:val="clear" w:color="auto" w:fill="F6F1E6"/>
          </w:tcPr>
          <w:p>
            <w:pPr>
              <w:spacing w:after="20"/>
              <w:jc w:val="right"/>
            </w:pPr>
            <w:r>
              <w:rPr>
                <w:b/>
                <w:color w:val="1C3A36"/>
                <w:sz w:val="16"/>
              </w:rPr>
              <w:t>464</w:t>
            </w:r>
          </w:p>
        </w:tc>
        <w:tc>
          <w:tcPr>
            <w:tcW w:type="dxa" w:w="1426"/>
            <w:shd w:val="clear" w:color="auto" w:fill="F6F1E6"/>
          </w:tcPr>
          <w:p>
            <w:pPr>
              <w:spacing w:after="20"/>
              <w:jc w:val="right"/>
            </w:pPr>
            <w:r>
              <w:rPr>
                <w:b/>
                <w:color w:val="1C3A36"/>
                <w:sz w:val="16"/>
              </w:rPr>
              <w:t>531</w:t>
            </w:r>
          </w:p>
        </w:tc>
        <w:tc>
          <w:tcPr>
            <w:tcW w:type="dxa" w:w="1426"/>
            <w:shd w:val="clear" w:color="auto" w:fill="F6F1E6"/>
          </w:tcPr>
          <w:p>
            <w:pPr>
              <w:spacing w:after="20"/>
              <w:jc w:val="right"/>
            </w:pPr>
            <w:r>
              <w:rPr>
                <w:b/>
                <w:color w:val="1C3A36"/>
                <w:sz w:val="16"/>
              </w:rPr>
              <w:t>789</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2,761</w:t>
            </w:r>
          </w:p>
        </w:tc>
        <w:tc>
          <w:tcPr>
            <w:tcW w:type="dxa" w:w="2808"/>
          </w:tcPr>
          <w:p>
            <w:pPr>
              <w:spacing w:after="20"/>
              <w:jc w:val="right"/>
            </w:pPr>
            <w:r>
              <w:rPr>
                <w:color w:val="1C3A36"/>
                <w:sz w:val="17"/>
              </w:rPr>
              <w:t>10,005</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13,732</w:t>
            </w:r>
          </w:p>
        </w:tc>
        <w:tc>
          <w:tcPr>
            <w:tcW w:type="dxa" w:w="2808"/>
          </w:tcPr>
          <w:p>
            <w:pPr>
              <w:spacing w:after="20"/>
              <w:jc w:val="right"/>
            </w:pPr>
            <w:r>
              <w:rPr>
                <w:color w:val="1C3A36"/>
                <w:sz w:val="17"/>
              </w:rPr>
              <w:t>13,504</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16,493</w:t>
            </w:r>
          </w:p>
        </w:tc>
        <w:tc>
          <w:tcPr>
            <w:tcW w:type="dxa" w:w="2808"/>
            <w:shd w:val="clear" w:color="auto" w:fill="F6F1E6"/>
          </w:tcPr>
          <w:p>
            <w:pPr>
              <w:spacing w:after="20"/>
              <w:jc w:val="right"/>
            </w:pPr>
            <w:r>
              <w:rPr>
                <w:b/>
                <w:color w:val="1C3A36"/>
                <w:sz w:val="17"/>
              </w:rPr>
              <w:t>23,509</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83.3%</w:t>
            </w:r>
          </w:p>
        </w:tc>
        <w:tc>
          <w:tcPr>
            <w:tcW w:type="dxa" w:w="2808"/>
            <w:shd w:val="clear" w:color="auto" w:fill="F6F1E6"/>
          </w:tcPr>
          <w:p>
            <w:pPr>
              <w:spacing w:after="20"/>
              <w:jc w:val="right"/>
            </w:pPr>
            <w:r>
              <w:rPr>
                <w:b/>
                <w:color w:val="1C3A36"/>
                <w:sz w:val="17"/>
              </w:rPr>
              <w:t>57.4%</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1,509</w:t>
            </w:r>
          </w:p>
        </w:tc>
        <w:tc>
          <w:tcPr>
            <w:tcW w:type="dxa" w:w="2808"/>
          </w:tcPr>
          <w:p>
            <w:pPr>
              <w:spacing w:after="20"/>
              <w:jc w:val="right"/>
            </w:pPr>
            <w:r>
              <w:rPr>
                <w:color w:val="1C3A36"/>
                <w:sz w:val="17"/>
              </w:rPr>
              <w:t>1,509</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10,125</w:t>
            </w:r>
          </w:p>
        </w:tc>
        <w:tc>
          <w:tcPr>
            <w:tcW w:type="dxa" w:w="2808"/>
            <w:shd w:val="clear" w:color="auto" w:fill="F6F1E6"/>
          </w:tcPr>
          <w:p>
            <w:pPr>
              <w:spacing w:after="20"/>
              <w:jc w:val="right"/>
            </w:pPr>
            <w:r>
              <w:rPr>
                <w:b/>
                <w:color w:val="1C3A36"/>
                <w:sz w:val="17"/>
              </w:rPr>
              <w:t>17,141</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5.10</w:t>
            </w:r>
          </w:p>
        </w:tc>
        <w:tc>
          <w:tcPr>
            <w:tcW w:type="dxa" w:w="2808"/>
            <w:shd w:val="clear" w:color="auto" w:fill="F6F1E6"/>
          </w:tcPr>
          <w:p>
            <w:pPr>
              <w:spacing w:after="20"/>
              <w:jc w:val="right"/>
            </w:pPr>
            <w:r>
              <w:rPr>
                <w:b/>
                <w:color w:val="1C3A36"/>
                <w:sz w:val="17"/>
              </w:rPr>
              <w:t>8.63</w:t>
            </w:r>
          </w:p>
        </w:tc>
      </w:tr>
    </w:tbl>
    <w:p>
      <w:pPr>
        <w:spacing w:after="40"/>
      </w:pPr>
    </w:p>
    <w:p>
      <w:pPr>
        <w:spacing w:after="200" w:before="0"/>
      </w:pPr>
      <w:r>
        <w:rPr>
          <w:b w:val="0"/>
          <w:i/>
          <w:color w:val="6E7B77"/>
          <w:sz w:val="17"/>
        </w:rPr>
        <w:t>Table 5.  Net debt of EGP 10,032 million stands against an enterprise value of EGP 16,493 million that the cash flows support, so the equity in the carried-through column is the narrow residual between two large numbers — which is why it moves so violently on any change to either. It is stated rather than clipped.</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8.30</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1.84</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5.10</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8.30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16,493 million is the right enterprise value for a business generating around EGP 4,812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1.68</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4.03</w:t>
            </w:r>
          </w:p>
        </w:tc>
        <w:tc>
          <w:tcPr>
            <w:tcW w:type="dxa" w:w="5184"/>
          </w:tcPr>
          <w:p>
            <w:pPr>
              <w:spacing w:after="20"/>
            </w:pPr>
            <w:r>
              <w:rPr>
                <w:color w:val="1C3A36"/>
                <w:sz w:val="17"/>
              </w:rPr>
              <w:t>below the sovereign's ten-year yield of 23.0%</w:t>
            </w:r>
          </w:p>
        </w:tc>
      </w:tr>
      <w:tr>
        <w:trPr>
          <w:cantSplit/>
        </w:trPr>
        <w:tc>
          <w:tcPr>
            <w:tcW w:type="dxa" w:w="2160"/>
          </w:tcPr>
          <w:p>
            <w:pPr>
              <w:spacing w:after="20"/>
            </w:pPr>
            <w:r>
              <w:rPr>
                <w:color w:val="1C3A36"/>
                <w:sz w:val="17"/>
              </w:rPr>
              <w:t>18.0%</w:t>
            </w:r>
          </w:p>
        </w:tc>
        <w:tc>
          <w:tcPr>
            <w:tcW w:type="dxa" w:w="2592"/>
          </w:tcPr>
          <w:p>
            <w:pPr>
              <w:spacing w:after="20"/>
              <w:jc w:val="right"/>
            </w:pPr>
            <w:r>
              <w:rPr>
                <w:color w:val="1C3A36"/>
                <w:sz w:val="17"/>
              </w:rPr>
              <w:t>5.61</w:t>
            </w:r>
          </w:p>
        </w:tc>
        <w:tc>
          <w:tcPr>
            <w:tcW w:type="dxa" w:w="5184"/>
          </w:tcPr>
          <w:p>
            <w:pPr>
              <w:spacing w:after="20"/>
            </w:pPr>
            <w:r>
              <w:rPr>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7.93</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11.62</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18.36</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13.2%</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answer stays positive across the whole ladder and rises from EGP 1.68 at 25.0% to EGP 18.36 at 12.0%; what moves is how far below the price it sits. Reaching the traded price needs about 13.2%, which is 9.8% below what Egypt's own government pays to borrow for ten years.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29.08%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29.08%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4,812 million the mid-point implies an enterprise value of EGP 38,255 million and, after the debt and the non-operating stack, EGP 16.05 a share — a range of EGP 11.33 to EGP 20.77 across the band.</w:t>
      </w:r>
    </w:p>
    <w:p>
      <w:pPr>
        <w:spacing w:after="120" w:before="0"/>
      </w:pPr>
      <w:r>
        <w:rPr>
          <w:b/>
          <w:i w:val="0"/>
          <w:color w:val="1C3A36"/>
          <w:sz w:val="21"/>
        </w:rPr>
        <w:t>The two numbers worth putting side by side are these: at the traded price the operating business changes hands at 7.3 times that same forward EBITDA, while the cash-flow lens values it at 3.4 times — both measured on the enterprise value this study bridges from, with the listed stakes and the investment property taken out of each. One sits inside the Egyptian industrial band and the other below it. That is the whole disagreement in a single number, and it is reported rather than resolved.</w:t>
      </w:r>
    </w:p>
    <w:p>
      <w:pPr>
        <w:spacing w:after="120" w:before="0"/>
      </w:pPr>
      <w:r>
        <w:rPr>
          <w:b w:val="0"/>
          <w:i/>
          <w:color w:val="6E7B77"/>
          <w:sz w:val="19"/>
        </w:rPr>
        <w:t>Buying the equity at the traded price buys the stakes and the property too, and on that whole-company basis the multiple is 8.0 times. It is the larger number and it is not the comparable one, which is why the sentence above uses the operating figure.</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Less 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w:t>
            </w:r>
          </w:p>
        </w:tc>
        <w:tc>
          <w:tcPr>
            <w:tcW w:type="dxa" w:w="3600"/>
            <w:shd w:val="clear" w:color="auto" w:fill="F6F1E6"/>
          </w:tcPr>
          <w:p>
            <w:pPr>
              <w:spacing w:after="20"/>
              <w:jc w:val="right"/>
            </w:pPr>
            <w:r>
              <w:rPr>
                <w:b/>
                <w:color w:val="1C3A36"/>
                <w:sz w:val="17"/>
              </w:rPr>
              <w:t>1,938</w:t>
            </w:r>
          </w:p>
        </w:tc>
      </w:tr>
      <w:tr>
        <w:trPr>
          <w:cantSplit/>
        </w:trPr>
        <w:tc>
          <w:tcPr>
            <w:tcW w:type="dxa" w:w="6336"/>
          </w:tcPr>
          <w:p>
            <w:pPr>
              <w:spacing w:after="20"/>
            </w:pPr>
            <w:r>
              <w:rPr>
                <w:color w:val="1C3A36"/>
                <w:sz w:val="17"/>
              </w:rPr>
              <w:t>Less tax at 22.5%</w:t>
            </w:r>
          </w:p>
        </w:tc>
        <w:tc>
          <w:tcPr>
            <w:tcW w:type="dxa" w:w="3600"/>
          </w:tcPr>
          <w:p>
            <w:pPr>
              <w:spacing w:after="20"/>
              <w:jc w:val="right"/>
            </w:pPr>
            <w:r>
              <w:rPr>
                <w:color w:val="1C3A36"/>
                <w:sz w:val="17"/>
              </w:rPr>
              <w:t>-436</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10.0 times — enterprise value</w:t>
            </w:r>
          </w:p>
        </w:tc>
        <w:tc>
          <w:tcPr>
            <w:tcW w:type="dxa" w:w="3600"/>
          </w:tcPr>
          <w:p>
            <w:pPr>
              <w:spacing w:after="20"/>
              <w:jc w:val="right"/>
            </w:pPr>
            <w:r>
              <w:rPr>
                <w:color w:val="1C3A36"/>
                <w:sz w:val="17"/>
              </w:rPr>
              <w:t>15,016</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-10,032</w:t>
            </w:r>
          </w:p>
        </w:tc>
      </w:tr>
      <w:tr>
        <w:trPr>
          <w:cantSplit/>
        </w:trPr>
        <w:tc>
          <w:tcPr>
            <w:tcW w:type="dxa" w:w="6336"/>
          </w:tcPr>
          <w:p>
            <w:pPr>
              <w:spacing w:after="20"/>
            </w:pPr>
            <w:r>
              <w:rPr>
                <w:color w:val="1C3A36"/>
                <w:sz w:val="17"/>
              </w:rPr>
              <w:t>Plus listed stakes at market and investment property</w:t>
            </w:r>
          </w:p>
        </w:tc>
        <w:tc>
          <w:tcPr>
            <w:tcW w:type="dxa" w:w="3600"/>
          </w:tcPr>
          <w:p>
            <w:pPr>
              <w:spacing w:after="20"/>
              <w:jc w:val="right"/>
            </w:pPr>
            <w:r>
              <w:rPr>
                <w:color w:val="1C3A36"/>
                <w:sz w:val="17"/>
              </w:rPr>
              <w:t>3,664</w:t>
            </w:r>
          </w:p>
        </w:tc>
      </w:tr>
      <w:tr>
        <w:trPr>
          <w:cantSplit/>
        </w:trPr>
        <w:tc>
          <w:tcPr>
            <w:tcW w:type="dxa" w:w="6336"/>
            <w:shd w:val="clear" w:color="auto" w:fill="F6F1E6"/>
          </w:tcPr>
          <w:p>
            <w:pPr>
              <w:spacing w:after="20"/>
            </w:pPr>
            <w:r>
              <w:rPr>
                <w:b/>
                <w:color w:val="1C3A36"/>
                <w:sz w:val="17"/>
              </w:rPr>
              <w:t>Equity value</w:t>
            </w:r>
          </w:p>
        </w:tc>
        <w:tc>
          <w:tcPr>
            <w:tcW w:type="dxa" w:w="3600"/>
            <w:shd w:val="clear" w:color="auto" w:fill="F6F1E6"/>
          </w:tcPr>
          <w:p>
            <w:pPr>
              <w:spacing w:after="20"/>
              <w:jc w:val="right"/>
            </w:pPr>
            <w:r>
              <w:rPr>
                <w:b/>
                <w:color w:val="1C3A36"/>
                <w:sz w:val="17"/>
              </w:rPr>
              <w:t>8,648</w:t>
            </w:r>
          </w:p>
        </w:tc>
      </w:tr>
      <w:tr>
        <w:trPr>
          <w:cantSplit/>
        </w:trPr>
        <w:tc>
          <w:tcPr>
            <w:tcW w:type="dxa" w:w="6336"/>
          </w:tcPr>
          <w:p>
            <w:pPr>
              <w:spacing w:after="20"/>
            </w:pPr>
            <w:r>
              <w:rPr>
                <w:color w:val="1C3A36"/>
                <w:sz w:val="17"/>
              </w:rPr>
              <w:t>Divided by shares in issue (1,986.6 million)</w:t>
            </w:r>
          </w:p>
        </w:tc>
        <w:tc>
          <w:tcPr>
            <w:tcW w:type="dxa" w:w="3600"/>
          </w:tcPr>
          <w:p>
            <w:pPr>
              <w:spacing w:after="20"/>
              <w:jc w:val="right"/>
            </w:pPr>
            <w:r>
              <w:rPr>
                <w:color w:val="1C3A36"/>
                <w:sz w:val="17"/>
              </w:rPr>
            </w:r>
          </w:p>
        </w:tc>
      </w:tr>
      <w:tr>
        <w:trPr>
          <w:cantSplit/>
        </w:trPr>
        <w:tc>
          <w:tcPr>
            <w:tcW w:type="dxa" w:w="6336"/>
            <w:shd w:val="clear" w:color="auto" w:fill="F6F1E6"/>
          </w:tcPr>
          <w:p>
            <w:pPr>
              <w:spacing w:after="20"/>
            </w:pPr>
            <w:r>
              <w:rPr>
                <w:b/>
                <w:color w:val="1C3A36"/>
                <w:sz w:val="17"/>
              </w:rPr>
              <w:t>Value per share at 10.0 times (EGP)</w:t>
            </w:r>
          </w:p>
        </w:tc>
        <w:tc>
          <w:tcPr>
            <w:tcW w:type="dxa" w:w="3600"/>
            <w:shd w:val="clear" w:color="auto" w:fill="F6F1E6"/>
          </w:tcPr>
          <w:p>
            <w:pPr>
              <w:spacing w:after="20"/>
              <w:jc w:val="right"/>
            </w:pPr>
            <w:r>
              <w:rPr>
                <w:b/>
                <w:color w:val="1C3A36"/>
                <w:sz w:val="17"/>
              </w:rPr>
              <w:t>4.35</w:t>
            </w:r>
          </w:p>
        </w:tc>
      </w:tr>
      <w:tr>
        <w:trPr>
          <w:cantSplit/>
        </w:trPr>
        <w:tc>
          <w:tcPr>
            <w:tcW w:type="dxa" w:w="6336"/>
          </w:tcPr>
          <w:p>
            <w:pPr>
              <w:spacing w:after="20"/>
            </w:pPr>
            <w:r>
              <w:rPr>
                <w:color w:val="1C3A36"/>
                <w:sz w:val="17"/>
              </w:rPr>
              <w:t>At 8.0 times (EGP)</w:t>
            </w:r>
          </w:p>
        </w:tc>
        <w:tc>
          <w:tcPr>
            <w:tcW w:type="dxa" w:w="3600"/>
          </w:tcPr>
          <w:p>
            <w:pPr>
              <w:spacing w:after="20"/>
              <w:jc w:val="right"/>
            </w:pPr>
            <w:r>
              <w:rPr>
                <w:color w:val="1C3A36"/>
                <w:sz w:val="17"/>
              </w:rPr>
              <w:t>2.84</w:t>
            </w:r>
          </w:p>
        </w:tc>
      </w:tr>
      <w:tr>
        <w:trPr>
          <w:cantSplit/>
        </w:trPr>
        <w:tc>
          <w:tcPr>
            <w:tcW w:type="dxa" w:w="6336"/>
          </w:tcPr>
          <w:p>
            <w:pPr>
              <w:spacing w:after="20"/>
            </w:pPr>
            <w:r>
              <w:rPr>
                <w:color w:val="1C3A36"/>
                <w:sz w:val="17"/>
              </w:rPr>
              <w:t>At 12.0 times (EGP)</w:t>
            </w:r>
          </w:p>
        </w:tc>
        <w:tc>
          <w:tcPr>
            <w:tcW w:type="dxa" w:w="3600"/>
          </w:tcPr>
          <w:p>
            <w:pPr>
              <w:spacing w:after="20"/>
              <w:jc w:val="right"/>
            </w:pPr>
            <w:r>
              <w:rPr>
                <w:color w:val="1C3A36"/>
                <w:sz w:val="17"/>
              </w:rPr>
              <w:t>5.86</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 The column is printed in full: tax, net debt, the non-operating assets and the share count all appear, so a reader adding it up reaches the figure at the bottom.</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4.35 to EGP 16.05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16.05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5.10 a share with the capital programme carried through, 65% below the traded price, and EGP 8.63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29.08%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42.3%</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41.2%</w:t>
            </w:r>
          </w:p>
        </w:tc>
        <w:tc>
          <w:tcPr>
            <w:tcW w:type="dxa" w:w="1843"/>
            <w:shd w:val="clear" w:color="auto" w:fill="F6F1E6"/>
          </w:tcPr>
          <w:p>
            <w:pPr>
              <w:spacing w:after="20"/>
              <w:jc w:val="right"/>
            </w:pPr>
            <w:r>
              <w:rPr>
                <w:b/>
                <w:color w:val="1C3A36"/>
                <w:sz w:val="17"/>
              </w:rPr>
              <w:t>39.8%</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5,337</w:t>
            </w:r>
          </w:p>
        </w:tc>
        <w:tc>
          <w:tcPr>
            <w:tcW w:type="dxa" w:w="1426"/>
          </w:tcPr>
          <w:p>
            <w:pPr>
              <w:spacing w:after="20"/>
              <w:jc w:val="right"/>
            </w:pPr>
            <w:r>
              <w:rPr>
                <w:color w:val="1C3A36"/>
                <w:sz w:val="16"/>
              </w:rPr>
              <w:t>5,711</w:t>
            </w:r>
          </w:p>
        </w:tc>
        <w:tc>
          <w:tcPr>
            <w:tcW w:type="dxa" w:w="1426"/>
          </w:tcPr>
          <w:p>
            <w:pPr>
              <w:spacing w:after="20"/>
              <w:jc w:val="right"/>
            </w:pPr>
            <w:r>
              <w:rPr>
                <w:color w:val="1C3A36"/>
                <w:sz w:val="16"/>
              </w:rPr>
              <w:t>5,955</w:t>
            </w:r>
          </w:p>
        </w:tc>
        <w:tc>
          <w:tcPr>
            <w:tcW w:type="dxa" w:w="1426"/>
          </w:tcPr>
          <w:p>
            <w:pPr>
              <w:spacing w:after="20"/>
              <w:jc w:val="right"/>
            </w:pPr>
            <w:r>
              <w:rPr>
                <w:color w:val="1C3A36"/>
                <w:sz w:val="16"/>
              </w:rPr>
              <w:t>6,160</w:t>
            </w:r>
          </w:p>
        </w:tc>
        <w:tc>
          <w:tcPr>
            <w:tcW w:type="dxa" w:w="1426"/>
          </w:tcPr>
          <w:p>
            <w:pPr>
              <w:spacing w:after="20"/>
              <w:jc w:val="right"/>
            </w:pPr>
            <w:r>
              <w:rPr>
                <w:color w:val="1C3A36"/>
                <w:sz w:val="16"/>
              </w:rPr>
              <w:t>6,360</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45.0%</w:t>
            </w:r>
          </w:p>
        </w:tc>
        <w:tc>
          <w:tcPr>
            <w:tcW w:type="dxa" w:w="1426"/>
            <w:shd w:val="clear" w:color="auto" w:fill="F6F1E6"/>
          </w:tcPr>
          <w:p>
            <w:pPr>
              <w:spacing w:after="20"/>
              <w:jc w:val="right"/>
            </w:pPr>
            <w:r>
              <w:rPr>
                <w:b/>
                <w:color w:val="1C3A36"/>
                <w:sz w:val="16"/>
              </w:rPr>
              <w:t>44.1%</w:t>
            </w:r>
          </w:p>
        </w:tc>
        <w:tc>
          <w:tcPr>
            <w:tcW w:type="dxa" w:w="1426"/>
            <w:shd w:val="clear" w:color="auto" w:fill="F6F1E6"/>
          </w:tcPr>
          <w:p>
            <w:pPr>
              <w:spacing w:after="20"/>
              <w:jc w:val="right"/>
            </w:pPr>
            <w:r>
              <w:rPr>
                <w:b/>
                <w:color w:val="1C3A36"/>
                <w:sz w:val="16"/>
              </w:rPr>
              <w:t>43.1%</w:t>
            </w:r>
          </w:p>
        </w:tc>
        <w:tc>
          <w:tcPr>
            <w:tcW w:type="dxa" w:w="1426"/>
            <w:shd w:val="clear" w:color="auto" w:fill="F6F1E6"/>
          </w:tcPr>
          <w:p>
            <w:pPr>
              <w:spacing w:after="20"/>
              <w:jc w:val="right"/>
            </w:pPr>
            <w:r>
              <w:rPr>
                <w:b/>
                <w:color w:val="1C3A36"/>
                <w:sz w:val="16"/>
              </w:rPr>
              <w:t>42.3%</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4,812</w:t>
            </w:r>
          </w:p>
        </w:tc>
        <w:tc>
          <w:tcPr>
            <w:tcW w:type="dxa" w:w="1426"/>
          </w:tcPr>
          <w:p>
            <w:pPr>
              <w:spacing w:after="20"/>
              <w:jc w:val="right"/>
            </w:pPr>
            <w:r>
              <w:rPr>
                <w:color w:val="1C3A36"/>
                <w:sz w:val="16"/>
              </w:rPr>
              <w:t>5,203</w:t>
            </w:r>
          </w:p>
        </w:tc>
        <w:tc>
          <w:tcPr>
            <w:tcW w:type="dxa" w:w="1426"/>
          </w:tcPr>
          <w:p>
            <w:pPr>
              <w:spacing w:after="20"/>
              <w:jc w:val="right"/>
            </w:pPr>
            <w:r>
              <w:rPr>
                <w:color w:val="1C3A36"/>
                <w:sz w:val="16"/>
              </w:rPr>
              <w:t>5,492</w:t>
            </w:r>
          </w:p>
        </w:tc>
        <w:tc>
          <w:tcPr>
            <w:tcW w:type="dxa" w:w="1426"/>
          </w:tcPr>
          <w:p>
            <w:pPr>
              <w:spacing w:after="20"/>
              <w:jc w:val="right"/>
            </w:pPr>
            <w:r>
              <w:rPr>
                <w:color w:val="1C3A36"/>
                <w:sz w:val="16"/>
              </w:rPr>
              <w:t>5,746</w:t>
            </w:r>
          </w:p>
        </w:tc>
        <w:tc>
          <w:tcPr>
            <w:tcW w:type="dxa" w:w="1426"/>
          </w:tcPr>
          <w:p>
            <w:pPr>
              <w:spacing w:after="20"/>
              <w:jc w:val="right"/>
            </w:pPr>
            <w:r>
              <w:rPr>
                <w:color w:val="1C3A36"/>
                <w:sz w:val="16"/>
              </w:rPr>
              <w:t>5,987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41.2%</w:t>
            </w:r>
          </w:p>
        </w:tc>
        <w:tc>
          <w:tcPr>
            <w:tcW w:type="dxa" w:w="1426"/>
            <w:shd w:val="clear" w:color="auto" w:fill="F6F1E6"/>
          </w:tcPr>
          <w:p>
            <w:pPr>
              <w:spacing w:after="20"/>
              <w:jc w:val="right"/>
            </w:pPr>
            <w:r>
              <w:rPr>
                <w:b/>
                <w:color w:val="1C3A36"/>
                <w:sz w:val="16"/>
              </w:rPr>
              <w:t>41.0%</w:t>
            </w:r>
          </w:p>
        </w:tc>
        <w:tc>
          <w:tcPr>
            <w:tcW w:type="dxa" w:w="1426"/>
            <w:shd w:val="clear" w:color="auto" w:fill="F6F1E6"/>
          </w:tcPr>
          <w:p>
            <w:pPr>
              <w:spacing w:after="20"/>
              <w:jc w:val="right"/>
            </w:pPr>
            <w:r>
              <w:rPr>
                <w:b/>
                <w:color w:val="1C3A36"/>
                <w:sz w:val="16"/>
              </w:rPr>
              <w:t>40.6%</w:t>
            </w:r>
          </w:p>
        </w:tc>
        <w:tc>
          <w:tcPr>
            <w:tcW w:type="dxa" w:w="1426"/>
            <w:shd w:val="clear" w:color="auto" w:fill="F6F1E6"/>
          </w:tcPr>
          <w:p>
            <w:pPr>
              <w:spacing w:after="20"/>
              <w:jc w:val="right"/>
            </w:pPr>
            <w:r>
              <w:rPr>
                <w:b/>
                <w:color w:val="1C3A36"/>
                <w:sz w:val="16"/>
              </w:rPr>
              <w:t>40.2%</w:t>
            </w:r>
          </w:p>
        </w:tc>
        <w:tc>
          <w:tcPr>
            <w:tcW w:type="dxa" w:w="1426"/>
            <w:shd w:val="clear" w:color="auto" w:fill="F6F1E6"/>
          </w:tcPr>
          <w:p>
            <w:pPr>
              <w:spacing w:after="20"/>
              <w:jc w:val="right"/>
            </w:pPr>
            <w:r>
              <w:rPr>
                <w:b/>
                <w:color w:val="1C3A36"/>
                <w:sz w:val="16"/>
              </w:rPr>
              <w:t>39.8%</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3,921</w:t>
            </w:r>
          </w:p>
        </w:tc>
        <w:tc>
          <w:tcPr>
            <w:tcW w:type="dxa" w:w="1426"/>
          </w:tcPr>
          <w:p>
            <w:pPr>
              <w:spacing w:after="20"/>
              <w:jc w:val="right"/>
            </w:pPr>
            <w:r>
              <w:rPr>
                <w:color w:val="1C3A36"/>
                <w:sz w:val="16"/>
              </w:rPr>
              <w:t>4,194</w:t>
            </w:r>
          </w:p>
        </w:tc>
        <w:tc>
          <w:tcPr>
            <w:tcW w:type="dxa" w:w="1426"/>
          </w:tcPr>
          <w:p>
            <w:pPr>
              <w:spacing w:after="20"/>
              <w:jc w:val="right"/>
            </w:pPr>
            <w:r>
              <w:rPr>
                <w:color w:val="1C3A36"/>
                <w:sz w:val="16"/>
              </w:rPr>
              <w:t>4,346</w:t>
            </w:r>
          </w:p>
        </w:tc>
        <w:tc>
          <w:tcPr>
            <w:tcW w:type="dxa" w:w="1426"/>
          </w:tcPr>
          <w:p>
            <w:pPr>
              <w:spacing w:after="20"/>
              <w:jc w:val="right"/>
            </w:pPr>
            <w:r>
              <w:rPr>
                <w:color w:val="1C3A36"/>
                <w:sz w:val="16"/>
              </w:rPr>
              <w:t>4,453</w:t>
            </w:r>
          </w:p>
        </w:tc>
        <w:tc>
          <w:tcPr>
            <w:tcW w:type="dxa" w:w="1426"/>
          </w:tcPr>
          <w:p>
            <w:pPr>
              <w:spacing w:after="20"/>
              <w:jc w:val="right"/>
            </w:pPr>
            <w:r>
              <w:rPr>
                <w:color w:val="1C3A36"/>
                <w:sz w:val="16"/>
              </w:rPr>
              <w:t>4,553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33.6%</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32.2%</w:t>
            </w:r>
          </w:p>
        </w:tc>
        <w:tc>
          <w:tcPr>
            <w:tcW w:type="dxa" w:w="1426"/>
          </w:tcPr>
          <w:p>
            <w:pPr>
              <w:spacing w:after="20"/>
              <w:jc w:val="right"/>
            </w:pPr>
            <w:r>
              <w:rPr>
                <w:color w:val="1C3A36"/>
                <w:sz w:val="16"/>
              </w:rPr>
              <w:t>31.2%</w:t>
            </w:r>
          </w:p>
        </w:tc>
        <w:tc>
          <w:tcPr>
            <w:tcW w:type="dxa" w:w="1426"/>
          </w:tcPr>
          <w:p>
            <w:pPr>
              <w:spacing w:after="20"/>
              <w:jc w:val="right"/>
            </w:pPr>
            <w:r>
              <w:rPr>
                <w:color w:val="1C3A36"/>
                <w:sz w:val="16"/>
              </w:rPr>
              <w:t>30.3%</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45.7% to 42.3%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8,722</w:t>
            </w:r>
          </w:p>
        </w:tc>
        <w:tc>
          <w:tcPr>
            <w:tcW w:type="dxa" w:w="1296"/>
          </w:tcPr>
          <w:p>
            <w:pPr>
              <w:spacing w:after="20"/>
              <w:jc w:val="right"/>
            </w:pPr>
            <w:r>
              <w:rPr>
                <w:color w:val="1C3A36"/>
                <w:sz w:val="17"/>
              </w:rPr>
              <w:t>74.7%</w:t>
            </w:r>
          </w:p>
        </w:tc>
        <w:tc>
          <w:tcPr>
            <w:tcW w:type="dxa" w:w="1944"/>
          </w:tcPr>
          <w:p>
            <w:pPr>
              <w:spacing w:after="20"/>
              <w:jc w:val="right"/>
            </w:pPr>
            <w:r>
              <w:rPr>
                <w:color w:val="1C3A36"/>
                <w:sz w:val="17"/>
              </w:rPr>
              <w:t>10,760</w:t>
            </w:r>
          </w:p>
        </w:tc>
        <w:tc>
          <w:tcPr>
            <w:tcW w:type="dxa" w:w="1296"/>
          </w:tcPr>
          <w:p>
            <w:pPr>
              <w:spacing w:after="20"/>
              <w:jc w:val="right"/>
            </w:pPr>
            <w:r>
              <w:rPr>
                <w:color w:val="1C3A36"/>
                <w:sz w:val="17"/>
              </w:rPr>
              <w:t>71.5%</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10.0%</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12.7%</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9.1%</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9.7%</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4.9%</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1.2%</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11,674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15,043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5.10 a share. Stopped, EGP 8.63. The difference, EGP 3.53 a share or EGP 7,016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343m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1.7%</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16.9%</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0.92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2,281</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19.5%</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1.020</w:t>
            </w:r>
          </w:p>
        </w:tc>
        <w:tc>
          <w:tcPr>
            <w:tcW w:type="dxa" w:w="1512"/>
          </w:tcPr>
          <w:p>
            <w:pPr>
              <w:spacing w:after="20"/>
              <w:jc w:val="right"/>
            </w:pPr>
            <w:r>
              <w:rPr>
                <w:color w:val="1C3A36"/>
                <w:sz w:val="17"/>
              </w:rPr>
              <w:t>1.020</w:t>
            </w:r>
          </w:p>
        </w:tc>
        <w:tc>
          <w:tcPr>
            <w:tcW w:type="dxa" w:w="4248"/>
          </w:tcPr>
          <w:p>
            <w:pPr>
              <w:spacing w:after="20"/>
            </w:pPr>
            <w:r>
              <w:rPr>
                <w:color w:val="1C3A36"/>
                <w:sz w:val="17"/>
              </w:rPr>
              <w:t>Own-stock weekly regression, 256 observations, R-squared 0.248,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30.65%</w:t>
            </w:r>
          </w:p>
        </w:tc>
        <w:tc>
          <w:tcPr>
            <w:tcW w:type="dxa" w:w="1512"/>
            <w:shd w:val="clear" w:color="auto" w:fill="F6F1E6"/>
          </w:tcPr>
          <w:p>
            <w:pPr>
              <w:spacing w:after="20"/>
              <w:jc w:val="right"/>
            </w:pPr>
            <w:r>
              <w:rPr>
                <w:b/>
                <w:color w:val="1C3A36"/>
                <w:sz w:val="17"/>
              </w:rPr>
              <w:t>29.08%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26.66%</w:t>
            </w:r>
          </w:p>
        </w:tc>
        <w:tc>
          <w:tcPr>
            <w:tcW w:type="dxa" w:w="1512"/>
            <w:shd w:val="clear" w:color="auto" w:fill="F6F1E6"/>
          </w:tcPr>
          <w:p>
            <w:pPr>
              <w:spacing w:after="20"/>
              <w:jc w:val="right"/>
            </w:pPr>
            <w:r>
              <w:rPr>
                <w:b/>
                <w:color w:val="1C3A36"/>
                <w:sz w:val="17"/>
              </w:rPr>
              <w:t>25.63%</w:t>
            </w:r>
          </w:p>
        </w:tc>
        <w:tc>
          <w:tcPr>
            <w:tcW w:type="dxa" w:w="4248"/>
            <w:shd w:val="clear" w:color="auto" w:fill="F6F1E6"/>
          </w:tcPr>
          <w:p>
            <w:pPr>
              <w:spacing w:after="20"/>
            </w:pPr>
            <w:r>
              <w:rPr>
                <w:b/>
                <w:color w:val="1C3A36"/>
                <w:sz w:val="17"/>
              </w:rPr>
              <w:t>The swap basis is carried into the valuation, as the market's own live pricing of the sovereign's credit against a rating judgement updated in steps. It is 104 basis points BELOW the rating basis, so the choice is not the conservative one and is not made on that ground; section 1.9 prices what the other basis is worth</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3.49 a share on the carried-through cash-flow lens against EGP 5.10, a difference of EGP -1.60.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3.5% real rate gives a normalised risk-free rate of 10.50%, and the terminal cost of capital is 16.88%.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Thirteen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5.10</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A 10% ad-valorem export duty charged on every export tonne, for ever</w:t>
            </w:r>
          </w:p>
        </w:tc>
        <w:tc>
          <w:tcPr>
            <w:tcW w:type="dxa" w:w="2563"/>
          </w:tcPr>
          <w:p>
            <w:pPr>
              <w:spacing w:after="20"/>
            </w:pPr>
            <w:r>
              <w:rPr>
                <w:color w:val="1C3A36"/>
                <w:sz w:val="15"/>
              </w:rPr>
              <w:t>No duty at all (8.0748) or half the rate (6.5857)</w:t>
            </w:r>
          </w:p>
        </w:tc>
        <w:tc>
          <w:tcPr>
            <w:tcW w:type="dxa" w:w="950"/>
          </w:tcPr>
          <w:p>
            <w:pPr>
              <w:spacing w:after="20"/>
              <w:jc w:val="right"/>
            </w:pPr>
            <w:r>
              <w:rPr>
                <w:color w:val="1C3A36"/>
                <w:sz w:val="15"/>
              </w:rPr>
              <w:t>8.07</w:t>
            </w:r>
          </w:p>
        </w:tc>
        <w:tc>
          <w:tcPr>
            <w:tcW w:type="dxa" w:w="950"/>
          </w:tcPr>
          <w:p>
            <w:pPr>
              <w:spacing w:after="20"/>
              <w:jc w:val="right"/>
            </w:pPr>
            <w:r>
              <w:rPr>
                <w:color w:val="1C3A36"/>
                <w:sz w:val="15"/>
              </w:rPr>
              <w:t>+2.98</w:t>
            </w:r>
          </w:p>
        </w:tc>
        <w:tc>
          <w:tcPr>
            <w:tcW w:type="dxa" w:w="3139"/>
          </w:tcPr>
          <w:p>
            <w:pPr>
              <w:spacing w:after="20"/>
            </w:pPr>
            <w:r>
              <w:rPr>
                <w:color w:val="1C3A36"/>
                <w:sz w:val="15"/>
              </w:rPr>
              <w:t>THIS IS THE LARGEST SINGLE LINE IN THE STUDY AND THE INSTRUMENT BEHIND IT HAS NOW BEEN FOUND. It is DECREE No. 258 of 2026 of the Minister of Investment and Foreign Trade, published in the Official Gazette on 25 June 2026: 10% ad valorem on the FOB invoice value of nitrogen fertiliser exports, replacing a temporary US$90/t duty imposed in May 2026 for three months, and carrying no stated expiry of its own. The rate this study charges is the rate the decree sets, on the base it sets, applied in perpetuity because the instrument names no end -- which is a reading of the decree rather than the assumption it was until today. PURE AMMONIUM NITRATE ABOVE 34.2% NITROGEN AND FREE-ZONE SHIPMENTS ARE EXEMPT, and that was checked against the model rather than noted: the duty is applied to the UREA export leg alone, and urea is not exempt. THE DIRECTION IS AGAINST THIS STUDY -- removing the duty RAISES the value and narrows the gap -- and the search was made for that reason rather than despite it. It came back saying the duty is real, so the alternative below is priced and NOT adopted; a reader is entitled to see what the largest line in the study is worth even when it survives. The input was briefly re-tiered L3 to L4 earlier today on the ground that no instrument had been located; nobody had looked, and that sentence was the same defect it was written to record. It is L3 again, cited by number and date. What would improve it further: the Gazette text itself rather than two independent reports of it, and the FY2025/26 auditor's report disclosing a duty actually charged, the way the FY2024/25 report disclosed the EGP 437.5m shortfall levy on 175kt.</w:t>
            </w:r>
          </w:p>
        </w:tc>
      </w:tr>
      <w:tr>
        <w:trPr>
          <w:cantSplit/>
        </w:trPr>
        <w:tc>
          <w:tcPr>
            <w:tcW w:type="dxa" w:w="2477"/>
          </w:tcPr>
          <w:p>
            <w:pPr>
              <w:spacing w:after="20"/>
            </w:pPr>
            <w:r>
              <w:rPr>
                <w:color w:val="1C3A36"/>
                <w:sz w:val="15"/>
              </w:rPr>
              <w:t>The new complex's granulated ammonium nitrate priced at the SAME PRODUCT'S OWN DISCLOSED REALISED PRICE — EGP 20,000/t from note 20, carried on the currency exactly as the existing nitrate business is</w:t>
            </w:r>
          </w:p>
        </w:tc>
        <w:tc>
          <w:tcPr>
            <w:tcW w:type="dxa" w:w="2563"/>
          </w:tcPr>
          <w:p>
            <w:pPr>
              <w:spacing w:after="20"/>
            </w:pPr>
            <w:r>
              <w:rPr>
                <w:color w:val="1C3A36"/>
                <w:sz w:val="15"/>
              </w:rPr>
              <w:t>Priced at the retired typed US$280/t, the weakest-sourced input in a 304-input register, whose source string was four words long and named no assessor, series, date or basis (4.5220)</w:t>
            </w:r>
          </w:p>
        </w:tc>
        <w:tc>
          <w:tcPr>
            <w:tcW w:type="dxa" w:w="950"/>
          </w:tcPr>
          <w:p>
            <w:pPr>
              <w:spacing w:after="20"/>
              <w:jc w:val="right"/>
            </w:pPr>
            <w:r>
              <w:rPr>
                <w:color w:val="1C3A36"/>
                <w:sz w:val="15"/>
              </w:rPr>
              <w:t>4.52</w:t>
            </w:r>
          </w:p>
        </w:tc>
        <w:tc>
          <w:tcPr>
            <w:tcW w:type="dxa" w:w="950"/>
          </w:tcPr>
          <w:p>
            <w:pPr>
              <w:spacing w:after="20"/>
              <w:jc w:val="right"/>
            </w:pPr>
            <w:r>
              <w:rPr>
                <w:color w:val="1C3A36"/>
                <w:sz w:val="15"/>
              </w:rPr>
              <w:t>-0.57</w:t>
            </w:r>
          </w:p>
        </w:tc>
        <w:tc>
          <w:tcPr>
            <w:tcW w:type="dxa" w:w="3139"/>
          </w:tcPr>
          <w:p>
            <w:pPr>
              <w:spacing w:after="20"/>
            </w:pPr>
            <w:r>
              <w:rPr>
                <w:color w:val="1C3A36"/>
                <w:sz w:val="15"/>
              </w:rPr>
              <w:t>THE STUDY PRICES ONE PRODUCT TWICE, 31% APART, AND THE TERMINAL TAKES THE LOWER. The existing granulated nitrate is carried at the disclosed EGP 20,000/t; the new complex's identical output is carried at a typed US$280/t whose source string is four words long and names no assessor, series, date or basis. The study set out at length why the terminal tonne's COST had to come off the auditor's own product cost table for this exact product -- granulated ammonium nitrate at EGP 4,076.31/t -- rather than from a ratio, and then took the price from a guess. The same principle, applied to one side of the margin only, and the side it was not applied to is the one 31% below the company's own realised figure. IT IS PRICED AND NOT ADOPTED. Two things are unresolved from what this desk holds: the disclosed figure is a LOCAL realised price while the new complex's output is modelled as export, and a mid-cycle price is by construction below a realised one. A search for an assessed mid-cycle ammonium nitrate series returned vendor subscription databases only, which is not a source this house uses, and what qualitative reporting there is points UP for 2026 on gas and Hormuz supply risk rather than down. Replacing an unsourced number with another unsourced number that happens to raise the value is not a correction, so the conservative figure stands and the reader is shown what it costs. What would settle it: an assessed FOB Egypt or Black Sea series with its assessor and date, or a note 20 splitting nitrate revenue into local and export.</w:t>
            </w:r>
          </w:p>
        </w:tc>
      </w:tr>
      <w:tr>
        <w:trPr>
          <w:cantSplit/>
        </w:trPr>
        <w:tc>
          <w:tcPr>
            <w:tcW w:type="dxa" w:w="2477"/>
          </w:tcPr>
          <w:p>
            <w:pPr>
              <w:spacing w:after="20"/>
            </w:pPr>
            <w:r>
              <w:rPr>
                <w:color w:val="1C3A36"/>
                <w:sz w:val="15"/>
              </w:rPr>
              <w:t>Country risk priced off the sovereign's traded default swap</w:t>
            </w:r>
          </w:p>
        </w:tc>
        <w:tc>
          <w:tcPr>
            <w:tcW w:type="dxa" w:w="2563"/>
          </w:tcPr>
          <w:p>
            <w:pPr>
              <w:spacing w:after="20"/>
            </w:pPr>
            <w:r>
              <w:rPr>
                <w:color w:val="1C3A36"/>
                <w:sz w:val="15"/>
              </w:rPr>
              <w:t>Priced off the sovereign's credit rating instead, which is the wider of the two spreads and gives a cost of capital 104 basis points higher</w:t>
            </w:r>
          </w:p>
        </w:tc>
        <w:tc>
          <w:tcPr>
            <w:tcW w:type="dxa" w:w="950"/>
          </w:tcPr>
          <w:p>
            <w:pPr>
              <w:spacing w:after="20"/>
              <w:jc w:val="right"/>
            </w:pPr>
            <w:r>
              <w:rPr>
                <w:color w:val="1C3A36"/>
                <w:sz w:val="15"/>
              </w:rPr>
              <w:t>3.01</w:t>
            </w:r>
          </w:p>
        </w:tc>
        <w:tc>
          <w:tcPr>
            <w:tcW w:type="dxa" w:w="950"/>
          </w:tcPr>
          <w:p>
            <w:pPr>
              <w:spacing w:after="20"/>
              <w:jc w:val="right"/>
            </w:pPr>
            <w:r>
              <w:rPr>
                <w:color w:val="1C3A36"/>
                <w:sz w:val="15"/>
              </w:rPr>
              <w:t>-2.08</w:t>
            </w:r>
          </w:p>
        </w:tc>
        <w:tc>
          <w:tcPr>
            <w:tcW w:type="dxa" w:w="3139"/>
          </w:tcPr>
          <w:p>
            <w:pPr>
              <w:spacing w:after="20"/>
            </w:pPr>
            <w:r>
              <w:rPr>
                <w:color w:val="1C3A36"/>
                <w:sz w:val="15"/>
              </w:rPr>
              <w:t>The swap basis is the market's own live pricing of this sovereign's credit, against a rating judgement updated in steps. It is the NARROWER spread, so this is not the conservative choice and is not made on that ground; the rating basis is priced here rather than argued about.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1.24</w:t>
            </w:r>
          </w:p>
        </w:tc>
        <w:tc>
          <w:tcPr>
            <w:tcW w:type="dxa" w:w="950"/>
          </w:tcPr>
          <w:p>
            <w:pPr>
              <w:spacing w:after="20"/>
              <w:jc w:val="right"/>
            </w:pPr>
            <w:r>
              <w:rPr>
                <w:color w:val="1C3A36"/>
                <w:sz w:val="15"/>
              </w:rPr>
              <w:t>-3.86</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2.87</w:t>
            </w:r>
          </w:p>
        </w:tc>
        <w:tc>
          <w:tcPr>
            <w:tcW w:type="dxa" w:w="950"/>
          </w:tcPr>
          <w:p>
            <w:pPr>
              <w:spacing w:after="20"/>
              <w:jc w:val="right"/>
            </w:pPr>
            <w:r>
              <w:rPr>
                <w:color w:val="1C3A36"/>
                <w:sz w:val="15"/>
              </w:rPr>
              <w:t>-2.22</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3.49</w:t>
            </w:r>
          </w:p>
        </w:tc>
        <w:tc>
          <w:tcPr>
            <w:tcW w:type="dxa" w:w="950"/>
          </w:tcPr>
          <w:p>
            <w:pPr>
              <w:spacing w:after="20"/>
              <w:jc w:val="right"/>
            </w:pPr>
            <w:r>
              <w:rPr>
                <w:color w:val="1C3A36"/>
                <w:sz w:val="15"/>
              </w:rPr>
              <w:t>-1.60</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6.05</w:t>
            </w:r>
          </w:p>
        </w:tc>
        <w:tc>
          <w:tcPr>
            <w:tcW w:type="dxa" w:w="950"/>
          </w:tcPr>
          <w:p>
            <w:pPr>
              <w:spacing w:after="20"/>
              <w:jc w:val="right"/>
            </w:pPr>
            <w:r>
              <w:rPr>
                <w:color w:val="1C3A36"/>
                <w:sz w:val="15"/>
              </w:rPr>
              <w:t>+0.95</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2.09</w:t>
            </w:r>
          </w:p>
        </w:tc>
        <w:tc>
          <w:tcPr>
            <w:tcW w:type="dxa" w:w="950"/>
          </w:tcPr>
          <w:p>
            <w:pPr>
              <w:spacing w:after="20"/>
              <w:jc w:val="right"/>
            </w:pPr>
            <w:r>
              <w:rPr>
                <w:color w:val="1C3A36"/>
                <w:sz w:val="15"/>
              </w:rPr>
              <w:t>-3.00</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5.83</w:t>
            </w:r>
          </w:p>
        </w:tc>
        <w:tc>
          <w:tcPr>
            <w:tcW w:type="dxa" w:w="950"/>
          </w:tcPr>
          <w:p>
            <w:pPr>
              <w:spacing w:after="20"/>
              <w:jc w:val="right"/>
            </w:pPr>
            <w:r>
              <w:rPr>
                <w:color w:val="1C3A36"/>
                <w:sz w:val="15"/>
              </w:rPr>
              <w:t>+0.73</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4.18</w:t>
            </w:r>
          </w:p>
        </w:tc>
        <w:tc>
          <w:tcPr>
            <w:tcW w:type="dxa" w:w="950"/>
          </w:tcPr>
          <w:p>
            <w:pPr>
              <w:spacing w:after="20"/>
              <w:jc w:val="right"/>
            </w:pPr>
            <w:r>
              <w:rPr>
                <w:color w:val="1C3A36"/>
                <w:sz w:val="15"/>
              </w:rPr>
              <w:t>-0.92</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2563"/>
          </w:tcPr>
          <w:p>
            <w:pPr>
              <w:spacing w:after="20"/>
            </w:pPr>
            <w:r>
              <w:rPr>
                <w:color w:val="1C3A36"/>
                <w:sz w:val="15"/>
              </w:rPr>
              <w:t>Half the 22.1-year life the same accounts imply, 11.04 years, which is what has to be assumed where a company does not disclose enough to measure it</w:t>
            </w:r>
          </w:p>
        </w:tc>
        <w:tc>
          <w:tcPr>
            <w:tcW w:type="dxa" w:w="950"/>
          </w:tcPr>
          <w:p>
            <w:pPr>
              <w:spacing w:after="20"/>
              <w:jc w:val="right"/>
            </w:pPr>
            <w:r>
              <w:rPr>
                <w:color w:val="1C3A36"/>
                <w:sz w:val="15"/>
              </w:rPr>
              <w:t>2.48</w:t>
            </w:r>
          </w:p>
        </w:tc>
        <w:tc>
          <w:tcPr>
            <w:tcW w:type="dxa" w:w="950"/>
          </w:tcPr>
          <w:p>
            <w:pPr>
              <w:spacing w:after="20"/>
              <w:jc w:val="right"/>
            </w:pPr>
            <w:r>
              <w:rPr>
                <w:color w:val="1C3A36"/>
                <w:sz w:val="15"/>
              </w:rPr>
              <w:t>-2.62</w:t>
            </w:r>
          </w:p>
        </w:tc>
        <w:tc>
          <w:tcPr>
            <w:tcW w:type="dxa" w:w="3139"/>
          </w:tcPr>
          <w:p>
            <w:pPr>
              <w:spacing w:after="20"/>
            </w:pPr>
            <w:r>
              <w:rPr>
                <w:color w:val="1C3A36"/>
                <w:sz w:val="15"/>
              </w:rPr>
              <w:t>This is the largest contested number inside the TERMINAL, and the third largest of the ten alternatives priced here — behind the gas price and the discount-rate glide, both of which are about the forecast rather than about the terminal. It is a question about THIS BASE rather than about method. Half the life is the right assumption for a plant in steady state, where the average asset is half worn out. This one is not: only 1.3% of the base is fully depreciated and still in production, and a second complex is still being built, so the measured age is a quarter of the life rather than half. The measured figure is adopted BECAUSE it is measured, and the assumed one is published beside it so a reader can see what the disclosure is worth. THIS ROW REPLACED THE TERMINAL REINVESTMENT ROW, which priced a return on capital that no longer enters the terminal at all: under the sanctioned construction there is no reinvestment rate to contest, and this module's own gate caught the dead alternative the moment it scored zero.</w:t>
            </w:r>
          </w:p>
        </w:tc>
      </w:tr>
      <w:tr>
        <w:trPr>
          <w:cantSplit/>
        </w:trPr>
        <w:tc>
          <w:tcPr>
            <w:tcW w:type="dxa" w:w="2477"/>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2563"/>
          </w:tcPr>
          <w:p>
            <w:pPr>
              <w:spacing w:after="20"/>
            </w:pPr>
            <w:r>
              <w:rPr>
                <w:color w:val="1C3A36"/>
                <w:sz w:val="15"/>
              </w:rPr>
              <w:t>The auditor's own disclosed STANDARD rate of 1,200 cubic metres a tonne, which is what the plant consumes when it runs to specification and excludes the losses</w:t>
            </w:r>
          </w:p>
        </w:tc>
        <w:tc>
          <w:tcPr>
            <w:tcW w:type="dxa" w:w="950"/>
          </w:tcPr>
          <w:p>
            <w:pPr>
              <w:spacing w:after="20"/>
              <w:jc w:val="right"/>
            </w:pPr>
            <w:r>
              <w:rPr>
                <w:color w:val="1C3A36"/>
                <w:sz w:val="15"/>
              </w:rPr>
              <w:t>6.03</w:t>
            </w:r>
          </w:p>
        </w:tc>
        <w:tc>
          <w:tcPr>
            <w:tcW w:type="dxa" w:w="950"/>
          </w:tcPr>
          <w:p>
            <w:pPr>
              <w:spacing w:after="20"/>
              <w:jc w:val="right"/>
            </w:pPr>
            <w:r>
              <w:rPr>
                <w:color w:val="1C3A36"/>
                <w:sz w:val="15"/>
              </w:rPr>
              <w:t>+0.93</w:t>
            </w:r>
          </w:p>
        </w:tc>
        <w:tc>
          <w:tcPr>
            <w:tcW w:type="dxa" w:w="3139"/>
          </w:tcPr>
          <w:p>
            <w:pPr>
              <w:spacing w:after="20"/>
            </w:pPr>
            <w:r>
              <w:rPr>
                <w:color w:val="1C3A36"/>
                <w:sz w:val="15"/>
              </w:rPr>
              <w:t>The disclosed standard is the cleaner number and it is not what this plant does: the same auditor's report discloses 38,480,270 cubic metres of gas LOST in FY2024/25, which over that year's ammonia output is a further 120.9 cubic metres a tonne. Standard plus disclosed loss is 1,320.9 and the modelled rate sits between the two. The higher figure is adopted because a model of what this plant actually consumes has to carry the losses; the standard is priced here because it is a disclosed primary figure and a reader is entitled to see what adopting it would be worth. It is the only alternative in this table that was found by an audit run from OUTSIDE the study rather than chosen by it, which is the argument for that audit.</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4.89</w:t>
            </w:r>
          </w:p>
        </w:tc>
        <w:tc>
          <w:tcPr>
            <w:tcW w:type="dxa" w:w="950"/>
          </w:tcPr>
          <w:p>
            <w:pPr>
              <w:spacing w:after="20"/>
              <w:jc w:val="right"/>
            </w:pPr>
            <w:r>
              <w:rPr>
                <w:color w:val="1C3A36"/>
                <w:sz w:val="15"/>
              </w:rPr>
              <w:t>-0.20</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glide (-3.86) and gas (-3.00); none of the 13,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-2.62</w:t>
            </w:r>
          </w:p>
        </w:tc>
        <w:tc>
          <w:tcPr>
            <w:tcW w:type="dxa" w:w="1483"/>
          </w:tcPr>
          <w:p>
            <w:pPr>
              <w:spacing w:after="20"/>
              <w:jc w:val="right"/>
            </w:pPr>
            <w:r>
              <w:rPr>
                <w:color w:val="1C3A36"/>
                <w:sz w:val="17"/>
              </w:rPr>
              <w:t>-0.35</w:t>
            </w:r>
          </w:p>
        </w:tc>
        <w:tc>
          <w:tcPr>
            <w:tcW w:type="dxa" w:w="1483"/>
          </w:tcPr>
          <w:p>
            <w:pPr>
              <w:spacing w:after="20"/>
              <w:jc w:val="right"/>
            </w:pPr>
            <w:r>
              <w:rPr>
                <w:color w:val="1C3A36"/>
                <w:sz w:val="17"/>
              </w:rPr>
              <w:t>1.92</w:t>
            </w:r>
          </w:p>
        </w:tc>
        <w:tc>
          <w:tcPr>
            <w:tcW w:type="dxa" w:w="1483"/>
          </w:tcPr>
          <w:p>
            <w:pPr>
              <w:spacing w:after="20"/>
              <w:jc w:val="right"/>
            </w:pPr>
            <w:r>
              <w:rPr>
                <w:color w:val="1C3A36"/>
                <w:sz w:val="17"/>
              </w:rPr>
              <w:t>4.19</w:t>
            </w:r>
          </w:p>
        </w:tc>
        <w:tc>
          <w:tcPr>
            <w:tcW w:type="dxa" w:w="1483"/>
          </w:tcPr>
          <w:p>
            <w:pPr>
              <w:spacing w:after="20"/>
              <w:jc w:val="right"/>
            </w:pPr>
            <w:r>
              <w:rPr>
                <w:color w:val="1C3A36"/>
                <w:sz w:val="17"/>
              </w:rPr>
              <w:t>6.47</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-2.74</w:t>
            </w:r>
          </w:p>
        </w:tc>
        <w:tc>
          <w:tcPr>
            <w:tcW w:type="dxa" w:w="1483"/>
          </w:tcPr>
          <w:p>
            <w:pPr>
              <w:spacing w:after="20"/>
              <w:jc w:val="right"/>
            </w:pPr>
            <w:r>
              <w:rPr>
                <w:color w:val="1C3A36"/>
                <w:sz w:val="17"/>
              </w:rPr>
              <w:t>-0.66</w:t>
            </w:r>
          </w:p>
        </w:tc>
        <w:tc>
          <w:tcPr>
            <w:tcW w:type="dxa" w:w="1483"/>
          </w:tcPr>
          <w:p>
            <w:pPr>
              <w:spacing w:after="20"/>
              <w:jc w:val="right"/>
            </w:pPr>
            <w:r>
              <w:rPr>
                <w:color w:val="1C3A36"/>
                <w:sz w:val="17"/>
              </w:rPr>
              <w:t>1.43</w:t>
            </w:r>
          </w:p>
        </w:tc>
        <w:tc>
          <w:tcPr>
            <w:tcW w:type="dxa" w:w="1483"/>
          </w:tcPr>
          <w:p>
            <w:pPr>
              <w:spacing w:after="20"/>
              <w:jc w:val="right"/>
            </w:pPr>
            <w:r>
              <w:rPr>
                <w:color w:val="1C3A36"/>
                <w:sz w:val="17"/>
              </w:rPr>
              <w:t>3.52</w:t>
            </w:r>
          </w:p>
        </w:tc>
        <w:tc>
          <w:tcPr>
            <w:tcW w:type="dxa" w:w="1483"/>
          </w:tcPr>
          <w:p>
            <w:pPr>
              <w:spacing w:after="20"/>
              <w:jc w:val="right"/>
            </w:pPr>
            <w:r>
              <w:rPr>
                <w:color w:val="1C3A36"/>
                <w:sz w:val="17"/>
              </w:rPr>
              <w:t>5.60</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-2.86</w:t>
            </w:r>
          </w:p>
        </w:tc>
        <w:tc>
          <w:tcPr>
            <w:tcW w:type="dxa" w:w="1483"/>
          </w:tcPr>
          <w:p>
            <w:pPr>
              <w:spacing w:after="20"/>
              <w:jc w:val="right"/>
            </w:pPr>
            <w:r>
              <w:rPr>
                <w:color w:val="1C3A36"/>
                <w:sz w:val="17"/>
              </w:rPr>
              <w:t>-0.95</w:t>
            </w:r>
          </w:p>
        </w:tc>
        <w:tc>
          <w:tcPr>
            <w:tcW w:type="dxa" w:w="1483"/>
          </w:tcPr>
          <w:p>
            <w:pPr>
              <w:spacing w:after="20"/>
              <w:jc w:val="right"/>
            </w:pPr>
            <w:r>
              <w:rPr>
                <w:color w:val="1C3A36"/>
                <w:sz w:val="17"/>
              </w:rPr>
              <w:t>0.96</w:t>
            </w:r>
          </w:p>
        </w:tc>
        <w:tc>
          <w:tcPr>
            <w:tcW w:type="dxa" w:w="1483"/>
          </w:tcPr>
          <w:p>
            <w:pPr>
              <w:spacing w:after="20"/>
              <w:jc w:val="right"/>
            </w:pPr>
            <w:r>
              <w:rPr>
                <w:color w:val="1C3A36"/>
                <w:sz w:val="17"/>
              </w:rPr>
              <w:t>2.88</w:t>
            </w:r>
          </w:p>
        </w:tc>
        <w:tc>
          <w:tcPr>
            <w:tcW w:type="dxa" w:w="1483"/>
          </w:tcPr>
          <w:p>
            <w:pPr>
              <w:spacing w:after="20"/>
              <w:jc w:val="right"/>
            </w:pPr>
            <w:r>
              <w:rPr>
                <w:color w:val="1C3A36"/>
                <w:sz w:val="17"/>
              </w:rPr>
              <w:t>4.79</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-2.93</w:t>
            </w:r>
          </w:p>
        </w:tc>
        <w:tc>
          <w:tcPr>
            <w:tcW w:type="dxa" w:w="1483"/>
          </w:tcPr>
          <w:p>
            <w:pPr>
              <w:spacing w:after="20"/>
              <w:jc w:val="right"/>
            </w:pPr>
            <w:r>
              <w:rPr>
                <w:color w:val="1C3A36"/>
                <w:sz w:val="17"/>
              </w:rPr>
              <w:t>-1.13</w:t>
            </w:r>
          </w:p>
        </w:tc>
        <w:tc>
          <w:tcPr>
            <w:tcW w:type="dxa" w:w="1483"/>
          </w:tcPr>
          <w:p>
            <w:pPr>
              <w:spacing w:after="20"/>
              <w:jc w:val="right"/>
            </w:pPr>
            <w:r>
              <w:rPr>
                <w:color w:val="1C3A36"/>
                <w:sz w:val="17"/>
              </w:rPr>
              <w:t>0.66</w:t>
            </w:r>
          </w:p>
        </w:tc>
        <w:tc>
          <w:tcPr>
            <w:tcW w:type="dxa" w:w="1483"/>
          </w:tcPr>
          <w:p>
            <w:pPr>
              <w:spacing w:after="20"/>
              <w:jc w:val="right"/>
            </w:pPr>
            <w:r>
              <w:rPr>
                <w:color w:val="1C3A36"/>
                <w:sz w:val="17"/>
              </w:rPr>
              <w:t>2.46</w:t>
            </w:r>
          </w:p>
        </w:tc>
        <w:tc>
          <w:tcPr>
            <w:tcW w:type="dxa" w:w="1483"/>
          </w:tcPr>
          <w:p>
            <w:pPr>
              <w:spacing w:after="20"/>
              <w:jc w:val="right"/>
            </w:pPr>
            <w:r>
              <w:rPr>
                <w:color w:val="1C3A36"/>
                <w:sz w:val="17"/>
              </w:rPr>
              <w:t>4.26</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-3.01</w:t>
            </w:r>
          </w:p>
        </w:tc>
        <w:tc>
          <w:tcPr>
            <w:tcW w:type="dxa" w:w="1483"/>
          </w:tcPr>
          <w:p>
            <w:pPr>
              <w:spacing w:after="20"/>
              <w:jc w:val="right"/>
            </w:pPr>
            <w:r>
              <w:rPr>
                <w:color w:val="1C3A36"/>
                <w:sz w:val="17"/>
              </w:rPr>
              <w:t>-1.32</w:t>
            </w:r>
          </w:p>
        </w:tc>
        <w:tc>
          <w:tcPr>
            <w:tcW w:type="dxa" w:w="1483"/>
          </w:tcPr>
          <w:p>
            <w:pPr>
              <w:spacing w:after="20"/>
              <w:jc w:val="right"/>
            </w:pPr>
            <w:r>
              <w:rPr>
                <w:color w:val="1C3A36"/>
                <w:sz w:val="17"/>
              </w:rPr>
              <w:t>0.37</w:t>
            </w:r>
          </w:p>
        </w:tc>
        <w:tc>
          <w:tcPr>
            <w:tcW w:type="dxa" w:w="1483"/>
          </w:tcPr>
          <w:p>
            <w:pPr>
              <w:spacing w:after="20"/>
              <w:jc w:val="right"/>
            </w:pPr>
            <w:r>
              <w:rPr>
                <w:color w:val="1C3A36"/>
                <w:sz w:val="17"/>
              </w:rPr>
              <w:t>2.06</w:t>
            </w:r>
          </w:p>
        </w:tc>
        <w:tc>
          <w:tcPr>
            <w:tcW w:type="dxa" w:w="1483"/>
          </w:tcPr>
          <w:p>
            <w:pPr>
              <w:spacing w:after="20"/>
              <w:jc w:val="right"/>
            </w:pPr>
            <w:r>
              <w:rPr>
                <w:color w:val="1C3A36"/>
                <w:sz w:val="17"/>
              </w:rPr>
              <w:t>3.74</w:t>
            </w:r>
          </w:p>
        </w:tc>
      </w:tr>
    </w:tbl>
    <w:p>
      <w:pPr>
        <w:spacing w:after="40"/>
      </w:pPr>
    </w:p>
    <w:p>
      <w:pPr>
        <w:spacing w:after="200" w:before="0"/>
      </w:pPr>
      <w:r>
        <w:rPr>
          <w:b w:val="0"/>
          <w:i/>
          <w:color w:val="6E7B77"/>
          <w:sz w:val="17"/>
        </w:rPr>
        <w:t>Table 19.  The highest cell in the grid is EGP 6.47,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-2.86 to 4.79</w:t>
            </w:r>
          </w:p>
        </w:tc>
        <w:tc>
          <w:tcPr>
            <w:tcW w:type="dxa" w:w="1152"/>
            <w:shd w:val="clear" w:color="auto" w:fill="F6F1E6"/>
          </w:tcPr>
          <w:p>
            <w:pPr>
              <w:spacing w:after="20"/>
              <w:jc w:val="right"/>
            </w:pPr>
            <w:r>
              <w:rPr>
                <w:b/>
                <w:color w:val="1C3A36"/>
                <w:sz w:val="16"/>
              </w:rPr>
              <w:t>7.65</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5.10 to 8.63</w:t>
            </w:r>
          </w:p>
        </w:tc>
        <w:tc>
          <w:tcPr>
            <w:tcW w:type="dxa" w:w="1152"/>
          </w:tcPr>
          <w:p>
            <w:pPr>
              <w:spacing w:after="20"/>
              <w:jc w:val="right"/>
            </w:pPr>
            <w:r>
              <w:rPr>
                <w:color w:val="1C3A36"/>
                <w:sz w:val="16"/>
              </w:rPr>
              <w:t>3.53</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2.09 to 5.10</w:t>
            </w:r>
          </w:p>
        </w:tc>
        <w:tc>
          <w:tcPr>
            <w:tcW w:type="dxa" w:w="1152"/>
          </w:tcPr>
          <w:p>
            <w:pPr>
              <w:spacing w:after="20"/>
              <w:jc w:val="right"/>
            </w:pPr>
            <w:r>
              <w:rPr>
                <w:color w:val="1C3A36"/>
                <w:sz w:val="16"/>
              </w:rPr>
              <w:t>3.00</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2.87 to 5.10</w:t>
            </w:r>
          </w:p>
        </w:tc>
        <w:tc>
          <w:tcPr>
            <w:tcW w:type="dxa" w:w="1152"/>
          </w:tcPr>
          <w:p>
            <w:pPr>
              <w:spacing w:after="20"/>
              <w:jc w:val="right"/>
            </w:pPr>
            <w:r>
              <w:rPr>
                <w:color w:val="1C3A36"/>
                <w:sz w:val="16"/>
              </w:rPr>
              <w:t>2.22</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3.01 to 5.10</w:t>
            </w:r>
          </w:p>
        </w:tc>
        <w:tc>
          <w:tcPr>
            <w:tcW w:type="dxa" w:w="1152"/>
          </w:tcPr>
          <w:p>
            <w:pPr>
              <w:spacing w:after="20"/>
              <w:jc w:val="right"/>
            </w:pPr>
            <w:r>
              <w:rPr>
                <w:color w:val="1C3A36"/>
                <w:sz w:val="16"/>
              </w:rPr>
              <w:t>2.08</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3.49 to 5.10</w:t>
            </w:r>
          </w:p>
        </w:tc>
        <w:tc>
          <w:tcPr>
            <w:tcW w:type="dxa" w:w="1152"/>
          </w:tcPr>
          <w:p>
            <w:pPr>
              <w:spacing w:after="20"/>
              <w:jc w:val="right"/>
            </w:pPr>
            <w:r>
              <w:rPr>
                <w:color w:val="1C3A36"/>
                <w:sz w:val="16"/>
              </w:rPr>
              <w:t>1.60</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0.37 to 1.92</w:t>
            </w:r>
          </w:p>
        </w:tc>
        <w:tc>
          <w:tcPr>
            <w:tcW w:type="dxa" w:w="1152"/>
          </w:tcPr>
          <w:p>
            <w:pPr>
              <w:spacing w:after="20"/>
              <w:jc w:val="right"/>
            </w:pPr>
            <w:r>
              <w:rPr>
                <w:color w:val="1C3A36"/>
                <w:sz w:val="16"/>
              </w:rPr>
              <w:t>1.55</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1.020 against the lower bound of its own ninety-per-cent interval, 0.717</w:t>
            </w:r>
          </w:p>
        </w:tc>
        <w:tc>
          <w:tcPr>
            <w:tcW w:type="dxa" w:w="2160"/>
          </w:tcPr>
          <w:p>
            <w:pPr>
              <w:spacing w:after="20"/>
              <w:jc w:val="right"/>
            </w:pPr>
            <w:r>
              <w:rPr>
                <w:color w:val="1C3A36"/>
                <w:sz w:val="16"/>
              </w:rPr>
              <w:t>5.10 to 6.05</w:t>
            </w:r>
          </w:p>
        </w:tc>
        <w:tc>
          <w:tcPr>
            <w:tcW w:type="dxa" w:w="1152"/>
          </w:tcPr>
          <w:p>
            <w:pPr>
              <w:spacing w:after="20"/>
              <w:jc w:val="right"/>
            </w:pPr>
            <w:r>
              <w:rPr>
                <w:color w:val="1C3A36"/>
                <w:sz w:val="16"/>
              </w:rPr>
              <w:t>0.95</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4.18 to 5.10</w:t>
            </w:r>
          </w:p>
        </w:tc>
        <w:tc>
          <w:tcPr>
            <w:tcW w:type="dxa" w:w="1152"/>
          </w:tcPr>
          <w:p>
            <w:pPr>
              <w:spacing w:after="20"/>
              <w:jc w:val="right"/>
            </w:pPr>
            <w:r>
              <w:rPr>
                <w:color w:val="1C3A36"/>
                <w:sz w:val="16"/>
              </w:rPr>
              <w:t>0.92</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5.10 to 5.83</w:t>
            </w:r>
          </w:p>
        </w:tc>
        <w:tc>
          <w:tcPr>
            <w:tcW w:type="dxa" w:w="1152"/>
          </w:tcPr>
          <w:p>
            <w:pPr>
              <w:spacing w:after="20"/>
              <w:jc w:val="right"/>
            </w:pPr>
            <w:r>
              <w:rPr>
                <w:color w:val="1C3A36"/>
                <w:sz w:val="16"/>
              </w:rPr>
              <w:t>0.73</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1.020, from 256 weekly observations over 4.9 years of the share against the published EGX30 index — the index of the exchange the share is listed on, as of 2026-09-08 — on the exchange's own Sunday-to-Thursday week. The regression explains 24.8% of the variation with a standard error of 0.191, so all three conditions of the usability test are met and the estimate is adopted rather than defaulted; the Blume-adjusted cross-check is 1.013. The interval is wide, 0.71 to 1.33 at ninety per cent, because the share is thinly traded, and the lower bound is priced with the other contested constructions in section 1.8 rather than argued away: at 0.72 the answer is EGP 6.05 instead of EGP 5.10.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12.12</w:t>
            </w:r>
          </w:p>
        </w:tc>
        <w:tc>
          <w:tcPr>
            <w:tcW w:type="dxa" w:w="3240"/>
          </w:tcPr>
          <w:p>
            <w:pPr>
              <w:spacing w:after="20"/>
              <w:jc w:val="right"/>
            </w:pPr>
            <w:r>
              <w:rPr>
                <w:color w:val="1C3A36"/>
                <w:sz w:val="17"/>
              </w:rPr>
              <w:t>10.84</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13.45</w:t>
            </w:r>
          </w:p>
        </w:tc>
        <w:tc>
          <w:tcPr>
            <w:tcW w:type="dxa" w:w="3240"/>
          </w:tcPr>
          <w:p>
            <w:pPr>
              <w:spacing w:after="20"/>
              <w:jc w:val="right"/>
            </w:pPr>
            <w:r>
              <w:rPr>
                <w:color w:val="1C3A36"/>
                <w:sz w:val="17"/>
              </w:rPr>
              <w:t>13.21</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14.26</w:t>
            </w:r>
          </w:p>
        </w:tc>
        <w:tc>
          <w:tcPr>
            <w:tcW w:type="dxa" w:w="3240"/>
          </w:tcPr>
          <w:p>
            <w:pPr>
              <w:spacing w:after="20"/>
              <w:jc w:val="right"/>
            </w:pPr>
            <w:r>
              <w:rPr>
                <w:color w:val="1C3A36"/>
                <w:sz w:val="17"/>
              </w:rPr>
              <w:t>14.77</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15.11</w:t>
            </w:r>
          </w:p>
        </w:tc>
        <w:tc>
          <w:tcPr>
            <w:tcW w:type="dxa" w:w="3240"/>
          </w:tcPr>
          <w:p>
            <w:pPr>
              <w:spacing w:after="20"/>
              <w:jc w:val="right"/>
            </w:pPr>
            <w:r>
              <w:rPr>
                <w:color w:val="1C3A36"/>
                <w:sz w:val="17"/>
              </w:rPr>
              <w:t>16.50</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16.77</w:t>
            </w:r>
          </w:p>
        </w:tc>
        <w:tc>
          <w:tcPr>
            <w:tcW w:type="dxa" w:w="3240"/>
          </w:tcPr>
          <w:p>
            <w:pPr>
              <w:spacing w:after="20"/>
              <w:jc w:val="right"/>
            </w:pPr>
            <w:r>
              <w:rPr>
                <w:color w:val="1C3A36"/>
                <w:sz w:val="17"/>
              </w:rPr>
              <w:t>20.09</w:t>
            </w:r>
          </w:p>
        </w:tc>
      </w:tr>
      <w:tr>
        <w:trPr>
          <w:cantSplit/>
        </w:trPr>
        <w:tc>
          <w:tcPr>
            <w:tcW w:type="dxa" w:w="3456"/>
            <w:shd w:val="clear" w:color="auto" w:fill="F6F1E6"/>
          </w:tcPr>
          <w:p>
            <w:pPr>
              <w:spacing w:after="20"/>
            </w:pPr>
            <w:r>
              <w:rPr>
                <w:b/>
                <w:color w:val="1C3A36"/>
                <w:sz w:val="17"/>
              </w:rPr>
              <w:t>Probability the price ends above EGP 13.98, the close it was struck at on 2026-08-06</w:t>
            </w:r>
          </w:p>
        </w:tc>
        <w:tc>
          <w:tcPr>
            <w:tcW w:type="dxa" w:w="3240"/>
            <w:shd w:val="clear" w:color="auto" w:fill="F6F1E6"/>
          </w:tcPr>
          <w:p>
            <w:pPr>
              <w:spacing w:after="20"/>
              <w:jc w:val="right"/>
            </w:pPr>
            <w:r>
              <w:rPr>
                <w:b/>
                <w:color w:val="1C3A36"/>
                <w:sz w:val="17"/>
              </w:rPr>
              <w:t>59.1%</w:t>
            </w:r>
          </w:p>
        </w:tc>
        <w:tc>
          <w:tcPr>
            <w:tcW w:type="dxa" w:w="3240"/>
            <w:shd w:val="clear" w:color="auto" w:fill="F6F1E6"/>
          </w:tcPr>
          <w:p>
            <w:pPr>
              <w:spacing w:after="20"/>
              <w:jc w:val="right"/>
            </w:pPr>
            <w:r>
              <w:rPr>
                <w:b/>
                <w:color w:val="1C3A36"/>
                <w:sz w:val="17"/>
              </w:rPr>
              <w:t>63.1%</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 THE ANCHOR IS NOT THE VALUATION PRICE: the price distribution is struck on the price history and the valuation on the latest close, and they are a month apart here — two clocks, both dated, never mixed.</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56.9%</w:t>
            </w:r>
          </w:p>
        </w:tc>
        <w:tc>
          <w:tcPr>
            <w:tcW w:type="dxa" w:w="3240"/>
          </w:tcPr>
          <w:p>
            <w:pPr>
              <w:spacing w:after="20"/>
              <w:jc w:val="right"/>
            </w:pPr>
            <w:r>
              <w:rPr>
                <w:color w:val="1C3A36"/>
                <w:sz w:val="17"/>
              </w:rPr>
              <w:t>79.8%</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62.6%</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15.0%</w:t>
            </w:r>
          </w:p>
        </w:tc>
        <w:tc>
          <w:tcPr>
            <w:tcW w:type="dxa" w:w="3240"/>
          </w:tcPr>
          <w:p>
            <w:pPr>
              <w:spacing w:after="20"/>
              <w:jc w:val="right"/>
            </w:pPr>
            <w:r>
              <w:rPr>
                <w:color w:val="1C3A36"/>
                <w:sz w:val="17"/>
              </w:rPr>
              <w:t>47.4%</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7.6%</w:t>
            </w:r>
          </w:p>
        </w:tc>
        <w:tc>
          <w:tcPr>
            <w:tcW w:type="dxa" w:w="3240"/>
          </w:tcPr>
          <w:p>
            <w:pPr>
              <w:spacing w:after="20"/>
              <w:jc w:val="right"/>
            </w:pPr>
            <w:r>
              <w:rPr>
                <w:color w:val="1C3A36"/>
                <w:sz w:val="17"/>
              </w:rPr>
              <w:t>35.1%</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40.3%</w:t>
            </w:r>
          </w:p>
        </w:tc>
        <w:tc>
          <w:tcPr>
            <w:tcW w:type="dxa" w:w="3240"/>
          </w:tcPr>
          <w:p>
            <w:pPr>
              <w:spacing w:after="20"/>
              <w:jc w:val="right"/>
            </w:pPr>
            <w:r>
              <w:rPr>
                <w:color w:val="1C3A36"/>
                <w:sz w:val="17"/>
              </w:rPr>
              <w:t>60.3%</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16.3%</w:t>
            </w:r>
          </w:p>
        </w:tc>
        <w:tc>
          <w:tcPr>
            <w:tcW w:type="dxa" w:w="3240"/>
          </w:tcPr>
          <w:p>
            <w:pPr>
              <w:spacing w:after="20"/>
              <w:jc w:val="right"/>
            </w:pPr>
            <w:r>
              <w:rPr>
                <w:color w:val="1C3A36"/>
                <w:sz w:val="17"/>
              </w:rPr>
              <w:t>37.5%</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6.2%</w:t>
            </w:r>
          </w:p>
        </w:tc>
        <w:tc>
          <w:tcPr>
            <w:tcW w:type="dxa" w:w="3240"/>
          </w:tcPr>
          <w:p>
            <w:pPr>
              <w:spacing w:after="20"/>
              <w:jc w:val="right"/>
            </w:pPr>
            <w:r>
              <w:rPr>
                <w:color w:val="1C3A36"/>
                <w:sz w:val="17"/>
              </w:rPr>
              <w:t>22.2%</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2.4%</w:t>
            </w:r>
          </w:p>
        </w:tc>
        <w:tc>
          <w:tcPr>
            <w:tcW w:type="dxa" w:w="3240"/>
          </w:tcPr>
          <w:p>
            <w:pPr>
              <w:spacing w:after="20"/>
              <w:jc w:val="right"/>
            </w:pPr>
            <w:r>
              <w:rPr>
                <w:color w:val="1C3A36"/>
                <w:sz w:val="17"/>
              </w:rPr>
              <w:t>13.0%</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5.10</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8.63</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3.53</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29.08%)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16.05</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4.35</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16.05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13.2%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13.21</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13.21 to 16.50</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16.50 to 20.09</w:t>
            </w:r>
          </w:p>
        </w:tc>
        <w:tc>
          <w:tcPr>
            <w:tcW w:type="dxa" w:w="5256"/>
          </w:tcPr>
          <w:p>
            <w:pPr>
              <w:spacing w:after="20"/>
            </w:pPr>
            <w:r>
              <w:rPr>
                <w:color w:val="1C3A36"/>
                <w:sz w:val="16"/>
              </w:rPr>
              <w:t>The market would be paying more for a business whose sustainable return on equity is 6.9% against a cost of equity of 29.1%,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20.09</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13.0% chance of touching twenty per cent below today's price at some point in three months, against 35.1%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3.00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0.35 a share on its own. The replacement-rate framing at 6.1% is published beside it as the downside rather than averaged in.</w:t>
      </w:r>
    </w:p>
    <w:p>
      <w:pPr>
        <w:spacing w:after="120" w:before="0"/>
      </w:pPr>
      <w:r>
        <w:rPr>
          <w:b w:val="0"/>
          <w:i w:val="0"/>
          <w:color w:val="1C3A36"/>
          <w:sz w:val="21"/>
        </w:rPr>
        <w:t>The terminal charge for keeping the plant intact is the largest single judgement left in the model, and it is now a measurement rather than an assumption. Earlier editions charged the terminal by reinvesting a share of profit set by growth over an assumed return on capital — a construction that, read as a capital programme, rebuilds the entire asset base every 14.3 years, which is a fact about the pound rather than about a urea plant. It now charges what replacing the plant costs at today's prices: the book depreciation charge escalated over the average age of the base. THAT AGE IS READ OFF THE ACCOUNTS rather than assumed — accumulated depreciation over the year's own charge is the charge-weighted average age under straight-line depreciation, and it comes to 4.45 years against the 22.07-year replacement cycle the same note implies. This base is a quarter worn rather than half: only EGP 220 million of it, 1.3% of the depreciable cost, is fully depreciated and still in production. Where a company discloses too little to measure the age, half the life has to be assumed instead, and on this base that assumption is worth EGP 2.62 a share — the fourth largest of the ten priced alternatives, behind only the gas price and the discount-rate glide, and the reason the measurement was worth making.</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83.3% of enterprise value on the carried-through case and 57.4% on the stopped case. The explicit years are a construction window: free cash flow to the firm is positive in 5 of the five years and negative in the other 0, and their present value is EGP 2,761 million against a terminal block of EGP 13,732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11,674</w:t>
            </w:r>
          </w:p>
        </w:tc>
        <w:tc>
          <w:tcPr>
            <w:tcW w:type="dxa" w:w="893"/>
          </w:tcPr>
          <w:p>
            <w:pPr>
              <w:spacing w:after="20"/>
              <w:jc w:val="right"/>
            </w:pPr>
            <w:r>
              <w:rPr>
                <w:color w:val="1C3A36"/>
                <w:sz w:val="14"/>
              </w:rPr>
              <w:t>12,693</w:t>
            </w:r>
          </w:p>
        </w:tc>
        <w:tc>
          <w:tcPr>
            <w:tcW w:type="dxa" w:w="893"/>
          </w:tcPr>
          <w:p>
            <w:pPr>
              <w:spacing w:after="20"/>
              <w:jc w:val="right"/>
            </w:pPr>
            <w:r>
              <w:rPr>
                <w:color w:val="1C3A36"/>
                <w:sz w:val="14"/>
              </w:rPr>
              <w:t>13,513</w:t>
            </w:r>
          </w:p>
        </w:tc>
        <w:tc>
          <w:tcPr>
            <w:tcW w:type="dxa" w:w="893"/>
          </w:tcPr>
          <w:p>
            <w:pPr>
              <w:spacing w:after="20"/>
              <w:jc w:val="right"/>
            </w:pPr>
            <w:r>
              <w:rPr>
                <w:color w:val="1C3A36"/>
                <w:sz w:val="14"/>
              </w:rPr>
              <w:t>14,277</w:t>
            </w:r>
          </w:p>
        </w:tc>
        <w:tc>
          <w:tcPr>
            <w:tcW w:type="dxa" w:w="893"/>
          </w:tcPr>
          <w:p>
            <w:pPr>
              <w:spacing w:after="20"/>
              <w:jc w:val="right"/>
            </w:pPr>
            <w:r>
              <w:rPr>
                <w:color w:val="1C3A36"/>
                <w:sz w:val="14"/>
              </w:rPr>
              <w:t>15,043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5,337</w:t>
            </w:r>
          </w:p>
        </w:tc>
        <w:tc>
          <w:tcPr>
            <w:tcW w:type="dxa" w:w="893"/>
            <w:shd w:val="clear" w:color="auto" w:fill="F6F1E6"/>
          </w:tcPr>
          <w:p>
            <w:pPr>
              <w:spacing w:after="20"/>
              <w:jc w:val="right"/>
            </w:pPr>
            <w:r>
              <w:rPr>
                <w:b/>
                <w:color w:val="1C3A36"/>
                <w:sz w:val="14"/>
              </w:rPr>
              <w:t>5,711</w:t>
            </w:r>
          </w:p>
        </w:tc>
        <w:tc>
          <w:tcPr>
            <w:tcW w:type="dxa" w:w="893"/>
            <w:shd w:val="clear" w:color="auto" w:fill="F6F1E6"/>
          </w:tcPr>
          <w:p>
            <w:pPr>
              <w:spacing w:after="20"/>
              <w:jc w:val="right"/>
            </w:pPr>
            <w:r>
              <w:rPr>
                <w:b/>
                <w:color w:val="1C3A36"/>
                <w:sz w:val="14"/>
              </w:rPr>
              <w:t>5,955</w:t>
            </w:r>
          </w:p>
        </w:tc>
        <w:tc>
          <w:tcPr>
            <w:tcW w:type="dxa" w:w="893"/>
            <w:shd w:val="clear" w:color="auto" w:fill="F6F1E6"/>
          </w:tcPr>
          <w:p>
            <w:pPr>
              <w:spacing w:after="20"/>
              <w:jc w:val="right"/>
            </w:pPr>
            <w:r>
              <w:rPr>
                <w:b/>
                <w:color w:val="1C3A36"/>
                <w:sz w:val="14"/>
              </w:rPr>
              <w:t>6,160</w:t>
            </w:r>
          </w:p>
        </w:tc>
        <w:tc>
          <w:tcPr>
            <w:tcW w:type="dxa" w:w="893"/>
            <w:shd w:val="clear" w:color="auto" w:fill="F6F1E6"/>
          </w:tcPr>
          <w:p>
            <w:pPr>
              <w:spacing w:after="20"/>
              <w:jc w:val="right"/>
            </w:pPr>
            <w:r>
              <w:rPr>
                <w:b/>
                <w:color w:val="1C3A36"/>
                <w:sz w:val="14"/>
              </w:rPr>
              <w:t>6,360</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3,921</w:t>
            </w:r>
          </w:p>
        </w:tc>
        <w:tc>
          <w:tcPr>
            <w:tcW w:type="dxa" w:w="893"/>
            <w:shd w:val="clear" w:color="auto" w:fill="F6F1E6"/>
          </w:tcPr>
          <w:p>
            <w:pPr>
              <w:spacing w:after="20"/>
              <w:jc w:val="right"/>
            </w:pPr>
            <w:r>
              <w:rPr>
                <w:b/>
                <w:color w:val="1C3A36"/>
                <w:sz w:val="14"/>
              </w:rPr>
              <w:t>4,194</w:t>
            </w:r>
          </w:p>
        </w:tc>
        <w:tc>
          <w:tcPr>
            <w:tcW w:type="dxa" w:w="893"/>
            <w:shd w:val="clear" w:color="auto" w:fill="F6F1E6"/>
          </w:tcPr>
          <w:p>
            <w:pPr>
              <w:spacing w:after="20"/>
              <w:jc w:val="right"/>
            </w:pPr>
            <w:r>
              <w:rPr>
                <w:b/>
                <w:color w:val="1C3A36"/>
                <w:sz w:val="14"/>
              </w:rPr>
              <w:t>4,346</w:t>
            </w:r>
          </w:p>
        </w:tc>
        <w:tc>
          <w:tcPr>
            <w:tcW w:type="dxa" w:w="893"/>
            <w:shd w:val="clear" w:color="auto" w:fill="F6F1E6"/>
          </w:tcPr>
          <w:p>
            <w:pPr>
              <w:spacing w:after="20"/>
              <w:jc w:val="right"/>
            </w:pPr>
            <w:r>
              <w:rPr>
                <w:b/>
                <w:color w:val="1C3A36"/>
                <w:sz w:val="14"/>
              </w:rPr>
              <w:t>4,453</w:t>
            </w:r>
          </w:p>
        </w:tc>
        <w:tc>
          <w:tcPr>
            <w:tcW w:type="dxa" w:w="893"/>
            <w:shd w:val="clear" w:color="auto" w:fill="F6F1E6"/>
          </w:tcPr>
          <w:p>
            <w:pPr>
              <w:spacing w:after="20"/>
              <w:jc w:val="right"/>
            </w:pPr>
            <w:r>
              <w:rPr>
                <w:b/>
                <w:color w:val="1C3A36"/>
                <w:sz w:val="14"/>
              </w:rPr>
              <w:t>4,553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4,812</w:t>
            </w:r>
          </w:p>
        </w:tc>
        <w:tc>
          <w:tcPr>
            <w:tcW w:type="dxa" w:w="893"/>
            <w:shd w:val="clear" w:color="auto" w:fill="F6F1E6"/>
          </w:tcPr>
          <w:p>
            <w:pPr>
              <w:spacing w:after="20"/>
              <w:jc w:val="right"/>
            </w:pPr>
            <w:r>
              <w:rPr>
                <w:b/>
                <w:color w:val="1C3A36"/>
                <w:sz w:val="14"/>
              </w:rPr>
              <w:t>5,203</w:t>
            </w:r>
          </w:p>
        </w:tc>
        <w:tc>
          <w:tcPr>
            <w:tcW w:type="dxa" w:w="893"/>
            <w:shd w:val="clear" w:color="auto" w:fill="F6F1E6"/>
          </w:tcPr>
          <w:p>
            <w:pPr>
              <w:spacing w:after="20"/>
              <w:jc w:val="right"/>
            </w:pPr>
            <w:r>
              <w:rPr>
                <w:b/>
                <w:color w:val="1C3A36"/>
                <w:sz w:val="14"/>
              </w:rPr>
              <w:t>5,492</w:t>
            </w:r>
          </w:p>
        </w:tc>
        <w:tc>
          <w:tcPr>
            <w:tcW w:type="dxa" w:w="893"/>
            <w:shd w:val="clear" w:color="auto" w:fill="F6F1E6"/>
          </w:tcPr>
          <w:p>
            <w:pPr>
              <w:spacing w:after="20"/>
              <w:jc w:val="right"/>
            </w:pPr>
            <w:r>
              <w:rPr>
                <w:b/>
                <w:color w:val="1C3A36"/>
                <w:sz w:val="14"/>
              </w:rPr>
              <w:t>5,746</w:t>
            </w:r>
          </w:p>
        </w:tc>
        <w:tc>
          <w:tcPr>
            <w:tcW w:type="dxa" w:w="893"/>
            <w:shd w:val="clear" w:color="auto" w:fill="F6F1E6"/>
          </w:tcPr>
          <w:p>
            <w:pPr>
              <w:spacing w:after="20"/>
              <w:jc w:val="right"/>
            </w:pPr>
            <w:r>
              <w:rPr>
                <w:b/>
                <w:color w:val="1C3A36"/>
                <w:sz w:val="14"/>
              </w:rPr>
              <w:t>5,987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45.0%</w:t>
            </w:r>
          </w:p>
        </w:tc>
        <w:tc>
          <w:tcPr>
            <w:tcW w:type="dxa" w:w="893"/>
          </w:tcPr>
          <w:p>
            <w:pPr>
              <w:spacing w:after="20"/>
              <w:jc w:val="right"/>
            </w:pPr>
            <w:r>
              <w:rPr>
                <w:color w:val="1C3A36"/>
                <w:sz w:val="14"/>
              </w:rPr>
              <w:t>44.1%</w:t>
            </w:r>
          </w:p>
        </w:tc>
        <w:tc>
          <w:tcPr>
            <w:tcW w:type="dxa" w:w="893"/>
          </w:tcPr>
          <w:p>
            <w:pPr>
              <w:spacing w:after="20"/>
              <w:jc w:val="right"/>
            </w:pPr>
            <w:r>
              <w:rPr>
                <w:color w:val="1C3A36"/>
                <w:sz w:val="14"/>
              </w:rPr>
              <w:t>43.1%</w:t>
            </w:r>
          </w:p>
        </w:tc>
        <w:tc>
          <w:tcPr>
            <w:tcW w:type="dxa" w:w="893"/>
          </w:tcPr>
          <w:p>
            <w:pPr>
              <w:spacing w:after="20"/>
              <w:jc w:val="right"/>
            </w:pPr>
            <w:r>
              <w:rPr>
                <w:color w:val="1C3A36"/>
                <w:sz w:val="14"/>
              </w:rPr>
              <w:t>42.3%</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41.2%</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40.6%</w:t>
            </w:r>
          </w:p>
        </w:tc>
        <w:tc>
          <w:tcPr>
            <w:tcW w:type="dxa" w:w="893"/>
          </w:tcPr>
          <w:p>
            <w:pPr>
              <w:spacing w:after="20"/>
              <w:jc w:val="right"/>
            </w:pPr>
            <w:r>
              <w:rPr>
                <w:color w:val="1C3A36"/>
                <w:sz w:val="14"/>
              </w:rPr>
              <w:t>40.2%</w:t>
            </w:r>
          </w:p>
        </w:tc>
        <w:tc>
          <w:tcPr>
            <w:tcW w:type="dxa" w:w="893"/>
          </w:tcPr>
          <w:p>
            <w:pPr>
              <w:spacing w:after="20"/>
              <w:jc w:val="right"/>
            </w:pPr>
            <w:r>
              <w:rPr>
                <w:color w:val="1C3A36"/>
                <w:sz w:val="14"/>
              </w:rPr>
              <w:t>39.8%</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856</w:t>
            </w:r>
          </w:p>
        </w:tc>
        <w:tc>
          <w:tcPr>
            <w:tcW w:type="dxa" w:w="1426"/>
          </w:tcPr>
          <w:p>
            <w:pPr>
              <w:spacing w:after="20"/>
              <w:jc w:val="right"/>
            </w:pPr>
            <w:r>
              <w:rPr>
                <w:color w:val="1C3A36"/>
                <w:sz w:val="16"/>
              </w:rPr>
              <w:t>931</w:t>
            </w:r>
          </w:p>
        </w:tc>
        <w:tc>
          <w:tcPr>
            <w:tcW w:type="dxa" w:w="1426"/>
          </w:tcPr>
          <w:p>
            <w:pPr>
              <w:spacing w:after="20"/>
              <w:jc w:val="right"/>
            </w:pPr>
            <w:r>
              <w:rPr>
                <w:color w:val="1C3A36"/>
                <w:sz w:val="16"/>
              </w:rPr>
              <w:t>991</w:t>
            </w:r>
          </w:p>
        </w:tc>
        <w:tc>
          <w:tcPr>
            <w:tcW w:type="dxa" w:w="1426"/>
          </w:tcPr>
          <w:p>
            <w:pPr>
              <w:spacing w:after="20"/>
              <w:jc w:val="right"/>
            </w:pPr>
            <w:r>
              <w:rPr>
                <w:color w:val="1C3A36"/>
                <w:sz w:val="16"/>
              </w:rPr>
              <w:t>1,047</w:t>
            </w:r>
          </w:p>
        </w:tc>
        <w:tc>
          <w:tcPr>
            <w:tcW w:type="dxa" w:w="1426"/>
          </w:tcPr>
          <w:p>
            <w:pPr>
              <w:spacing w:after="20"/>
              <w:jc w:val="right"/>
            </w:pPr>
            <w:r>
              <w:rPr>
                <w:color w:val="1C3A36"/>
                <w:sz w:val="16"/>
              </w:rPr>
              <w:t>1,104</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2,281</w:t>
            </w:r>
          </w:p>
        </w:tc>
        <w:tc>
          <w:tcPr>
            <w:tcW w:type="dxa" w:w="1426"/>
          </w:tcPr>
          <w:p>
            <w:pPr>
              <w:spacing w:after="20"/>
              <w:jc w:val="right"/>
            </w:pPr>
            <w:r>
              <w:rPr>
                <w:color w:val="1C3A36"/>
                <w:sz w:val="16"/>
              </w:rPr>
              <w:t>2,501</w:t>
            </w:r>
          </w:p>
        </w:tc>
        <w:tc>
          <w:tcPr>
            <w:tcW w:type="dxa" w:w="1426"/>
          </w:tcPr>
          <w:p>
            <w:pPr>
              <w:spacing w:after="20"/>
              <w:jc w:val="right"/>
            </w:pPr>
            <w:r>
              <w:rPr>
                <w:color w:val="1C3A36"/>
                <w:sz w:val="16"/>
              </w:rPr>
              <w:t>2,691</w:t>
            </w:r>
          </w:p>
        </w:tc>
        <w:tc>
          <w:tcPr>
            <w:tcW w:type="dxa" w:w="1426"/>
          </w:tcPr>
          <w:p>
            <w:pPr>
              <w:spacing w:after="20"/>
              <w:jc w:val="right"/>
            </w:pPr>
            <w:r>
              <w:rPr>
                <w:color w:val="1C3A36"/>
                <w:sz w:val="16"/>
              </w:rPr>
              <w:t>2,873</w:t>
            </w:r>
          </w:p>
        </w:tc>
        <w:tc>
          <w:tcPr>
            <w:tcW w:type="dxa" w:w="1426"/>
          </w:tcPr>
          <w:p>
            <w:pPr>
              <w:spacing w:after="20"/>
              <w:jc w:val="right"/>
            </w:pPr>
            <w:r>
              <w:rPr>
                <w:color w:val="1C3A36"/>
                <w:sz w:val="16"/>
              </w:rPr>
              <w:t>3,056</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619</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581</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13,513</w:t>
            </w:r>
          </w:p>
        </w:tc>
        <w:tc>
          <w:tcPr>
            <w:tcW w:type="dxa" w:w="2016"/>
          </w:tcPr>
          <w:p>
            <w:pPr>
              <w:spacing w:after="20"/>
              <w:jc w:val="right"/>
            </w:pPr>
            <w:r>
              <w:rPr>
                <w:color w:val="1C3A36"/>
                <w:sz w:val="16"/>
              </w:rPr>
              <w:t>14,277</w:t>
            </w:r>
          </w:p>
        </w:tc>
        <w:tc>
          <w:tcPr>
            <w:tcW w:type="dxa" w:w="2016"/>
          </w:tcPr>
          <w:p>
            <w:pPr>
              <w:spacing w:after="20"/>
              <w:jc w:val="right"/>
            </w:pPr>
            <w:r>
              <w:rPr>
                <w:color w:val="1C3A36"/>
                <w:sz w:val="16"/>
              </w:rPr>
              <w:t>15,043</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5,955</w:t>
            </w:r>
          </w:p>
        </w:tc>
        <w:tc>
          <w:tcPr>
            <w:tcW w:type="dxa" w:w="2016"/>
          </w:tcPr>
          <w:p>
            <w:pPr>
              <w:spacing w:after="20"/>
              <w:jc w:val="right"/>
            </w:pPr>
            <w:r>
              <w:rPr>
                <w:color w:val="1C3A36"/>
                <w:sz w:val="16"/>
              </w:rPr>
              <w:t>6,160</w:t>
            </w:r>
          </w:p>
        </w:tc>
        <w:tc>
          <w:tcPr>
            <w:tcW w:type="dxa" w:w="2016"/>
          </w:tcPr>
          <w:p>
            <w:pPr>
              <w:spacing w:after="20"/>
              <w:jc w:val="right"/>
            </w:pPr>
            <w:r>
              <w:rPr>
                <w:color w:val="1C3A36"/>
                <w:sz w:val="16"/>
              </w:rPr>
              <w:t>6,360</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5,492</w:t>
            </w:r>
          </w:p>
        </w:tc>
        <w:tc>
          <w:tcPr>
            <w:tcW w:type="dxa" w:w="2016"/>
            <w:shd w:val="clear" w:color="auto" w:fill="F6F1E6"/>
          </w:tcPr>
          <w:p>
            <w:pPr>
              <w:spacing w:after="20"/>
              <w:jc w:val="right"/>
            </w:pPr>
            <w:r>
              <w:rPr>
                <w:b/>
                <w:color w:val="1C3A36"/>
                <w:sz w:val="16"/>
              </w:rPr>
              <w:t>5,746</w:t>
            </w:r>
          </w:p>
        </w:tc>
        <w:tc>
          <w:tcPr>
            <w:tcW w:type="dxa" w:w="2016"/>
            <w:shd w:val="clear" w:color="auto" w:fill="F6F1E6"/>
          </w:tcPr>
          <w:p>
            <w:pPr>
              <w:spacing w:after="20"/>
              <w:jc w:val="right"/>
            </w:pPr>
            <w:r>
              <w:rPr>
                <w:b/>
                <w:color w:val="1C3A36"/>
                <w:sz w:val="16"/>
              </w:rPr>
              <w:t>5,987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1,445</w:t>
            </w:r>
          </w:p>
        </w:tc>
        <w:tc>
          <w:tcPr>
            <w:tcW w:type="dxa" w:w="2016"/>
          </w:tcPr>
          <w:p>
            <w:pPr>
              <w:spacing w:after="20"/>
              <w:jc w:val="right"/>
            </w:pPr>
            <w:r>
              <w:rPr>
                <w:color w:val="1C3A36"/>
                <w:sz w:val="16"/>
              </w:rPr>
              <w:t>507</w:t>
            </w:r>
          </w:p>
        </w:tc>
        <w:tc>
          <w:tcPr>
            <w:tcW w:type="dxa" w:w="2016"/>
          </w:tcPr>
          <w:p>
            <w:pPr>
              <w:spacing w:after="20"/>
              <w:jc w:val="right"/>
            </w:pPr>
            <w:r>
              <w:rPr>
                <w:color w:val="1C3A36"/>
                <w:sz w:val="16"/>
              </w:rPr>
              <w:t>1,220</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15,881</w:t>
            </w:r>
          </w:p>
        </w:tc>
        <w:tc>
          <w:tcPr>
            <w:tcW w:type="dxa" w:w="2016"/>
          </w:tcPr>
          <w:p>
            <w:pPr>
              <w:spacing w:after="20"/>
              <w:jc w:val="right"/>
            </w:pPr>
            <w:r>
              <w:rPr>
                <w:color w:val="1C3A36"/>
                <w:sz w:val="16"/>
              </w:rPr>
              <w:t>17,139</w:t>
            </w:r>
          </w:p>
        </w:tc>
        <w:tc>
          <w:tcPr>
            <w:tcW w:type="dxa" w:w="2016"/>
          </w:tcPr>
          <w:p>
            <w:pPr>
              <w:spacing w:after="20"/>
              <w:jc w:val="right"/>
            </w:pPr>
            <w:r>
              <w:rPr>
                <w:color w:val="1C3A36"/>
                <w:sz w:val="16"/>
              </w:rPr>
              <w:t>19,995</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1,557</w:t>
            </w:r>
          </w:p>
        </w:tc>
        <w:tc>
          <w:tcPr>
            <w:tcW w:type="dxa" w:w="2016"/>
          </w:tcPr>
          <w:p>
            <w:pPr>
              <w:spacing w:after="20"/>
              <w:jc w:val="right"/>
            </w:pPr>
            <w:r>
              <w:rPr>
                <w:color w:val="1C3A36"/>
                <w:sz w:val="16"/>
              </w:rPr>
              <w:t>1,387</w:t>
            </w:r>
          </w:p>
        </w:tc>
        <w:tc>
          <w:tcPr>
            <w:tcW w:type="dxa" w:w="2016"/>
          </w:tcPr>
          <w:p>
            <w:pPr>
              <w:spacing w:after="20"/>
              <w:jc w:val="right"/>
            </w:pPr>
            <w:r>
              <w:rPr>
                <w:color w:val="1C3A36"/>
                <w:sz w:val="16"/>
              </w:rPr>
              <w:t>538</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11,914</w:t>
            </w:r>
          </w:p>
        </w:tc>
        <w:tc>
          <w:tcPr>
            <w:tcW w:type="dxa" w:w="2016"/>
            <w:shd w:val="clear" w:color="auto" w:fill="F6F1E6"/>
          </w:tcPr>
          <w:p>
            <w:pPr>
              <w:spacing w:after="20"/>
              <w:jc w:val="right"/>
            </w:pPr>
            <w:r>
              <w:rPr>
                <w:b/>
                <w:color w:val="1C3A36"/>
                <w:sz w:val="16"/>
              </w:rPr>
              <w:t>11,170</w:t>
            </w:r>
          </w:p>
        </w:tc>
        <w:tc>
          <w:tcPr>
            <w:tcW w:type="dxa" w:w="2016"/>
            <w:shd w:val="clear" w:color="auto" w:fill="F6F1E6"/>
          </w:tcPr>
          <w:p>
            <w:pPr>
              <w:spacing w:after="20"/>
              <w:jc w:val="right"/>
            </w:pPr>
            <w:r>
              <w:rPr>
                <w:b/>
                <w:color w:val="1C3A36"/>
                <w:sz w:val="16"/>
              </w:rPr>
              <w:t>8,565</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193</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15</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13</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23</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65</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309</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20,010</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15,056</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14,773</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15,452</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11,292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5.68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5.83 a share.</w:t>
      </w:r>
    </w:p>
    <w:p>
      <w:pPr>
        <w:spacing w:after="120" w:before="0"/>
      </w:pPr>
      <w:r>
        <w:rPr>
          <w:b w:val="0"/>
          <w:i w:val="0"/>
          <w:color w:val="1C3A36"/>
          <w:sz w:val="19"/>
        </w:rPr>
        <w:t>On both sides of the contested judgement.  With the programme carried through the claim is worth EGP 5.68 a share (EGP 0.00 to 5.83 across the volatility range); with the programme stopped the enterprise value rises to EGP 28,168 million and the same claim is worth EGP 8.69 (EGP 8.62 to 8.81).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20,010m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4.56 a share, and at 60% over seven years EGP 6.49.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4.56</w:t>
            </w:r>
          </w:p>
        </w:tc>
        <w:tc>
          <w:tcPr>
            <w:tcW w:type="dxa" w:w="1541"/>
          </w:tcPr>
          <w:p>
            <w:pPr>
              <w:spacing w:after="20"/>
              <w:jc w:val="right"/>
            </w:pPr>
            <w:r>
              <w:rPr>
                <w:color w:val="1C3A36"/>
                <w:sz w:val="17"/>
              </w:rPr>
              <w:t>4.60</w:t>
            </w:r>
          </w:p>
        </w:tc>
        <w:tc>
          <w:tcPr>
            <w:tcW w:type="dxa" w:w="1541"/>
          </w:tcPr>
          <w:p>
            <w:pPr>
              <w:spacing w:after="20"/>
              <w:jc w:val="right"/>
            </w:pPr>
            <w:r>
              <w:rPr>
                <w:color w:val="1C3A36"/>
                <w:sz w:val="17"/>
              </w:rPr>
              <w:t>4.73</w:t>
            </w:r>
          </w:p>
        </w:tc>
        <w:tc>
          <w:tcPr>
            <w:tcW w:type="dxa" w:w="1541"/>
          </w:tcPr>
          <w:p>
            <w:pPr>
              <w:spacing w:after="20"/>
              <w:jc w:val="right"/>
            </w:pPr>
            <w:r>
              <w:rPr>
                <w:color w:val="1C3A36"/>
                <w:sz w:val="17"/>
              </w:rPr>
              <w:t>4.90</w:t>
            </w:r>
          </w:p>
        </w:tc>
        <w:tc>
          <w:tcPr>
            <w:tcW w:type="dxa" w:w="1541"/>
          </w:tcPr>
          <w:p>
            <w:pPr>
              <w:spacing w:after="20"/>
              <w:jc w:val="right"/>
            </w:pPr>
            <w:r>
              <w:rPr>
                <w:color w:val="1C3A36"/>
                <w:sz w:val="17"/>
              </w:rPr>
              <w:t>5.00</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5.55</w:t>
            </w:r>
          </w:p>
        </w:tc>
        <w:tc>
          <w:tcPr>
            <w:tcW w:type="dxa" w:w="1541"/>
          </w:tcPr>
          <w:p>
            <w:pPr>
              <w:spacing w:after="20"/>
              <w:jc w:val="right"/>
            </w:pPr>
            <w:r>
              <w:rPr>
                <w:color w:val="1C3A36"/>
                <w:sz w:val="17"/>
              </w:rPr>
              <w:t>5.58</w:t>
            </w:r>
          </w:p>
        </w:tc>
        <w:tc>
          <w:tcPr>
            <w:tcW w:type="dxa" w:w="1541"/>
          </w:tcPr>
          <w:p>
            <w:pPr>
              <w:spacing w:after="20"/>
              <w:jc w:val="right"/>
            </w:pPr>
            <w:r>
              <w:rPr>
                <w:color w:val="1C3A36"/>
                <w:sz w:val="17"/>
              </w:rPr>
              <w:t>5.68</w:t>
            </w:r>
          </w:p>
        </w:tc>
        <w:tc>
          <w:tcPr>
            <w:tcW w:type="dxa" w:w="1541"/>
          </w:tcPr>
          <w:p>
            <w:pPr>
              <w:spacing w:after="20"/>
              <w:jc w:val="right"/>
            </w:pPr>
            <w:r>
              <w:rPr>
                <w:color w:val="1C3A36"/>
                <w:sz w:val="17"/>
              </w:rPr>
              <w:t>5.83</w:t>
            </w:r>
          </w:p>
        </w:tc>
        <w:tc>
          <w:tcPr>
            <w:tcW w:type="dxa" w:w="1541"/>
          </w:tcPr>
          <w:p>
            <w:pPr>
              <w:spacing w:after="20"/>
              <w:jc w:val="right"/>
            </w:pPr>
            <w:r>
              <w:rPr>
                <w:color w:val="1C3A36"/>
                <w:sz w:val="17"/>
              </w:rPr>
              <w:t>5.92</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6.20</w:t>
            </w:r>
          </w:p>
        </w:tc>
        <w:tc>
          <w:tcPr>
            <w:tcW w:type="dxa" w:w="1541"/>
          </w:tcPr>
          <w:p>
            <w:pPr>
              <w:spacing w:after="20"/>
              <w:jc w:val="right"/>
            </w:pPr>
            <w:r>
              <w:rPr>
                <w:color w:val="1C3A36"/>
                <w:sz w:val="17"/>
              </w:rPr>
              <w:t>6.23</w:t>
            </w:r>
          </w:p>
        </w:tc>
        <w:tc>
          <w:tcPr>
            <w:tcW w:type="dxa" w:w="1541"/>
          </w:tcPr>
          <w:p>
            <w:pPr>
              <w:spacing w:after="20"/>
              <w:jc w:val="right"/>
            </w:pPr>
            <w:r>
              <w:rPr>
                <w:color w:val="1C3A36"/>
                <w:sz w:val="17"/>
              </w:rPr>
              <w:t>6.30</w:t>
            </w:r>
          </w:p>
        </w:tc>
        <w:tc>
          <w:tcPr>
            <w:tcW w:type="dxa" w:w="1541"/>
          </w:tcPr>
          <w:p>
            <w:pPr>
              <w:spacing w:after="20"/>
              <w:jc w:val="right"/>
            </w:pPr>
            <w:r>
              <w:rPr>
                <w:color w:val="1C3A36"/>
                <w:sz w:val="17"/>
              </w:rPr>
              <w:t>6.42</w:t>
            </w:r>
          </w:p>
        </w:tc>
        <w:tc>
          <w:tcPr>
            <w:tcW w:type="dxa" w:w="1541"/>
          </w:tcPr>
          <w:p>
            <w:pPr>
              <w:spacing w:after="20"/>
              <w:jc w:val="right"/>
            </w:pPr>
            <w:r>
              <w:rPr>
                <w:color w:val="1C3A36"/>
                <w:sz w:val="17"/>
              </w:rPr>
              <w:t>6.49</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5.58 a share, at 55% EGP 5.83.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-3.06</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-2.02</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-5.10</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-9.31</w:t>
            </w:r>
          </w:p>
        </w:tc>
        <w:tc>
          <w:tcPr>
            <w:tcW w:type="dxa" w:w="5904"/>
          </w:tcPr>
          <w:p>
            <w:pPr>
              <w:spacing w:after="20"/>
            </w:pPr>
            <w:r>
              <w:rPr>
                <w:color w:val="1C3A36"/>
                <w:sz w:val="16"/>
              </w:rPr>
              <w:t>The discount rate, and only the discount rate. At about 13.2%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1.64</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309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10 September 2026 and the closing price of 2026-09-03, which is what the valuation is struck against. The price map in section 3 stands on its own earlier anchor of 2026-08-06, the last session in this study's price library, and says so where it is published.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