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1.26</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2.3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1.26</w:t>
            </w:r>
          </w:p>
        </w:tc>
        <w:tc>
          <w:tcPr>
            <w:tcW w:type="dxa" w:w="950"/>
          </w:tcPr>
          <w:p>
            <w:pPr>
              <w:spacing w:after="20"/>
              <w:jc w:val="right"/>
            </w:pPr>
            <w:r>
              <w:rPr>
                <w:color w:val="1C3A36"/>
                <w:sz w:val="15"/>
              </w:rPr>
              <w:t>-1.05</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1.26 to 2.31</w:t>
            </w:r>
          </w:p>
        </w:tc>
        <w:tc>
          <w:tcPr>
            <w:tcW w:type="dxa" w:w="1152"/>
          </w:tcPr>
          <w:p>
            <w:pPr>
              <w:spacing w:after="20"/>
              <w:jc w:val="right"/>
            </w:pPr>
            <w:r>
              <w:rPr>
                <w:color w:val="1C3A36"/>
                <w:sz w:val="16"/>
              </w:rPr>
              <w:t>1.05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cone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