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8.64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9.1</w:t>
            </w:r>
          </w:p>
        </w:tc>
        <w:tc>
          <w:tcPr>
            <w:tcW w:type="dxa" w:w="1368"/>
          </w:tcPr>
          <w:p>
            <w:pPr>
              <w:spacing w:after="20"/>
            </w:pPr>
            <w:r>
              <w:rPr>
                <w:color w:val="1C3A36"/>
                <w:sz w:val="15"/>
              </w:rPr>
              <w:t>2026-08-06</w:t>
            </w:r>
          </w:p>
        </w:tc>
        <w:tc>
          <w:tcPr>
            <w:tcW w:type="dxa" w:w="3845"/>
          </w:tcPr>
          <w:p>
            <w:pPr>
              <w:spacing w:after="20"/>
            </w:pPr>
            <w:r>
              <w:rPr>
                <w:color w:val="1C3A36"/>
                <w:sz w:val="15"/>
              </w:rPr>
              <w:t>AMOC closing price on the Egyptian Exchange, 6 August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AMOC holds 86.45% of Alexandria Wax Products S.A.E. (note 1-2). The previous edition inferred 3.0% from the gap between consolidated and standalone profit; the filing says 4.645%</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(gas oil -8.3% a year, naphtha -7.4%, fuel oil -6.4%, heavy fuel oil -28.2%; only wax +1.1% and LPG +1.7% grew).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reverts toward the five-year mean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0.908</w:t>
            </w:r>
          </w:p>
        </w:tc>
        <w:tc>
          <w:tcPr>
            <w:tcW w:type="dxa" w:w="1368"/>
          </w:tcPr>
          <w:p>
            <w:pPr>
              <w:spacing w:after="20"/>
            </w:pPr>
            <w:r>
              <w:rPr>
                <w:color w:val="1C3A36"/>
                <w:sz w:val="15"/>
              </w:rPr>
              <w:t>2026-07-22</w:t>
            </w:r>
          </w:p>
        </w:tc>
        <w:tc>
          <w:tcPr>
            <w:tcW w:type="dxa" w:w="3845"/>
          </w:tcPr>
          <w:p>
            <w:pPr>
              <w:spacing w:after="20"/>
            </w:pPr>
            <w:r>
              <w:rPr>
                <w:color w:val="1C3A36"/>
                <w:sz w:val="15"/>
              </w:rPr>
              <w:t>Own-stock tier-1 regression, AMOC weekly log-returns against the EGX30 — the published index of the exchange AMOC is listed on, series as of 22 July 2026. R-squared 0.259, n = 253, standard error 0.165, 90% confidence interval [0.637, 1.179], Blume cross-check 0.939.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-3.5% on beta and under a percent on fair value;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1.33, 1.28, 1.12, 1.145, 1.13, 1.115, 1.1, 1.095</w:t>
            </w:r>
          </w:p>
        </w:tc>
        <w:tc>
          <w:tcPr>
            <w:tcW w:type="dxa" w:w="1368"/>
          </w:tcPr>
          <w:p>
            <w:pPr>
              <w:spacing w:after="20"/>
            </w:pPr>
            <w:r>
              <w:rPr>
                <w:color w:val="1C3A36"/>
                <w:sz w:val="15"/>
              </w:rPr>
              <w:t>2026-08-06</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Historical years as printed, easing toward the central bank's published target thereafter</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0.1171, 0.1024, 0.0878, 0.0732, 0.0683</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54.4, 59.97, 65.24, 70.01, 74.8</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0.22</w:t>
            </w:r>
          </w:p>
        </w:tc>
        <w:tc>
          <w:tcPr>
            <w:tcW w:type="dxa" w:w="1368"/>
          </w:tcPr>
          <w:p>
            <w:pPr>
              <w:spacing w:after="20"/>
            </w:pPr>
            <w:r>
              <w:rPr>
                <w:color w:val="1C3A36"/>
                <w:sz w:val="15"/>
              </w:rPr>
              <w:t>2026-08-06</w:t>
            </w:r>
          </w:p>
        </w:tc>
        <w:tc>
          <w:tcPr>
            <w:tcW w:type="dxa" w:w="3845"/>
          </w:tcPr>
          <w:p>
            <w:pPr>
              <w:spacing w:after="20"/>
            </w:pPr>
            <w:r>
              <w:rPr>
                <w:color w:val="1C3A36"/>
                <w:sz w:val="15"/>
              </w:rPr>
              <w:t>Marginal cost of debt. The gross book is EGP 25mn — 0.06% of revenue — of short-dated Egyptian-pound facilities, so the rate is taken at the corridor lending rate of 20.00% plus a 200bp corporate spread rather than pretended to be observable.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0.22, 0.195, 0.175, 0.16, 0.15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0.055</w:t>
            </w:r>
          </w:p>
        </w:tc>
        <w:tc>
          <w:tcPr>
            <w:tcW w:type="dxa" w:w="1368"/>
          </w:tcPr>
          <w:p>
            <w:pPr>
              <w:spacing w:after="20"/>
            </w:pPr>
            <w:r>
              <w:rPr>
                <w:color w:val="1C3A36"/>
                <w:sz w:val="15"/>
              </w:rPr>
              <w:t>2026-08-06</w:t>
            </w:r>
          </w:p>
        </w:tc>
        <w:tc>
          <w:tcPr>
            <w:tcW w:type="dxa" w:w="3845"/>
          </w:tcPr>
          <w:p>
            <w:pPr>
              <w:spacing w:after="20"/>
            </w:pPr>
            <w:r>
              <w:rPr>
                <w:color w:val="1C3A36"/>
                <w:sz w:val="15"/>
              </w:rPr>
              <w:t>Terminal real risk-free rate, the standard emerging-market convention. The terminal NOMINAL risk-free rate is not an input: it is DERIVED as this real rate plus the central bank's inflation target IN FORCE for the terminal horizon (`cbe_target`), so the single most terminal-value-sensitive number in the model cannot be set by hand. The previous edition hardcoded 10.50% by adding 5.5pp to the 5% target dated Q4-2028 while describing it as 'the' medium-term target; the target in force is 7% for Q4-2026 and the July-2026 rate decision pushed even that to H2-2027</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+8.3%</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