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(179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bl>
    <w:p>
      <w:pPr>
        <w:spacing w:after="40"/>
      </w:pPr>
    </w:p>
    <w:p>
      <w:pPr>
        <w:spacing w:after="100" w:before="160"/>
      </w:pPr>
      <w:r>
        <w:rPr>
          <w:b/>
          <w:i w:val="0"/>
          <w:color w:val="1C3A36"/>
          <w:sz w:val="21"/>
        </w:rPr>
        <w:t>L4 — Industry and sector context  (17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egx_industrial_ev_ebitda_high</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egx_industrial_ev_ebitda_low</w:t>
            </w:r>
          </w:p>
        </w:tc>
        <w:tc>
          <w:tcPr>
            <w:tcW w:type="dxa" w:w="1944"/>
          </w:tcPr>
          <w:p>
            <w:pPr>
              <w:spacing w:after="20"/>
              <w:jc w:val="left"/>
            </w:pPr>
            <w:r>
              <w:rPr>
                <w:color w:val="1C3A36"/>
                <w:sz w:val="14"/>
              </w:rPr>
              <w:t>3</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(57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Stoppage and abnormal-gas cost, decaying as supply normalises from the EGP 164.5m charged in FY2024/25.</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dimson_sum_beta</w:t>
            </w:r>
          </w:p>
        </w:tc>
        <w:tc>
          <w:tcPr>
            <w:tcW w:type="dxa" w:w="1944"/>
          </w:tcPr>
          <w:p>
            <w:pPr>
              <w:spacing w:after="20"/>
              <w:jc w:val="left"/>
            </w:pPr>
            <w:r>
              <w:rPr>
                <w:color w:val="1C3A36"/>
                <w:sz w:val="14"/>
              </w:rPr>
              <w:t>0.8276</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Dimson sum-beta over one lead, the contemporaneous term and two lags of the same weekly regression — the thin-trading correction, carried as the beta alternative</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central bank's 7% inflation target against about 2.4% in the United States. The SAME wedge drives the currency path in the revenue build, so the two cannot diverge.</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Upside export price path: urea holds nearer the August 2026 quote.</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growth set at the central bank's medium-term inflation target: nominal maintenance growth, no real growth assumed</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alternative terminal growth rate: two points below the inflation target, which is negative real maintenance growth</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3.28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