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8 August 2026  ·  Reporting and valuation currency: Egyptian pounds  ·  Anchor price EGP 13.98 at the close of 2026-08-06</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Four lenses give a field, not a point. Where they disagree, the disagreement is the information —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0.00 and EGP 6.92 a share. It trades at EGP 13.98. The gap is not a rounding difference and it does not close under any single assumption: the cheapest lens to satisfy — a peer multiple on forward operating profit — still lands at EGP 6.92, and that lens reaches its answer only by never asking what the capital programme does to cash.</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10.1%,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25.0% to 20.4%, terminal growth 7.0%</w:t>
            </w:r>
          </w:p>
        </w:tc>
        <w:tc>
          <w:tcPr>
            <w:tcW w:type="dxa" w:w="1512"/>
          </w:tcPr>
          <w:p>
            <w:pPr>
              <w:spacing w:after="20"/>
              <w:jc w:val="right"/>
            </w:pPr>
            <w:r>
              <w:rPr>
                <w:color w:val="1C3A36"/>
                <w:sz w:val="15"/>
              </w:rPr>
              <w:t>-2.87 to 1.47</w:t>
            </w:r>
          </w:p>
        </w:tc>
        <w:tc>
          <w:tcPr>
            <w:tcW w:type="dxa" w:w="1008"/>
          </w:tcPr>
          <w:p>
            <w:pPr>
              <w:spacing w:after="20"/>
              <w:jc w:val="right"/>
            </w:pPr>
            <w:r>
              <w:rPr>
                <w:color w:val="1C3A36"/>
                <w:sz w:val="15"/>
              </w:rPr>
              <w:t>-0.79</w:t>
            </w:r>
          </w:p>
        </w:tc>
        <w:tc>
          <w:tcPr>
            <w:tcW w:type="dxa" w:w="936"/>
          </w:tcPr>
          <w:p>
            <w:pPr>
              <w:spacing w:after="20"/>
              <w:jc w:val="right"/>
            </w:pPr>
            <w:r>
              <w:rPr>
                <w:color w:val="1C3A36"/>
                <w:sz w:val="15"/>
              </w:rPr>
              <w:t>-106%</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0.70 to 2.55</w:t>
            </w:r>
          </w:p>
        </w:tc>
        <w:tc>
          <w:tcPr>
            <w:tcW w:type="dxa" w:w="1008"/>
          </w:tcPr>
          <w:p>
            <w:pPr>
              <w:spacing w:after="20"/>
              <w:jc w:val="right"/>
            </w:pPr>
            <w:r>
              <w:rPr>
                <w:color w:val="1C3A36"/>
                <w:sz w:val="15"/>
              </w:rPr>
              <w:t>2.49</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3.0x to 6.0x, the Egyptian industrial range, with 4.5x central</w:t>
            </w:r>
          </w:p>
        </w:tc>
        <w:tc>
          <w:tcPr>
            <w:tcW w:type="dxa" w:w="1512"/>
          </w:tcPr>
          <w:p>
            <w:pPr>
              <w:spacing w:after="20"/>
              <w:jc w:val="right"/>
            </w:pPr>
            <w:r>
              <w:rPr>
                <w:color w:val="1C3A36"/>
                <w:sz w:val="15"/>
              </w:rPr>
              <w:t>3.52 to 10.31</w:t>
            </w:r>
          </w:p>
        </w:tc>
        <w:tc>
          <w:tcPr>
            <w:tcW w:type="dxa" w:w="1008"/>
          </w:tcPr>
          <w:p>
            <w:pPr>
              <w:spacing w:after="20"/>
              <w:jc w:val="right"/>
            </w:pPr>
            <w:r>
              <w:rPr>
                <w:color w:val="1C3A36"/>
                <w:sz w:val="15"/>
              </w:rPr>
              <w:t>6.92</w:t>
            </w:r>
          </w:p>
        </w:tc>
        <w:tc>
          <w:tcPr>
            <w:tcW w:type="dxa" w:w="936"/>
          </w:tcPr>
          <w:p>
            <w:pPr>
              <w:spacing w:after="20"/>
              <w:jc w:val="right"/>
            </w:pPr>
            <w:r>
              <w:rPr>
                <w:color w:val="1C3A36"/>
                <w:sz w:val="15"/>
              </w:rPr>
              <w:t>-51%</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1,400m at 8x to 12x, 10x central</w:t>
            </w:r>
          </w:p>
        </w:tc>
        <w:tc>
          <w:tcPr>
            <w:tcW w:type="dxa" w:w="1512"/>
          </w:tcPr>
          <w:p>
            <w:pPr>
              <w:spacing w:after="20"/>
              <w:jc w:val="right"/>
            </w:pPr>
            <w:r>
              <w:rPr>
                <w:color w:val="1C3A36"/>
                <w:sz w:val="15"/>
              </w:rPr>
              <w:t>2.37 to 5.19</w:t>
            </w:r>
          </w:p>
        </w:tc>
        <w:tc>
          <w:tcPr>
            <w:tcW w:type="dxa" w:w="1008"/>
          </w:tcPr>
          <w:p>
            <w:pPr>
              <w:spacing w:after="20"/>
              <w:jc w:val="right"/>
            </w:pPr>
            <w:r>
              <w:rPr>
                <w:color w:val="1C3A36"/>
                <w:sz w:val="15"/>
              </w:rPr>
              <w:t>3.78</w:t>
            </w:r>
          </w:p>
        </w:tc>
        <w:tc>
          <w:tcPr>
            <w:tcW w:type="dxa" w:w="936"/>
          </w:tcPr>
          <w:p>
            <w:pPr>
              <w:spacing w:after="20"/>
              <w:jc w:val="right"/>
            </w:pPr>
            <w:r>
              <w:rPr>
                <w:color w:val="1C3A36"/>
                <w:sz w:val="15"/>
              </w:rPr>
              <w:t>-73%</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31.3%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FIELD, all four lenses</w:t>
            </w:r>
          </w:p>
        </w:tc>
        <w:tc>
          <w:tcPr>
            <w:tcW w:type="dxa" w:w="3960"/>
            <w:shd w:val="clear" w:color="auto" w:fill="F6F1E6"/>
          </w:tcPr>
          <w:p>
            <w:pPr>
              <w:spacing w:after="20"/>
            </w:pPr>
            <w:r>
              <w:rPr>
                <w:b/>
                <w:color w:val="1C3A36"/>
                <w:sz w:val="15"/>
              </w:rPr>
              <w:t>Low to high across every read above. The two cash-flow readings are the contested judgement and are never averaged into one another</w:t>
            </w:r>
          </w:p>
        </w:tc>
        <w:tc>
          <w:tcPr>
            <w:tcW w:type="dxa" w:w="1512"/>
            <w:shd w:val="clear" w:color="auto" w:fill="F6F1E6"/>
          </w:tcPr>
          <w:p>
            <w:pPr>
              <w:spacing w:after="20"/>
              <w:jc w:val="right"/>
            </w:pPr>
            <w:r>
              <w:rPr>
                <w:b/>
                <w:color w:val="1C3A36"/>
                <w:sz w:val="15"/>
              </w:rPr>
              <w:t>0.00 to 6.92</w:t>
            </w:r>
          </w:p>
        </w:tc>
        <w:tc>
          <w:tcPr>
            <w:tcW w:type="dxa" w:w="1008"/>
            <w:shd w:val="clear" w:color="auto" w:fill="F6F1E6"/>
          </w:tcPr>
          <w:p>
            <w:pPr>
              <w:spacing w:after="20"/>
              <w:jc w:val="right"/>
            </w:pPr>
            <w:r>
              <w:rPr>
                <w:b/>
                <w:color w:val="1C3A36"/>
                <w:sz w:val="15"/>
              </w:rPr>
              <w:t>—</w:t>
            </w:r>
          </w:p>
        </w:tc>
        <w:tc>
          <w:tcPr>
            <w:tcW w:type="dxa" w:w="936"/>
            <w:shd w:val="clear" w:color="auto" w:fill="F6F1E6"/>
          </w:tcPr>
          <w:p>
            <w:pPr>
              <w:spacing w:after="20"/>
              <w:jc w:val="right"/>
            </w:pPr>
            <w:r>
              <w:rPr>
                <w:b/>
                <w:color w:val="1C3A36"/>
                <w:sz w:val="15"/>
              </w:rPr>
              <w:t>—</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13.98</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0.14</w:t>
            </w:r>
          </w:p>
        </w:tc>
        <w:tc>
          <w:tcPr>
            <w:tcW w:type="dxa" w:w="936"/>
          </w:tcPr>
          <w:p>
            <w:pPr>
              <w:spacing w:after="20"/>
              <w:jc w:val="right"/>
            </w:pPr>
            <w:r>
              <w:rPr>
                <w:color w:val="1C3A36"/>
                <w:sz w:val="15"/>
              </w:rPr>
              <w:t>-99%</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-1.48</w:t>
            </w:r>
          </w:p>
        </w:tc>
        <w:tc>
          <w:tcPr>
            <w:tcW w:type="dxa" w:w="936"/>
          </w:tcPr>
          <w:p>
            <w:pPr>
              <w:spacing w:after="20"/>
              <w:jc w:val="right"/>
            </w:pPr>
            <w:r>
              <w:rPr>
                <w:color w:val="1C3A36"/>
                <w:sz w:val="15"/>
              </w:rPr>
              <w:t>-111%</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-0.81</w:t>
            </w:r>
          </w:p>
        </w:tc>
        <w:tc>
          <w:tcPr>
            <w:tcW w:type="dxa" w:w="936"/>
          </w:tcPr>
          <w:p>
            <w:pPr>
              <w:spacing w:after="20"/>
              <w:jc w:val="right"/>
            </w:pPr>
            <w:r>
              <w:rPr>
                <w:color w:val="1C3A36"/>
                <w:sz w:val="15"/>
              </w:rPr>
              <w:t>-106%</w:t>
            </w:r>
          </w:p>
        </w:tc>
      </w:tr>
      <w:tr>
        <w:trPr>
          <w:cantSplit/>
        </w:trPr>
        <w:tc>
          <w:tcPr>
            <w:tcW w:type="dxa" w:w="2232"/>
          </w:tcPr>
          <w:p>
            <w:pPr>
              <w:spacing w:after="20"/>
            </w:pPr>
            <w:r>
              <w:rPr>
                <w:color w:val="1C3A36"/>
                <w:sz w:val="15"/>
              </w:rPr>
              <w:t>Beta from the five-year weekly regression of the share against its own local index</w:t>
            </w:r>
          </w:p>
        </w:tc>
        <w:tc>
          <w:tcPr>
            <w:tcW w:type="dxa" w:w="3960"/>
          </w:tcPr>
          <w:p>
            <w:pPr>
              <w:spacing w:after="20"/>
            </w:pPr>
            <w:r>
              <w:rPr>
                <w:color w:val="1C3A36"/>
                <w:sz w:val="15"/>
              </w:rPr>
              <w:t>The Dimson sum-beta from the same regression, which corrects for co-movement booked late because the share does not trade every session</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-0.15</w:t>
            </w:r>
          </w:p>
        </w:tc>
        <w:tc>
          <w:tcPr>
            <w:tcW w:type="dxa" w:w="936"/>
          </w:tcPr>
          <w:p>
            <w:pPr>
              <w:spacing w:after="20"/>
              <w:jc w:val="right"/>
            </w:pPr>
            <w:r>
              <w:rPr>
                <w:color w:val="1C3A36"/>
                <w:sz w:val="15"/>
              </w:rPr>
              <w:t>-101%</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-2.58</w:t>
            </w:r>
          </w:p>
        </w:tc>
        <w:tc>
          <w:tcPr>
            <w:tcW w:type="dxa" w:w="936"/>
          </w:tcPr>
          <w:p>
            <w:pPr>
              <w:spacing w:after="20"/>
              <w:jc w:val="right"/>
            </w:pPr>
            <w:r>
              <w:rPr>
                <w:color w:val="1C3A36"/>
                <w:sz w:val="15"/>
              </w:rPr>
              <w:t>-118%</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-0.64</w:t>
            </w:r>
          </w:p>
        </w:tc>
        <w:tc>
          <w:tcPr>
            <w:tcW w:type="dxa" w:w="936"/>
          </w:tcPr>
          <w:p>
            <w:pPr>
              <w:spacing w:after="20"/>
              <w:jc w:val="right"/>
            </w:pPr>
            <w:r>
              <w:rPr>
                <w:color w:val="1C3A36"/>
                <w:sz w:val="15"/>
              </w:rPr>
              <w:t>-105%</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-1.57</w:t>
            </w:r>
          </w:p>
        </w:tc>
        <w:tc>
          <w:tcPr>
            <w:tcW w:type="dxa" w:w="936"/>
          </w:tcPr>
          <w:p>
            <w:pPr>
              <w:spacing w:after="20"/>
              <w:jc w:val="right"/>
            </w:pPr>
            <w:r>
              <w:rPr>
                <w:color w:val="1C3A36"/>
                <w:sz w:val="15"/>
              </w:rPr>
              <w:t>-111%</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-0.22</w:t>
            </w:r>
          </w:p>
        </w:tc>
        <w:tc>
          <w:tcPr>
            <w:tcW w:type="dxa" w:w="936"/>
          </w:tcPr>
          <w:p>
            <w:pPr>
              <w:spacing w:after="20"/>
              <w:jc w:val="right"/>
            </w:pPr>
            <w:r>
              <w:rPr>
                <w:color w:val="1C3A36"/>
                <w:sz w:val="15"/>
              </w:rPr>
              <w:t>-102%</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-1.01</w:t>
            </w:r>
          </w:p>
        </w:tc>
        <w:tc>
          <w:tcPr>
            <w:tcW w:type="dxa" w:w="936"/>
          </w:tcPr>
          <w:p>
            <w:pPr>
              <w:spacing w:after="20"/>
              <w:jc w:val="right"/>
            </w:pPr>
            <w:r>
              <w:rPr>
                <w:color w:val="1C3A36"/>
                <w:sz w:val="15"/>
              </w:rPr>
              <w:t>-107%</w:t>
            </w:r>
          </w:p>
        </w:tc>
      </w:tr>
    </w:tbl>
    <w:p>
      <w:pPr>
        <w:spacing w:after="40"/>
      </w:pPr>
    </w:p>
    <w:p>
      <w:pPr>
        <w:spacing w:after="200" w:before="0"/>
      </w:pPr>
      <w:r>
        <w:rPr>
          <w:b w:val="0"/>
          <w:i/>
          <w:color w:val="6E7B77"/>
          <w:sz w:val="17"/>
        </w:rPr>
        <w:t>Table 1.  Egyptian pounds a share against a traded price of EGP 13.98.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90.3%</w:t>
            </w:r>
          </w:p>
        </w:tc>
        <w:tc>
          <w:tcPr>
            <w:tcW w:type="dxa" w:w="2736"/>
          </w:tcPr>
          <w:p>
            <w:pPr>
              <w:spacing w:after="20"/>
              <w:jc w:val="right"/>
            </w:pPr>
            <w:r>
              <w:rPr>
                <w:color w:val="1C3A36"/>
                <w:sz w:val="17"/>
              </w:rPr>
              <w:t>32.4%</w:t>
            </w:r>
          </w:p>
        </w:tc>
      </w:tr>
    </w:tbl>
    <w:p>
      <w:pPr>
        <w:spacing w:after="40"/>
      </w:pPr>
    </w:p>
    <w:p>
      <w:pPr>
        <w:spacing w:after="200" w:before="0"/>
      </w:pPr>
      <w:r>
        <w:rPr>
          <w:b w:val="0"/>
          <w:i/>
          <w:color w:val="6E7B77"/>
          <w:sz w:val="17"/>
        </w:rPr>
        <w:t>Table 2.  Reported beside the cash-flow lens because on this company it is the number that decides the answer. Above one hundred per cent means the five explicit years contribute negative present value: the capital programme absorbs more cash than the plant generates, so the terminal block carries the whole enterprise value and then some.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1.79 a share. The narrowest is terminal growth, worth EGP 0.02.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11,014</w:t>
            </w:r>
          </w:p>
        </w:tc>
        <w:tc>
          <w:tcPr>
            <w:tcW w:type="dxa" w:w="1426"/>
          </w:tcPr>
          <w:p>
            <w:pPr>
              <w:spacing w:after="20"/>
              <w:jc w:val="right"/>
            </w:pPr>
            <w:r>
              <w:rPr>
                <w:color w:val="1C3A36"/>
                <w:sz w:val="16"/>
              </w:rPr>
              <w:t>11,101</w:t>
            </w:r>
          </w:p>
        </w:tc>
        <w:tc>
          <w:tcPr>
            <w:tcW w:type="dxa" w:w="1426"/>
          </w:tcPr>
          <w:p>
            <w:pPr>
              <w:spacing w:after="20"/>
              <w:jc w:val="right"/>
            </w:pPr>
            <w:r>
              <w:rPr>
                <w:color w:val="1C3A36"/>
                <w:sz w:val="16"/>
              </w:rPr>
              <w:t>11,160</w:t>
            </w:r>
          </w:p>
        </w:tc>
        <w:tc>
          <w:tcPr>
            <w:tcW w:type="dxa" w:w="1426"/>
          </w:tcPr>
          <w:p>
            <w:pPr>
              <w:spacing w:after="20"/>
              <w:jc w:val="right"/>
            </w:pPr>
            <w:r>
              <w:rPr>
                <w:color w:val="1C3A36"/>
                <w:sz w:val="16"/>
              </w:rPr>
              <w:t>11,387</w:t>
            </w:r>
          </w:p>
        </w:tc>
        <w:tc>
          <w:tcPr>
            <w:tcW w:type="dxa" w:w="1426"/>
          </w:tcPr>
          <w:p>
            <w:pPr>
              <w:spacing w:after="20"/>
              <w:jc w:val="right"/>
            </w:pPr>
            <w:r>
              <w:rPr>
                <w:color w:val="1C3A36"/>
                <w:sz w:val="16"/>
              </w:rPr>
              <w:t>11,822</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4,497</w:t>
            </w:r>
          </w:p>
        </w:tc>
        <w:tc>
          <w:tcPr>
            <w:tcW w:type="dxa" w:w="1426"/>
            <w:shd w:val="clear" w:color="auto" w:fill="F6F1E6"/>
          </w:tcPr>
          <w:p>
            <w:pPr>
              <w:spacing w:after="20"/>
              <w:jc w:val="right"/>
            </w:pPr>
            <w:r>
              <w:rPr>
                <w:b/>
                <w:color w:val="1C3A36"/>
                <w:sz w:val="16"/>
              </w:rPr>
              <w:t>4,172</w:t>
            </w:r>
          </w:p>
        </w:tc>
        <w:tc>
          <w:tcPr>
            <w:tcW w:type="dxa" w:w="1426"/>
            <w:shd w:val="clear" w:color="auto" w:fill="F6F1E6"/>
          </w:tcPr>
          <w:p>
            <w:pPr>
              <w:spacing w:after="20"/>
              <w:jc w:val="right"/>
            </w:pPr>
            <w:r>
              <w:rPr>
                <w:b/>
                <w:color w:val="1C3A36"/>
                <w:sz w:val="16"/>
              </w:rPr>
              <w:t>3,806</w:t>
            </w:r>
          </w:p>
        </w:tc>
        <w:tc>
          <w:tcPr>
            <w:tcW w:type="dxa" w:w="1426"/>
            <w:shd w:val="clear" w:color="auto" w:fill="F6F1E6"/>
          </w:tcPr>
          <w:p>
            <w:pPr>
              <w:spacing w:after="20"/>
              <w:jc w:val="right"/>
            </w:pPr>
            <w:r>
              <w:rPr>
                <w:b/>
                <w:color w:val="1C3A36"/>
                <w:sz w:val="16"/>
              </w:rPr>
              <w:t>3,585</w:t>
            </w:r>
          </w:p>
        </w:tc>
        <w:tc>
          <w:tcPr>
            <w:tcW w:type="dxa" w:w="1426"/>
            <w:shd w:val="clear" w:color="auto" w:fill="F6F1E6"/>
          </w:tcPr>
          <w:p>
            <w:pPr>
              <w:spacing w:after="20"/>
              <w:jc w:val="right"/>
            </w:pPr>
            <w:r>
              <w:rPr>
                <w:b/>
                <w:color w:val="1C3A36"/>
                <w:sz w:val="16"/>
              </w:rPr>
              <w:t>3,537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3,607</w:t>
            </w:r>
          </w:p>
        </w:tc>
        <w:tc>
          <w:tcPr>
            <w:tcW w:type="dxa" w:w="1426"/>
            <w:shd w:val="clear" w:color="auto" w:fill="F6F1E6"/>
          </w:tcPr>
          <w:p>
            <w:pPr>
              <w:spacing w:after="20"/>
              <w:jc w:val="right"/>
            </w:pPr>
            <w:r>
              <w:rPr>
                <w:b/>
                <w:color w:val="1C3A36"/>
                <w:sz w:val="16"/>
              </w:rPr>
              <w:t>3,266</w:t>
            </w:r>
          </w:p>
        </w:tc>
        <w:tc>
          <w:tcPr>
            <w:tcW w:type="dxa" w:w="1426"/>
            <w:shd w:val="clear" w:color="auto" w:fill="F6F1E6"/>
          </w:tcPr>
          <w:p>
            <w:pPr>
              <w:spacing w:after="20"/>
              <w:jc w:val="right"/>
            </w:pPr>
            <w:r>
              <w:rPr>
                <w:b/>
                <w:color w:val="1C3A36"/>
                <w:sz w:val="16"/>
              </w:rPr>
              <w:t>2,884</w:t>
            </w:r>
          </w:p>
        </w:tc>
        <w:tc>
          <w:tcPr>
            <w:tcW w:type="dxa" w:w="1426"/>
            <w:shd w:val="clear" w:color="auto" w:fill="F6F1E6"/>
          </w:tcPr>
          <w:p>
            <w:pPr>
              <w:spacing w:after="20"/>
              <w:jc w:val="right"/>
            </w:pPr>
            <w:r>
              <w:rPr>
                <w:b/>
                <w:color w:val="1C3A36"/>
                <w:sz w:val="16"/>
              </w:rPr>
              <w:t>2,648</w:t>
            </w:r>
          </w:p>
        </w:tc>
        <w:tc>
          <w:tcPr>
            <w:tcW w:type="dxa" w:w="1426"/>
            <w:shd w:val="clear" w:color="auto" w:fill="F6F1E6"/>
          </w:tcPr>
          <w:p>
            <w:pPr>
              <w:spacing w:after="20"/>
              <w:jc w:val="right"/>
            </w:pPr>
            <w:r>
              <w:rPr>
                <w:b/>
                <w:color w:val="1C3A36"/>
                <w:sz w:val="16"/>
              </w:rPr>
              <w:t>2,585</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2,795</w:t>
            </w:r>
          </w:p>
        </w:tc>
        <w:tc>
          <w:tcPr>
            <w:tcW w:type="dxa" w:w="1426"/>
          </w:tcPr>
          <w:p>
            <w:pPr>
              <w:spacing w:after="20"/>
              <w:jc w:val="right"/>
            </w:pPr>
            <w:r>
              <w:rPr>
                <w:color w:val="1C3A36"/>
                <w:sz w:val="16"/>
              </w:rPr>
              <w:t>2,531</w:t>
            </w:r>
          </w:p>
        </w:tc>
        <w:tc>
          <w:tcPr>
            <w:tcW w:type="dxa" w:w="1426"/>
          </w:tcPr>
          <w:p>
            <w:pPr>
              <w:spacing w:after="20"/>
              <w:jc w:val="right"/>
            </w:pPr>
            <w:r>
              <w:rPr>
                <w:color w:val="1C3A36"/>
                <w:sz w:val="16"/>
              </w:rPr>
              <w:t>2,235</w:t>
            </w:r>
          </w:p>
        </w:tc>
        <w:tc>
          <w:tcPr>
            <w:tcW w:type="dxa" w:w="1426"/>
          </w:tcPr>
          <w:p>
            <w:pPr>
              <w:spacing w:after="20"/>
              <w:jc w:val="right"/>
            </w:pPr>
            <w:r>
              <w:rPr>
                <w:color w:val="1C3A36"/>
                <w:sz w:val="16"/>
              </w:rPr>
              <w:t>2,052</w:t>
            </w:r>
          </w:p>
        </w:tc>
        <w:tc>
          <w:tcPr>
            <w:tcW w:type="dxa" w:w="1426"/>
          </w:tcPr>
          <w:p>
            <w:pPr>
              <w:spacing w:after="20"/>
              <w:jc w:val="right"/>
            </w:pPr>
            <w:r>
              <w:rPr>
                <w:color w:val="1C3A36"/>
                <w:sz w:val="16"/>
              </w:rPr>
              <w:t>2,003</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-2,722</w:t>
            </w:r>
          </w:p>
        </w:tc>
        <w:tc>
          <w:tcPr>
            <w:tcW w:type="dxa" w:w="1426"/>
          </w:tcPr>
          <w:p>
            <w:pPr>
              <w:spacing w:after="20"/>
              <w:jc w:val="right"/>
            </w:pPr>
            <w:r>
              <w:rPr>
                <w:color w:val="1C3A36"/>
                <w:sz w:val="16"/>
              </w:rPr>
              <w:t>-3,224</w:t>
            </w:r>
          </w:p>
        </w:tc>
        <w:tc>
          <w:tcPr>
            <w:tcW w:type="dxa" w:w="1426"/>
          </w:tcPr>
          <w:p>
            <w:pPr>
              <w:spacing w:after="20"/>
              <w:jc w:val="right"/>
            </w:pPr>
            <w:r>
              <w:rPr>
                <w:color w:val="1C3A36"/>
                <w:sz w:val="16"/>
              </w:rPr>
              <w:t>-3,425</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-2,621</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870</w:t>
            </w:r>
          </w:p>
        </w:tc>
        <w:tc>
          <w:tcPr>
            <w:tcW w:type="dxa" w:w="1426"/>
            <w:shd w:val="clear" w:color="auto" w:fill="F6F1E6"/>
          </w:tcPr>
          <w:p>
            <w:pPr>
              <w:spacing w:after="20"/>
              <w:jc w:val="right"/>
            </w:pPr>
            <w:r>
              <w:rPr>
                <w:b/>
                <w:color w:val="1C3A36"/>
                <w:sz w:val="16"/>
              </w:rPr>
              <w:t>126</w:t>
            </w:r>
          </w:p>
        </w:tc>
        <w:tc>
          <w:tcPr>
            <w:tcW w:type="dxa" w:w="1426"/>
            <w:shd w:val="clear" w:color="auto" w:fill="F6F1E6"/>
          </w:tcPr>
          <w:p>
            <w:pPr>
              <w:spacing w:after="20"/>
              <w:jc w:val="right"/>
            </w:pPr>
            <w:r>
              <w:rPr>
                <w:b/>
                <w:color w:val="1C3A36"/>
                <w:sz w:val="16"/>
              </w:rPr>
              <w:t>-354</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211</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24.97%</w:t>
            </w:r>
          </w:p>
        </w:tc>
        <w:tc>
          <w:tcPr>
            <w:tcW w:type="dxa" w:w="1426"/>
          </w:tcPr>
          <w:p>
            <w:pPr>
              <w:spacing w:after="20"/>
              <w:jc w:val="right"/>
            </w:pPr>
            <w:r>
              <w:rPr>
                <w:color w:val="1C3A36"/>
                <w:sz w:val="16"/>
              </w:rPr>
              <w:t>24.05%</w:t>
            </w:r>
          </w:p>
        </w:tc>
        <w:tc>
          <w:tcPr>
            <w:tcW w:type="dxa" w:w="1426"/>
          </w:tcPr>
          <w:p>
            <w:pPr>
              <w:spacing w:after="20"/>
              <w:jc w:val="right"/>
            </w:pPr>
            <w:r>
              <w:rPr>
                <w:color w:val="1C3A36"/>
                <w:sz w:val="16"/>
              </w:rPr>
              <w:t>23.13%</w:t>
            </w:r>
          </w:p>
        </w:tc>
        <w:tc>
          <w:tcPr>
            <w:tcW w:type="dxa" w:w="1426"/>
          </w:tcPr>
          <w:p>
            <w:pPr>
              <w:spacing w:after="20"/>
              <w:jc w:val="right"/>
            </w:pPr>
            <w:r>
              <w:rPr>
                <w:color w:val="1C3A36"/>
                <w:sz w:val="16"/>
              </w:rPr>
              <w:t>22.21%</w:t>
            </w:r>
          </w:p>
        </w:tc>
        <w:tc>
          <w:tcPr>
            <w:tcW w:type="dxa" w:w="1426"/>
          </w:tcPr>
          <w:p>
            <w:pPr>
              <w:spacing w:after="20"/>
              <w:jc w:val="right"/>
            </w:pPr>
            <w:r>
              <w:rPr>
                <w:color w:val="1C3A36"/>
                <w:sz w:val="16"/>
              </w:rPr>
              <w:t>21.29%</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0.8002</w:t>
            </w:r>
          </w:p>
        </w:tc>
        <w:tc>
          <w:tcPr>
            <w:tcW w:type="dxa" w:w="1426"/>
          </w:tcPr>
          <w:p>
            <w:pPr>
              <w:spacing w:after="20"/>
              <w:jc w:val="right"/>
            </w:pPr>
            <w:r>
              <w:rPr>
                <w:color w:val="1C3A36"/>
                <w:sz w:val="16"/>
              </w:rPr>
              <w:t>0.6450</w:t>
            </w:r>
          </w:p>
        </w:tc>
        <w:tc>
          <w:tcPr>
            <w:tcW w:type="dxa" w:w="1426"/>
          </w:tcPr>
          <w:p>
            <w:pPr>
              <w:spacing w:after="20"/>
              <w:jc w:val="right"/>
            </w:pPr>
            <w:r>
              <w:rPr>
                <w:color w:val="1C3A36"/>
                <w:sz w:val="16"/>
              </w:rPr>
              <w:t>0.5239</w:t>
            </w:r>
          </w:p>
        </w:tc>
        <w:tc>
          <w:tcPr>
            <w:tcW w:type="dxa" w:w="1426"/>
          </w:tcPr>
          <w:p>
            <w:pPr>
              <w:spacing w:after="20"/>
              <w:jc w:val="right"/>
            </w:pPr>
            <w:r>
              <w:rPr>
                <w:color w:val="1C3A36"/>
                <w:sz w:val="16"/>
              </w:rPr>
              <w:t>0.4287</w:t>
            </w:r>
          </w:p>
        </w:tc>
        <w:tc>
          <w:tcPr>
            <w:tcW w:type="dxa" w:w="1426"/>
          </w:tcPr>
          <w:p>
            <w:pPr>
              <w:spacing w:after="20"/>
              <w:jc w:val="right"/>
            </w:pPr>
            <w:r>
              <w:rPr>
                <w:color w:val="1C3A36"/>
                <w:sz w:val="16"/>
              </w:rPr>
              <w:t>0.3534</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696</w:t>
            </w:r>
          </w:p>
        </w:tc>
        <w:tc>
          <w:tcPr>
            <w:tcW w:type="dxa" w:w="1426"/>
            <w:shd w:val="clear" w:color="auto" w:fill="F6F1E6"/>
          </w:tcPr>
          <w:p>
            <w:pPr>
              <w:spacing w:after="20"/>
              <w:jc w:val="right"/>
            </w:pPr>
            <w:r>
              <w:rPr>
                <w:b/>
                <w:color w:val="1C3A36"/>
                <w:sz w:val="16"/>
              </w:rPr>
              <w:t>82</w:t>
            </w:r>
          </w:p>
        </w:tc>
        <w:tc>
          <w:tcPr>
            <w:tcW w:type="dxa" w:w="1426"/>
            <w:shd w:val="clear" w:color="auto" w:fill="F6F1E6"/>
          </w:tcPr>
          <w:p>
            <w:pPr>
              <w:spacing w:after="20"/>
              <w:jc w:val="right"/>
            </w:pPr>
            <w:r>
              <w:rPr>
                <w:b/>
                <w:color w:val="1C3A36"/>
                <w:sz w:val="16"/>
              </w:rPr>
              <w:t>-186</w:t>
            </w:r>
          </w:p>
        </w:tc>
        <w:tc>
          <w:tcPr>
            <w:tcW w:type="dxa" w:w="1426"/>
            <w:shd w:val="clear" w:color="auto" w:fill="F6F1E6"/>
          </w:tcPr>
          <w:p>
            <w:pPr>
              <w:spacing w:after="20"/>
              <w:jc w:val="right"/>
            </w:pPr>
            <w:r>
              <w:rPr>
                <w:b/>
                <w:color w:val="1C3A36"/>
                <w:sz w:val="16"/>
              </w:rPr>
              <w:t>-188</w:t>
            </w:r>
          </w:p>
        </w:tc>
        <w:tc>
          <w:tcPr>
            <w:tcW w:type="dxa" w:w="1426"/>
            <w:shd w:val="clear" w:color="auto" w:fill="F6F1E6"/>
          </w:tcPr>
          <w:p>
            <w:pPr>
              <w:spacing w:after="20"/>
              <w:jc w:val="right"/>
            </w:pPr>
            <w:r>
              <w:rPr>
                <w:b/>
                <w:color w:val="1C3A36"/>
                <w:sz w:val="16"/>
              </w:rPr>
              <w:t>75</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479</w:t>
            </w:r>
          </w:p>
        </w:tc>
        <w:tc>
          <w:tcPr>
            <w:tcW w:type="dxa" w:w="2808"/>
          </w:tcPr>
          <w:p>
            <w:pPr>
              <w:spacing w:after="20"/>
              <w:jc w:val="right"/>
            </w:pPr>
            <w:r>
              <w:rPr>
                <w:color w:val="1C3A36"/>
                <w:sz w:val="17"/>
              </w:rPr>
              <w:t>7,738</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4,444</w:t>
            </w:r>
          </w:p>
        </w:tc>
        <w:tc>
          <w:tcPr>
            <w:tcW w:type="dxa" w:w="2808"/>
          </w:tcPr>
          <w:p>
            <w:pPr>
              <w:spacing w:after="20"/>
              <w:jc w:val="right"/>
            </w:pPr>
            <w:r>
              <w:rPr>
                <w:color w:val="1C3A36"/>
                <w:sz w:val="17"/>
              </w:rPr>
              <w:t>3,707</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4,923</w:t>
            </w:r>
          </w:p>
        </w:tc>
        <w:tc>
          <w:tcPr>
            <w:tcW w:type="dxa" w:w="2808"/>
            <w:shd w:val="clear" w:color="auto" w:fill="F6F1E6"/>
          </w:tcPr>
          <w:p>
            <w:pPr>
              <w:spacing w:after="20"/>
              <w:jc w:val="right"/>
            </w:pPr>
            <w:r>
              <w:rPr>
                <w:b/>
                <w:color w:val="1C3A36"/>
                <w:sz w:val="17"/>
              </w:rPr>
              <w:t>11,445</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90.3%</w:t>
            </w:r>
          </w:p>
        </w:tc>
        <w:tc>
          <w:tcPr>
            <w:tcW w:type="dxa" w:w="2808"/>
            <w:shd w:val="clear" w:color="auto" w:fill="F6F1E6"/>
          </w:tcPr>
          <w:p>
            <w:pPr>
              <w:spacing w:after="20"/>
              <w:jc w:val="right"/>
            </w:pPr>
            <w:r>
              <w:rPr>
                <w:b/>
                <w:color w:val="1C3A36"/>
                <w:sz w:val="17"/>
              </w:rPr>
              <w:t>32.4%</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-1,572</w:t>
            </w:r>
          </w:p>
        </w:tc>
        <w:tc>
          <w:tcPr>
            <w:tcW w:type="dxa" w:w="2808"/>
            <w:shd w:val="clear" w:color="auto" w:fill="F6F1E6"/>
          </w:tcPr>
          <w:p>
            <w:pPr>
              <w:spacing w:after="20"/>
              <w:jc w:val="right"/>
            </w:pPr>
            <w:r>
              <w:rPr>
                <w:b/>
                <w:color w:val="1C3A36"/>
                <w:sz w:val="17"/>
              </w:rPr>
              <w:t>4,950</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-0.79</w:t>
            </w:r>
          </w:p>
        </w:tc>
        <w:tc>
          <w:tcPr>
            <w:tcW w:type="dxa" w:w="2808"/>
            <w:shd w:val="clear" w:color="auto" w:fill="F6F1E6"/>
          </w:tcPr>
          <w:p>
            <w:pPr>
              <w:spacing w:after="20"/>
              <w:jc w:val="right"/>
            </w:pPr>
            <w:r>
              <w:rPr>
                <w:b/>
                <w:color w:val="1C3A36"/>
                <w:sz w:val="17"/>
              </w:rPr>
              <w:t>2.49</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negative, and what would change its sign</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2.48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-0.79</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13.98</w:t>
            </w:r>
          </w:p>
        </w:tc>
      </w:tr>
    </w:tbl>
    <w:p>
      <w:pPr>
        <w:spacing w:after="40"/>
      </w:pPr>
    </w:p>
    <w:p>
      <w:pPr>
        <w:spacing w:after="200" w:before="0"/>
      </w:pPr>
      <w:r>
        <w:rPr>
          <w:b w:val="0"/>
          <w:i/>
          <w:color w:val="6E7B77"/>
          <w:sz w:val="17"/>
        </w:rPr>
        <w:t>Table 6.  The operating business is carried at less than half the debt standing against it. Free cash flow is positive in three of the five forecast years — the construction is no longer what makes the answer negative. The debt is.</w:t>
      </w:r>
    </w:p>
    <w:p>
      <w:pPr>
        <w:spacing w:after="120" w:before="0"/>
      </w:pPr>
      <w:r>
        <w:rPr>
          <w:b w:val="0"/>
          <w:i w:val="0"/>
          <w:color w:val="1C3A36"/>
          <w:sz w:val="21"/>
        </w:rPr>
        <w:t>So the question is not whether the plant earns. It is whether EGP 4,923 million is the right enterprise value for a business generating around EGP 4,497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-1.49</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-0.41</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0.33</w:t>
            </w:r>
          </w:p>
        </w:tc>
        <w:tc>
          <w:tcPr>
            <w:tcW w:type="dxa" w:w="5184"/>
            <w:shd w:val="clear" w:color="auto" w:fill="F6F1E6"/>
          </w:tcPr>
          <w:p>
            <w:pPr>
              <w:spacing w:after="20"/>
            </w:pPr>
            <w:r>
              <w:rPr>
                <w:b/>
                <w:color w:val="1C3A36"/>
                <w:sz w:val="17"/>
              </w:rPr>
              <w:t>the sign changes here</w:t>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1.44</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3.24</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6.56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10.1%</w:t>
            </w:r>
          </w:p>
        </w:tc>
        <w:tc>
          <w:tcPr>
            <w:tcW w:type="dxa" w:w="2592"/>
            <w:shd w:val="clear" w:color="auto" w:fill="F6F1E6"/>
          </w:tcPr>
          <w:p>
            <w:pPr>
              <w:spacing w:after="20"/>
              <w:jc w:val="right"/>
            </w:pPr>
            <w:r>
              <w:rPr>
                <w:b/>
                <w:color w:val="1C3A36"/>
                <w:sz w:val="17"/>
              </w:rPr>
              <w:t>13.98</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10.1%, which is 12.9%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31.30%</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1.71x</w:t>
            </w:r>
          </w:p>
        </w:tc>
      </w:tr>
    </w:tbl>
    <w:p>
      <w:pPr>
        <w:spacing w:after="40"/>
      </w:pPr>
    </w:p>
    <w:p>
      <w:pPr>
        <w:spacing w:after="200" w:before="0"/>
      </w:pPr>
      <w:r>
        <w:rPr>
          <w:b w:val="0"/>
          <w:i/>
          <w:color w:val="6E7B77"/>
          <w:sz w:val="17"/>
        </w:rPr>
        <w:t>Table 8.  The justified multiple of book is negative before flooring, and that is the finding rather than a rounding artefact: a sustainable return of 6.9% does not cover even nominal maintenance growth of 7.0%, let alone a 31.30% cost of equity. On this lens the book is worth nothing beyond what the assets would fetch, and the market pays 1.71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3.0 and 6.0 times operating profit before depreciation. On forward EBITDA of EGP 4,497 million the mid-point implies an enterprise value of EGP 20,238 million and, after the debt and the non-operating stack, EGP 6.92 a share — a range of EGP 3.52 to EGP 10.31 across the band.</w:t>
      </w:r>
    </w:p>
    <w:p>
      <w:pPr>
        <w:spacing w:after="120" w:before="0"/>
      </w:pPr>
      <w:r>
        <w:rPr>
          <w:b/>
          <w:i w:val="0"/>
          <w:color w:val="1C3A36"/>
          <w:sz w:val="21"/>
        </w:rPr>
        <w:t>The two numbers worth putting side by side are these: at the traded price the shares change hands at 8.4 times that same forward EBITDA, while the cash-flow lens values them at 1.1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9,404</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-3,877</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2,697</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1,400</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13,996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3.78</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2.37</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5.19</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0.00 to EGP 6.92 a share. It is a wide field, and the width is honest: the lenses disagree because they ask different questions of a company whose asset base is changing underneath its earnings. What none of them does is reach EGP 13.98.</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lens sits at zero because a 6.9% sustainable return on equity does not clear a 31.30%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440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depreciating 4.5% a year</w:t>
            </w:r>
          </w:p>
        </w:tc>
        <w:tc>
          <w:tcPr>
            <w:tcW w:type="dxa" w:w="1843"/>
          </w:tcPr>
          <w:p>
            <w:pPr>
              <w:spacing w:after="20"/>
              <w:jc w:val="right"/>
            </w:pPr>
            <w:r>
              <w:rPr>
                <w:color w:val="1C3A36"/>
                <w:sz w:val="17"/>
              </w:rPr>
              <w:t>51.90</w:t>
            </w:r>
          </w:p>
        </w:tc>
        <w:tc>
          <w:tcPr>
            <w:tcW w:type="dxa" w:w="1843"/>
          </w:tcPr>
          <w:p>
            <w:pPr>
              <w:spacing w:after="20"/>
              <w:jc w:val="right"/>
            </w:pPr>
            <w:r>
              <w:rPr>
                <w:color w:val="1C3A36"/>
                <w:sz w:val="17"/>
              </w:rPr>
              <w:t>61.90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8.58</w:t>
            </w:r>
          </w:p>
        </w:tc>
        <w:tc>
          <w:tcPr>
            <w:tcW w:type="dxa" w:w="1843"/>
          </w:tcPr>
          <w:p>
            <w:pPr>
              <w:spacing w:after="20"/>
              <w:jc w:val="right"/>
            </w:pPr>
            <w:r>
              <w:rPr>
                <w:color w:val="1C3A36"/>
                <w:sz w:val="17"/>
              </w:rPr>
              <w:t>10.23</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45.2%</w:t>
            </w:r>
          </w:p>
        </w:tc>
        <w:tc>
          <w:tcPr>
            <w:tcW w:type="dxa" w:w="1843"/>
            <w:shd w:val="clear" w:color="auto" w:fill="F6F1E6"/>
          </w:tcPr>
          <w:p>
            <w:pPr>
              <w:spacing w:after="20"/>
              <w:jc w:val="right"/>
            </w:pPr>
            <w:r>
              <w:rPr>
                <w:b/>
                <w:color w:val="1C3A36"/>
                <w:sz w:val="17"/>
              </w:rPr>
              <w:t>36.3%</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40.8%</w:t>
            </w:r>
          </w:p>
        </w:tc>
        <w:tc>
          <w:tcPr>
            <w:tcW w:type="dxa" w:w="1843"/>
            <w:shd w:val="clear" w:color="auto" w:fill="F6F1E6"/>
          </w:tcPr>
          <w:p>
            <w:pPr>
              <w:spacing w:after="20"/>
              <w:jc w:val="right"/>
            </w:pPr>
            <w:r>
              <w:rPr>
                <w:b/>
                <w:color w:val="1C3A36"/>
                <w:sz w:val="17"/>
              </w:rPr>
              <w:t>29.9%</w:t>
            </w:r>
          </w:p>
        </w:tc>
      </w:tr>
    </w:tbl>
    <w:p>
      <w:pPr>
        <w:spacing w:after="40"/>
      </w:pPr>
    </w:p>
    <w:p>
      <w:pPr>
        <w:spacing w:after="200" w:before="0"/>
      </w:pPr>
      <w:r>
        <w:rPr>
          <w:b w:val="0"/>
          <w:i/>
          <w:color w:val="6E7B77"/>
          <w:sz w:val="17"/>
        </w:rPr>
        <w:t>Table 11.  Each cost class escalates on its own driver and never on one blended index: gas is a globally traded input and escalates on its dollar price through the exchange rate, while wages, inland haulage and administration escalate on Egyptian consumer prices and the subsidised price follows its own administered path.</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11,014</w:t>
            </w:r>
          </w:p>
        </w:tc>
        <w:tc>
          <w:tcPr>
            <w:tcW w:type="dxa" w:w="1426"/>
          </w:tcPr>
          <w:p>
            <w:pPr>
              <w:spacing w:after="20"/>
              <w:jc w:val="right"/>
            </w:pPr>
            <w:r>
              <w:rPr>
                <w:color w:val="1C3A36"/>
                <w:sz w:val="16"/>
              </w:rPr>
              <w:t>11,101</w:t>
            </w:r>
          </w:p>
        </w:tc>
        <w:tc>
          <w:tcPr>
            <w:tcW w:type="dxa" w:w="1426"/>
          </w:tcPr>
          <w:p>
            <w:pPr>
              <w:spacing w:after="20"/>
              <w:jc w:val="right"/>
            </w:pPr>
            <w:r>
              <w:rPr>
                <w:color w:val="1C3A36"/>
                <w:sz w:val="16"/>
              </w:rPr>
              <w:t>11,160</w:t>
            </w:r>
          </w:p>
        </w:tc>
        <w:tc>
          <w:tcPr>
            <w:tcW w:type="dxa" w:w="1426"/>
          </w:tcPr>
          <w:p>
            <w:pPr>
              <w:spacing w:after="20"/>
              <w:jc w:val="right"/>
            </w:pPr>
            <w:r>
              <w:rPr>
                <w:color w:val="1C3A36"/>
                <w:sz w:val="16"/>
              </w:rPr>
              <w:t>11,387</w:t>
            </w:r>
          </w:p>
        </w:tc>
        <w:tc>
          <w:tcPr>
            <w:tcW w:type="dxa" w:w="1426"/>
          </w:tcPr>
          <w:p>
            <w:pPr>
              <w:spacing w:after="20"/>
              <w:jc w:val="right"/>
            </w:pPr>
            <w:r>
              <w:rPr>
                <w:color w:val="1C3A36"/>
                <w:sz w:val="16"/>
              </w:rPr>
              <w:t>11,822</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6,035</w:t>
            </w:r>
          </w:p>
        </w:tc>
        <w:tc>
          <w:tcPr>
            <w:tcW w:type="dxa" w:w="1426"/>
          </w:tcPr>
          <w:p>
            <w:pPr>
              <w:spacing w:after="20"/>
              <w:jc w:val="right"/>
            </w:pPr>
            <w:r>
              <w:rPr>
                <w:color w:val="1C3A36"/>
                <w:sz w:val="16"/>
              </w:rPr>
              <w:t>6,392</w:t>
            </w:r>
          </w:p>
        </w:tc>
        <w:tc>
          <w:tcPr>
            <w:tcW w:type="dxa" w:w="1426"/>
          </w:tcPr>
          <w:p>
            <w:pPr>
              <w:spacing w:after="20"/>
              <w:jc w:val="right"/>
            </w:pPr>
            <w:r>
              <w:rPr>
                <w:color w:val="1C3A36"/>
                <w:sz w:val="16"/>
              </w:rPr>
              <w:t>6,756</w:t>
            </w:r>
          </w:p>
        </w:tc>
        <w:tc>
          <w:tcPr>
            <w:tcW w:type="dxa" w:w="1426"/>
          </w:tcPr>
          <w:p>
            <w:pPr>
              <w:spacing w:after="20"/>
              <w:jc w:val="right"/>
            </w:pPr>
            <w:r>
              <w:rPr>
                <w:color w:val="1C3A36"/>
                <w:sz w:val="16"/>
              </w:rPr>
              <w:t>7,132</w:t>
            </w:r>
          </w:p>
        </w:tc>
        <w:tc>
          <w:tcPr>
            <w:tcW w:type="dxa" w:w="1426"/>
          </w:tcPr>
          <w:p>
            <w:pPr>
              <w:spacing w:after="20"/>
              <w:jc w:val="right"/>
            </w:pPr>
            <w:r>
              <w:rPr>
                <w:color w:val="1C3A36"/>
                <w:sz w:val="16"/>
              </w:rPr>
              <w:t>7,536</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4,978</w:t>
            </w:r>
          </w:p>
        </w:tc>
        <w:tc>
          <w:tcPr>
            <w:tcW w:type="dxa" w:w="1426"/>
          </w:tcPr>
          <w:p>
            <w:pPr>
              <w:spacing w:after="20"/>
              <w:jc w:val="right"/>
            </w:pPr>
            <w:r>
              <w:rPr>
                <w:color w:val="1C3A36"/>
                <w:sz w:val="16"/>
              </w:rPr>
              <w:t>4,709</w:t>
            </w:r>
          </w:p>
        </w:tc>
        <w:tc>
          <w:tcPr>
            <w:tcW w:type="dxa" w:w="1426"/>
          </w:tcPr>
          <w:p>
            <w:pPr>
              <w:spacing w:after="20"/>
              <w:jc w:val="right"/>
            </w:pPr>
            <w:r>
              <w:rPr>
                <w:color w:val="1C3A36"/>
                <w:sz w:val="16"/>
              </w:rPr>
              <w:t>4,404</w:t>
            </w:r>
          </w:p>
        </w:tc>
        <w:tc>
          <w:tcPr>
            <w:tcW w:type="dxa" w:w="1426"/>
          </w:tcPr>
          <w:p>
            <w:pPr>
              <w:spacing w:after="20"/>
              <w:jc w:val="right"/>
            </w:pPr>
            <w:r>
              <w:rPr>
                <w:color w:val="1C3A36"/>
                <w:sz w:val="16"/>
              </w:rPr>
              <w:t>4,255</w:t>
            </w:r>
          </w:p>
        </w:tc>
        <w:tc>
          <w:tcPr>
            <w:tcW w:type="dxa" w:w="1426"/>
          </w:tcPr>
          <w:p>
            <w:pPr>
              <w:spacing w:after="20"/>
              <w:jc w:val="right"/>
            </w:pPr>
            <w:r>
              <w:rPr>
                <w:color w:val="1C3A36"/>
                <w:sz w:val="16"/>
              </w:rPr>
              <w:t>4,286</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45.2%</w:t>
            </w:r>
          </w:p>
        </w:tc>
        <w:tc>
          <w:tcPr>
            <w:tcW w:type="dxa" w:w="1426"/>
            <w:shd w:val="clear" w:color="auto" w:fill="F6F1E6"/>
          </w:tcPr>
          <w:p>
            <w:pPr>
              <w:spacing w:after="20"/>
              <w:jc w:val="right"/>
            </w:pPr>
            <w:r>
              <w:rPr>
                <w:b/>
                <w:color w:val="1C3A36"/>
                <w:sz w:val="16"/>
              </w:rPr>
              <w:t>42.4%</w:t>
            </w:r>
          </w:p>
        </w:tc>
        <w:tc>
          <w:tcPr>
            <w:tcW w:type="dxa" w:w="1426"/>
            <w:shd w:val="clear" w:color="auto" w:fill="F6F1E6"/>
          </w:tcPr>
          <w:p>
            <w:pPr>
              <w:spacing w:after="20"/>
              <w:jc w:val="right"/>
            </w:pPr>
            <w:r>
              <w:rPr>
                <w:b/>
                <w:color w:val="1C3A36"/>
                <w:sz w:val="16"/>
              </w:rPr>
              <w:t>39.5%</w:t>
            </w:r>
          </w:p>
        </w:tc>
        <w:tc>
          <w:tcPr>
            <w:tcW w:type="dxa" w:w="1426"/>
            <w:shd w:val="clear" w:color="auto" w:fill="F6F1E6"/>
          </w:tcPr>
          <w:p>
            <w:pPr>
              <w:spacing w:after="20"/>
              <w:jc w:val="right"/>
            </w:pPr>
            <w:r>
              <w:rPr>
                <w:b/>
                <w:color w:val="1C3A36"/>
                <w:sz w:val="16"/>
              </w:rPr>
              <w:t>37.4%</w:t>
            </w:r>
          </w:p>
        </w:tc>
        <w:tc>
          <w:tcPr>
            <w:tcW w:type="dxa" w:w="1426"/>
            <w:shd w:val="clear" w:color="auto" w:fill="F6F1E6"/>
          </w:tcPr>
          <w:p>
            <w:pPr>
              <w:spacing w:after="20"/>
              <w:jc w:val="right"/>
            </w:pPr>
            <w:r>
              <w:rPr>
                <w:b/>
                <w:color w:val="1C3A36"/>
                <w:sz w:val="16"/>
              </w:rPr>
              <w:t>36.3%</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4,497</w:t>
            </w:r>
          </w:p>
        </w:tc>
        <w:tc>
          <w:tcPr>
            <w:tcW w:type="dxa" w:w="1426"/>
          </w:tcPr>
          <w:p>
            <w:pPr>
              <w:spacing w:after="20"/>
              <w:jc w:val="right"/>
            </w:pPr>
            <w:r>
              <w:rPr>
                <w:color w:val="1C3A36"/>
                <w:sz w:val="16"/>
              </w:rPr>
              <w:t>4,172</w:t>
            </w:r>
          </w:p>
        </w:tc>
        <w:tc>
          <w:tcPr>
            <w:tcW w:type="dxa" w:w="1426"/>
          </w:tcPr>
          <w:p>
            <w:pPr>
              <w:spacing w:after="20"/>
              <w:jc w:val="right"/>
            </w:pPr>
            <w:r>
              <w:rPr>
                <w:color w:val="1C3A36"/>
                <w:sz w:val="16"/>
              </w:rPr>
              <w:t>3,806</w:t>
            </w:r>
          </w:p>
        </w:tc>
        <w:tc>
          <w:tcPr>
            <w:tcW w:type="dxa" w:w="1426"/>
          </w:tcPr>
          <w:p>
            <w:pPr>
              <w:spacing w:after="20"/>
              <w:jc w:val="right"/>
            </w:pPr>
            <w:r>
              <w:rPr>
                <w:color w:val="1C3A36"/>
                <w:sz w:val="16"/>
              </w:rPr>
              <w:t>3,585</w:t>
            </w:r>
          </w:p>
        </w:tc>
        <w:tc>
          <w:tcPr>
            <w:tcW w:type="dxa" w:w="1426"/>
          </w:tcPr>
          <w:p>
            <w:pPr>
              <w:spacing w:after="20"/>
              <w:jc w:val="right"/>
            </w:pPr>
            <w:r>
              <w:rPr>
                <w:color w:val="1C3A36"/>
                <w:sz w:val="16"/>
              </w:rPr>
              <w:t>3,537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40.8%</w:t>
            </w:r>
          </w:p>
        </w:tc>
        <w:tc>
          <w:tcPr>
            <w:tcW w:type="dxa" w:w="1426"/>
            <w:shd w:val="clear" w:color="auto" w:fill="F6F1E6"/>
          </w:tcPr>
          <w:p>
            <w:pPr>
              <w:spacing w:after="20"/>
              <w:jc w:val="right"/>
            </w:pPr>
            <w:r>
              <w:rPr>
                <w:b/>
                <w:color w:val="1C3A36"/>
                <w:sz w:val="16"/>
              </w:rPr>
              <w:t>37.6%</w:t>
            </w:r>
          </w:p>
        </w:tc>
        <w:tc>
          <w:tcPr>
            <w:tcW w:type="dxa" w:w="1426"/>
            <w:shd w:val="clear" w:color="auto" w:fill="F6F1E6"/>
          </w:tcPr>
          <w:p>
            <w:pPr>
              <w:spacing w:after="20"/>
              <w:jc w:val="right"/>
            </w:pPr>
            <w:r>
              <w:rPr>
                <w:b/>
                <w:color w:val="1C3A36"/>
                <w:sz w:val="16"/>
              </w:rPr>
              <w:t>34.1%</w:t>
            </w:r>
          </w:p>
        </w:tc>
        <w:tc>
          <w:tcPr>
            <w:tcW w:type="dxa" w:w="1426"/>
            <w:shd w:val="clear" w:color="auto" w:fill="F6F1E6"/>
          </w:tcPr>
          <w:p>
            <w:pPr>
              <w:spacing w:after="20"/>
              <w:jc w:val="right"/>
            </w:pPr>
            <w:r>
              <w:rPr>
                <w:b/>
                <w:color w:val="1C3A36"/>
                <w:sz w:val="16"/>
              </w:rPr>
              <w:t>31.5%</w:t>
            </w:r>
          </w:p>
        </w:tc>
        <w:tc>
          <w:tcPr>
            <w:tcW w:type="dxa" w:w="1426"/>
            <w:shd w:val="clear" w:color="auto" w:fill="F6F1E6"/>
          </w:tcPr>
          <w:p>
            <w:pPr>
              <w:spacing w:after="20"/>
              <w:jc w:val="right"/>
            </w:pPr>
            <w:r>
              <w:rPr>
                <w:b/>
                <w:color w:val="1C3A36"/>
                <w:sz w:val="16"/>
              </w:rPr>
              <w:t>29.9%</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3,607</w:t>
            </w:r>
          </w:p>
        </w:tc>
        <w:tc>
          <w:tcPr>
            <w:tcW w:type="dxa" w:w="1426"/>
          </w:tcPr>
          <w:p>
            <w:pPr>
              <w:spacing w:after="20"/>
              <w:jc w:val="right"/>
            </w:pPr>
            <w:r>
              <w:rPr>
                <w:color w:val="1C3A36"/>
                <w:sz w:val="16"/>
              </w:rPr>
              <w:t>3,266</w:t>
            </w:r>
          </w:p>
        </w:tc>
        <w:tc>
          <w:tcPr>
            <w:tcW w:type="dxa" w:w="1426"/>
          </w:tcPr>
          <w:p>
            <w:pPr>
              <w:spacing w:after="20"/>
              <w:jc w:val="right"/>
            </w:pPr>
            <w:r>
              <w:rPr>
                <w:color w:val="1C3A36"/>
                <w:sz w:val="16"/>
              </w:rPr>
              <w:t>2,884</w:t>
            </w:r>
          </w:p>
        </w:tc>
        <w:tc>
          <w:tcPr>
            <w:tcW w:type="dxa" w:w="1426"/>
          </w:tcPr>
          <w:p>
            <w:pPr>
              <w:spacing w:after="20"/>
              <w:jc w:val="right"/>
            </w:pPr>
            <w:r>
              <w:rPr>
                <w:color w:val="1C3A36"/>
                <w:sz w:val="16"/>
              </w:rPr>
              <w:t>2,648</w:t>
            </w:r>
          </w:p>
        </w:tc>
        <w:tc>
          <w:tcPr>
            <w:tcW w:type="dxa" w:w="1426"/>
          </w:tcPr>
          <w:p>
            <w:pPr>
              <w:spacing w:after="20"/>
              <w:jc w:val="right"/>
            </w:pPr>
            <w:r>
              <w:rPr>
                <w:color w:val="1C3A36"/>
                <w:sz w:val="16"/>
              </w:rPr>
              <w:t>2,585</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32.7%</w:t>
            </w:r>
          </w:p>
        </w:tc>
        <w:tc>
          <w:tcPr>
            <w:tcW w:type="dxa" w:w="1426"/>
          </w:tcPr>
          <w:p>
            <w:pPr>
              <w:spacing w:after="20"/>
              <w:jc w:val="right"/>
            </w:pPr>
            <w:r>
              <w:rPr>
                <w:color w:val="1C3A36"/>
                <w:sz w:val="16"/>
              </w:rPr>
              <w:t>29.4%</w:t>
            </w:r>
          </w:p>
        </w:tc>
        <w:tc>
          <w:tcPr>
            <w:tcW w:type="dxa" w:w="1426"/>
          </w:tcPr>
          <w:p>
            <w:pPr>
              <w:spacing w:after="20"/>
              <w:jc w:val="right"/>
            </w:pPr>
            <w:r>
              <w:rPr>
                <w:color w:val="1C3A36"/>
                <w:sz w:val="16"/>
              </w:rPr>
              <w:t>25.8%</w:t>
            </w:r>
          </w:p>
        </w:tc>
        <w:tc>
          <w:tcPr>
            <w:tcW w:type="dxa" w:w="1426"/>
          </w:tcPr>
          <w:p>
            <w:pPr>
              <w:spacing w:after="20"/>
              <w:jc w:val="right"/>
            </w:pPr>
            <w:r>
              <w:rPr>
                <w:color w:val="1C3A36"/>
                <w:sz w:val="16"/>
              </w:rPr>
              <w:t>23.3%</w:t>
            </w:r>
          </w:p>
        </w:tc>
        <w:tc>
          <w:tcPr>
            <w:tcW w:type="dxa" w:w="1426"/>
          </w:tcPr>
          <w:p>
            <w:pPr>
              <w:spacing w:after="20"/>
              <w:jc w:val="right"/>
            </w:pPr>
            <w:r>
              <w:rPr>
                <w:color w:val="1C3A36"/>
                <w:sz w:val="16"/>
              </w:rPr>
              <w:t>21.9%</w:t>
            </w:r>
          </w:p>
        </w:tc>
      </w:tr>
    </w:tbl>
    <w:p>
      <w:pPr>
        <w:spacing w:after="40"/>
      </w:pPr>
    </w:p>
    <w:p>
      <w:pPr>
        <w:spacing w:after="200" w:before="0"/>
      </w:pPr>
      <w:r>
        <w:rPr>
          <w:b w:val="0"/>
          <w:i/>
          <w:color w:val="6E7B77"/>
          <w:sz w:val="17"/>
        </w:rPr>
        <w:t>Table 12.  Not one margin in this table is set. Each is revenue less a cost stack that was built from physical consumption times a unit price, so the margin path is a consequence of the tonnes, the prices and the escalators above it. The margin falls across the window because the export price mean-reverts faster than the domestic cost base disinflates — which is a statement about two sourced paths, not a view about management.</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8,166</w:t>
            </w:r>
          </w:p>
        </w:tc>
        <w:tc>
          <w:tcPr>
            <w:tcW w:type="dxa" w:w="1296"/>
          </w:tcPr>
          <w:p>
            <w:pPr>
              <w:spacing w:after="20"/>
              <w:jc w:val="right"/>
            </w:pPr>
            <w:r>
              <w:rPr>
                <w:color w:val="1C3A36"/>
                <w:sz w:val="17"/>
              </w:rPr>
              <w:t>74.1%</w:t>
            </w:r>
          </w:p>
        </w:tc>
        <w:tc>
          <w:tcPr>
            <w:tcW w:type="dxa" w:w="1944"/>
          </w:tcPr>
          <w:p>
            <w:pPr>
              <w:spacing w:after="20"/>
              <w:jc w:val="right"/>
            </w:pPr>
            <w:r>
              <w:rPr>
                <w:color w:val="1C3A36"/>
                <w:sz w:val="17"/>
              </w:rPr>
              <w:t>7,991</w:t>
            </w:r>
          </w:p>
        </w:tc>
        <w:tc>
          <w:tcPr>
            <w:tcW w:type="dxa" w:w="1296"/>
          </w:tcPr>
          <w:p>
            <w:pPr>
              <w:spacing w:after="20"/>
              <w:jc w:val="right"/>
            </w:pPr>
            <w:r>
              <w:rPr>
                <w:color w:val="1C3A36"/>
                <w:sz w:val="17"/>
              </w:rPr>
              <w:t>67.6%</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10.6%</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16.2%</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990</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1,079</w:t>
            </w:r>
          </w:p>
        </w:tc>
        <w:tc>
          <w:tcPr>
            <w:tcW w:type="dxa" w:w="1296"/>
          </w:tcPr>
          <w:p>
            <w:pPr>
              <w:spacing w:after="20"/>
              <w:jc w:val="right"/>
            </w:pPr>
            <w:r>
              <w:rPr>
                <w:color w:val="1C3A36"/>
                <w:sz w:val="17"/>
              </w:rPr>
              <w:t>9.1%</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551</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657</w:t>
            </w:r>
          </w:p>
        </w:tc>
        <w:tc>
          <w:tcPr>
            <w:tcW w:type="dxa" w:w="1296"/>
          </w:tcPr>
          <w:p>
            <w:pPr>
              <w:spacing w:after="20"/>
              <w:jc w:val="right"/>
            </w:pPr>
            <w:r>
              <w:rPr>
                <w:color w:val="1C3A36"/>
                <w:sz w:val="17"/>
              </w:rPr>
              <w:t>5.6%</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1.3%</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1.6%</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11,014</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11,822</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27.8 billion. EGP 5,654 million sat in construction at 31 March 2026 and the auditor put physical progress at 12.9% against a 37.0% plan.</w:t>
      </w:r>
    </w:p>
    <w:p>
      <w:pPr>
        <w:spacing w:after="120" w:before="0"/>
      </w:pPr>
      <w:r>
        <w:rPr>
          <w:b/>
          <w:i w:val="0"/>
          <w:color w:val="1C3A36"/>
          <w:sz w:val="21"/>
        </w:rPr>
        <w:t>Carried through, the programme is worth EGP -0.79 a share. Stopped, EGP 2.49. The difference, EGP 3.28 a share or EGP 6,522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73.2%</w:t>
            </w:r>
          </w:p>
        </w:tc>
        <w:tc>
          <w:tcPr>
            <w:tcW w:type="dxa" w:w="3456"/>
          </w:tcPr>
          <w:p>
            <w:pPr>
              <w:spacing w:after="20"/>
            </w:pPr>
            <w:r>
              <w:rPr>
                <w:color w:val="1C3A36"/>
                <w:sz w:val="16"/>
              </w:rPr>
              <w:t>Against a market value of EGP 27,772m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189,863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107,139</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426m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2.1%</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20.4%</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almost three times anything this company has ever spent to keep this plant running,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0.78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2,165</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19.7%</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3.55%</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19.45%</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9.42%</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1.053</w:t>
            </w:r>
          </w:p>
        </w:tc>
        <w:tc>
          <w:tcPr>
            <w:tcW w:type="dxa" w:w="1512"/>
          </w:tcPr>
          <w:p>
            <w:pPr>
              <w:spacing w:after="20"/>
              <w:jc w:val="right"/>
            </w:pPr>
            <w:r>
              <w:rPr>
                <w:color w:val="1C3A36"/>
                <w:sz w:val="17"/>
              </w:rPr>
              <w:t>1.053</w:t>
            </w:r>
          </w:p>
        </w:tc>
        <w:tc>
          <w:tcPr>
            <w:tcW w:type="dxa" w:w="4248"/>
          </w:tcPr>
          <w:p>
            <w:pPr>
              <w:spacing w:after="20"/>
            </w:pPr>
            <w:r>
              <w:rPr>
                <w:color w:val="1C3A36"/>
                <w:sz w:val="17"/>
              </w:rPr>
              <w:t>Own-stock weekly regression, 257 observations, R-squared 0.283, standard error 0.105</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31.30%</w:t>
            </w:r>
          </w:p>
        </w:tc>
        <w:tc>
          <w:tcPr>
            <w:tcW w:type="dxa" w:w="1512"/>
            <w:shd w:val="clear" w:color="auto" w:fill="F6F1E6"/>
          </w:tcPr>
          <w:p>
            <w:pPr>
              <w:spacing w:after="20"/>
              <w:jc w:val="right"/>
            </w:pPr>
            <w:r>
              <w:rPr>
                <w:b/>
                <w:color w:val="1C3A36"/>
                <w:sz w:val="17"/>
              </w:rPr>
              <w:t>29.37%</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w:t>
            </w:r>
          </w:p>
        </w:tc>
        <w:tc>
          <w:tcPr>
            <w:tcW w:type="dxa" w:w="1512"/>
          </w:tcPr>
          <w:p>
            <w:pPr>
              <w:spacing w:after="20"/>
              <w:jc w:val="right"/>
            </w:pPr>
            <w:r>
              <w:rPr>
                <w:color w:val="1C3A36"/>
                <w:sz w:val="17"/>
              </w:rPr>
              <w:t>12.97%</w:t>
            </w:r>
          </w:p>
        </w:tc>
        <w:tc>
          <w:tcPr>
            <w:tcW w:type="dxa" w:w="1512"/>
          </w:tcPr>
          <w:p>
            <w:pPr>
              <w:spacing w:after="20"/>
              <w:jc w:val="right"/>
            </w:pPr>
            <w:r>
              <w:rPr>
                <w:color w:val="1C3A36"/>
                <w:sz w:val="17"/>
              </w:rPr>
              <w:t>12.97%</w:t>
            </w:r>
          </w:p>
        </w:tc>
        <w:tc>
          <w:tcPr>
            <w:tcW w:type="dxa" w:w="4248"/>
          </w:tcPr>
          <w:p>
            <w:pPr>
              <w:spacing w:after="20"/>
            </w:pPr>
            <w:r>
              <w:rPr>
                <w:color w:val="1C3A36"/>
                <w:sz w:val="17"/>
              </w:rPr>
              <w:t>99.7% dollar, carried at local-equivalent cost</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65.5% / 34.5%</w:t>
            </w:r>
          </w:p>
        </w:tc>
        <w:tc>
          <w:tcPr>
            <w:tcW w:type="dxa" w:w="1512"/>
          </w:tcPr>
          <w:p>
            <w:pPr>
              <w:spacing w:after="20"/>
              <w:jc w:val="right"/>
            </w:pPr>
            <w:r>
              <w:rPr>
                <w:color w:val="1C3A36"/>
                <w:sz w:val="17"/>
              </w:rPr>
              <w:t>65.5% / 34.5%</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24.97%</w:t>
            </w:r>
          </w:p>
        </w:tc>
        <w:tc>
          <w:tcPr>
            <w:tcW w:type="dxa" w:w="1512"/>
            <w:shd w:val="clear" w:color="auto" w:fill="F6F1E6"/>
          </w:tcPr>
          <w:p>
            <w:pPr>
              <w:spacing w:after="20"/>
              <w:jc w:val="right"/>
            </w:pPr>
            <w:r>
              <w:rPr>
                <w:b/>
                <w:color w:val="1C3A36"/>
                <w:sz w:val="17"/>
              </w:rPr>
              <w:t>23.71%</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by a 4.5% expected depreciation to a local-equivalent 16.73% — and the same wedge drives the currency path in the revenue build, so the two cannot quietly disagree.</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7.0% target. Capitalising one at the other is a units mismatch, and on a company whose value sits in its terminal year it would be the largest error in the study. The rate therefore glides to a terminal rate built from its own components: 7.0% inflation compounded with a 3.5% real rate gives a normalised risk-free rate of 10.75%, and the terminal cost of capital is 20.36%. Discount factors compound the glide year by year rather than raising one rate to a power.</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Seven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-0.79</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0.14</w:t>
            </w:r>
          </w:p>
        </w:tc>
        <w:tc>
          <w:tcPr>
            <w:tcW w:type="dxa" w:w="950"/>
          </w:tcPr>
          <w:p>
            <w:pPr>
              <w:spacing w:after="20"/>
              <w:jc w:val="right"/>
            </w:pPr>
            <w:r>
              <w:rPr>
                <w:color w:val="1C3A36"/>
                <w:sz w:val="15"/>
              </w:rPr>
              <w:t>+0.93</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-1.48</w:t>
            </w:r>
          </w:p>
        </w:tc>
        <w:tc>
          <w:tcPr>
            <w:tcW w:type="dxa" w:w="950"/>
          </w:tcPr>
          <w:p>
            <w:pPr>
              <w:spacing w:after="20"/>
              <w:jc w:val="right"/>
            </w:pPr>
            <w:r>
              <w:rPr>
                <w:color w:val="1C3A36"/>
                <w:sz w:val="15"/>
              </w:rPr>
              <w:t>-0.69</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-0.81</w:t>
            </w:r>
          </w:p>
        </w:tc>
        <w:tc>
          <w:tcPr>
            <w:tcW w:type="dxa" w:w="950"/>
          </w:tcPr>
          <w:p>
            <w:pPr>
              <w:spacing w:after="20"/>
              <w:jc w:val="right"/>
            </w:pPr>
            <w:r>
              <w:rPr>
                <w:color w:val="1C3A36"/>
                <w:sz w:val="15"/>
              </w:rPr>
              <w:t>-0.02</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Beta from the five-year weekly regression of the share against its own local index</w:t>
            </w:r>
          </w:p>
        </w:tc>
        <w:tc>
          <w:tcPr>
            <w:tcW w:type="dxa" w:w="2563"/>
          </w:tcPr>
          <w:p>
            <w:pPr>
              <w:spacing w:after="20"/>
            </w:pPr>
            <w:r>
              <w:rPr>
                <w:color w:val="1C3A36"/>
                <w:sz w:val="15"/>
              </w:rPr>
              <w:t>The Dimson sum-beta from the same regression, which corrects for co-movement booked late because the share does not trade every session</w:t>
            </w:r>
          </w:p>
        </w:tc>
        <w:tc>
          <w:tcPr>
            <w:tcW w:type="dxa" w:w="950"/>
          </w:tcPr>
          <w:p>
            <w:pPr>
              <w:spacing w:after="20"/>
              <w:jc w:val="right"/>
            </w:pPr>
            <w:r>
              <w:rPr>
                <w:color w:val="1C3A36"/>
                <w:sz w:val="15"/>
              </w:rPr>
              <w:t>-0.15</w:t>
            </w:r>
          </w:p>
        </w:tc>
        <w:tc>
          <w:tcPr>
            <w:tcW w:type="dxa" w:w="950"/>
          </w:tcPr>
          <w:p>
            <w:pPr>
              <w:spacing w:after="20"/>
              <w:jc w:val="right"/>
            </w:pPr>
            <w:r>
              <w:rPr>
                <w:color w:val="1C3A36"/>
                <w:sz w:val="15"/>
              </w:rPr>
              <w:t>+0.64</w:t>
            </w:r>
          </w:p>
        </w:tc>
        <w:tc>
          <w:tcPr>
            <w:tcW w:type="dxa" w:w="3139"/>
          </w:tcPr>
          <w:p>
            <w:pPr>
              <w:spacing w:after="20"/>
            </w:pPr>
            <w:r>
              <w:rPr>
                <w:color w:val="1C3A36"/>
                <w:sz w:val="15"/>
              </w:rPr>
              <w:t>The regression passes all three conditions of the usability test and the sum-beta sits inside its confidence interval, so the direct estimate is adopted and the correction is disclosed rather than substituted.</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-2.58</w:t>
            </w:r>
          </w:p>
        </w:tc>
        <w:tc>
          <w:tcPr>
            <w:tcW w:type="dxa" w:w="950"/>
          </w:tcPr>
          <w:p>
            <w:pPr>
              <w:spacing w:after="20"/>
              <w:jc w:val="right"/>
            </w:pPr>
            <w:r>
              <w:rPr>
                <w:color w:val="1C3A36"/>
                <w:sz w:val="15"/>
              </w:rPr>
              <w:t>-1.79</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-0.64</w:t>
            </w:r>
          </w:p>
        </w:tc>
        <w:tc>
          <w:tcPr>
            <w:tcW w:type="dxa" w:w="950"/>
          </w:tcPr>
          <w:p>
            <w:pPr>
              <w:spacing w:after="20"/>
              <w:jc w:val="right"/>
            </w:pPr>
            <w:r>
              <w:rPr>
                <w:color w:val="1C3A36"/>
                <w:sz w:val="15"/>
              </w:rPr>
              <w:t>+0.15</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-1.57</w:t>
            </w:r>
          </w:p>
        </w:tc>
        <w:tc>
          <w:tcPr>
            <w:tcW w:type="dxa" w:w="950"/>
          </w:tcPr>
          <w:p>
            <w:pPr>
              <w:spacing w:after="20"/>
              <w:jc w:val="right"/>
            </w:pPr>
            <w:r>
              <w:rPr>
                <w:color w:val="1C3A36"/>
                <w:sz w:val="15"/>
              </w:rPr>
              <w:t>-0.78</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-0.22</w:t>
            </w:r>
          </w:p>
        </w:tc>
        <w:tc>
          <w:tcPr>
            <w:tcW w:type="dxa" w:w="950"/>
          </w:tcPr>
          <w:p>
            <w:pPr>
              <w:spacing w:after="20"/>
              <w:jc w:val="right"/>
            </w:pPr>
            <w:r>
              <w:rPr>
                <w:color w:val="1C3A36"/>
                <w:sz w:val="15"/>
              </w:rPr>
              <w:t>+0.57</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-1.01</w:t>
            </w:r>
          </w:p>
        </w:tc>
        <w:tc>
          <w:tcPr>
            <w:tcW w:type="dxa" w:w="950"/>
          </w:tcPr>
          <w:p>
            <w:pPr>
              <w:spacing w:after="20"/>
              <w:jc w:val="right"/>
            </w:pPr>
            <w:r>
              <w:rPr>
                <w:color w:val="1C3A36"/>
                <w:sz w:val="15"/>
              </w:rPr>
              <w:t>-0.21</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premium basis and the gas price are the two that move the answer most, in opposite directions, and both are published on both readings elsewhere in this study. None of the seven,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-2.38</w:t>
            </w:r>
          </w:p>
        </w:tc>
        <w:tc>
          <w:tcPr>
            <w:tcW w:type="dxa" w:w="1483"/>
          </w:tcPr>
          <w:p>
            <w:pPr>
              <w:spacing w:after="20"/>
              <w:jc w:val="right"/>
            </w:pPr>
            <w:r>
              <w:rPr>
                <w:color w:val="1C3A36"/>
                <w:sz w:val="17"/>
              </w:rPr>
              <w:t>-0.82</w:t>
            </w:r>
          </w:p>
        </w:tc>
        <w:tc>
          <w:tcPr>
            <w:tcW w:type="dxa" w:w="1483"/>
          </w:tcPr>
          <w:p>
            <w:pPr>
              <w:spacing w:after="20"/>
              <w:jc w:val="right"/>
            </w:pPr>
            <w:r>
              <w:rPr>
                <w:color w:val="1C3A36"/>
                <w:sz w:val="17"/>
              </w:rPr>
              <w:t>0.74</w:t>
            </w:r>
          </w:p>
        </w:tc>
        <w:tc>
          <w:tcPr>
            <w:tcW w:type="dxa" w:w="1483"/>
          </w:tcPr>
          <w:p>
            <w:pPr>
              <w:spacing w:after="20"/>
              <w:jc w:val="right"/>
            </w:pPr>
            <w:r>
              <w:rPr>
                <w:color w:val="1C3A36"/>
                <w:sz w:val="17"/>
              </w:rPr>
              <w:t>2.30</w:t>
            </w:r>
          </w:p>
        </w:tc>
        <w:tc>
          <w:tcPr>
            <w:tcW w:type="dxa" w:w="1483"/>
          </w:tcPr>
          <w:p>
            <w:pPr>
              <w:spacing w:after="20"/>
              <w:jc w:val="right"/>
            </w:pPr>
            <w:r>
              <w:rPr>
                <w:color w:val="1C3A36"/>
                <w:sz w:val="17"/>
              </w:rPr>
              <w:t>3.86</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-2.61</w:t>
            </w:r>
          </w:p>
        </w:tc>
        <w:tc>
          <w:tcPr>
            <w:tcW w:type="dxa" w:w="1483"/>
          </w:tcPr>
          <w:p>
            <w:pPr>
              <w:spacing w:after="20"/>
              <w:jc w:val="right"/>
            </w:pPr>
            <w:r>
              <w:rPr>
                <w:color w:val="1C3A36"/>
                <w:sz w:val="17"/>
              </w:rPr>
              <w:t>-1.16</w:t>
            </w:r>
          </w:p>
        </w:tc>
        <w:tc>
          <w:tcPr>
            <w:tcW w:type="dxa" w:w="1483"/>
          </w:tcPr>
          <w:p>
            <w:pPr>
              <w:spacing w:after="20"/>
              <w:jc w:val="right"/>
            </w:pPr>
            <w:r>
              <w:rPr>
                <w:color w:val="1C3A36"/>
                <w:sz w:val="17"/>
              </w:rPr>
              <w:t>0.30</w:t>
            </w:r>
          </w:p>
        </w:tc>
        <w:tc>
          <w:tcPr>
            <w:tcW w:type="dxa" w:w="1483"/>
          </w:tcPr>
          <w:p>
            <w:pPr>
              <w:spacing w:after="20"/>
              <w:jc w:val="right"/>
            </w:pPr>
            <w:r>
              <w:rPr>
                <w:color w:val="1C3A36"/>
                <w:sz w:val="17"/>
              </w:rPr>
              <w:t>1.75</w:t>
            </w:r>
          </w:p>
        </w:tc>
        <w:tc>
          <w:tcPr>
            <w:tcW w:type="dxa" w:w="1483"/>
          </w:tcPr>
          <w:p>
            <w:pPr>
              <w:spacing w:after="20"/>
              <w:jc w:val="right"/>
            </w:pPr>
            <w:r>
              <w:rPr>
                <w:color w:val="1C3A36"/>
                <w:sz w:val="17"/>
              </w:rPr>
              <w:t>3.21</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-2.83</w:t>
            </w:r>
          </w:p>
        </w:tc>
        <w:tc>
          <w:tcPr>
            <w:tcW w:type="dxa" w:w="1483"/>
          </w:tcPr>
          <w:p>
            <w:pPr>
              <w:spacing w:after="20"/>
              <w:jc w:val="right"/>
            </w:pPr>
            <w:r>
              <w:rPr>
                <w:color w:val="1C3A36"/>
                <w:sz w:val="17"/>
              </w:rPr>
              <w:t>-1.48</w:t>
            </w:r>
          </w:p>
        </w:tc>
        <w:tc>
          <w:tcPr>
            <w:tcW w:type="dxa" w:w="1483"/>
          </w:tcPr>
          <w:p>
            <w:pPr>
              <w:spacing w:after="20"/>
              <w:jc w:val="right"/>
            </w:pPr>
            <w:r>
              <w:rPr>
                <w:color w:val="1C3A36"/>
                <w:sz w:val="17"/>
              </w:rPr>
              <w:t>-0.12</w:t>
            </w:r>
          </w:p>
        </w:tc>
        <w:tc>
          <w:tcPr>
            <w:tcW w:type="dxa" w:w="1483"/>
          </w:tcPr>
          <w:p>
            <w:pPr>
              <w:spacing w:after="20"/>
              <w:jc w:val="right"/>
            </w:pPr>
            <w:r>
              <w:rPr>
                <w:color w:val="1C3A36"/>
                <w:sz w:val="17"/>
              </w:rPr>
              <w:t>1.24</w:t>
            </w:r>
          </w:p>
        </w:tc>
        <w:tc>
          <w:tcPr>
            <w:tcW w:type="dxa" w:w="1483"/>
          </w:tcPr>
          <w:p>
            <w:pPr>
              <w:spacing w:after="20"/>
              <w:jc w:val="right"/>
            </w:pPr>
            <w:r>
              <w:rPr>
                <w:color w:val="1C3A36"/>
                <w:sz w:val="17"/>
              </w:rPr>
              <w:t>2.59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-2.97</w:t>
            </w:r>
          </w:p>
        </w:tc>
        <w:tc>
          <w:tcPr>
            <w:tcW w:type="dxa" w:w="1483"/>
          </w:tcPr>
          <w:p>
            <w:pPr>
              <w:spacing w:after="20"/>
              <w:jc w:val="right"/>
            </w:pPr>
            <w:r>
              <w:rPr>
                <w:color w:val="1C3A36"/>
                <w:sz w:val="17"/>
              </w:rPr>
              <w:t>-1.68</w:t>
            </w:r>
          </w:p>
        </w:tc>
        <w:tc>
          <w:tcPr>
            <w:tcW w:type="dxa" w:w="1483"/>
          </w:tcPr>
          <w:p>
            <w:pPr>
              <w:spacing w:after="20"/>
              <w:jc w:val="right"/>
            </w:pPr>
            <w:r>
              <w:rPr>
                <w:color w:val="1C3A36"/>
                <w:sz w:val="17"/>
              </w:rPr>
              <w:t>-0.39</w:t>
            </w:r>
          </w:p>
        </w:tc>
        <w:tc>
          <w:tcPr>
            <w:tcW w:type="dxa" w:w="1483"/>
          </w:tcPr>
          <w:p>
            <w:pPr>
              <w:spacing w:after="20"/>
              <w:jc w:val="right"/>
            </w:pPr>
            <w:r>
              <w:rPr>
                <w:color w:val="1C3A36"/>
                <w:sz w:val="17"/>
              </w:rPr>
              <w:t>0.90</w:t>
            </w:r>
          </w:p>
        </w:tc>
        <w:tc>
          <w:tcPr>
            <w:tcW w:type="dxa" w:w="1483"/>
          </w:tcPr>
          <w:p>
            <w:pPr>
              <w:spacing w:after="20"/>
              <w:jc w:val="right"/>
            </w:pPr>
            <w:r>
              <w:rPr>
                <w:color w:val="1C3A36"/>
                <w:sz w:val="17"/>
              </w:rPr>
              <w:t>2.20</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-3.12</w:t>
            </w:r>
          </w:p>
        </w:tc>
        <w:tc>
          <w:tcPr>
            <w:tcW w:type="dxa" w:w="1483"/>
          </w:tcPr>
          <w:p>
            <w:pPr>
              <w:spacing w:after="20"/>
              <w:jc w:val="right"/>
            </w:pPr>
            <w:r>
              <w:rPr>
                <w:color w:val="1C3A36"/>
                <w:sz w:val="17"/>
              </w:rPr>
              <w:t>-1.88</w:t>
            </w:r>
          </w:p>
        </w:tc>
        <w:tc>
          <w:tcPr>
            <w:tcW w:type="dxa" w:w="1483"/>
          </w:tcPr>
          <w:p>
            <w:pPr>
              <w:spacing w:after="20"/>
              <w:jc w:val="right"/>
            </w:pPr>
            <w:r>
              <w:rPr>
                <w:color w:val="1C3A36"/>
                <w:sz w:val="17"/>
              </w:rPr>
              <w:t>-0.65</w:t>
            </w:r>
          </w:p>
        </w:tc>
        <w:tc>
          <w:tcPr>
            <w:tcW w:type="dxa" w:w="1483"/>
          </w:tcPr>
          <w:p>
            <w:pPr>
              <w:spacing w:after="20"/>
              <w:jc w:val="right"/>
            </w:pPr>
            <w:r>
              <w:rPr>
                <w:color w:val="1C3A36"/>
                <w:sz w:val="17"/>
              </w:rPr>
              <w:t>0.58</w:t>
            </w:r>
          </w:p>
        </w:tc>
        <w:tc>
          <w:tcPr>
            <w:tcW w:type="dxa" w:w="1483"/>
          </w:tcPr>
          <w:p>
            <w:pPr>
              <w:spacing w:after="20"/>
              <w:jc w:val="right"/>
            </w:pPr>
            <w:r>
              <w:rPr>
                <w:color w:val="1C3A36"/>
                <w:sz w:val="17"/>
              </w:rPr>
              <w:t>1.81</w:t>
            </w:r>
          </w:p>
        </w:tc>
      </w:tr>
    </w:tbl>
    <w:p>
      <w:pPr>
        <w:spacing w:after="40"/>
      </w:pPr>
    </w:p>
    <w:p>
      <w:pPr>
        <w:spacing w:after="200" w:before="0"/>
      </w:pPr>
      <w:r>
        <w:rPr>
          <w:b w:val="0"/>
          <w:i/>
          <w:color w:val="6E7B77"/>
          <w:sz w:val="17"/>
        </w:rPr>
        <w:t>Table 19.  The highest cell in the grid is EGP 3.86, at a long-run export price above today's spot and a terminal rate below the sovereign's own short-term yield. Reaching EGP 13.98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-2.83 to 2.59</w:t>
            </w:r>
          </w:p>
        </w:tc>
        <w:tc>
          <w:tcPr>
            <w:tcW w:type="dxa" w:w="1152"/>
            <w:shd w:val="clear" w:color="auto" w:fill="F6F1E6"/>
          </w:tcPr>
          <w:p>
            <w:pPr>
              <w:spacing w:after="20"/>
              <w:jc w:val="right"/>
            </w:pPr>
            <w:r>
              <w:rPr>
                <w:b/>
                <w:color w:val="1C3A36"/>
                <w:sz w:val="16"/>
              </w:rPr>
              <w:t>5.43</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-0.79 to 2.49</w:t>
            </w:r>
          </w:p>
        </w:tc>
        <w:tc>
          <w:tcPr>
            <w:tcW w:type="dxa" w:w="1152"/>
          </w:tcPr>
          <w:p>
            <w:pPr>
              <w:spacing w:after="20"/>
              <w:jc w:val="right"/>
            </w:pPr>
            <w:r>
              <w:rPr>
                <w:color w:val="1C3A36"/>
                <w:sz w:val="16"/>
              </w:rPr>
              <w:t>3.28</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-2.58 to -0.79</w:t>
            </w:r>
          </w:p>
        </w:tc>
        <w:tc>
          <w:tcPr>
            <w:tcW w:type="dxa" w:w="1152"/>
          </w:tcPr>
          <w:p>
            <w:pPr>
              <w:spacing w:after="20"/>
              <w:jc w:val="right"/>
            </w:pPr>
            <w:r>
              <w:rPr>
                <w:color w:val="1C3A36"/>
                <w:sz w:val="16"/>
              </w:rPr>
              <w:t>1.79</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-0.65 to 0.74</w:t>
            </w:r>
          </w:p>
        </w:tc>
        <w:tc>
          <w:tcPr>
            <w:tcW w:type="dxa" w:w="1152"/>
          </w:tcPr>
          <w:p>
            <w:pPr>
              <w:spacing w:after="20"/>
              <w:jc w:val="right"/>
            </w:pPr>
            <w:r>
              <w:rPr>
                <w:color w:val="1C3A36"/>
                <w:sz w:val="16"/>
              </w:rPr>
              <w:t>1.39</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-0.79 to 0.14</w:t>
            </w:r>
          </w:p>
        </w:tc>
        <w:tc>
          <w:tcPr>
            <w:tcW w:type="dxa" w:w="1152"/>
          </w:tcPr>
          <w:p>
            <w:pPr>
              <w:spacing w:after="20"/>
              <w:jc w:val="right"/>
            </w:pPr>
            <w:r>
              <w:rPr>
                <w:color w:val="1C3A36"/>
                <w:sz w:val="16"/>
              </w:rPr>
              <w:t>0.93</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-1.57 to -0.79</w:t>
            </w:r>
          </w:p>
        </w:tc>
        <w:tc>
          <w:tcPr>
            <w:tcW w:type="dxa" w:w="1152"/>
          </w:tcPr>
          <w:p>
            <w:pPr>
              <w:spacing w:after="20"/>
              <w:jc w:val="right"/>
            </w:pPr>
            <w:r>
              <w:rPr>
                <w:color w:val="1C3A36"/>
                <w:sz w:val="16"/>
              </w:rPr>
              <w:t>0.78</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1.053 against the Dimson sum-beta of 0.828</w:t>
            </w:r>
          </w:p>
        </w:tc>
        <w:tc>
          <w:tcPr>
            <w:tcW w:type="dxa" w:w="2160"/>
          </w:tcPr>
          <w:p>
            <w:pPr>
              <w:spacing w:after="20"/>
              <w:jc w:val="right"/>
            </w:pPr>
            <w:r>
              <w:rPr>
                <w:color w:val="1C3A36"/>
                <w:sz w:val="16"/>
              </w:rPr>
              <w:t>-0.79 to -0.15</w:t>
            </w:r>
          </w:p>
        </w:tc>
        <w:tc>
          <w:tcPr>
            <w:tcW w:type="dxa" w:w="1152"/>
          </w:tcPr>
          <w:p>
            <w:pPr>
              <w:spacing w:after="20"/>
              <w:jc w:val="right"/>
            </w:pPr>
            <w:r>
              <w:rPr>
                <w:color w:val="1C3A36"/>
                <w:sz w:val="16"/>
              </w:rPr>
              <w:t>0.64</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-0.79 to -0.64</w:t>
            </w:r>
          </w:p>
        </w:tc>
        <w:tc>
          <w:tcPr>
            <w:tcW w:type="dxa" w:w="1152"/>
          </w:tcPr>
          <w:p>
            <w:pPr>
              <w:spacing w:after="20"/>
              <w:jc w:val="right"/>
            </w:pPr>
            <w:r>
              <w:rPr>
                <w:color w:val="1C3A36"/>
                <w:sz w:val="16"/>
              </w:rPr>
              <w:t>0.15</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5.0%</w:t>
            </w:r>
          </w:p>
        </w:tc>
        <w:tc>
          <w:tcPr>
            <w:tcW w:type="dxa" w:w="2160"/>
          </w:tcPr>
          <w:p>
            <w:pPr>
              <w:spacing w:after="20"/>
              <w:jc w:val="right"/>
            </w:pPr>
            <w:r>
              <w:rPr>
                <w:color w:val="1C3A36"/>
                <w:sz w:val="16"/>
              </w:rPr>
              <w:t>-0.81 to -0.79</w:t>
            </w:r>
          </w:p>
        </w:tc>
        <w:tc>
          <w:tcPr>
            <w:tcW w:type="dxa" w:w="1152"/>
          </w:tcPr>
          <w:p>
            <w:pPr>
              <w:spacing w:after="20"/>
              <w:jc w:val="right"/>
            </w:pPr>
            <w:r>
              <w:rPr>
                <w:color w:val="1C3A36"/>
                <w:sz w:val="16"/>
              </w:rPr>
              <w:t>0.02</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1.053, from 257 weekly observations over 5 years against an equal-weight index of 35 Egyptian names with the subject itself excluded — leaving a share inside its own index injects a self-covariance term, and doing so here would have returned 1.126 instead. The regression explains 28.3% of the variation with a standard error of 0.105, so all three conditions of the usability test are met and the estimate is adopted rather than defaulted. It was cross-checked two ways. The Dimson sum-beta over one lead and two lags — the correction for co-movement booked late because the share does not trade every session — is 0.828, and the adopted figure sits inside its interval; the share closes unchanged on 5.0% of sessions against 8.7% for the Egyptian library, so it is not unusually thin. And the simple prior for a cyclical, capital-intensive materials business is 1.0 to 1.5. The alternative is priced with the other contested constructions in section 1.8 rather than argued: on the sum-beta the answer is EGP -0.15 instead of EGP -0.79.</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was tested, in plain terms. The same method was run backwards over the company's own price history in non-overlapping three-month windows and scored against a random walk that carries the same interest-rate drift. Over the 17 windows since the market's last structural break it beat that benchmark by 2.64 per cent on a proper scoring rule, and the advantage held across every resampling block size tested, so it is not an artefact of how the windows were cut. Outcomes fell inside the fifty, eighty and ninety per cent bands 64.7%, 88.2% and 94.1% of the time against the fifty, eighty and ninety they promise. A uniformity test on where each outcome landed within its predicted distribution returns a p-value of 0.625, which is to say the bands are neither too wide nor too narrow to a degree the data can detect. Over the last five years of windows the advantage was 2.04 per cent.</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-0.79</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2.49</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3.28</w:t>
            </w:r>
          </w:p>
        </w:tc>
      </w:tr>
      <w:tr>
        <w:trPr>
          <w:cantSplit/>
        </w:trPr>
        <w:tc>
          <w:tcPr>
            <w:tcW w:type="dxa" w:w="2448"/>
          </w:tcPr>
          <w:p>
            <w:pPr>
              <w:spacing w:after="20"/>
            </w:pPr>
            <w:r>
              <w:rPr>
                <w:color w:val="1C3A36"/>
                <w:sz w:val="16"/>
              </w:rPr>
              <w:t>Book value and sustainable return</w:t>
            </w:r>
          </w:p>
        </w:tc>
        <w:tc>
          <w:tcPr>
            <w:tcW w:type="dxa" w:w="1224"/>
          </w:tcPr>
          <w:p>
            <w:pPr>
              <w:spacing w:after="20"/>
              <w:jc w:val="right"/>
            </w:pPr>
            <w:r>
              <w:rPr>
                <w:color w:val="1C3A36"/>
                <w:sz w:val="16"/>
              </w:rPr>
              <w:t>0.00</w:t>
            </w:r>
          </w:p>
        </w:tc>
        <w:tc>
          <w:tcPr>
            <w:tcW w:type="dxa" w:w="3456"/>
          </w:tcPr>
          <w:p>
            <w:pPr>
              <w:spacing w:after="20"/>
            </w:pPr>
            <w:r>
              <w:rPr>
                <w:color w:val="1C3A36"/>
                <w:sz w:val="16"/>
              </w:rPr>
              <w:t>That the historic return on equity persists</w:t>
            </w:r>
          </w:p>
        </w:tc>
        <w:tc>
          <w:tcPr>
            <w:tcW w:type="dxa" w:w="2952"/>
          </w:tcPr>
          <w:p>
            <w:pPr>
              <w:spacing w:after="20"/>
            </w:pPr>
            <w:r>
              <w:rPr>
                <w:color w:val="1C3A36"/>
                <w:sz w:val="16"/>
              </w:rPr>
              <w:t>Nothing — it agrees, from the other direction, that the business does not earn its cost of capital</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6.92</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3.78</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6.92 should be read as what the shares would be worth if the programme were free — which it is not. What none of the lenses does, on any construction tested in section 1.8, is reach EGP 13.98. The gap is reported as the flat discount rate that would close it, about 10.1%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31.3%,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1.79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0.29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0.57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90.3% of enterprise value on the carried-through case and 32.4% on the stopped case. Above one hundred per cent is unusual and is explained rather than smoothed: the explicit window is a construction window with negative free cash flow, so the terminal block carries the whole enterprise value and then some. It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11,014</w:t>
            </w:r>
          </w:p>
        </w:tc>
        <w:tc>
          <w:tcPr>
            <w:tcW w:type="dxa" w:w="893"/>
          </w:tcPr>
          <w:p>
            <w:pPr>
              <w:spacing w:after="20"/>
              <w:jc w:val="right"/>
            </w:pPr>
            <w:r>
              <w:rPr>
                <w:color w:val="1C3A36"/>
                <w:sz w:val="14"/>
              </w:rPr>
              <w:t>11,101</w:t>
            </w:r>
          </w:p>
        </w:tc>
        <w:tc>
          <w:tcPr>
            <w:tcW w:type="dxa" w:w="893"/>
          </w:tcPr>
          <w:p>
            <w:pPr>
              <w:spacing w:after="20"/>
              <w:jc w:val="right"/>
            </w:pPr>
            <w:r>
              <w:rPr>
                <w:color w:val="1C3A36"/>
                <w:sz w:val="14"/>
              </w:rPr>
              <w:t>11,160</w:t>
            </w:r>
          </w:p>
        </w:tc>
        <w:tc>
          <w:tcPr>
            <w:tcW w:type="dxa" w:w="893"/>
          </w:tcPr>
          <w:p>
            <w:pPr>
              <w:spacing w:after="20"/>
              <w:jc w:val="right"/>
            </w:pPr>
            <w:r>
              <w:rPr>
                <w:color w:val="1C3A36"/>
                <w:sz w:val="14"/>
              </w:rPr>
              <w:t>11,387</w:t>
            </w:r>
          </w:p>
        </w:tc>
        <w:tc>
          <w:tcPr>
            <w:tcW w:type="dxa" w:w="893"/>
          </w:tcPr>
          <w:p>
            <w:pPr>
              <w:spacing w:after="20"/>
              <w:jc w:val="right"/>
            </w:pPr>
            <w:r>
              <w:rPr>
                <w:color w:val="1C3A36"/>
                <w:sz w:val="14"/>
              </w:rPr>
              <w:t>11,822</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6,035</w:t>
            </w:r>
          </w:p>
        </w:tc>
        <w:tc>
          <w:tcPr>
            <w:tcW w:type="dxa" w:w="893"/>
          </w:tcPr>
          <w:p>
            <w:pPr>
              <w:spacing w:after="20"/>
              <w:jc w:val="right"/>
            </w:pPr>
            <w:r>
              <w:rPr>
                <w:color w:val="1C3A36"/>
                <w:sz w:val="14"/>
              </w:rPr>
              <w:t>6,392</w:t>
            </w:r>
          </w:p>
        </w:tc>
        <w:tc>
          <w:tcPr>
            <w:tcW w:type="dxa" w:w="893"/>
          </w:tcPr>
          <w:p>
            <w:pPr>
              <w:spacing w:after="20"/>
              <w:jc w:val="right"/>
            </w:pPr>
            <w:r>
              <w:rPr>
                <w:color w:val="1C3A36"/>
                <w:sz w:val="14"/>
              </w:rPr>
              <w:t>6,756</w:t>
            </w:r>
          </w:p>
        </w:tc>
        <w:tc>
          <w:tcPr>
            <w:tcW w:type="dxa" w:w="893"/>
          </w:tcPr>
          <w:p>
            <w:pPr>
              <w:spacing w:after="20"/>
              <w:jc w:val="right"/>
            </w:pPr>
            <w:r>
              <w:rPr>
                <w:color w:val="1C3A36"/>
                <w:sz w:val="14"/>
              </w:rPr>
              <w:t>7,132</w:t>
            </w:r>
          </w:p>
        </w:tc>
        <w:tc>
          <w:tcPr>
            <w:tcW w:type="dxa" w:w="893"/>
          </w:tcPr>
          <w:p>
            <w:pPr>
              <w:spacing w:after="20"/>
              <w:jc w:val="right"/>
            </w:pPr>
            <w:r>
              <w:rPr>
                <w:color w:val="1C3A36"/>
                <w:sz w:val="14"/>
              </w:rPr>
              <w:t>7,536</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4,978</w:t>
            </w:r>
          </w:p>
        </w:tc>
        <w:tc>
          <w:tcPr>
            <w:tcW w:type="dxa" w:w="893"/>
            <w:shd w:val="clear" w:color="auto" w:fill="F6F1E6"/>
          </w:tcPr>
          <w:p>
            <w:pPr>
              <w:spacing w:after="20"/>
              <w:jc w:val="right"/>
            </w:pPr>
            <w:r>
              <w:rPr>
                <w:b/>
                <w:color w:val="1C3A36"/>
                <w:sz w:val="14"/>
              </w:rPr>
              <w:t>4,709</w:t>
            </w:r>
          </w:p>
        </w:tc>
        <w:tc>
          <w:tcPr>
            <w:tcW w:type="dxa" w:w="893"/>
            <w:shd w:val="clear" w:color="auto" w:fill="F6F1E6"/>
          </w:tcPr>
          <w:p>
            <w:pPr>
              <w:spacing w:after="20"/>
              <w:jc w:val="right"/>
            </w:pPr>
            <w:r>
              <w:rPr>
                <w:b/>
                <w:color w:val="1C3A36"/>
                <w:sz w:val="14"/>
              </w:rPr>
              <w:t>4,404</w:t>
            </w:r>
          </w:p>
        </w:tc>
        <w:tc>
          <w:tcPr>
            <w:tcW w:type="dxa" w:w="893"/>
            <w:shd w:val="clear" w:color="auto" w:fill="F6F1E6"/>
          </w:tcPr>
          <w:p>
            <w:pPr>
              <w:spacing w:after="20"/>
              <w:jc w:val="right"/>
            </w:pPr>
            <w:r>
              <w:rPr>
                <w:b/>
                <w:color w:val="1C3A36"/>
                <w:sz w:val="14"/>
              </w:rPr>
              <w:t>4,255</w:t>
            </w:r>
          </w:p>
        </w:tc>
        <w:tc>
          <w:tcPr>
            <w:tcW w:type="dxa" w:w="893"/>
            <w:shd w:val="clear" w:color="auto" w:fill="F6F1E6"/>
          </w:tcPr>
          <w:p>
            <w:pPr>
              <w:spacing w:after="20"/>
              <w:jc w:val="right"/>
            </w:pPr>
            <w:r>
              <w:rPr>
                <w:b/>
                <w:color w:val="1C3A36"/>
                <w:sz w:val="14"/>
              </w:rPr>
              <w:t>4,286</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894</w:t>
            </w:r>
          </w:p>
        </w:tc>
        <w:tc>
          <w:tcPr>
            <w:tcW w:type="dxa" w:w="893"/>
          </w:tcPr>
          <w:p>
            <w:pPr>
              <w:spacing w:after="20"/>
              <w:jc w:val="right"/>
            </w:pPr>
            <w:r>
              <w:rPr>
                <w:color w:val="1C3A36"/>
                <w:sz w:val="14"/>
              </w:rPr>
              <w:t>958</w:t>
            </w:r>
          </w:p>
        </w:tc>
        <w:tc>
          <w:tcPr>
            <w:tcW w:type="dxa" w:w="893"/>
          </w:tcPr>
          <w:p>
            <w:pPr>
              <w:spacing w:after="20"/>
              <w:jc w:val="right"/>
            </w:pPr>
            <w:r>
              <w:rPr>
                <w:color w:val="1C3A36"/>
                <w:sz w:val="14"/>
              </w:rPr>
              <w:t>1,023</w:t>
            </w:r>
          </w:p>
        </w:tc>
        <w:tc>
          <w:tcPr>
            <w:tcW w:type="dxa" w:w="893"/>
          </w:tcPr>
          <w:p>
            <w:pPr>
              <w:spacing w:after="20"/>
              <w:jc w:val="right"/>
            </w:pPr>
            <w:r>
              <w:rPr>
                <w:color w:val="1C3A36"/>
                <w:sz w:val="14"/>
              </w:rPr>
              <w:t>1,093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429</w:t>
            </w:r>
          </w:p>
        </w:tc>
        <w:tc>
          <w:tcPr>
            <w:tcW w:type="dxa" w:w="893"/>
          </w:tcPr>
          <w:p>
            <w:pPr>
              <w:spacing w:after="20"/>
              <w:jc w:val="right"/>
            </w:pPr>
            <w:r>
              <w:rPr>
                <w:color w:val="1C3A36"/>
                <w:sz w:val="14"/>
              </w:rPr>
              <w:t>461</w:t>
            </w:r>
          </w:p>
        </w:tc>
        <w:tc>
          <w:tcPr>
            <w:tcW w:type="dxa" w:w="893"/>
          </w:tcPr>
          <w:p>
            <w:pPr>
              <w:spacing w:after="20"/>
              <w:jc w:val="right"/>
            </w:pPr>
            <w:r>
              <w:rPr>
                <w:color w:val="1C3A36"/>
                <w:sz w:val="14"/>
              </w:rPr>
              <w:t>494</w:t>
            </w:r>
          </w:p>
        </w:tc>
        <w:tc>
          <w:tcPr>
            <w:tcW w:type="dxa" w:w="893"/>
          </w:tcPr>
          <w:p>
            <w:pPr>
              <w:spacing w:after="20"/>
              <w:jc w:val="right"/>
            </w:pPr>
            <w:r>
              <w:rPr>
                <w:color w:val="1C3A36"/>
                <w:sz w:val="14"/>
              </w:rPr>
              <w:t>528</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3,607</w:t>
            </w:r>
          </w:p>
        </w:tc>
        <w:tc>
          <w:tcPr>
            <w:tcW w:type="dxa" w:w="893"/>
            <w:shd w:val="clear" w:color="auto" w:fill="F6F1E6"/>
          </w:tcPr>
          <w:p>
            <w:pPr>
              <w:spacing w:after="20"/>
              <w:jc w:val="right"/>
            </w:pPr>
            <w:r>
              <w:rPr>
                <w:b/>
                <w:color w:val="1C3A36"/>
                <w:sz w:val="14"/>
              </w:rPr>
              <w:t>3,266</w:t>
            </w:r>
          </w:p>
        </w:tc>
        <w:tc>
          <w:tcPr>
            <w:tcW w:type="dxa" w:w="893"/>
            <w:shd w:val="clear" w:color="auto" w:fill="F6F1E6"/>
          </w:tcPr>
          <w:p>
            <w:pPr>
              <w:spacing w:after="20"/>
              <w:jc w:val="right"/>
            </w:pPr>
            <w:r>
              <w:rPr>
                <w:b/>
                <w:color w:val="1C3A36"/>
                <w:sz w:val="14"/>
              </w:rPr>
              <w:t>2,884</w:t>
            </w:r>
          </w:p>
        </w:tc>
        <w:tc>
          <w:tcPr>
            <w:tcW w:type="dxa" w:w="893"/>
            <w:shd w:val="clear" w:color="auto" w:fill="F6F1E6"/>
          </w:tcPr>
          <w:p>
            <w:pPr>
              <w:spacing w:after="20"/>
              <w:jc w:val="right"/>
            </w:pPr>
            <w:r>
              <w:rPr>
                <w:b/>
                <w:color w:val="1C3A36"/>
                <w:sz w:val="14"/>
              </w:rPr>
              <w:t>2,648</w:t>
            </w:r>
          </w:p>
        </w:tc>
        <w:tc>
          <w:tcPr>
            <w:tcW w:type="dxa" w:w="893"/>
            <w:shd w:val="clear" w:color="auto" w:fill="F6F1E6"/>
          </w:tcPr>
          <w:p>
            <w:pPr>
              <w:spacing w:after="20"/>
              <w:jc w:val="right"/>
            </w:pPr>
            <w:r>
              <w:rPr>
                <w:b/>
                <w:color w:val="1C3A36"/>
                <w:sz w:val="14"/>
              </w:rPr>
              <w:t>2,585</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906</w:t>
            </w:r>
          </w:p>
        </w:tc>
        <w:tc>
          <w:tcPr>
            <w:tcW w:type="dxa" w:w="893"/>
          </w:tcPr>
          <w:p>
            <w:pPr>
              <w:spacing w:after="20"/>
              <w:jc w:val="right"/>
            </w:pPr>
            <w:r>
              <w:rPr>
                <w:color w:val="1C3A36"/>
                <w:sz w:val="14"/>
              </w:rPr>
              <w:t>921</w:t>
            </w:r>
          </w:p>
        </w:tc>
        <w:tc>
          <w:tcPr>
            <w:tcW w:type="dxa" w:w="893"/>
          </w:tcPr>
          <w:p>
            <w:pPr>
              <w:spacing w:after="20"/>
              <w:jc w:val="right"/>
            </w:pPr>
            <w:r>
              <w:rPr>
                <w:color w:val="1C3A36"/>
                <w:sz w:val="14"/>
              </w:rPr>
              <w:t>937</w:t>
            </w:r>
          </w:p>
        </w:tc>
        <w:tc>
          <w:tcPr>
            <w:tcW w:type="dxa" w:w="893"/>
          </w:tcPr>
          <w:p>
            <w:pPr>
              <w:spacing w:after="20"/>
              <w:jc w:val="right"/>
            </w:pPr>
            <w:r>
              <w:rPr>
                <w:color w:val="1C3A36"/>
                <w:sz w:val="14"/>
              </w:rPr>
              <w:t>952</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4,497</w:t>
            </w:r>
          </w:p>
        </w:tc>
        <w:tc>
          <w:tcPr>
            <w:tcW w:type="dxa" w:w="893"/>
            <w:shd w:val="clear" w:color="auto" w:fill="F6F1E6"/>
          </w:tcPr>
          <w:p>
            <w:pPr>
              <w:spacing w:after="20"/>
              <w:jc w:val="right"/>
            </w:pPr>
            <w:r>
              <w:rPr>
                <w:b/>
                <w:color w:val="1C3A36"/>
                <w:sz w:val="14"/>
              </w:rPr>
              <w:t>4,172</w:t>
            </w:r>
          </w:p>
        </w:tc>
        <w:tc>
          <w:tcPr>
            <w:tcW w:type="dxa" w:w="893"/>
            <w:shd w:val="clear" w:color="auto" w:fill="F6F1E6"/>
          </w:tcPr>
          <w:p>
            <w:pPr>
              <w:spacing w:after="20"/>
              <w:jc w:val="right"/>
            </w:pPr>
            <w:r>
              <w:rPr>
                <w:b/>
                <w:color w:val="1C3A36"/>
                <w:sz w:val="14"/>
              </w:rPr>
              <w:t>3,806</w:t>
            </w:r>
          </w:p>
        </w:tc>
        <w:tc>
          <w:tcPr>
            <w:tcW w:type="dxa" w:w="893"/>
            <w:shd w:val="clear" w:color="auto" w:fill="F6F1E6"/>
          </w:tcPr>
          <w:p>
            <w:pPr>
              <w:spacing w:after="20"/>
              <w:jc w:val="right"/>
            </w:pPr>
            <w:r>
              <w:rPr>
                <w:b/>
                <w:color w:val="1C3A36"/>
                <w:sz w:val="14"/>
              </w:rPr>
              <w:t>3,585</w:t>
            </w:r>
          </w:p>
        </w:tc>
        <w:tc>
          <w:tcPr>
            <w:tcW w:type="dxa" w:w="893"/>
            <w:shd w:val="clear" w:color="auto" w:fill="F6F1E6"/>
          </w:tcPr>
          <w:p>
            <w:pPr>
              <w:spacing w:after="20"/>
              <w:jc w:val="right"/>
            </w:pPr>
            <w:r>
              <w:rPr>
                <w:b/>
                <w:color w:val="1C3A36"/>
                <w:sz w:val="14"/>
              </w:rPr>
              <w:t>3,537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45.2%</w:t>
            </w:r>
          </w:p>
        </w:tc>
        <w:tc>
          <w:tcPr>
            <w:tcW w:type="dxa" w:w="893"/>
          </w:tcPr>
          <w:p>
            <w:pPr>
              <w:spacing w:after="20"/>
              <w:jc w:val="right"/>
            </w:pPr>
            <w:r>
              <w:rPr>
                <w:color w:val="1C3A36"/>
                <w:sz w:val="14"/>
              </w:rPr>
              <w:t>42.4%</w:t>
            </w:r>
          </w:p>
        </w:tc>
        <w:tc>
          <w:tcPr>
            <w:tcW w:type="dxa" w:w="893"/>
          </w:tcPr>
          <w:p>
            <w:pPr>
              <w:spacing w:after="20"/>
              <w:jc w:val="right"/>
            </w:pPr>
            <w:r>
              <w:rPr>
                <w:color w:val="1C3A36"/>
                <w:sz w:val="14"/>
              </w:rPr>
              <w:t>39.5%</w:t>
            </w:r>
          </w:p>
        </w:tc>
        <w:tc>
          <w:tcPr>
            <w:tcW w:type="dxa" w:w="893"/>
          </w:tcPr>
          <w:p>
            <w:pPr>
              <w:spacing w:after="20"/>
              <w:jc w:val="right"/>
            </w:pPr>
            <w:r>
              <w:rPr>
                <w:color w:val="1C3A36"/>
                <w:sz w:val="14"/>
              </w:rPr>
              <w:t>37.4%</w:t>
            </w:r>
          </w:p>
        </w:tc>
        <w:tc>
          <w:tcPr>
            <w:tcW w:type="dxa" w:w="893"/>
          </w:tcPr>
          <w:p>
            <w:pPr>
              <w:spacing w:after="20"/>
              <w:jc w:val="right"/>
            </w:pPr>
            <w:r>
              <w:rPr>
                <w:color w:val="1C3A36"/>
                <w:sz w:val="14"/>
              </w:rPr>
              <w:t>36.3%</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40.8%</w:t>
            </w:r>
          </w:p>
        </w:tc>
        <w:tc>
          <w:tcPr>
            <w:tcW w:type="dxa" w:w="893"/>
          </w:tcPr>
          <w:p>
            <w:pPr>
              <w:spacing w:after="20"/>
              <w:jc w:val="right"/>
            </w:pPr>
            <w:r>
              <w:rPr>
                <w:color w:val="1C3A36"/>
                <w:sz w:val="14"/>
              </w:rPr>
              <w:t>37.6%</w:t>
            </w:r>
          </w:p>
        </w:tc>
        <w:tc>
          <w:tcPr>
            <w:tcW w:type="dxa" w:w="893"/>
          </w:tcPr>
          <w:p>
            <w:pPr>
              <w:spacing w:after="20"/>
              <w:jc w:val="right"/>
            </w:pPr>
            <w:r>
              <w:rPr>
                <w:color w:val="1C3A36"/>
                <w:sz w:val="14"/>
              </w:rPr>
              <w:t>34.1%</w:t>
            </w:r>
          </w:p>
        </w:tc>
        <w:tc>
          <w:tcPr>
            <w:tcW w:type="dxa" w:w="893"/>
          </w:tcPr>
          <w:p>
            <w:pPr>
              <w:spacing w:after="20"/>
              <w:jc w:val="right"/>
            </w:pPr>
            <w:r>
              <w:rPr>
                <w:color w:val="1C3A36"/>
                <w:sz w:val="14"/>
              </w:rPr>
              <w:t>31.5%</w:t>
            </w:r>
          </w:p>
        </w:tc>
        <w:tc>
          <w:tcPr>
            <w:tcW w:type="dxa" w:w="893"/>
          </w:tcPr>
          <w:p>
            <w:pPr>
              <w:spacing w:after="20"/>
              <w:jc w:val="right"/>
            </w:pPr>
            <w:r>
              <w:rPr>
                <w:color w:val="1C3A36"/>
                <w:sz w:val="14"/>
              </w:rPr>
              <w:t>29.9%</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2,722</w:t>
            </w:r>
          </w:p>
        </w:tc>
        <w:tc>
          <w:tcPr>
            <w:tcW w:type="dxa" w:w="1426"/>
          </w:tcPr>
          <w:p>
            <w:pPr>
              <w:spacing w:after="20"/>
              <w:jc w:val="right"/>
            </w:pPr>
            <w:r>
              <w:rPr>
                <w:color w:val="1C3A36"/>
                <w:sz w:val="16"/>
              </w:rPr>
              <w:t>3,224</w:t>
            </w:r>
          </w:p>
        </w:tc>
        <w:tc>
          <w:tcPr>
            <w:tcW w:type="dxa" w:w="1426"/>
          </w:tcPr>
          <w:p>
            <w:pPr>
              <w:spacing w:after="20"/>
              <w:jc w:val="right"/>
            </w:pPr>
            <w:r>
              <w:rPr>
                <w:color w:val="1C3A36"/>
                <w:sz w:val="16"/>
              </w:rPr>
              <w:t>3,425</w:t>
            </w:r>
          </w:p>
        </w:tc>
        <w:tc>
          <w:tcPr>
            <w:tcW w:type="dxa" w:w="1426"/>
          </w:tcPr>
          <w:p>
            <w:pPr>
              <w:spacing w:after="20"/>
              <w:jc w:val="right"/>
            </w:pPr>
            <w:r>
              <w:rPr>
                <w:color w:val="1C3A36"/>
                <w:sz w:val="16"/>
              </w:rPr>
              <w:t>3,327</w:t>
            </w:r>
          </w:p>
        </w:tc>
        <w:tc>
          <w:tcPr>
            <w:tcW w:type="dxa" w:w="1426"/>
          </w:tcPr>
          <w:p>
            <w:pPr>
              <w:spacing w:after="20"/>
              <w:jc w:val="right"/>
            </w:pPr>
            <w:r>
              <w:rPr>
                <w:color w:val="1C3A36"/>
                <w:sz w:val="16"/>
              </w:rPr>
              <w:t>2,621</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906</w:t>
            </w:r>
          </w:p>
        </w:tc>
        <w:tc>
          <w:tcPr>
            <w:tcW w:type="dxa" w:w="1426"/>
          </w:tcPr>
          <w:p>
            <w:pPr>
              <w:spacing w:after="20"/>
              <w:jc w:val="right"/>
            </w:pPr>
            <w:r>
              <w:rPr>
                <w:color w:val="1C3A36"/>
                <w:sz w:val="16"/>
              </w:rPr>
              <w:t>921</w:t>
            </w:r>
          </w:p>
        </w:tc>
        <w:tc>
          <w:tcPr>
            <w:tcW w:type="dxa" w:w="1426"/>
          </w:tcPr>
          <w:p>
            <w:pPr>
              <w:spacing w:after="20"/>
              <w:jc w:val="right"/>
            </w:pPr>
            <w:r>
              <w:rPr>
                <w:color w:val="1C3A36"/>
                <w:sz w:val="16"/>
              </w:rPr>
              <w:t>937</w:t>
            </w:r>
          </w:p>
        </w:tc>
        <w:tc>
          <w:tcPr>
            <w:tcW w:type="dxa" w:w="1426"/>
          </w:tcPr>
          <w:p>
            <w:pPr>
              <w:spacing w:after="20"/>
              <w:jc w:val="right"/>
            </w:pPr>
            <w:r>
              <w:rPr>
                <w:color w:val="1C3A36"/>
                <w:sz w:val="16"/>
              </w:rPr>
              <w:t>952</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808</w:t>
            </w:r>
          </w:p>
        </w:tc>
        <w:tc>
          <w:tcPr>
            <w:tcW w:type="dxa" w:w="1426"/>
          </w:tcPr>
          <w:p>
            <w:pPr>
              <w:spacing w:after="20"/>
              <w:jc w:val="right"/>
            </w:pPr>
            <w:r>
              <w:rPr>
                <w:color w:val="1C3A36"/>
                <w:sz w:val="16"/>
              </w:rPr>
              <w:t>814</w:t>
            </w:r>
          </w:p>
        </w:tc>
        <w:tc>
          <w:tcPr>
            <w:tcW w:type="dxa" w:w="1426"/>
          </w:tcPr>
          <w:p>
            <w:pPr>
              <w:spacing w:after="20"/>
              <w:jc w:val="right"/>
            </w:pPr>
            <w:r>
              <w:rPr>
                <w:color w:val="1C3A36"/>
                <w:sz w:val="16"/>
              </w:rPr>
              <w:t>819</w:t>
            </w:r>
          </w:p>
        </w:tc>
        <w:tc>
          <w:tcPr>
            <w:tcW w:type="dxa" w:w="1426"/>
          </w:tcPr>
          <w:p>
            <w:pPr>
              <w:spacing w:after="20"/>
              <w:jc w:val="right"/>
            </w:pPr>
            <w:r>
              <w:rPr>
                <w:color w:val="1C3A36"/>
                <w:sz w:val="16"/>
              </w:rPr>
              <w:t>835</w:t>
            </w:r>
          </w:p>
        </w:tc>
        <w:tc>
          <w:tcPr>
            <w:tcW w:type="dxa" w:w="1426"/>
          </w:tcPr>
          <w:p>
            <w:pPr>
              <w:spacing w:after="20"/>
              <w:jc w:val="right"/>
            </w:pPr>
            <w:r>
              <w:rPr>
                <w:color w:val="1C3A36"/>
                <w:sz w:val="16"/>
              </w:rPr>
              <w:t>867</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2,732</w:t>
            </w:r>
          </w:p>
        </w:tc>
        <w:tc>
          <w:tcPr>
            <w:tcW w:type="dxa" w:w="1426"/>
          </w:tcPr>
          <w:p>
            <w:pPr>
              <w:spacing w:after="20"/>
              <w:jc w:val="right"/>
            </w:pPr>
            <w:r>
              <w:rPr>
                <w:color w:val="1C3A36"/>
                <w:sz w:val="16"/>
              </w:rPr>
              <w:t>2,894</w:t>
            </w:r>
          </w:p>
        </w:tc>
        <w:tc>
          <w:tcPr>
            <w:tcW w:type="dxa" w:w="1426"/>
          </w:tcPr>
          <w:p>
            <w:pPr>
              <w:spacing w:after="20"/>
              <w:jc w:val="right"/>
            </w:pPr>
            <w:r>
              <w:rPr>
                <w:color w:val="1C3A36"/>
                <w:sz w:val="16"/>
              </w:rPr>
              <w:t>3,059</w:t>
            </w:r>
          </w:p>
        </w:tc>
        <w:tc>
          <w:tcPr>
            <w:tcW w:type="dxa" w:w="1426"/>
          </w:tcPr>
          <w:p>
            <w:pPr>
              <w:spacing w:after="20"/>
              <w:jc w:val="right"/>
            </w:pPr>
            <w:r>
              <w:rPr>
                <w:color w:val="1C3A36"/>
                <w:sz w:val="16"/>
              </w:rPr>
              <w:t>3,229</w:t>
            </w:r>
          </w:p>
        </w:tc>
        <w:tc>
          <w:tcPr>
            <w:tcW w:type="dxa" w:w="1426"/>
          </w:tcPr>
          <w:p>
            <w:pPr>
              <w:spacing w:after="20"/>
              <w:jc w:val="right"/>
            </w:pPr>
            <w:r>
              <w:rPr>
                <w:color w:val="1C3A36"/>
                <w:sz w:val="16"/>
              </w:rPr>
              <w:t>3,412</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1,375</w:t>
            </w:r>
          </w:p>
        </w:tc>
        <w:tc>
          <w:tcPr>
            <w:tcW w:type="dxa" w:w="1426"/>
          </w:tcPr>
          <w:p>
            <w:pPr>
              <w:spacing w:after="20"/>
              <w:jc w:val="right"/>
            </w:pPr>
            <w:r>
              <w:rPr>
                <w:color w:val="1C3A36"/>
                <w:sz w:val="16"/>
              </w:rPr>
              <w:t>1,456</w:t>
            </w:r>
          </w:p>
        </w:tc>
        <w:tc>
          <w:tcPr>
            <w:tcW w:type="dxa" w:w="1426"/>
          </w:tcPr>
          <w:p>
            <w:pPr>
              <w:spacing w:after="20"/>
              <w:jc w:val="right"/>
            </w:pPr>
            <w:r>
              <w:rPr>
                <w:color w:val="1C3A36"/>
                <w:sz w:val="16"/>
              </w:rPr>
              <w:t>1,539</w:t>
            </w:r>
          </w:p>
        </w:tc>
        <w:tc>
          <w:tcPr>
            <w:tcW w:type="dxa" w:w="1426"/>
          </w:tcPr>
          <w:p>
            <w:pPr>
              <w:spacing w:after="20"/>
              <w:jc w:val="right"/>
            </w:pPr>
            <w:r>
              <w:rPr>
                <w:color w:val="1C3A36"/>
                <w:sz w:val="16"/>
              </w:rPr>
              <w:t>1,625</w:t>
            </w:r>
          </w:p>
        </w:tc>
        <w:tc>
          <w:tcPr>
            <w:tcW w:type="dxa" w:w="1426"/>
          </w:tcPr>
          <w:p>
            <w:pPr>
              <w:spacing w:after="20"/>
              <w:jc w:val="right"/>
            </w:pPr>
            <w:r>
              <w:rPr>
                <w:color w:val="1C3A36"/>
                <w:sz w:val="16"/>
              </w:rPr>
              <w:t>1,717</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2,165</w:t>
            </w:r>
          </w:p>
        </w:tc>
        <w:tc>
          <w:tcPr>
            <w:tcW w:type="dxa" w:w="1426"/>
          </w:tcPr>
          <w:p>
            <w:pPr>
              <w:spacing w:after="20"/>
              <w:jc w:val="right"/>
            </w:pPr>
            <w:r>
              <w:rPr>
                <w:color w:val="1C3A36"/>
                <w:sz w:val="16"/>
              </w:rPr>
              <w:t>2,252</w:t>
            </w:r>
          </w:p>
        </w:tc>
        <w:tc>
          <w:tcPr>
            <w:tcW w:type="dxa" w:w="1426"/>
          </w:tcPr>
          <w:p>
            <w:pPr>
              <w:spacing w:after="20"/>
              <w:jc w:val="right"/>
            </w:pPr>
            <w:r>
              <w:rPr>
                <w:color w:val="1C3A36"/>
                <w:sz w:val="16"/>
              </w:rPr>
              <w:t>2,338</w:t>
            </w:r>
          </w:p>
        </w:tc>
        <w:tc>
          <w:tcPr>
            <w:tcW w:type="dxa" w:w="1426"/>
          </w:tcPr>
          <w:p>
            <w:pPr>
              <w:spacing w:after="20"/>
              <w:jc w:val="right"/>
            </w:pPr>
            <w:r>
              <w:rPr>
                <w:color w:val="1C3A36"/>
                <w:sz w:val="16"/>
              </w:rPr>
              <w:t>2,439</w:t>
            </w:r>
          </w:p>
        </w:tc>
        <w:tc>
          <w:tcPr>
            <w:tcW w:type="dxa" w:w="1426"/>
          </w:tcPr>
          <w:p>
            <w:pPr>
              <w:spacing w:after="20"/>
              <w:jc w:val="right"/>
            </w:pPr>
            <w:r>
              <w:rPr>
                <w:color w:val="1C3A36"/>
                <w:sz w:val="16"/>
              </w:rPr>
              <w:t>2,562</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94</w:t>
            </w:r>
          </w:p>
        </w:tc>
        <w:tc>
          <w:tcPr>
            <w:tcW w:type="dxa" w:w="1426"/>
          </w:tcPr>
          <w:p>
            <w:pPr>
              <w:spacing w:after="20"/>
              <w:jc w:val="right"/>
            </w:pPr>
            <w:r>
              <w:rPr>
                <w:color w:val="1C3A36"/>
                <w:sz w:val="16"/>
              </w:rPr>
              <w:t>87</w:t>
            </w:r>
          </w:p>
        </w:tc>
        <w:tc>
          <w:tcPr>
            <w:tcW w:type="dxa" w:w="1426"/>
          </w:tcPr>
          <w:p>
            <w:pPr>
              <w:spacing w:after="20"/>
              <w:jc w:val="right"/>
            </w:pPr>
            <w:r>
              <w:rPr>
                <w:color w:val="1C3A36"/>
                <w:sz w:val="16"/>
              </w:rPr>
              <w:t>86</w:t>
            </w:r>
          </w:p>
        </w:tc>
        <w:tc>
          <w:tcPr>
            <w:tcW w:type="dxa" w:w="1426"/>
          </w:tcPr>
          <w:p>
            <w:pPr>
              <w:spacing w:after="20"/>
              <w:jc w:val="right"/>
            </w:pPr>
            <w:r>
              <w:rPr>
                <w:color w:val="1C3A36"/>
                <w:sz w:val="16"/>
              </w:rPr>
              <w:t>101</w:t>
            </w:r>
          </w:p>
        </w:tc>
        <w:tc>
          <w:tcPr>
            <w:tcW w:type="dxa" w:w="1426"/>
          </w:tcPr>
          <w:p>
            <w:pPr>
              <w:spacing w:after="20"/>
              <w:jc w:val="right"/>
            </w:pPr>
            <w:r>
              <w:rPr>
                <w:color w:val="1C3A36"/>
                <w:sz w:val="16"/>
              </w:rPr>
              <w:t>123</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870</w:t>
            </w:r>
          </w:p>
        </w:tc>
        <w:tc>
          <w:tcPr>
            <w:tcW w:type="dxa" w:w="1426"/>
            <w:shd w:val="clear" w:color="auto" w:fill="F6F1E6"/>
          </w:tcPr>
          <w:p>
            <w:pPr>
              <w:spacing w:after="20"/>
              <w:jc w:val="right"/>
            </w:pPr>
            <w:r>
              <w:rPr>
                <w:b/>
                <w:color w:val="1C3A36"/>
                <w:sz w:val="16"/>
              </w:rPr>
              <w:t>126</w:t>
            </w:r>
          </w:p>
        </w:tc>
        <w:tc>
          <w:tcPr>
            <w:tcW w:type="dxa" w:w="1426"/>
            <w:shd w:val="clear" w:color="auto" w:fill="F6F1E6"/>
          </w:tcPr>
          <w:p>
            <w:pPr>
              <w:spacing w:after="20"/>
              <w:jc w:val="right"/>
            </w:pPr>
            <w:r>
              <w:rPr>
                <w:b/>
                <w:color w:val="1C3A36"/>
                <w:sz w:val="16"/>
              </w:rPr>
              <w:t>-354</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211</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179</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13</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9</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17</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57</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275</w:t>
            </w:r>
          </w:p>
        </w:tc>
      </w:tr>
    </w:tbl>
    <w:p>
      <w:pPr>
        <w:spacing w:after="40"/>
      </w:pPr>
    </w:p>
    <w:p>
      <w:pPr>
        <w:spacing w:after="200" w:before="0"/>
      </w:pPr>
      <w:r>
        <w:rPr>
          <w:b w:val="0"/>
          <w:i/>
          <w:color w:val="6E7B77"/>
          <w:sz w:val="17"/>
        </w:rPr>
        <w:t>Table 29.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30.  Expert 1's workings in full — every intermediate line, not a summary of them.</w:t>
      </w:r>
    </w:p>
    <w:p>
      <w:pPr>
        <w:spacing w:after="120" w:before="0"/>
      </w:pPr>
      <w:r>
        <w:rPr>
          <w:b/>
          <w:i w:val="0"/>
          <w:color w:val="1C3A36"/>
          <w:sz w:val="21"/>
        </w:rPr>
        <w:t>Range: EGP 4.47 to EGP 7.44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is the swing factor. At US$550 per annual tonne the range starts at EGP 3.82; at US$700 it reaches EGP 5.11. The control discount moves it by about a third either way.</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54</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6,742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780</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575</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9,404</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-3,877</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2,697</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-406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1,400</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13,996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3.78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2's workings in full — every intermediate line, not a summary of them.</w:t>
      </w:r>
    </w:p>
    <w:p>
      <w:pPr>
        <w:spacing w:after="120" w:before="0"/>
      </w:pPr>
      <w:r>
        <w:rPr>
          <w:b/>
          <w:i w:val="0"/>
          <w:color w:val="1C3A36"/>
          <w:sz w:val="21"/>
        </w:rPr>
        <w:t>Range: EGP 2.37 to EGP 5.19 a share.</w:t>
      </w:r>
    </w:p>
    <w:p>
      <w:pPr>
        <w:spacing w:after="120" w:before="0"/>
      </w:pPr>
      <w:r>
        <w:rPr>
          <w:b w:val="0"/>
          <w:i w:val="0"/>
          <w:color w:val="1C3A36"/>
          <w:sz w:val="19"/>
        </w:rPr>
        <w:t>Reading it.  The middle reading, and the one closest to a conventional analyst's answer. It credits an ordinary year — EGP 9,404m of revenue and EGP 2,697m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2.37, twelve times EGP 5.19.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8,461</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4,442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3,963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4,916</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3,331</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1.68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3's workings in full — every intermediate line, not a summary of them.</w:t>
      </w:r>
    </w:p>
    <w:p>
      <w:pPr>
        <w:spacing w:after="120" w:before="0"/>
      </w:pPr>
      <w:r>
        <w:rPr>
          <w:b/>
          <w:i w:val="0"/>
          <w:color w:val="1C3A36"/>
          <w:sz w:val="21"/>
        </w:rPr>
        <w:t>Range: EGP 0.00 to EGP 1.86 a share.</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8,461m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0.72 a share, and at 60% over seven years EGP 2.36.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0.72</w:t>
            </w:r>
          </w:p>
        </w:tc>
        <w:tc>
          <w:tcPr>
            <w:tcW w:type="dxa" w:w="1541"/>
          </w:tcPr>
          <w:p>
            <w:pPr>
              <w:spacing w:after="20"/>
              <w:jc w:val="right"/>
            </w:pPr>
            <w:r>
              <w:rPr>
                <w:color w:val="1C3A36"/>
                <w:sz w:val="17"/>
              </w:rPr>
              <w:t>0.82</w:t>
            </w:r>
          </w:p>
        </w:tc>
        <w:tc>
          <w:tcPr>
            <w:tcW w:type="dxa" w:w="1541"/>
          </w:tcPr>
          <w:p>
            <w:pPr>
              <w:spacing w:after="20"/>
              <w:jc w:val="right"/>
            </w:pPr>
            <w:r>
              <w:rPr>
                <w:color w:val="1C3A36"/>
                <w:sz w:val="17"/>
              </w:rPr>
              <w:t>1.03</w:t>
            </w:r>
          </w:p>
        </w:tc>
        <w:tc>
          <w:tcPr>
            <w:tcW w:type="dxa" w:w="1541"/>
          </w:tcPr>
          <w:p>
            <w:pPr>
              <w:spacing w:after="20"/>
              <w:jc w:val="right"/>
            </w:pPr>
            <w:r>
              <w:rPr>
                <w:color w:val="1C3A36"/>
                <w:sz w:val="17"/>
              </w:rPr>
              <w:t>1.22</w:t>
            </w:r>
          </w:p>
        </w:tc>
        <w:tc>
          <w:tcPr>
            <w:tcW w:type="dxa" w:w="1541"/>
          </w:tcPr>
          <w:p>
            <w:pPr>
              <w:spacing w:after="20"/>
              <w:jc w:val="right"/>
            </w:pPr>
            <w:r>
              <w:rPr>
                <w:color w:val="1C3A36"/>
                <w:sz w:val="17"/>
              </w:rPr>
              <w:t>1.32</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1.41</w:t>
            </w:r>
          </w:p>
        </w:tc>
        <w:tc>
          <w:tcPr>
            <w:tcW w:type="dxa" w:w="1541"/>
          </w:tcPr>
          <w:p>
            <w:pPr>
              <w:spacing w:after="20"/>
              <w:jc w:val="right"/>
            </w:pPr>
            <w:r>
              <w:rPr>
                <w:color w:val="1C3A36"/>
                <w:sz w:val="17"/>
              </w:rPr>
              <w:t>1.50</w:t>
            </w:r>
          </w:p>
        </w:tc>
        <w:tc>
          <w:tcPr>
            <w:tcW w:type="dxa" w:w="1541"/>
          </w:tcPr>
          <w:p>
            <w:pPr>
              <w:spacing w:after="20"/>
              <w:jc w:val="right"/>
            </w:pPr>
            <w:r>
              <w:rPr>
                <w:color w:val="1C3A36"/>
                <w:sz w:val="17"/>
              </w:rPr>
              <w:t>1.68</w:t>
            </w:r>
          </w:p>
        </w:tc>
        <w:tc>
          <w:tcPr>
            <w:tcW w:type="dxa" w:w="1541"/>
          </w:tcPr>
          <w:p>
            <w:pPr>
              <w:spacing w:after="20"/>
              <w:jc w:val="right"/>
            </w:pPr>
            <w:r>
              <w:rPr>
                <w:color w:val="1C3A36"/>
                <w:sz w:val="17"/>
              </w:rPr>
              <w:t>1.86</w:t>
            </w:r>
          </w:p>
        </w:tc>
        <w:tc>
          <w:tcPr>
            <w:tcW w:type="dxa" w:w="1541"/>
          </w:tcPr>
          <w:p>
            <w:pPr>
              <w:spacing w:after="20"/>
              <w:jc w:val="right"/>
            </w:pPr>
            <w:r>
              <w:rPr>
                <w:color w:val="1C3A36"/>
                <w:sz w:val="17"/>
              </w:rPr>
              <w:t>1.94</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1.95</w:t>
            </w:r>
          </w:p>
        </w:tc>
        <w:tc>
          <w:tcPr>
            <w:tcW w:type="dxa" w:w="1541"/>
          </w:tcPr>
          <w:p>
            <w:pPr>
              <w:spacing w:after="20"/>
              <w:jc w:val="right"/>
            </w:pPr>
            <w:r>
              <w:rPr>
                <w:color w:val="1C3A36"/>
                <w:sz w:val="17"/>
              </w:rPr>
              <w:t>2.01</w:t>
            </w:r>
          </w:p>
        </w:tc>
        <w:tc>
          <w:tcPr>
            <w:tcW w:type="dxa" w:w="1541"/>
          </w:tcPr>
          <w:p>
            <w:pPr>
              <w:spacing w:after="20"/>
              <w:jc w:val="right"/>
            </w:pPr>
            <w:r>
              <w:rPr>
                <w:color w:val="1C3A36"/>
                <w:sz w:val="17"/>
              </w:rPr>
              <w:t>2.14</w:t>
            </w:r>
          </w:p>
        </w:tc>
        <w:tc>
          <w:tcPr>
            <w:tcW w:type="dxa" w:w="1541"/>
          </w:tcPr>
          <w:p>
            <w:pPr>
              <w:spacing w:after="20"/>
              <w:jc w:val="right"/>
            </w:pPr>
            <w:r>
              <w:rPr>
                <w:color w:val="1C3A36"/>
                <w:sz w:val="17"/>
              </w:rPr>
              <w:t>2.29</w:t>
            </w:r>
          </w:p>
        </w:tc>
        <w:tc>
          <w:tcPr>
            <w:tcW w:type="dxa" w:w="1541"/>
          </w:tcPr>
          <w:p>
            <w:pPr>
              <w:spacing w:after="20"/>
              <w:jc w:val="right"/>
            </w:pPr>
            <w:r>
              <w:rPr>
                <w:color w:val="1C3A36"/>
                <w:sz w:val="17"/>
              </w:rPr>
              <w:t>2.36</w:t>
            </w:r>
          </w:p>
        </w:tc>
      </w:tr>
    </w:tbl>
    <w:p>
      <w:pPr>
        <w:spacing w:after="40"/>
      </w:pPr>
    </w:p>
    <w:p>
      <w:pPr>
        <w:spacing w:after="200" w:before="0"/>
      </w:pPr>
      <w:r>
        <w:rPr>
          <w:b w:val="0"/>
          <w:i/>
          <w:color w:val="6E7B77"/>
          <w:sz w:val="17"/>
        </w:rPr>
        <w:t>Table 33.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1.50 a share, at 55% EGP 1.86.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7.44.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2.10</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0.51</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2.61</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0.79</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whole study against the market</w:t>
            </w:r>
          </w:p>
        </w:tc>
        <w:tc>
          <w:tcPr>
            <w:tcW w:type="dxa" w:w="1440"/>
          </w:tcPr>
          <w:p>
            <w:pPr>
              <w:spacing w:after="20"/>
              <w:jc w:val="right"/>
            </w:pPr>
            <w:r>
              <w:rPr>
                <w:color w:val="1C3A36"/>
                <w:sz w:val="16"/>
              </w:rPr>
              <w:t>-7.06</w:t>
            </w:r>
          </w:p>
        </w:tc>
        <w:tc>
          <w:tcPr>
            <w:tcW w:type="dxa" w:w="5904"/>
          </w:tcPr>
          <w:p>
            <w:pPr>
              <w:spacing w:after="20"/>
            </w:pPr>
            <w:r>
              <w:rPr>
                <w:color w:val="1C3A36"/>
                <w:sz w:val="16"/>
              </w:rPr>
              <w:t>The discount rate, and only the discount rate. At about 10.1% the market's price is reproduced; at any rate anchored to Egypt's sovereign it is not.</w:t>
            </w:r>
          </w:p>
        </w:tc>
      </w:tr>
    </w:tbl>
    <w:p>
      <w:pPr>
        <w:spacing w:after="40"/>
      </w:pPr>
    </w:p>
    <w:p>
      <w:pPr>
        <w:spacing w:after="200" w:before="0"/>
      </w:pPr>
      <w:r>
        <w:rPr>
          <w:b w:val="0"/>
          <w:i/>
          <w:color w:val="6E7B77"/>
          <w:sz w:val="17"/>
        </w:rPr>
        <w:t>Table 34.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275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8 August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