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8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30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(8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49.8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49.765 (Xe/Google Finance, 05-Aug-26). NB the pound was NOT range-bound over the last year: 46.8 (Feb-26 strong side) to ~54.7 (Apr-26, war spike), back to ~49.8 — the prior 'range-bound 47-52' description was wrong and is corrected throughout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egp_hist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FY23=30.7, FY24=45.3, FY25=49.5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annual averages: 2023 official ~30.7 (parallel ~38 — the FY23 implied-volume range below carries both); 2024 blended ~45.3 (float 06-Mar-24); 2025 ~49.5 (range-bound 47-52, +6% appreciation year)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21-Jul-26 print (cached in-repo). Audit-checked: the credible early-Aug band is ~22.3-23.0% (Jul-26 3Y auction avg 23.32%; secondary prints 22.6-23.0 reported but unreachable at source) — the print sits at the LOW edge, worth ~-0.10/sh unfloored if the top of the band is right; May-26 window avg 21.29% (investing series) corroborates the level's vintage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(31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Company's own FY25-filing comparative ('vs 8.96bn in 2024'); SWS independent print ~9.0bn corroborates. Standardized on the filing comparative so every FY24 net-debt reference in the study is the same number (8,132)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facilities_fy25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10,900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Disclosed: 'obtained credit facilities of EGP 10.9bn during 2025 vs 8.96bn in 2024, from several local banks' (almalnews/amwalalghad FY25 results coverage of the EGX filing). AMBIGUOUS between drawn balance and limits granted — no longer used directly as the debt anchor; retained as the disclosure record and upper cross-check (the triangulated drawn debt below implies ~96% drawn if these are limits)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q1_26_cogs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1,975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cost of sales (almalnews/alborsaanews/hapijournal, 30-Jun-2026, of the EGX interim filing)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119.1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gross profit — 5.7% margin vs 33.1% in Q1-25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1.429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operating profit — essentially zero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1,233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gross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1,124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operating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fy25_standalone_sales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4,700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standalone sales EGP 4.7bn vs 7.69bn FY24 (Arab Finance AR) — the consolidated subsidiaries carry most of group revenue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agm_no_dividend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profits carried forward, no cash distribution; new boar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2026-05-06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 resolutions (amwalalghad/almasryalyoum, May-2026)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capacity_kt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Annual production capacity ~25,000 t/yr at the PARENT's 370,000 sqm Mostorod plant (IATF exhibitor profile — audit-confirmed parent-only). The consolidated group adds Giza Power Industry's 81,745 sqm Abu Rawash plant (99.99%%-owned; company-stated range 1kV-220kV incl. XLPE HV; certification evidence reaches 33kV; tonnage NOT disclosed) — so group capacity exceeds 25kt by an unknown margin and every utilization ratio in this study is an UPPER BOUND on a parent-capacity basis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(30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(flagged). A single aggregator shows ~8,900, which would put this estimate ~12%% high — affects only the FY23 ROIC context row, no valuation line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10,465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drawn debt (rollforward_fy25.py): total liabilities 12,360 (disclosed assets 16,460 - rolled equity 4,100) less non-debt liabilities ~1,890 (FY24's 2,410 scaled with purchase value, -21.5%). Independent of the ambiguous facilities sentence; sits at 96% of the disclosed 10.9bn facilities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midpoint of [500 stress floor, 830 FY24-flat] — a no-dividend, liquidity-conserving year argues below the FY24 print (827.6)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1,890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Non-debt liabilities rolled from FY24's 2,410 on purchase value (volume -34%, copper-in-EGP +20% =&gt; x0.785); thin payables consistent with LC/bank-financed copper imports (rollforward_fy25.py)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12,245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 on the triangulated balance sheet: FY25 assets 16,460 - cash 665 - PP&amp;E ~680 - other ~980 = gross WC ~14,135; less non-debt liabilities ~1,890 =&gt; ~12,245 (113% of FY25 revenue; FY24 was ~76%)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9,805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(rollforward_fy25.py, replacing the facilities-sentence reading 10,200): (A) balance-sheet residual — disclosed assets 16,460 less rolled equity 4,100 (FY24 3,600 + NP 500.3, no dividend) gives liabilities 12,360; less non-debt liabilities ~1,890 =&gt; drawn debt 10,465; less cash 665 =&gt; 9,802. (B) cash-flow roll-forward from FY24 ND 8,132 + interest 2,150 + tax 145 + capex 210 + dNWC ~2,036 - EBITDA 2,871 =&gt; 9,803 (shares the balance-sheet WC decomposition with A — agreement is consistency, not full independence). (C) facilities-as-drawn 10,235 = the upper cross-check. Range 9,120-10,360 carried in sensitivity (~±EGP 0.19/sh); the FY24-vintage low alternative 8,172 is REJECTED by the reverse test (needs non-debt liabilities +41% while purchases fell 21%). Falsifier: audited FY25 borrowings note. POST-AUDIT NOTE: two aggregator-side readings sit AT/ABOVE the range top — facilities-as-drawn 10,235, and an unverifiable D/E print (299.35%) implying ~11.4bn total debt / ~10.4bn net — so the residual risk on this anchor is SKEWED ADVERSE; the challenged 10,386 reading is explicitly sensitized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50.4, 52, 53.5, 55, 56.5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~3%/yr nominal crawl — the inflation differential narrows as the CBE targets bite; far below PPP catch-up, consistent with the post-float managed range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k_uplift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1.387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Fabrication uplift: cable price per tonne / copper cost per tonne. Set from the industry norm that copper is ~70-75% of a power-cable price (IndexBox: LME 'directly and rapidly reflected' in quotations) =&gt; k = 1/0.72 = 1.39. VALIDATION, not calibration: FY24 revenue 13,778 at 9,147 x 45.3 x 1.387 = 574k EGP/t implies 24.0 kt — 96% of the stated 25 kt capacity in the sector's boom year. Sensitized ±5%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vols_fcst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10.4, 11.9, 13.4, 14.8, 16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Volumes (kt): Q1-26 implied ~2.4 kt/qtr sets the FY26E base (~42% utilization); recovery on EETC's EGP 45bn plan, the EU package and interconnector follow-on to ~64% utilization by FY30E — still below the FY23-24 near-full prints; sensitized ±15%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ebitda_per_t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40, 90, 115, 128, 135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Conversion EBITDA per tonne (k EGP/t). Historical: FY23 ~111k, FY24 ~145k (both near-full utilization WITH devaluation inventory gains), FY25 ~183k (copper-gain inflated), Q1-26 ~11k (under-absorption at ~40% utilization). Forecast recovers with utilization to 135k by FY30E — BELOW FY24's 145k nominal despite five years of EGP inflation, i.e. a ~30% real discount to the windfall; sensitized ±30%. CROSS-CHECK: as a share of realized price/t at the $14k copper anchor, the terminal 135/1,097 = 12.3% matches the PRE-windfall 2022 norm (~12% of price at implied full utilization) — the forecast returns the company to its pre-devaluation conversion economics, not to the windfall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225, 243, 262, 283, 306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Maintenance capex ~EGP 9k per tonne of capacity (25 kt), escalated ~8%/yr — no disclosed capex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1.12, 1.06, 1, 0.94, 0.88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~113% of revenue (triangulated balance sheet) gliding to 88% as receivables collect and copper-inflated inventory normalises; FY24 was ~76%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19.00/20.00% deposit/lending (main operation 19.50%; third consecutive hold 09-Jul-26 after the 100bp Feb-26 cut) + ~2.5pp credit margin; consistent with avg bank lending 21.3% (Jan-26). Cross-checked against the two effective-rate computations below (23.5% FY24, 22.1% FY25 on the triangulated debt path). NB the Q1-26 P&amp;L implies a much smaller net finance line (~243/qtr) than Q1-25 (~542/qtr) — unexplained without the statements (possible FX/interest income offset or capitalised financing); flagged, does not change the marginal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~(5,500e+8,960)/2 = 7,230 =&gt; 23.5%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NP; independently corroborated by Q1-25's implied ~542/qtr) / avg debt (8,960 + triangulated 10,465)/2 = 9,713 =&gt; 22.1%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 D/(D+E): NORMALIZED capital structure, not today's ~60% distress weight — the steady state the terminal value describes presupposes deleveraging, and current market-value weights are circular (the equity weight depends on the DCF's own output). 40% is the industry-normal structure for a working-capital-funded cable maker; sensitized via the terminal-WACC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0.22, 0.2, 0.185, 0.168, 0.155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FY26 held FLAT at 22%% — the CBE paused its easing cycle in Apr-26 ('wait-and-see', three consecutive holds through 09-Jul-26, inflation guided to accelerate through Q3-26 on base effects and energy price hikes) and the path resumes only from FY27 toward the 7%%-&gt;5%% inflation-target glide; corporate spread held ~3pp; terminal 15%%. Next MPC 20-Aug-26 (confirmed). A higher-for-longer path is the explicit +2pp column of the rate grid.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