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60" w:type="dxa"/>
          <w:bottom w:w="90" w:type="dxa"/>
          <w:right w:w="160" w:type="dxa"/>
        </w:tblCellMar>
      </w:tblPr>
      <w:tblGrid>
        <w:gridCol w:w="10080"/>
      </w:tblGrid>
      <w:tr>
        <w:tc>
          <w:tcPr>
            <w:tcW w:type="dxa" w:w="10080"/>
            <w:shd w:val="clear" w:color="auto" w:fill="1C3A36"/>
          </w:tcPr>
          <w:p>
            <w:r>
              <w:rPr>
                <w:b/>
                <w:color w:val="FFFFFF"/>
                <w:sz w:val="22"/>
              </w:rPr>
              <w:t>Testahil · Independent Valuation Study — Educational Analysis</w:t>
            </w:r>
            <w:r>
              <w:rPr>
                <w:color w:val="9FB0AC"/>
                <w:sz w:val="19"/>
              </w:rPr>
              <w:t xml:space="preserve">   Not investment advice</w:t>
            </w:r>
          </w:p>
        </w:tc>
      </w:tr>
    </w:tbl>
    <w:p>
      <w:pPr>
        <w:spacing w:after="0"/>
      </w:pPr>
    </w:p>
    <w:p>
      <w:pPr>
        <w:spacing w:after="20" w:before="0"/>
      </w:pPr>
      <w:r>
        <w:rPr>
          <w:b/>
          <w:i w:val="0"/>
          <w:color w:val="1C3A36"/>
          <w:sz w:val="44"/>
        </w:rPr>
        <w:t>Arabian Cement Company S.A.E.</w:t>
      </w:r>
    </w:p>
    <w:p>
      <w:pPr>
        <w:spacing w:after="200" w:before="0"/>
      </w:pPr>
      <w:r>
        <w:rPr>
          <w:b w:val="0"/>
          <w:i w:val="0"/>
          <w:color w:val="6E7B77"/>
          <w:sz w:val="22"/>
        </w:rPr>
        <w:t>Egyptian Exchange · ARCC · Egyptian pounds · valuation as of 6 August 2026, issued 8 August 2026</w:t>
      </w:r>
    </w:p>
    <w:p>
      <w:pPr>
        <w:spacing w:after="200" w:before="0"/>
      </w:pPr>
      <w:r>
        <w:rPr>
          <w:b w:val="0"/>
          <w:i w:val="0"/>
          <w:color w:val="1C3A36"/>
          <w:sz w:val="24"/>
        </w:rPr>
        <w:t>One of Egypt's largest cement plants, at the top of the best year the industry has had in more than a decade — audited profit up 210% in a single year on a 42.6% revenue step — and facing 12.6 million tonnes of dormant national capacity queuing to restart inside the forecast window.</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What this is. </w:t>
            </w:r>
            <w:r>
              <w:rPr>
                <w:color w:val="1C3A36"/>
                <w:sz w:val="19"/>
              </w:rPr>
              <w:t>An independent valuation of Arabian Cement Company, an educational analysis and not investment advice. It carries no rating and no price target — fair-value ranges and distributions only.</w:t>
            </w:r>
          </w:p>
          <w:p>
            <w:pPr>
              <w:spacing w:after="100"/>
            </w:pPr>
            <w:r>
              <w:rPr>
                <w:b/>
                <w:color w:val="1C3A36"/>
                <w:sz w:val="19"/>
              </w:rPr>
              <w:t xml:space="preserve">The company in one line. </w:t>
            </w:r>
            <w:r>
              <w:rPr>
                <w:color w:val="1C3A36"/>
                <w:sz w:val="19"/>
              </w:rPr>
              <w:t>Two production lines in Suez governorate, about 5.0 million tonnes of cement a year and roughly 6.6% of Egypt's nominal capacity, listed on the Egyptian Exchange since May 2014, with cash of EGP 3,459mn against interest-bearing debt of EGP 1,135mn. Every figure in this study is read from the audited consolidated accounts.</w:t>
            </w:r>
          </w:p>
          <w:p>
            <w:pPr>
              <w:spacing w:after="100"/>
            </w:pPr>
            <w:r>
              <w:rPr>
                <w:b/>
                <w:color w:val="1C3A36"/>
                <w:sz w:val="19"/>
              </w:rPr>
              <w:t xml:space="preserve">Where the value lands. </w:t>
            </w:r>
            <w:r>
              <w:rPr>
                <w:color w:val="1C3A36"/>
                <w:sz w:val="19"/>
              </w:rPr>
              <w:t>Four lenses put the shares between EGP 48.96 and EGP 68.87, weighting to a central EGP 54.65 against a market price of EGP 59.00 — -7.4%.</w:t>
            </w:r>
          </w:p>
        </w:tc>
      </w:tr>
    </w:tbl>
    <w:p>
      <w:pPr>
        <w:spacing w:after="40"/>
      </w:pPr>
    </w:p>
    <w:p>
      <w:pPr>
        <w:spacing w:after="80" w:before="200"/>
      </w:pPr>
      <w:r>
        <w:rPr>
          <w:b/>
          <w:i w:val="0"/>
          <w:color w:val="1C3A36"/>
          <w:sz w:val="24"/>
        </w:rPr>
        <w:t>Summary valuation table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672"/>
        <w:gridCol w:w="1944"/>
        <w:gridCol w:w="1037"/>
        <w:gridCol w:w="1469"/>
        <w:gridCol w:w="1958"/>
      </w:tblGrid>
      <w:tr>
        <w:tc>
          <w:tcPr>
            <w:tcW w:type="dxa" w:w="3672"/>
            <w:shd w:val="clear" w:color="auto" w:fill="EAF0EE"/>
          </w:tcPr>
          <w:p>
            <w:pPr>
              <w:spacing w:after="20"/>
            </w:pPr>
            <w:r>
              <w:rPr>
                <w:b/>
                <w:color w:val="1C3A36"/>
                <w:sz w:val="18"/>
              </w:rPr>
              <w:t>Lens</w:t>
            </w:r>
          </w:p>
        </w:tc>
        <w:tc>
          <w:tcPr>
            <w:tcW w:type="dxa" w:w="1944"/>
            <w:shd w:val="clear" w:color="auto" w:fill="EAF0EE"/>
          </w:tcPr>
          <w:p>
            <w:pPr>
              <w:spacing w:after="20"/>
            </w:pPr>
            <w:r>
              <w:rPr>
                <w:b/>
                <w:color w:val="1C3A36"/>
                <w:sz w:val="18"/>
              </w:rPr>
              <w:t>Value per share (EGP)</w:t>
            </w:r>
          </w:p>
        </w:tc>
        <w:tc>
          <w:tcPr>
            <w:tcW w:type="dxa" w:w="1037"/>
            <w:shd w:val="clear" w:color="auto" w:fill="EAF0EE"/>
          </w:tcPr>
          <w:p>
            <w:pPr>
              <w:spacing w:after="20"/>
            </w:pPr>
            <w:r>
              <w:rPr>
                <w:b/>
                <w:color w:val="1C3A36"/>
                <w:sz w:val="18"/>
              </w:rPr>
              <w:t>Weight</w:t>
            </w:r>
          </w:p>
        </w:tc>
        <w:tc>
          <w:tcPr>
            <w:tcW w:type="dxa" w:w="1469"/>
            <w:shd w:val="clear" w:color="auto" w:fill="EAF0EE"/>
          </w:tcPr>
          <w:p>
            <w:pPr>
              <w:spacing w:after="20"/>
            </w:pPr>
            <w:r>
              <w:rPr>
                <w:b/>
                <w:color w:val="1C3A36"/>
                <w:sz w:val="18"/>
              </w:rPr>
              <w:t>Versus spot</w:t>
            </w:r>
          </w:p>
        </w:tc>
        <w:tc>
          <w:tcPr>
            <w:tcW w:type="dxa" w:w="1958"/>
            <w:shd w:val="clear" w:color="auto" w:fill="EAF0EE"/>
          </w:tcPr>
          <w:p>
            <w:pPr>
              <w:spacing w:after="20"/>
            </w:pPr>
            <w:r>
              <w:rPr>
                <w:b/>
                <w:color w:val="1C3A36"/>
                <w:sz w:val="18"/>
              </w:rPr>
              <w:t>Terminal value % of EV</w:t>
            </w:r>
          </w:p>
        </w:tc>
      </w:tr>
      <w:tr>
        <w:tc>
          <w:tcPr>
            <w:tcW w:type="dxa" w:w="3672"/>
          </w:tcPr>
          <w:p>
            <w:pPr>
              <w:spacing w:after="20"/>
            </w:pPr>
            <w:r>
              <w:rPr>
                <w:color w:val="1C3A36"/>
                <w:sz w:val="18"/>
              </w:rPr>
              <w:t>DCF (cash flow)</w:t>
            </w:r>
          </w:p>
        </w:tc>
        <w:tc>
          <w:tcPr>
            <w:tcW w:type="dxa" w:w="1944"/>
          </w:tcPr>
          <w:p>
            <w:pPr>
              <w:spacing w:after="20"/>
              <w:jc w:val="right"/>
            </w:pPr>
            <w:r>
              <w:rPr>
                <w:color w:val="1C3A36"/>
                <w:sz w:val="18"/>
              </w:rPr>
              <w:t>55.40</w:t>
            </w:r>
          </w:p>
        </w:tc>
        <w:tc>
          <w:tcPr>
            <w:tcW w:type="dxa" w:w="1037"/>
          </w:tcPr>
          <w:p>
            <w:pPr>
              <w:spacing w:after="20"/>
              <w:jc w:val="right"/>
            </w:pPr>
            <w:r>
              <w:rPr>
                <w:color w:val="1C3A36"/>
                <w:sz w:val="18"/>
              </w:rPr>
              <w:t>50%</w:t>
            </w:r>
          </w:p>
        </w:tc>
        <w:tc>
          <w:tcPr>
            <w:tcW w:type="dxa" w:w="1469"/>
          </w:tcPr>
          <w:p>
            <w:pPr>
              <w:spacing w:after="20"/>
              <w:jc w:val="right"/>
            </w:pPr>
            <w:r>
              <w:rPr>
                <w:color w:val="1C3A36"/>
                <w:sz w:val="18"/>
              </w:rPr>
              <w:t>-6.1%</w:t>
            </w:r>
          </w:p>
        </w:tc>
        <w:tc>
          <w:tcPr>
            <w:tcW w:type="dxa" w:w="1958"/>
          </w:tcPr>
          <w:p>
            <w:pPr>
              <w:spacing w:after="20"/>
              <w:jc w:val="right"/>
            </w:pPr>
            <w:r>
              <w:rPr>
                <w:color w:val="1C3A36"/>
                <w:sz w:val="18"/>
              </w:rPr>
              <w:t>51.8%</w:t>
            </w:r>
          </w:p>
        </w:tc>
      </w:tr>
      <w:tr>
        <w:tc>
          <w:tcPr>
            <w:tcW w:type="dxa" w:w="3672"/>
          </w:tcPr>
          <w:p>
            <w:pPr>
              <w:spacing w:after="20"/>
            </w:pPr>
            <w:r>
              <w:rPr>
                <w:color w:val="1C3A36"/>
                <w:sz w:val="18"/>
              </w:rPr>
              <w:t>Relative multiples</w:t>
            </w:r>
          </w:p>
        </w:tc>
        <w:tc>
          <w:tcPr>
            <w:tcW w:type="dxa" w:w="1944"/>
          </w:tcPr>
          <w:p>
            <w:pPr>
              <w:spacing w:after="20"/>
              <w:jc w:val="right"/>
            </w:pPr>
            <w:r>
              <w:rPr>
                <w:color w:val="1C3A36"/>
                <w:sz w:val="18"/>
              </w:rPr>
              <w:t>48.96</w:t>
            </w:r>
          </w:p>
        </w:tc>
        <w:tc>
          <w:tcPr>
            <w:tcW w:type="dxa" w:w="1037"/>
          </w:tcPr>
          <w:p>
            <w:pPr>
              <w:spacing w:after="20"/>
              <w:jc w:val="right"/>
            </w:pPr>
            <w:r>
              <w:rPr>
                <w:color w:val="1C3A36"/>
                <w:sz w:val="18"/>
              </w:rPr>
              <w:t>20%</w:t>
            </w:r>
          </w:p>
        </w:tc>
        <w:tc>
          <w:tcPr>
            <w:tcW w:type="dxa" w:w="1469"/>
          </w:tcPr>
          <w:p>
            <w:pPr>
              <w:spacing w:after="20"/>
              <w:jc w:val="right"/>
            </w:pPr>
            <w:r>
              <w:rPr>
                <w:color w:val="1C3A36"/>
                <w:sz w:val="18"/>
              </w:rPr>
              <w:t>-17.0%</w:t>
            </w:r>
          </w:p>
        </w:tc>
        <w:tc>
          <w:tcPr>
            <w:tcW w:type="dxa" w:w="1958"/>
          </w:tcPr>
          <w:p>
            <w:pPr>
              <w:spacing w:after="20"/>
              <w:jc w:val="right"/>
            </w:pPr>
            <w:r>
              <w:rPr>
                <w:color w:val="1C3A36"/>
                <w:sz w:val="18"/>
              </w:rPr>
              <w:t>—</w:t>
            </w:r>
          </w:p>
        </w:tc>
      </w:tr>
      <w:tr>
        <w:tc>
          <w:tcPr>
            <w:tcW w:type="dxa" w:w="3672"/>
          </w:tcPr>
          <w:p>
            <w:pPr>
              <w:spacing w:after="20"/>
            </w:pPr>
            <w:r>
              <w:rPr>
                <w:color w:val="1C3A36"/>
                <w:sz w:val="18"/>
              </w:rPr>
              <w:t>Normalised earnings</w:t>
            </w:r>
          </w:p>
        </w:tc>
        <w:tc>
          <w:tcPr>
            <w:tcW w:type="dxa" w:w="1944"/>
          </w:tcPr>
          <w:p>
            <w:pPr>
              <w:spacing w:after="20"/>
              <w:jc w:val="right"/>
            </w:pPr>
            <w:r>
              <w:rPr>
                <w:color w:val="1C3A36"/>
                <w:sz w:val="18"/>
              </w:rPr>
              <w:t>52.95</w:t>
            </w:r>
          </w:p>
        </w:tc>
        <w:tc>
          <w:tcPr>
            <w:tcW w:type="dxa" w:w="1037"/>
          </w:tcPr>
          <w:p>
            <w:pPr>
              <w:spacing w:after="20"/>
              <w:jc w:val="right"/>
            </w:pPr>
            <w:r>
              <w:rPr>
                <w:color w:val="1C3A36"/>
                <w:sz w:val="18"/>
              </w:rPr>
              <w:t>22%</w:t>
            </w:r>
          </w:p>
        </w:tc>
        <w:tc>
          <w:tcPr>
            <w:tcW w:type="dxa" w:w="1469"/>
          </w:tcPr>
          <w:p>
            <w:pPr>
              <w:spacing w:after="20"/>
              <w:jc w:val="right"/>
            </w:pPr>
            <w:r>
              <w:rPr>
                <w:color w:val="1C3A36"/>
                <w:sz w:val="18"/>
              </w:rPr>
              <w:t>-10.3%</w:t>
            </w:r>
          </w:p>
        </w:tc>
        <w:tc>
          <w:tcPr>
            <w:tcW w:type="dxa" w:w="1958"/>
          </w:tcPr>
          <w:p>
            <w:pPr>
              <w:spacing w:after="20"/>
              <w:jc w:val="right"/>
            </w:pPr>
            <w:r>
              <w:rPr>
                <w:color w:val="1C3A36"/>
                <w:sz w:val="18"/>
              </w:rPr>
              <w:t>—</w:t>
            </w:r>
          </w:p>
        </w:tc>
      </w:tr>
      <w:tr>
        <w:tc>
          <w:tcPr>
            <w:tcW w:type="dxa" w:w="3672"/>
          </w:tcPr>
          <w:p>
            <w:pPr>
              <w:spacing w:after="20"/>
            </w:pPr>
            <w:r>
              <w:rPr>
                <w:color w:val="1C3A36"/>
                <w:sz w:val="18"/>
              </w:rPr>
              <w:t>Asset / replacement cost</w:t>
            </w:r>
          </w:p>
        </w:tc>
        <w:tc>
          <w:tcPr>
            <w:tcW w:type="dxa" w:w="1944"/>
          </w:tcPr>
          <w:p>
            <w:pPr>
              <w:spacing w:after="20"/>
              <w:jc w:val="right"/>
            </w:pPr>
            <w:r>
              <w:rPr>
                <w:color w:val="1C3A36"/>
                <w:sz w:val="18"/>
              </w:rPr>
              <w:t>68.87</w:t>
            </w:r>
          </w:p>
        </w:tc>
        <w:tc>
          <w:tcPr>
            <w:tcW w:type="dxa" w:w="1037"/>
          </w:tcPr>
          <w:p>
            <w:pPr>
              <w:spacing w:after="20"/>
              <w:jc w:val="right"/>
            </w:pPr>
            <w:r>
              <w:rPr>
                <w:color w:val="1C3A36"/>
                <w:sz w:val="18"/>
              </w:rPr>
              <w:t>8%</w:t>
            </w:r>
          </w:p>
        </w:tc>
        <w:tc>
          <w:tcPr>
            <w:tcW w:type="dxa" w:w="1469"/>
          </w:tcPr>
          <w:p>
            <w:pPr>
              <w:spacing w:after="20"/>
              <w:jc w:val="right"/>
            </w:pPr>
            <w:r>
              <w:rPr>
                <w:color w:val="1C3A36"/>
                <w:sz w:val="18"/>
              </w:rPr>
              <w:t>+16.7%</w:t>
            </w:r>
          </w:p>
        </w:tc>
        <w:tc>
          <w:tcPr>
            <w:tcW w:type="dxa" w:w="1958"/>
          </w:tcPr>
          <w:p>
            <w:pPr>
              <w:spacing w:after="20"/>
              <w:jc w:val="right"/>
            </w:pPr>
            <w:r>
              <w:rPr>
                <w:color w:val="1C3A36"/>
                <w:sz w:val="18"/>
              </w:rPr>
              <w:t>—</w:t>
            </w:r>
          </w:p>
        </w:tc>
      </w:tr>
      <w:tr>
        <w:tc>
          <w:tcPr>
            <w:tcW w:type="dxa" w:w="3672"/>
            <w:shd w:val="clear" w:color="auto" w:fill="F6F1E6"/>
          </w:tcPr>
          <w:p>
            <w:pPr>
              <w:spacing w:after="20"/>
            </w:pPr>
            <w:r>
              <w:rPr>
                <w:b/>
                <w:color w:val="1C3A36"/>
                <w:sz w:val="18"/>
              </w:rPr>
              <w:t>Weighted central fair value</w:t>
            </w:r>
          </w:p>
        </w:tc>
        <w:tc>
          <w:tcPr>
            <w:tcW w:type="dxa" w:w="1944"/>
            <w:shd w:val="clear" w:color="auto" w:fill="F6F1E6"/>
          </w:tcPr>
          <w:p>
            <w:pPr>
              <w:spacing w:after="20"/>
              <w:jc w:val="right"/>
            </w:pPr>
            <w:r>
              <w:rPr>
                <w:b/>
                <w:color w:val="1C3A36"/>
                <w:sz w:val="18"/>
              </w:rPr>
              <w:t>54.65</w:t>
            </w:r>
          </w:p>
        </w:tc>
        <w:tc>
          <w:tcPr>
            <w:tcW w:type="dxa" w:w="1037"/>
            <w:shd w:val="clear" w:color="auto" w:fill="F6F1E6"/>
          </w:tcPr>
          <w:p>
            <w:pPr>
              <w:spacing w:after="20"/>
              <w:jc w:val="right"/>
            </w:pPr>
            <w:r>
              <w:rPr>
                <w:b/>
                <w:color w:val="1C3A36"/>
                <w:sz w:val="18"/>
              </w:rPr>
              <w:t>100%</w:t>
            </w:r>
          </w:p>
        </w:tc>
        <w:tc>
          <w:tcPr>
            <w:tcW w:type="dxa" w:w="1469"/>
            <w:shd w:val="clear" w:color="auto" w:fill="F6F1E6"/>
          </w:tcPr>
          <w:p>
            <w:pPr>
              <w:spacing w:after="20"/>
              <w:jc w:val="right"/>
            </w:pPr>
            <w:r>
              <w:rPr>
                <w:b/>
                <w:color w:val="1C3A36"/>
                <w:sz w:val="18"/>
              </w:rPr>
              <w:t>-7.4%</w:t>
            </w:r>
          </w:p>
        </w:tc>
        <w:tc>
          <w:tcPr>
            <w:tcW w:type="dxa" w:w="1958"/>
            <w:shd w:val="clear" w:color="auto" w:fill="F6F1E6"/>
          </w:tcPr>
          <w:p>
            <w:pPr>
              <w:spacing w:after="20"/>
              <w:jc w:val="right"/>
            </w:pPr>
            <w:r>
              <w:rPr>
                <w:b/>
                <w:color w:val="1C3A36"/>
                <w:sz w:val="18"/>
              </w:rPr>
              <w:t>—</w:t>
            </w:r>
          </w:p>
        </w:tc>
      </w:tr>
      <w:tr>
        <w:tc>
          <w:tcPr>
            <w:tcW w:type="dxa" w:w="3672"/>
          </w:tcPr>
          <w:p>
            <w:pPr>
              <w:spacing w:after="20"/>
            </w:pPr>
            <w:r>
              <w:rPr>
                <w:color w:val="1C3A36"/>
                <w:sz w:val="18"/>
              </w:rPr>
              <w:t>Range across the four lenses</w:t>
            </w:r>
          </w:p>
        </w:tc>
        <w:tc>
          <w:tcPr>
            <w:tcW w:type="dxa" w:w="1944"/>
          </w:tcPr>
          <w:p>
            <w:pPr>
              <w:spacing w:after="20"/>
              <w:jc w:val="right"/>
            </w:pPr>
            <w:r>
              <w:rPr>
                <w:color w:val="1C3A36"/>
                <w:sz w:val="18"/>
              </w:rPr>
              <w:t>48.96 – 68.87</w:t>
            </w:r>
          </w:p>
        </w:tc>
        <w:tc>
          <w:tcPr>
            <w:tcW w:type="dxa" w:w="1037"/>
          </w:tcPr>
          <w:p>
            <w:pPr>
              <w:spacing w:after="20"/>
              <w:jc w:val="right"/>
            </w:pPr>
            <w:r>
              <w:rPr>
                <w:color w:val="1C3A36"/>
                <w:sz w:val="18"/>
              </w:rPr>
              <w:t>—</w:t>
            </w:r>
          </w:p>
        </w:tc>
        <w:tc>
          <w:tcPr>
            <w:tcW w:type="dxa" w:w="1469"/>
          </w:tcPr>
          <w:p>
            <w:pPr>
              <w:spacing w:after="20"/>
              <w:jc w:val="right"/>
            </w:pPr>
            <w:r>
              <w:rPr>
                <w:color w:val="1C3A36"/>
                <w:sz w:val="18"/>
              </w:rPr>
              <w:t>-17.0% to +16.7%</w:t>
            </w:r>
          </w:p>
        </w:tc>
        <w:tc>
          <w:tcPr>
            <w:tcW w:type="dxa" w:w="1958"/>
          </w:tcPr>
          <w:p>
            <w:pPr>
              <w:spacing w:after="20"/>
              <w:jc w:val="right"/>
            </w:pPr>
            <w:r>
              <w:rPr>
                <w:color w:val="1C3A36"/>
                <w:sz w:val="18"/>
              </w:rPr>
              <w:t>—</w:t>
            </w:r>
          </w:p>
        </w:tc>
      </w:tr>
      <w:tr>
        <w:tc>
          <w:tcPr>
            <w:tcW w:type="dxa" w:w="3672"/>
          </w:tcPr>
          <w:p>
            <w:pPr>
              <w:spacing w:after="20"/>
            </w:pPr>
            <w:r>
              <w:rPr>
                <w:color w:val="1C3A36"/>
                <w:sz w:val="18"/>
              </w:rPr>
              <w:t>Market price, 6 August 2026</w:t>
            </w:r>
          </w:p>
        </w:tc>
        <w:tc>
          <w:tcPr>
            <w:tcW w:type="dxa" w:w="1944"/>
          </w:tcPr>
          <w:p>
            <w:pPr>
              <w:spacing w:after="20"/>
              <w:jc w:val="right"/>
            </w:pPr>
            <w:r>
              <w:rPr>
                <w:color w:val="1C3A36"/>
                <w:sz w:val="18"/>
              </w:rPr>
              <w:t>59.00</w:t>
            </w:r>
          </w:p>
        </w:tc>
        <w:tc>
          <w:tcPr>
            <w:tcW w:type="dxa" w:w="1037"/>
          </w:tcPr>
          <w:p>
            <w:pPr>
              <w:spacing w:after="20"/>
              <w:jc w:val="right"/>
            </w:pPr>
            <w:r>
              <w:rPr>
                <w:color w:val="1C3A36"/>
                <w:sz w:val="18"/>
              </w:rPr>
              <w:t>—</w:t>
            </w:r>
          </w:p>
        </w:tc>
        <w:tc>
          <w:tcPr>
            <w:tcW w:type="dxa" w:w="1469"/>
          </w:tcPr>
          <w:p>
            <w:pPr>
              <w:spacing w:after="20"/>
              <w:jc w:val="right"/>
            </w:pPr>
            <w:r>
              <w:rPr>
                <w:color w:val="1C3A36"/>
                <w:sz w:val="18"/>
              </w:rPr>
              <w:t>—</w:t>
            </w:r>
          </w:p>
        </w:tc>
        <w:tc>
          <w:tcPr>
            <w:tcW w:type="dxa" w:w="1958"/>
          </w:tcPr>
          <w:p>
            <w:pPr>
              <w:spacing w:after="20"/>
              <w:jc w:val="right"/>
            </w:pPr>
            <w:r>
              <w:rPr>
                <w:color w:val="1C3A36"/>
                <w:sz w:val="18"/>
              </w:rPr>
              <w:t>—</w:t>
            </w:r>
          </w:p>
        </w:tc>
      </w:tr>
    </w:tbl>
    <w:p>
      <w:pPr>
        <w:spacing w:after="40"/>
      </w:pPr>
    </w:p>
    <w:p>
      <w:pPr>
        <w:spacing w:after="200" w:before="0"/>
      </w:pPr>
      <w:r>
        <w:rPr>
          <w:b w:val="0"/>
          <w:i/>
          <w:color w:val="6E7B77"/>
          <w:sz w:val="17"/>
        </w:rPr>
        <w:t>Terminal value as a percentage of enterprise value is shown beside the cash-flow lens, and again in the enterprise-to-equity bridge in section 1.7.</w:t>
      </w:r>
    </w:p>
    <w:p>
      <w:pPr>
        <w:spacing w:after="40"/>
        <w:jc w:val="center"/>
      </w:pPr>
      <w:r>
        <w:drawing>
          <wp:inline xmlns:a="http://schemas.openxmlformats.org/drawingml/2006/main" xmlns:pic="http://schemas.openxmlformats.org/drawingml/2006/picture">
            <wp:extent cx="6309360" cy="2832774"/>
            <wp:docPr id="1" name="Picture 1"/>
            <wp:cNvGraphicFramePr>
              <a:graphicFrameLocks noChangeAspect="1"/>
            </wp:cNvGraphicFramePr>
            <a:graphic>
              <a:graphicData uri="http://schemas.openxmlformats.org/drawingml/2006/picture">
                <pic:pic>
                  <pic:nvPicPr>
                    <pic:cNvPr id="0" name="fig1_football.png"/>
                    <pic:cNvPicPr/>
                  </pic:nvPicPr>
                  <pic:blipFill>
                    <a:blip r:embed="rId9"/>
                    <a:stretch>
                      <a:fillRect/>
                    </a:stretch>
                  </pic:blipFill>
                  <pic:spPr>
                    <a:xfrm>
                      <a:off x="0" y="0"/>
                      <a:ext cx="6309360" cy="2832774"/>
                    </a:xfrm>
                    <a:prstGeom prst="rect"/>
                  </pic:spPr>
                </pic:pic>
              </a:graphicData>
            </a:graphic>
          </wp:inline>
        </w:drawing>
      </w:r>
    </w:p>
    <w:p>
      <w:pPr>
        <w:spacing w:after="200" w:before="0"/>
      </w:pPr>
      <w:r>
        <w:rPr>
          <w:b w:val="0"/>
          <w:i/>
          <w:color w:val="6E7B77"/>
          <w:sz w:val="17"/>
        </w:rPr>
        <w:t>Figure 1 — Each lens as a range, with its base case marked, against the market price.</w:t>
      </w:r>
    </w:p>
    <w:p>
      <w:pPr>
        <w:spacing w:after="120" w:before="280"/>
      </w:pPr>
      <w:r>
        <w:rPr>
          <w:b/>
          <w:i w:val="0"/>
          <w:color w:val="1C3A36"/>
          <w:sz w:val="30"/>
        </w:rPr>
        <w:t>1  Fundamental valuation</w:t>
      </w:r>
    </w:p>
    <w:p>
      <w:pPr>
        <w:spacing w:after="120" w:before="0"/>
      </w:pPr>
      <w:r>
        <w:rPr>
          <w:b w:val="0"/>
          <w:i w:val="0"/>
          <w:color w:val="1C3A36"/>
          <w:sz w:val="21"/>
        </w:rPr>
        <w:t>Arabian Cement is valued as a single operating company, not as a sum of parts, and the reason is worth stating before any number appears. Essentially all of its revenue is grey cement and clinker from one industrial site. There is no property portfolio, no lending book, no concession and no collection of consolidated operating subsidiaries that would need valuing on their own terms. A sum-of-the-parts here would be a sum of one part, and the discipline it is meant to impose — never blending legs that need different methods — has nothing to bite on.</w:t>
      </w:r>
    </w:p>
    <w:p>
      <w:pPr>
        <w:spacing w:after="120" w:before="0"/>
      </w:pPr>
      <w:r>
        <w:rPr>
          <w:b w:val="0"/>
          <w:i w:val="0"/>
          <w:color w:val="1C3A36"/>
          <w:sz w:val="21"/>
        </w:rPr>
        <w:t>Four lenses are used. A discounted cash-flow model built up from tonnes and costs carries half the weight. Relative multiples, normalised earnings power and replacement cost carry the rest, and each is reported with the reason its weight is what it is.</w:t>
      </w:r>
    </w:p>
    <w:p>
      <w:pPr>
        <w:spacing w:after="80" w:before="200"/>
      </w:pPr>
      <w:r>
        <w:rPr>
          <w:b/>
          <w:i w:val="0"/>
          <w:color w:val="1C3A36"/>
          <w:sz w:val="24"/>
        </w:rPr>
        <w:t>1.1  The business, and why the lens follows from it</w:t>
      </w:r>
    </w:p>
    <w:p>
      <w:pPr>
        <w:spacing w:after="120" w:before="0"/>
      </w:pPr>
      <w:r>
        <w:rPr>
          <w:b w:val="0"/>
          <w:i w:val="0"/>
          <w:color w:val="1C3A36"/>
          <w:sz w:val="21"/>
        </w:rPr>
        <w:t>The plant runs two lines in Suez governorate producing on average about 5.0 million tonnes of clinker and cement a year. That is roughly 6.6% of Egypt's nominal capacity. Larger single sites exist — National Cement Beni Suef and Lafarge Ain Sokhna are both materially bigger — so the earlier edition's claim that this is the country's second-largest plant is withdrawn. The balance sheet is what that description implies: property-dominated, with working capital in inventory and receivables, no investment property, no equity-accounted portfolio of any size, and no financing arm.</w:t>
      </w:r>
    </w:p>
    <w:p>
      <w:pPr>
        <w:spacing w:after="120" w:before="0"/>
      </w:pPr>
      <w:r>
        <w:rPr>
          <w:b w:val="0"/>
          <w:i w:val="0"/>
          <w:color w:val="1C3A36"/>
          <w:sz w:val="21"/>
        </w:rPr>
        <w:t>The FY2025 accounts show revenue of EGP 12,447mn and attributable profit of EGP 3,600mn, against EGP 8,730mn and EGP 1,160mn a year earlier — revenue up 42.6% and profit up 210%. That is not a business changing shape. It is a price event, and the whole of this valuation turns on how much of it lasts.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44"/>
        <w:gridCol w:w="1872"/>
        <w:gridCol w:w="1872"/>
        <w:gridCol w:w="1872"/>
      </w:tblGrid>
      <w:tr>
        <w:tc>
          <w:tcPr>
            <w:tcW w:type="dxa" w:w="3744"/>
            <w:shd w:val="clear" w:color="auto" w:fill="EAF0EE"/>
          </w:tcPr>
          <w:p>
            <w:pPr>
              <w:spacing w:after="20"/>
            </w:pPr>
            <w:r>
              <w:rPr>
                <w:b/>
                <w:color w:val="1C3A36"/>
                <w:sz w:val="18"/>
              </w:rPr>
            </w:r>
          </w:p>
        </w:tc>
        <w:tc>
          <w:tcPr>
            <w:tcW w:type="dxa" w:w="1872"/>
            <w:shd w:val="clear" w:color="auto" w:fill="EAF0EE"/>
          </w:tcPr>
          <w:p>
            <w:pPr>
              <w:spacing w:after="20"/>
            </w:pPr>
            <w:r>
              <w:rPr>
                <w:b/>
                <w:color w:val="1C3A36"/>
                <w:sz w:val="18"/>
              </w:rPr>
              <w:t>FY2023</w:t>
            </w:r>
          </w:p>
        </w:tc>
        <w:tc>
          <w:tcPr>
            <w:tcW w:type="dxa" w:w="1872"/>
            <w:shd w:val="clear" w:color="auto" w:fill="EAF0EE"/>
          </w:tcPr>
          <w:p>
            <w:pPr>
              <w:spacing w:after="20"/>
            </w:pPr>
            <w:r>
              <w:rPr>
                <w:b/>
                <w:color w:val="1C3A36"/>
                <w:sz w:val="18"/>
              </w:rPr>
              <w:t>FY2024</w:t>
            </w:r>
          </w:p>
        </w:tc>
        <w:tc>
          <w:tcPr>
            <w:tcW w:type="dxa" w:w="1872"/>
            <w:shd w:val="clear" w:color="auto" w:fill="EAF0EE"/>
          </w:tcPr>
          <w:p>
            <w:pPr>
              <w:spacing w:after="20"/>
            </w:pPr>
            <w:r>
              <w:rPr>
                <w:b/>
                <w:color w:val="1C3A36"/>
                <w:sz w:val="18"/>
              </w:rPr>
              <w:t>FY2025</w:t>
            </w:r>
          </w:p>
        </w:tc>
      </w:tr>
      <w:tr>
        <w:tc>
          <w:tcPr>
            <w:tcW w:type="dxa" w:w="3744"/>
          </w:tcPr>
          <w:p>
            <w:pPr>
              <w:spacing w:after="20"/>
            </w:pPr>
            <w:r>
              <w:rPr>
                <w:color w:val="1C3A36"/>
                <w:sz w:val="18"/>
              </w:rPr>
              <w:t>Revenue (EGP mn)</w:t>
            </w:r>
          </w:p>
        </w:tc>
        <w:tc>
          <w:tcPr>
            <w:tcW w:type="dxa" w:w="1872"/>
          </w:tcPr>
          <w:p>
            <w:pPr>
              <w:spacing w:after="20"/>
              <w:jc w:val="right"/>
            </w:pPr>
            <w:r>
              <w:rPr>
                <w:color w:val="1C3A36"/>
                <w:sz w:val="18"/>
              </w:rPr>
              <w:t>6,043</w:t>
            </w:r>
          </w:p>
        </w:tc>
        <w:tc>
          <w:tcPr>
            <w:tcW w:type="dxa" w:w="1872"/>
          </w:tcPr>
          <w:p>
            <w:pPr>
              <w:spacing w:after="20"/>
              <w:jc w:val="right"/>
            </w:pPr>
            <w:r>
              <w:rPr>
                <w:color w:val="1C3A36"/>
                <w:sz w:val="18"/>
              </w:rPr>
              <w:t>8,730</w:t>
            </w:r>
          </w:p>
        </w:tc>
        <w:tc>
          <w:tcPr>
            <w:tcW w:type="dxa" w:w="1872"/>
          </w:tcPr>
          <w:p>
            <w:pPr>
              <w:spacing w:after="20"/>
              <w:jc w:val="right"/>
            </w:pPr>
            <w:r>
              <w:rPr>
                <w:color w:val="1C3A36"/>
                <w:sz w:val="18"/>
              </w:rPr>
              <w:t>12,447</w:t>
            </w:r>
          </w:p>
        </w:tc>
      </w:tr>
      <w:tr>
        <w:tc>
          <w:tcPr>
            <w:tcW w:type="dxa" w:w="3744"/>
          </w:tcPr>
          <w:p>
            <w:pPr>
              <w:spacing w:after="20"/>
            </w:pPr>
            <w:r>
              <w:rPr>
                <w:color w:val="1C3A36"/>
                <w:sz w:val="18"/>
              </w:rPr>
              <w:t>Gross profit (EGP mn)</w:t>
            </w:r>
          </w:p>
        </w:tc>
        <w:tc>
          <w:tcPr>
            <w:tcW w:type="dxa" w:w="1872"/>
          </w:tcPr>
          <w:p>
            <w:pPr>
              <w:spacing w:after="20"/>
              <w:jc w:val="right"/>
            </w:pPr>
            <w:r>
              <w:rPr>
                <w:color w:val="1C3A36"/>
                <w:sz w:val="18"/>
              </w:rPr>
              <w:t>1,283</w:t>
            </w:r>
          </w:p>
        </w:tc>
        <w:tc>
          <w:tcPr>
            <w:tcW w:type="dxa" w:w="1872"/>
          </w:tcPr>
          <w:p>
            <w:pPr>
              <w:spacing w:after="20"/>
              <w:jc w:val="right"/>
            </w:pPr>
            <w:r>
              <w:rPr>
                <w:color w:val="1C3A36"/>
                <w:sz w:val="18"/>
              </w:rPr>
              <w:t>2,087</w:t>
            </w:r>
          </w:p>
        </w:tc>
        <w:tc>
          <w:tcPr>
            <w:tcW w:type="dxa" w:w="1872"/>
          </w:tcPr>
          <w:p>
            <w:pPr>
              <w:spacing w:after="20"/>
              <w:jc w:val="right"/>
            </w:pPr>
            <w:r>
              <w:rPr>
                <w:color w:val="1C3A36"/>
                <w:sz w:val="18"/>
              </w:rPr>
              <w:t>5,058</w:t>
            </w:r>
          </w:p>
        </w:tc>
      </w:tr>
      <w:tr>
        <w:tc>
          <w:tcPr>
            <w:tcW w:type="dxa" w:w="3744"/>
          </w:tcPr>
          <w:p>
            <w:pPr>
              <w:spacing w:after="20"/>
            </w:pPr>
            <w:r>
              <w:rPr>
                <w:color w:val="1C3A36"/>
                <w:sz w:val="18"/>
              </w:rPr>
              <w:t>Operating profit (EGP mn)</w:t>
            </w:r>
          </w:p>
        </w:tc>
        <w:tc>
          <w:tcPr>
            <w:tcW w:type="dxa" w:w="1872"/>
          </w:tcPr>
          <w:p>
            <w:pPr>
              <w:spacing w:after="20"/>
              <w:jc w:val="right"/>
            </w:pPr>
            <w:r>
              <w:rPr>
                <w:color w:val="1C3A36"/>
                <w:sz w:val="18"/>
              </w:rPr>
              <w:t>1,079</w:t>
            </w:r>
          </w:p>
        </w:tc>
        <w:tc>
          <w:tcPr>
            <w:tcW w:type="dxa" w:w="1872"/>
          </w:tcPr>
          <w:p>
            <w:pPr>
              <w:spacing w:after="20"/>
              <w:jc w:val="right"/>
            </w:pPr>
            <w:r>
              <w:rPr>
                <w:color w:val="1C3A36"/>
                <w:sz w:val="18"/>
              </w:rPr>
              <w:t>1,764</w:t>
            </w:r>
          </w:p>
        </w:tc>
        <w:tc>
          <w:tcPr>
            <w:tcW w:type="dxa" w:w="1872"/>
          </w:tcPr>
          <w:p>
            <w:pPr>
              <w:spacing w:after="20"/>
              <w:jc w:val="right"/>
            </w:pPr>
            <w:r>
              <w:rPr>
                <w:color w:val="1C3A36"/>
                <w:sz w:val="18"/>
              </w:rPr>
              <w:t>4,596</w:t>
            </w:r>
          </w:p>
        </w:tc>
      </w:tr>
      <w:tr>
        <w:tc>
          <w:tcPr>
            <w:tcW w:type="dxa" w:w="3744"/>
          </w:tcPr>
          <w:p>
            <w:pPr>
              <w:spacing w:after="20"/>
            </w:pPr>
            <w:r>
              <w:rPr>
                <w:color w:val="1C3A36"/>
                <w:sz w:val="18"/>
              </w:rPr>
              <w:t>EBITDA (EGP mn)</w:t>
            </w:r>
          </w:p>
        </w:tc>
        <w:tc>
          <w:tcPr>
            <w:tcW w:type="dxa" w:w="1872"/>
          </w:tcPr>
          <w:p>
            <w:pPr>
              <w:spacing w:after="20"/>
              <w:jc w:val="right"/>
            </w:pPr>
            <w:r>
              <w:rPr>
                <w:color w:val="1C3A36"/>
                <w:sz w:val="18"/>
              </w:rPr>
              <w:t>1,330</w:t>
            </w:r>
          </w:p>
        </w:tc>
        <w:tc>
          <w:tcPr>
            <w:tcW w:type="dxa" w:w="1872"/>
          </w:tcPr>
          <w:p>
            <w:pPr>
              <w:spacing w:after="20"/>
              <w:jc w:val="right"/>
            </w:pPr>
            <w:r>
              <w:rPr>
                <w:color w:val="1C3A36"/>
                <w:sz w:val="18"/>
              </w:rPr>
              <w:t>2,021</w:t>
            </w:r>
          </w:p>
        </w:tc>
        <w:tc>
          <w:tcPr>
            <w:tcW w:type="dxa" w:w="1872"/>
          </w:tcPr>
          <w:p>
            <w:pPr>
              <w:spacing w:after="20"/>
              <w:jc w:val="right"/>
            </w:pPr>
            <w:r>
              <w:rPr>
                <w:color w:val="1C3A36"/>
                <w:sz w:val="18"/>
              </w:rPr>
              <w:t>4,886</w:t>
            </w:r>
          </w:p>
        </w:tc>
      </w:tr>
      <w:tr>
        <w:tc>
          <w:tcPr>
            <w:tcW w:type="dxa" w:w="3744"/>
          </w:tcPr>
          <w:p>
            <w:pPr>
              <w:spacing w:after="20"/>
            </w:pPr>
            <w:r>
              <w:rPr>
                <w:color w:val="1C3A36"/>
                <w:sz w:val="18"/>
              </w:rPr>
              <w:t>EBITDA margin</w:t>
            </w:r>
          </w:p>
        </w:tc>
        <w:tc>
          <w:tcPr>
            <w:tcW w:type="dxa" w:w="1872"/>
          </w:tcPr>
          <w:p>
            <w:pPr>
              <w:spacing w:after="20"/>
              <w:jc w:val="right"/>
            </w:pPr>
            <w:r>
              <w:rPr>
                <w:color w:val="1C3A36"/>
                <w:sz w:val="18"/>
              </w:rPr>
              <w:t>22.0%</w:t>
            </w:r>
          </w:p>
        </w:tc>
        <w:tc>
          <w:tcPr>
            <w:tcW w:type="dxa" w:w="1872"/>
          </w:tcPr>
          <w:p>
            <w:pPr>
              <w:spacing w:after="20"/>
              <w:jc w:val="right"/>
            </w:pPr>
            <w:r>
              <w:rPr>
                <w:color w:val="1C3A36"/>
                <w:sz w:val="18"/>
              </w:rPr>
              <w:t>23.1%</w:t>
            </w:r>
          </w:p>
        </w:tc>
        <w:tc>
          <w:tcPr>
            <w:tcW w:type="dxa" w:w="1872"/>
          </w:tcPr>
          <w:p>
            <w:pPr>
              <w:spacing w:after="20"/>
              <w:jc w:val="right"/>
            </w:pPr>
            <w:r>
              <w:rPr>
                <w:color w:val="1C3A36"/>
                <w:sz w:val="18"/>
              </w:rPr>
              <w:t>39.3%</w:t>
            </w:r>
          </w:p>
        </w:tc>
      </w:tr>
      <w:tr>
        <w:tc>
          <w:tcPr>
            <w:tcW w:type="dxa" w:w="3744"/>
          </w:tcPr>
          <w:p>
            <w:pPr>
              <w:spacing w:after="20"/>
            </w:pPr>
            <w:r>
              <w:rPr>
                <w:color w:val="1C3A36"/>
                <w:sz w:val="18"/>
              </w:rPr>
              <w:t>Attributable profit (EGP mn)</w:t>
            </w:r>
          </w:p>
        </w:tc>
        <w:tc>
          <w:tcPr>
            <w:tcW w:type="dxa" w:w="1872"/>
          </w:tcPr>
          <w:p>
            <w:pPr>
              <w:spacing w:after="20"/>
              <w:jc w:val="right"/>
            </w:pPr>
            <w:r>
              <w:rPr>
                <w:color w:val="1C3A36"/>
                <w:sz w:val="18"/>
              </w:rPr>
              <w:t>697</w:t>
            </w:r>
          </w:p>
        </w:tc>
        <w:tc>
          <w:tcPr>
            <w:tcW w:type="dxa" w:w="1872"/>
          </w:tcPr>
          <w:p>
            <w:pPr>
              <w:spacing w:after="20"/>
              <w:jc w:val="right"/>
            </w:pPr>
            <w:r>
              <w:rPr>
                <w:color w:val="1C3A36"/>
                <w:sz w:val="18"/>
              </w:rPr>
              <w:t>1,160</w:t>
            </w:r>
          </w:p>
        </w:tc>
        <w:tc>
          <w:tcPr>
            <w:tcW w:type="dxa" w:w="1872"/>
          </w:tcPr>
          <w:p>
            <w:pPr>
              <w:spacing w:after="20"/>
              <w:jc w:val="right"/>
            </w:pPr>
            <w:r>
              <w:rPr>
                <w:color w:val="1C3A36"/>
                <w:sz w:val="18"/>
              </w:rPr>
              <w:t>3,600</w:t>
            </w:r>
          </w:p>
        </w:tc>
      </w:tr>
      <w:tr>
        <w:tc>
          <w:tcPr>
            <w:tcW w:type="dxa" w:w="3744"/>
          </w:tcPr>
          <w:p>
            <w:pPr>
              <w:spacing w:after="20"/>
            </w:pPr>
            <w:r>
              <w:rPr>
                <w:color w:val="1C3A36"/>
                <w:sz w:val="18"/>
              </w:rPr>
              <w:t>Earnings per share (EGP)</w:t>
            </w:r>
          </w:p>
        </w:tc>
        <w:tc>
          <w:tcPr>
            <w:tcW w:type="dxa" w:w="1872"/>
          </w:tcPr>
          <w:p>
            <w:pPr>
              <w:spacing w:after="20"/>
              <w:jc w:val="right"/>
            </w:pPr>
            <w:r>
              <w:rPr>
                <w:color w:val="1C3A36"/>
                <w:sz w:val="18"/>
              </w:rPr>
              <w:t>1.81</w:t>
            </w:r>
          </w:p>
        </w:tc>
        <w:tc>
          <w:tcPr>
            <w:tcW w:type="dxa" w:w="1872"/>
          </w:tcPr>
          <w:p>
            <w:pPr>
              <w:spacing w:after="20"/>
              <w:jc w:val="right"/>
            </w:pPr>
            <w:r>
              <w:rPr>
                <w:color w:val="1C3A36"/>
                <w:sz w:val="18"/>
              </w:rPr>
              <w:t>3.02</w:t>
            </w:r>
          </w:p>
        </w:tc>
        <w:tc>
          <w:tcPr>
            <w:tcW w:type="dxa" w:w="1872"/>
          </w:tcPr>
          <w:p>
            <w:pPr>
              <w:spacing w:after="20"/>
              <w:jc w:val="right"/>
            </w:pPr>
            <w:r>
              <w:rPr>
                <w:color w:val="1C3A36"/>
                <w:sz w:val="18"/>
              </w:rPr>
              <w:t>9.49</w:t>
            </w:r>
          </w:p>
        </w:tc>
      </w:tr>
      <w:tr>
        <w:tc>
          <w:tcPr>
            <w:tcW w:type="dxa" w:w="3744"/>
          </w:tcPr>
          <w:p>
            <w:pPr>
              <w:spacing w:after="20"/>
            </w:pPr>
            <w:r>
              <w:rPr>
                <w:color w:val="1C3A36"/>
                <w:sz w:val="18"/>
              </w:rPr>
              <w:t>Effective tax rate</w:t>
            </w:r>
          </w:p>
        </w:tc>
        <w:tc>
          <w:tcPr>
            <w:tcW w:type="dxa" w:w="1872"/>
          </w:tcPr>
          <w:p>
            <w:pPr>
              <w:spacing w:after="20"/>
              <w:jc w:val="right"/>
            </w:pPr>
            <w:r>
              <w:rPr>
                <w:color w:val="1C3A36"/>
                <w:sz w:val="18"/>
              </w:rPr>
              <w:t>25.0%</w:t>
            </w:r>
          </w:p>
        </w:tc>
        <w:tc>
          <w:tcPr>
            <w:tcW w:type="dxa" w:w="1872"/>
          </w:tcPr>
          <w:p>
            <w:pPr>
              <w:spacing w:after="20"/>
              <w:jc w:val="right"/>
            </w:pPr>
            <w:r>
              <w:rPr>
                <w:color w:val="1C3A36"/>
                <w:sz w:val="18"/>
              </w:rPr>
              <w:t>23.0%</w:t>
            </w:r>
          </w:p>
        </w:tc>
        <w:tc>
          <w:tcPr>
            <w:tcW w:type="dxa" w:w="1872"/>
          </w:tcPr>
          <w:p>
            <w:pPr>
              <w:spacing w:after="20"/>
              <w:jc w:val="right"/>
            </w:pPr>
            <w:r>
              <w:rPr>
                <w:color w:val="1C3A36"/>
                <w:sz w:val="18"/>
              </w:rPr>
              <w:t>23.8%</w:t>
            </w:r>
          </w:p>
        </w:tc>
      </w:tr>
      <w:tr>
        <w:tc>
          <w:tcPr>
            <w:tcW w:type="dxa" w:w="3744"/>
          </w:tcPr>
          <w:p>
            <w:pPr>
              <w:spacing w:after="20"/>
            </w:pPr>
            <w:r>
              <w:rPr>
                <w:color w:val="1C3A36"/>
                <w:sz w:val="18"/>
              </w:rPr>
              <w:t>Capital expenditure (EGP mn)</w:t>
            </w:r>
          </w:p>
        </w:tc>
        <w:tc>
          <w:tcPr>
            <w:tcW w:type="dxa" w:w="1872"/>
          </w:tcPr>
          <w:p>
            <w:pPr>
              <w:spacing w:after="20"/>
              <w:jc w:val="right"/>
            </w:pPr>
            <w:r>
              <w:rPr>
                <w:color w:val="1C3A36"/>
                <w:sz w:val="18"/>
              </w:rPr>
              <w:t>59</w:t>
            </w:r>
          </w:p>
        </w:tc>
        <w:tc>
          <w:tcPr>
            <w:tcW w:type="dxa" w:w="1872"/>
          </w:tcPr>
          <w:p>
            <w:pPr>
              <w:spacing w:after="20"/>
              <w:jc w:val="right"/>
            </w:pPr>
            <w:r>
              <w:rPr>
                <w:color w:val="1C3A36"/>
                <w:sz w:val="18"/>
              </w:rPr>
              <w:t>912</w:t>
            </w:r>
          </w:p>
        </w:tc>
        <w:tc>
          <w:tcPr>
            <w:tcW w:type="dxa" w:w="1872"/>
          </w:tcPr>
          <w:p>
            <w:pPr>
              <w:spacing w:after="20"/>
              <w:jc w:val="right"/>
            </w:pPr>
            <w:r>
              <w:rPr>
                <w:color w:val="1C3A36"/>
                <w:sz w:val="18"/>
              </w:rPr>
              <w:t>796</w:t>
            </w:r>
          </w:p>
        </w:tc>
      </w:tr>
    </w:tbl>
    <w:p>
      <w:pPr>
        <w:spacing w:after="40"/>
      </w:pPr>
    </w:p>
    <w:p>
      <w:pPr>
        <w:spacing w:after="200" w:before="0"/>
      </w:pPr>
      <w:r>
        <w:rPr>
          <w:b w:val="0"/>
          <w:i/>
          <w:color w:val="6E7B77"/>
          <w:sz w:val="17"/>
        </w:rPr>
        <w:t>Table 1 — Three audited years. Every line is a disclosed figure or a formula over disclosed figures: operating profit is gross profit less administrative expenses, provisions and credit losses, and EBITDA adds back the depreciation and amortisation reported in the cash flow statement.</w:t>
      </w:r>
    </w:p>
    <w:p>
      <w:pPr>
        <w:spacing w:after="120" w:before="0"/>
      </w:pPr>
      <w:r>
        <w:rPr>
          <w:b w:val="0"/>
          <w:i w:val="0"/>
          <w:color w:val="1C3A36"/>
          <w:sz w:val="21"/>
        </w:rPr>
        <w:t>Two things stand out. The revenue note splits local from export: local sales rose 71% while export sales were -0.8% — the abolition of Egypt's cement production quota in May 2025 was a DOMESTIC event, and exports sat against a statutory 30% cap throughout. And the margin moved from 23.1% to 39.3% in a single year, because almost the entire price increase fell to the bottom line on a cost base that is largely fixed.</w:t>
      </w:r>
    </w:p>
    <w:p>
      <w:pPr>
        <w:spacing w:after="80" w:before="200"/>
      </w:pPr>
      <w:r>
        <w:rPr>
          <w:b/>
          <w:i w:val="0"/>
          <w:color w:val="1C3A36"/>
          <w:sz w:val="24"/>
        </w:rPr>
        <w:t>1.2  The unit economics — where EBITDA actually comes from</w:t>
      </w:r>
    </w:p>
    <w:p>
      <w:pPr>
        <w:spacing w:after="120" w:before="0"/>
      </w:pPr>
      <w:r>
        <w:rPr>
          <w:b w:val="0"/>
          <w:i w:val="0"/>
          <w:color w:val="1C3A36"/>
          <w:sz w:val="21"/>
        </w:rPr>
        <w:t>The operating model starts at the PLANT, and the tonnes are now DISCLOSED rather than reconstructed. The company publishes sales volumes and production indicators in its FY2025 investor presentation — clinker production, cement production, local sales, cement exports and clinker exports — and this build reproduces every one of them to within 0.02%. Three earlier editions of this study rebuilt those tonnes from an assumed price because that document had not been read, and were 28% low on the total.</w:t>
      </w:r>
    </w:p>
    <w:p>
      <w:pPr>
        <w:spacing w:after="120" w:before="0"/>
      </w:pPr>
      <w:r>
        <w:rPr>
          <w:b w:val="0"/>
          <w:i w:val="0"/>
          <w:color w:val="1C3A36"/>
          <w:sz w:val="21"/>
        </w:rPr>
        <w:t>It is worth being plain about what those editions did, because the failure was structural rather than arithmetic. They assumed a cement price, divided the audited revenue by it to get tonnes, and presented the utilisation that fell out as an independent corroboration. It was neither independent nor a corroboration: it was the same assumption written twice, and the FY2025 check it produced was an accounting identity that reproduces the audited revenue for ANY price, because volume moves by exactly the reciprocal. The drivers here are physical — kiln utilisation, the clinker factor and the two export shares — and the tonnes, the mill utilisation and all three realised prices come out of them. The prices are therefore outputs that can be held against the market and disagree with it.</w:t>
      </w:r>
    </w:p>
    <w:p>
      <w:pPr>
        <w:spacing w:after="120" w:before="0"/>
      </w:pPr>
      <w:r>
        <w:rPr>
          <w:b w:val="0"/>
          <w:i w:val="0"/>
          <w:color w:val="1C3A36"/>
          <w:sz w:val="21"/>
        </w:rPr>
        <w:t>It also carries three products where the previous edition carried one. This company sells local cement, export cement and export CLINKER, and clinker is the unground intermediate, worth a fraction of the cement it could have become. Pricing every tonne at a cement price made the plant look far smaller than it is.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5904"/>
        <w:gridCol w:w="2880"/>
      </w:tblGrid>
      <w:tr>
        <w:tc>
          <w:tcPr>
            <w:tcW w:type="dxa" w:w="5904"/>
            <w:shd w:val="clear" w:color="auto" w:fill="EAF0EE"/>
          </w:tcPr>
          <w:p>
            <w:pPr>
              <w:spacing w:after="20"/>
            </w:pPr>
            <w:r>
              <w:rPr>
                <w:b/>
                <w:color w:val="1C3A36"/>
                <w:sz w:val="18"/>
              </w:rPr>
            </w:r>
          </w:p>
        </w:tc>
        <w:tc>
          <w:tcPr>
            <w:tcW w:type="dxa" w:w="2880"/>
            <w:shd w:val="clear" w:color="auto" w:fill="EAF0EE"/>
          </w:tcPr>
          <w:p>
            <w:pPr>
              <w:spacing w:after="20"/>
            </w:pPr>
            <w:r>
              <w:rPr>
                <w:b/>
                <w:color w:val="1C3A36"/>
                <w:sz w:val="18"/>
              </w:rPr>
              <w:t>Value</w:t>
            </w:r>
          </w:p>
        </w:tc>
      </w:tr>
      <w:tr>
        <w:tc>
          <w:tcPr>
            <w:tcW w:type="dxa" w:w="5904"/>
          </w:tcPr>
          <w:p>
            <w:pPr>
              <w:spacing w:after="20"/>
            </w:pPr>
            <w:r>
              <w:rPr>
                <w:color w:val="1C3A36"/>
                <w:sz w:val="18"/>
              </w:rPr>
              <w:t>Kiln clinker capacity (audited note 1)</w:t>
            </w:r>
          </w:p>
        </w:tc>
        <w:tc>
          <w:tcPr>
            <w:tcW w:type="dxa" w:w="2880"/>
          </w:tcPr>
          <w:p>
            <w:pPr>
              <w:spacing w:after="20"/>
              <w:jc w:val="right"/>
            </w:pPr>
            <w:r>
              <w:rPr>
                <w:color w:val="1C3A36"/>
                <w:sz w:val="18"/>
              </w:rPr>
              <w:t>4.20Mt</w:t>
            </w:r>
          </w:p>
        </w:tc>
      </w:tr>
      <w:tr>
        <w:tc>
          <w:tcPr>
            <w:tcW w:type="dxa" w:w="5904"/>
          </w:tcPr>
          <w:p>
            <w:pPr>
              <w:spacing w:after="20"/>
            </w:pPr>
            <w:r>
              <w:rPr>
                <w:color w:val="1C3A36"/>
                <w:sz w:val="18"/>
              </w:rPr>
              <w:t>Kiln utilisation  (DRIVER)</w:t>
            </w:r>
          </w:p>
        </w:tc>
        <w:tc>
          <w:tcPr>
            <w:tcW w:type="dxa" w:w="2880"/>
          </w:tcPr>
          <w:p>
            <w:pPr>
              <w:spacing w:after="20"/>
              <w:jc w:val="right"/>
            </w:pPr>
            <w:r>
              <w:rPr>
                <w:color w:val="1C3A36"/>
                <w:sz w:val="18"/>
              </w:rPr>
              <w:t>91.7%</w:t>
            </w:r>
          </w:p>
        </w:tc>
      </w:tr>
      <w:tr>
        <w:tc>
          <w:tcPr>
            <w:tcW w:type="dxa" w:w="5904"/>
          </w:tcPr>
          <w:p>
            <w:pPr>
              <w:spacing w:after="20"/>
            </w:pPr>
            <w:r>
              <w:rPr>
                <w:color w:val="1C3A36"/>
                <w:sz w:val="18"/>
              </w:rPr>
              <w:t>Clinker produced</w:t>
            </w:r>
          </w:p>
        </w:tc>
        <w:tc>
          <w:tcPr>
            <w:tcW w:type="dxa" w:w="2880"/>
          </w:tcPr>
          <w:p>
            <w:pPr>
              <w:spacing w:after="20"/>
              <w:jc w:val="right"/>
            </w:pPr>
            <w:r>
              <w:rPr>
                <w:color w:val="1C3A36"/>
                <w:sz w:val="18"/>
              </w:rPr>
              <w:t>3.851Mt</w:t>
            </w:r>
          </w:p>
        </w:tc>
      </w:tr>
      <w:tr>
        <w:tc>
          <w:tcPr>
            <w:tcW w:type="dxa" w:w="5904"/>
          </w:tcPr>
          <w:p>
            <w:pPr>
              <w:spacing w:after="20"/>
            </w:pPr>
            <w:r>
              <w:rPr>
                <w:color w:val="1C3A36"/>
                <w:sz w:val="18"/>
              </w:rPr>
              <w:t>Sold as clinker  (DRIVER)</w:t>
            </w:r>
          </w:p>
        </w:tc>
        <w:tc>
          <w:tcPr>
            <w:tcW w:type="dxa" w:w="2880"/>
          </w:tcPr>
          <w:p>
            <w:pPr>
              <w:spacing w:after="20"/>
              <w:jc w:val="right"/>
            </w:pPr>
            <w:r>
              <w:rPr>
                <w:color w:val="1C3A36"/>
                <w:sz w:val="18"/>
              </w:rPr>
              <w:t>33.8%</w:t>
            </w:r>
          </w:p>
        </w:tc>
      </w:tr>
      <w:tr>
        <w:tc>
          <w:tcPr>
            <w:tcW w:type="dxa" w:w="5904"/>
          </w:tcPr>
          <w:p>
            <w:pPr>
              <w:spacing w:after="20"/>
            </w:pPr>
            <w:r>
              <w:rPr>
                <w:color w:val="1C3A36"/>
                <w:sz w:val="18"/>
              </w:rPr>
              <w:t>Clinker exported</w:t>
            </w:r>
          </w:p>
        </w:tc>
        <w:tc>
          <w:tcPr>
            <w:tcW w:type="dxa" w:w="2880"/>
          </w:tcPr>
          <w:p>
            <w:pPr>
              <w:spacing w:after="20"/>
              <w:jc w:val="right"/>
            </w:pPr>
            <w:r>
              <w:rPr>
                <w:color w:val="1C3A36"/>
                <w:sz w:val="18"/>
              </w:rPr>
              <w:t>1.301Mt</w:t>
            </w:r>
          </w:p>
        </w:tc>
      </w:tr>
      <w:tr>
        <w:tc>
          <w:tcPr>
            <w:tcW w:type="dxa" w:w="5904"/>
          </w:tcPr>
          <w:p>
            <w:pPr>
              <w:spacing w:after="20"/>
            </w:pPr>
            <w:r>
              <w:rPr>
                <w:color w:val="1C3A36"/>
                <w:sz w:val="18"/>
              </w:rPr>
              <w:t>Clinker factor  (DRIVER)</w:t>
            </w:r>
          </w:p>
        </w:tc>
        <w:tc>
          <w:tcPr>
            <w:tcW w:type="dxa" w:w="2880"/>
          </w:tcPr>
          <w:p>
            <w:pPr>
              <w:spacing w:after="20"/>
              <w:jc w:val="right"/>
            </w:pPr>
            <w:r>
              <w:rPr>
                <w:color w:val="1C3A36"/>
                <w:sz w:val="18"/>
              </w:rPr>
              <w:t>0.733</w:t>
            </w:r>
          </w:p>
        </w:tc>
      </w:tr>
      <w:tr>
        <w:tc>
          <w:tcPr>
            <w:tcW w:type="dxa" w:w="5904"/>
          </w:tcPr>
          <w:p>
            <w:pPr>
              <w:spacing w:after="20"/>
            </w:pPr>
            <w:r>
              <w:rPr>
                <w:color w:val="1C3A36"/>
                <w:sz w:val="18"/>
              </w:rPr>
              <w:t>Cement produced</w:t>
            </w:r>
          </w:p>
        </w:tc>
        <w:tc>
          <w:tcPr>
            <w:tcW w:type="dxa" w:w="2880"/>
          </w:tcPr>
          <w:p>
            <w:pPr>
              <w:spacing w:after="20"/>
              <w:jc w:val="right"/>
            </w:pPr>
            <w:r>
              <w:rPr>
                <w:color w:val="1C3A36"/>
                <w:sz w:val="18"/>
              </w:rPr>
              <w:t>3.480Mt</w:t>
            </w:r>
          </w:p>
        </w:tc>
      </w:tr>
      <w:tr>
        <w:tc>
          <w:tcPr>
            <w:tcW w:type="dxa" w:w="5904"/>
          </w:tcPr>
          <w:p>
            <w:pPr>
              <w:spacing w:after="20"/>
            </w:pPr>
            <w:r>
              <w:rPr>
                <w:color w:val="1C3A36"/>
                <w:sz w:val="18"/>
              </w:rPr>
              <w:t>Mill utilisation</w:t>
            </w:r>
          </w:p>
        </w:tc>
        <w:tc>
          <w:tcPr>
            <w:tcW w:type="dxa" w:w="2880"/>
          </w:tcPr>
          <w:p>
            <w:pPr>
              <w:spacing w:after="20"/>
              <w:jc w:val="right"/>
            </w:pPr>
            <w:r>
              <w:rPr>
                <w:color w:val="1C3A36"/>
                <w:sz w:val="18"/>
              </w:rPr>
              <w:t>69.6%</w:t>
            </w:r>
          </w:p>
        </w:tc>
      </w:tr>
      <w:tr>
        <w:tc>
          <w:tcPr>
            <w:tcW w:type="dxa" w:w="5904"/>
          </w:tcPr>
          <w:p>
            <w:pPr>
              <w:spacing w:after="20"/>
            </w:pPr>
            <w:r>
              <w:rPr>
                <w:color w:val="1C3A36"/>
                <w:sz w:val="18"/>
              </w:rPr>
              <w:t>Plus draw from finished-goods stock</w:t>
            </w:r>
          </w:p>
        </w:tc>
        <w:tc>
          <w:tcPr>
            <w:tcW w:type="dxa" w:w="2880"/>
          </w:tcPr>
          <w:p>
            <w:pPr>
              <w:spacing w:after="20"/>
              <w:jc w:val="right"/>
            </w:pPr>
            <w:r>
              <w:rPr>
                <w:color w:val="1C3A36"/>
                <w:sz w:val="18"/>
              </w:rPr>
              <w:t>0.072Mt</w:t>
            </w:r>
          </w:p>
        </w:tc>
      </w:tr>
      <w:tr>
        <w:tc>
          <w:tcPr>
            <w:tcW w:type="dxa" w:w="5904"/>
          </w:tcPr>
          <w:p>
            <w:pPr>
              <w:spacing w:after="20"/>
            </w:pPr>
            <w:r>
              <w:rPr>
                <w:color w:val="1C3A36"/>
                <w:sz w:val="18"/>
              </w:rPr>
              <w:t>Cement sold</w:t>
            </w:r>
          </w:p>
        </w:tc>
        <w:tc>
          <w:tcPr>
            <w:tcW w:type="dxa" w:w="2880"/>
          </w:tcPr>
          <w:p>
            <w:pPr>
              <w:spacing w:after="20"/>
              <w:jc w:val="right"/>
            </w:pPr>
            <w:r>
              <w:rPr>
                <w:color w:val="1C3A36"/>
                <w:sz w:val="18"/>
              </w:rPr>
              <w:t>3.553Mt</w:t>
            </w:r>
          </w:p>
        </w:tc>
      </w:tr>
      <w:tr>
        <w:tc>
          <w:tcPr>
            <w:tcW w:type="dxa" w:w="5904"/>
          </w:tcPr>
          <w:p>
            <w:pPr>
              <w:spacing w:after="20"/>
            </w:pPr>
            <w:r>
              <w:rPr>
                <w:color w:val="1C3A36"/>
                <w:sz w:val="18"/>
              </w:rPr>
              <w:t>Cement exported  (DRIVER)</w:t>
            </w:r>
          </w:p>
        </w:tc>
        <w:tc>
          <w:tcPr>
            <w:tcW w:type="dxa" w:w="2880"/>
          </w:tcPr>
          <w:p>
            <w:pPr>
              <w:spacing w:after="20"/>
              <w:jc w:val="right"/>
            </w:pPr>
            <w:r>
              <w:rPr>
                <w:color w:val="1C3A36"/>
                <w:sz w:val="18"/>
              </w:rPr>
              <w:t>17.7%</w:t>
            </w:r>
          </w:p>
        </w:tc>
      </w:tr>
      <w:tr>
        <w:tc>
          <w:tcPr>
            <w:tcW w:type="dxa" w:w="5904"/>
          </w:tcPr>
          <w:p>
            <w:pPr>
              <w:spacing w:after="20"/>
            </w:pPr>
            <w:r>
              <w:rPr>
                <w:color w:val="1C3A36"/>
                <w:sz w:val="18"/>
              </w:rPr>
              <w:t>Local cement</w:t>
            </w:r>
          </w:p>
        </w:tc>
        <w:tc>
          <w:tcPr>
            <w:tcW w:type="dxa" w:w="2880"/>
          </w:tcPr>
          <w:p>
            <w:pPr>
              <w:spacing w:after="20"/>
              <w:jc w:val="right"/>
            </w:pPr>
            <w:r>
              <w:rPr>
                <w:color w:val="1C3A36"/>
                <w:sz w:val="18"/>
              </w:rPr>
              <w:t>2.923Mt</w:t>
            </w:r>
          </w:p>
        </w:tc>
      </w:tr>
      <w:tr>
        <w:tc>
          <w:tcPr>
            <w:tcW w:type="dxa" w:w="5904"/>
          </w:tcPr>
          <w:p>
            <w:pPr>
              <w:spacing w:after="20"/>
            </w:pPr>
            <w:r>
              <w:rPr>
                <w:color w:val="1C3A36"/>
                <w:sz w:val="18"/>
              </w:rPr>
              <w:t>TOTAL DESPATCHES</w:t>
            </w:r>
          </w:p>
        </w:tc>
        <w:tc>
          <w:tcPr>
            <w:tcW w:type="dxa" w:w="2880"/>
          </w:tcPr>
          <w:p>
            <w:pPr>
              <w:spacing w:after="20"/>
              <w:jc w:val="right"/>
            </w:pPr>
            <w:r>
              <w:rPr>
                <w:color w:val="1C3A36"/>
                <w:sz w:val="18"/>
              </w:rPr>
              <w:t>4.854Mt</w:t>
            </w:r>
          </w:p>
        </w:tc>
      </w:tr>
      <w:tr>
        <w:tc>
          <w:tcPr>
            <w:tcW w:type="dxa" w:w="5904"/>
            <w:shd w:val="clear" w:color="auto" w:fill="F6F1E6"/>
          </w:tcPr>
          <w:p>
            <w:pPr>
              <w:spacing w:after="20"/>
            </w:pPr>
            <w:r>
              <w:rPr>
                <w:b/>
                <w:color w:val="1C3A36"/>
                <w:sz w:val="18"/>
              </w:rPr>
              <w:t>Local cement price — DERIVED</w:t>
            </w:r>
          </w:p>
        </w:tc>
        <w:tc>
          <w:tcPr>
            <w:tcW w:type="dxa" w:w="2880"/>
            <w:shd w:val="clear" w:color="auto" w:fill="F6F1E6"/>
          </w:tcPr>
          <w:p>
            <w:pPr>
              <w:spacing w:after="20"/>
              <w:jc w:val="right"/>
            </w:pPr>
            <w:r>
              <w:rPr>
                <w:b/>
                <w:color w:val="1C3A36"/>
                <w:sz w:val="18"/>
              </w:rPr>
              <w:t>EGP 2,856/t</w:t>
            </w:r>
          </w:p>
        </w:tc>
      </w:tr>
      <w:tr>
        <w:tc>
          <w:tcPr>
            <w:tcW w:type="dxa" w:w="5904"/>
            <w:shd w:val="clear" w:color="auto" w:fill="F6F1E6"/>
          </w:tcPr>
          <w:p>
            <w:pPr>
              <w:spacing w:after="20"/>
            </w:pPr>
            <w:r>
              <w:rPr>
                <w:b/>
                <w:color w:val="1C3A36"/>
                <w:sz w:val="18"/>
              </w:rPr>
              <w:t>Export cement price — DERIVED</w:t>
            </w:r>
          </w:p>
        </w:tc>
        <w:tc>
          <w:tcPr>
            <w:tcW w:type="dxa" w:w="2880"/>
            <w:shd w:val="clear" w:color="auto" w:fill="F6F1E6"/>
          </w:tcPr>
          <w:p>
            <w:pPr>
              <w:spacing w:after="20"/>
              <w:jc w:val="right"/>
            </w:pPr>
            <w:r>
              <w:rPr>
                <w:b/>
                <w:color w:val="1C3A36"/>
                <w:sz w:val="18"/>
              </w:rPr>
              <w:t>USD 46.2/t</w:t>
            </w:r>
          </w:p>
        </w:tc>
      </w:tr>
      <w:tr>
        <w:tc>
          <w:tcPr>
            <w:tcW w:type="dxa" w:w="5904"/>
            <w:shd w:val="clear" w:color="auto" w:fill="F6F1E6"/>
          </w:tcPr>
          <w:p>
            <w:pPr>
              <w:spacing w:after="20"/>
            </w:pPr>
            <w:r>
              <w:rPr>
                <w:b/>
                <w:color w:val="1C3A36"/>
                <w:sz w:val="18"/>
              </w:rPr>
              <w:t>Export clinker price — DERIVED</w:t>
            </w:r>
          </w:p>
        </w:tc>
        <w:tc>
          <w:tcPr>
            <w:tcW w:type="dxa" w:w="2880"/>
            <w:shd w:val="clear" w:color="auto" w:fill="F6F1E6"/>
          </w:tcPr>
          <w:p>
            <w:pPr>
              <w:spacing w:after="20"/>
              <w:jc w:val="right"/>
            </w:pPr>
            <w:r>
              <w:rPr>
                <w:b/>
                <w:color w:val="1C3A36"/>
                <w:sz w:val="18"/>
              </w:rPr>
              <w:t>USD 30.0/t</w:t>
            </w:r>
          </w:p>
        </w:tc>
      </w:tr>
    </w:tbl>
    <w:p>
      <w:pPr>
        <w:spacing w:after="40"/>
      </w:pPr>
    </w:p>
    <w:p>
      <w:pPr>
        <w:spacing w:after="200" w:before="0"/>
      </w:pPr>
      <w:r>
        <w:rPr>
          <w:b w:val="0"/>
          <w:i/>
          <w:color w:val="6E7B77"/>
          <w:sz w:val="17"/>
        </w:rPr>
        <w:t>Table 2 — The plant in tonnes, and the prices that fall out of it. Every FY2025 physical figure is the company's own disclosure. The four drivers are physical; everything below them is derived. Cement exports of 17.7% of cement made sit inside the 30% statutory cap — the previous edition's single-product build put exports at 31.5% of volume and breached the cap its own text called binding.</w:t>
      </w:r>
    </w:p>
    <w:p>
      <w:pPr>
        <w:spacing w:after="120" w:before="0"/>
      </w:pPr>
      <w:r>
        <w:rPr>
          <w:b w:val="0"/>
          <w:i w:val="0"/>
          <w:color w:val="1C3A36"/>
          <w:sz w:val="21"/>
        </w:rPr>
        <w:t>The three derived prices are the test, and it is a test this study does not pass cleanly. Local cement at EGP 2,856 a tonne is credible against Egyptian ex-works commentary. Export cement at USD 46.2 and export clinker at USD 30.0 sit roughly a third BELOW the USD 44-48 the trade press quotes for Egyptian clinker free on board. Either the physical volumes behind this build are too high, or realisations run well under the published indices. The gap is published rather than tuned away, and it is the reason the volume base carries its own sensitivity rather than being presented as settled.</w:t>
      </w:r>
    </w:p>
    <w:p>
      <w:pPr>
        <w:spacing w:after="120" w:before="0"/>
      </w:pPr>
      <w:r>
        <w:rPr>
          <w:b w:val="0"/>
          <w:i w:val="0"/>
          <w:color w:val="1C3A36"/>
          <w:sz w:val="21"/>
        </w:rPr>
        <w:t>The cost stack is the printed one. Cost of sales of EGP 7,389mn splits into materials and fuel of EGP 5,698mn — the note confirms this is the cost of inventories charged to cost of sales, so it carries fuel, packing and spares as well as raw meal — transportation of EGP 764mn, overheads of EGP 641mn, and depreciation and amortisation of EGP 285mn. Adding cash administrative expenses, provisions and credit losses gives a total cash cost of EGP 7,484mn, or EGP 1,542 a tonne.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44"/>
        <w:gridCol w:w="1872"/>
        <w:gridCol w:w="1872"/>
        <w:gridCol w:w="1872"/>
      </w:tblGrid>
      <w:tr>
        <w:tc>
          <w:tcPr>
            <w:tcW w:type="dxa" w:w="3744"/>
            <w:shd w:val="clear" w:color="auto" w:fill="EAF0EE"/>
          </w:tcPr>
          <w:p>
            <w:pPr>
              <w:spacing w:after="20"/>
            </w:pPr>
            <w:r>
              <w:rPr>
                <w:b/>
                <w:color w:val="1C3A36"/>
                <w:sz w:val="18"/>
              </w:rPr>
              <w:t>EGP per tonne of cement</w:t>
            </w:r>
          </w:p>
        </w:tc>
        <w:tc>
          <w:tcPr>
            <w:tcW w:type="dxa" w:w="1872"/>
            <w:shd w:val="clear" w:color="auto" w:fill="EAF0EE"/>
          </w:tcPr>
          <w:p>
            <w:pPr>
              <w:spacing w:after="20"/>
            </w:pPr>
            <w:r>
              <w:rPr>
                <w:b/>
                <w:color w:val="1C3A36"/>
                <w:sz w:val="18"/>
              </w:rPr>
              <w:t>FY2025A</w:t>
            </w:r>
          </w:p>
        </w:tc>
        <w:tc>
          <w:tcPr>
            <w:tcW w:type="dxa" w:w="1872"/>
            <w:shd w:val="clear" w:color="auto" w:fill="EAF0EE"/>
          </w:tcPr>
          <w:p>
            <w:pPr>
              <w:spacing w:after="20"/>
            </w:pPr>
            <w:r>
              <w:rPr>
                <w:b/>
                <w:color w:val="1C3A36"/>
                <w:sz w:val="18"/>
              </w:rPr>
              <w:t>FY2026E</w:t>
            </w:r>
          </w:p>
        </w:tc>
        <w:tc>
          <w:tcPr>
            <w:tcW w:type="dxa" w:w="1872"/>
            <w:shd w:val="clear" w:color="auto" w:fill="EAF0EE"/>
          </w:tcPr>
          <w:p>
            <w:pPr>
              <w:spacing w:after="20"/>
            </w:pPr>
            <w:r>
              <w:rPr>
                <w:b/>
                <w:color w:val="1C3A36"/>
                <w:sz w:val="18"/>
              </w:rPr>
              <w:t>FY2030E</w:t>
            </w:r>
          </w:p>
        </w:tc>
      </w:tr>
      <w:tr>
        <w:tc>
          <w:tcPr>
            <w:tcW w:type="dxa" w:w="3744"/>
          </w:tcPr>
          <w:p>
            <w:pPr>
              <w:spacing w:after="20"/>
            </w:pPr>
            <w:r>
              <w:rPr>
                <w:color w:val="1C3A36"/>
                <w:sz w:val="18"/>
              </w:rPr>
              <w:t>Materials and fuel</w:t>
            </w:r>
          </w:p>
        </w:tc>
        <w:tc>
          <w:tcPr>
            <w:tcW w:type="dxa" w:w="1872"/>
          </w:tcPr>
          <w:p>
            <w:pPr>
              <w:spacing w:after="20"/>
              <w:jc w:val="right"/>
            </w:pPr>
            <w:r>
              <w:rPr>
                <w:color w:val="1C3A36"/>
                <w:sz w:val="18"/>
              </w:rPr>
              <w:t>5,698</w:t>
            </w:r>
          </w:p>
        </w:tc>
        <w:tc>
          <w:tcPr>
            <w:tcW w:type="dxa" w:w="1872"/>
          </w:tcPr>
          <w:p>
            <w:pPr>
              <w:spacing w:after="20"/>
              <w:jc w:val="right"/>
            </w:pPr>
            <w:r>
              <w:rPr>
                <w:color w:val="1C3A36"/>
                <w:sz w:val="18"/>
              </w:rPr>
              <w:t>6,279</w:t>
            </w:r>
          </w:p>
        </w:tc>
        <w:tc>
          <w:tcPr>
            <w:tcW w:type="dxa" w:w="1872"/>
          </w:tcPr>
          <w:p>
            <w:pPr>
              <w:spacing w:after="20"/>
              <w:jc w:val="right"/>
            </w:pPr>
            <w:r>
              <w:rPr>
                <w:color w:val="1C3A36"/>
                <w:sz w:val="18"/>
              </w:rPr>
              <w:t>8,477</w:t>
            </w:r>
          </w:p>
        </w:tc>
      </w:tr>
      <w:tr>
        <w:tc>
          <w:tcPr>
            <w:tcW w:type="dxa" w:w="3744"/>
          </w:tcPr>
          <w:p>
            <w:pPr>
              <w:spacing w:after="20"/>
            </w:pPr>
            <w:r>
              <w:rPr>
                <w:color w:val="1C3A36"/>
                <w:sz w:val="18"/>
              </w:rPr>
              <w:t>Transportation</w:t>
            </w:r>
          </w:p>
        </w:tc>
        <w:tc>
          <w:tcPr>
            <w:tcW w:type="dxa" w:w="1872"/>
          </w:tcPr>
          <w:p>
            <w:pPr>
              <w:spacing w:after="20"/>
              <w:jc w:val="right"/>
            </w:pPr>
            <w:r>
              <w:rPr>
                <w:color w:val="1C3A36"/>
                <w:sz w:val="18"/>
              </w:rPr>
              <w:t>764</w:t>
            </w:r>
          </w:p>
        </w:tc>
        <w:tc>
          <w:tcPr>
            <w:tcW w:type="dxa" w:w="1872"/>
          </w:tcPr>
          <w:p>
            <w:pPr>
              <w:spacing w:after="20"/>
              <w:jc w:val="right"/>
            </w:pPr>
            <w:r>
              <w:rPr>
                <w:color w:val="1C3A36"/>
                <w:sz w:val="18"/>
              </w:rPr>
              <w:t>844</w:t>
            </w:r>
          </w:p>
        </w:tc>
        <w:tc>
          <w:tcPr>
            <w:tcW w:type="dxa" w:w="1872"/>
          </w:tcPr>
          <w:p>
            <w:pPr>
              <w:spacing w:after="20"/>
              <w:jc w:val="right"/>
            </w:pPr>
            <w:r>
              <w:rPr>
                <w:color w:val="1C3A36"/>
                <w:sz w:val="18"/>
              </w:rPr>
              <w:t>1,198</w:t>
            </w:r>
          </w:p>
        </w:tc>
      </w:tr>
      <w:tr>
        <w:tc>
          <w:tcPr>
            <w:tcW w:type="dxa" w:w="3744"/>
          </w:tcPr>
          <w:p>
            <w:pPr>
              <w:spacing w:after="20"/>
            </w:pPr>
            <w:r>
              <w:rPr>
                <w:color w:val="1C3A36"/>
                <w:sz w:val="18"/>
              </w:rPr>
              <w:t>Overheads and administration</w:t>
            </w:r>
          </w:p>
        </w:tc>
        <w:tc>
          <w:tcPr>
            <w:tcW w:type="dxa" w:w="1872"/>
          </w:tcPr>
          <w:p>
            <w:pPr>
              <w:spacing w:after="20"/>
              <w:jc w:val="right"/>
            </w:pPr>
            <w:r>
              <w:rPr>
                <w:color w:val="1C3A36"/>
                <w:sz w:val="18"/>
              </w:rPr>
              <w:t>1,021</w:t>
            </w:r>
          </w:p>
        </w:tc>
        <w:tc>
          <w:tcPr>
            <w:tcW w:type="dxa" w:w="1872"/>
          </w:tcPr>
          <w:p>
            <w:pPr>
              <w:spacing w:after="20"/>
              <w:jc w:val="right"/>
            </w:pPr>
            <w:r>
              <w:rPr>
                <w:color w:val="1C3A36"/>
                <w:sz w:val="18"/>
              </w:rPr>
              <w:t>1,128</w:t>
            </w:r>
          </w:p>
        </w:tc>
        <w:tc>
          <w:tcPr>
            <w:tcW w:type="dxa" w:w="1872"/>
          </w:tcPr>
          <w:p>
            <w:pPr>
              <w:spacing w:after="20"/>
              <w:jc w:val="right"/>
            </w:pPr>
            <w:r>
              <w:rPr>
                <w:color w:val="1C3A36"/>
                <w:sz w:val="18"/>
              </w:rPr>
              <w:t>1,601</w:t>
            </w:r>
          </w:p>
        </w:tc>
      </w:tr>
      <w:tr>
        <w:tc>
          <w:tcPr>
            <w:tcW w:type="dxa" w:w="3744"/>
            <w:shd w:val="clear" w:color="auto" w:fill="F6F1E6"/>
          </w:tcPr>
          <w:p>
            <w:pPr>
              <w:spacing w:after="20"/>
            </w:pPr>
            <w:r>
              <w:rPr>
                <w:b/>
                <w:color w:val="1C3A36"/>
                <w:sz w:val="18"/>
              </w:rPr>
              <w:t>Total cash cost</w:t>
            </w:r>
          </w:p>
        </w:tc>
        <w:tc>
          <w:tcPr>
            <w:tcW w:type="dxa" w:w="1872"/>
            <w:shd w:val="clear" w:color="auto" w:fill="F6F1E6"/>
          </w:tcPr>
          <w:p>
            <w:pPr>
              <w:spacing w:after="20"/>
              <w:jc w:val="right"/>
            </w:pPr>
            <w:r>
              <w:rPr>
                <w:b/>
                <w:color w:val="1C3A36"/>
                <w:sz w:val="18"/>
              </w:rPr>
              <w:t>1,542</w:t>
            </w:r>
          </w:p>
        </w:tc>
        <w:tc>
          <w:tcPr>
            <w:tcW w:type="dxa" w:w="1872"/>
            <w:shd w:val="clear" w:color="auto" w:fill="F6F1E6"/>
          </w:tcPr>
          <w:p>
            <w:pPr>
              <w:spacing w:after="20"/>
              <w:jc w:val="right"/>
            </w:pPr>
            <w:r>
              <w:rPr>
                <w:b/>
                <w:color w:val="1C3A36"/>
                <w:sz w:val="18"/>
              </w:rPr>
              <w:t>1,716</w:t>
            </w:r>
          </w:p>
        </w:tc>
        <w:tc>
          <w:tcPr>
            <w:tcW w:type="dxa" w:w="1872"/>
            <w:shd w:val="clear" w:color="auto" w:fill="F6F1E6"/>
          </w:tcPr>
          <w:p>
            <w:pPr>
              <w:spacing w:after="20"/>
              <w:jc w:val="right"/>
            </w:pPr>
            <w:r>
              <w:rPr>
                <w:b/>
                <w:color w:val="1C3A36"/>
                <w:sz w:val="18"/>
              </w:rPr>
              <w:t>2,288</w:t>
            </w:r>
          </w:p>
        </w:tc>
      </w:tr>
      <w:tr>
        <w:tc>
          <w:tcPr>
            <w:tcW w:type="dxa" w:w="3744"/>
          </w:tcPr>
          <w:p>
            <w:pPr>
              <w:spacing w:after="20"/>
            </w:pPr>
            <w:r>
              <w:rPr>
                <w:color w:val="1C3A36"/>
                <w:sz w:val="18"/>
              </w:rPr>
              <w:t>Blended realised price</w:t>
            </w:r>
          </w:p>
        </w:tc>
        <w:tc>
          <w:tcPr>
            <w:tcW w:type="dxa" w:w="1872"/>
          </w:tcPr>
          <w:p>
            <w:pPr>
              <w:spacing w:after="20"/>
              <w:jc w:val="right"/>
            </w:pPr>
            <w:r>
              <w:rPr>
                <w:color w:val="1C3A36"/>
                <w:sz w:val="18"/>
              </w:rPr>
              <w:t>2,565</w:t>
            </w:r>
          </w:p>
        </w:tc>
        <w:tc>
          <w:tcPr>
            <w:tcW w:type="dxa" w:w="1872"/>
          </w:tcPr>
          <w:p>
            <w:pPr>
              <w:spacing w:after="20"/>
              <w:jc w:val="right"/>
            </w:pPr>
            <w:r>
              <w:rPr>
                <w:color w:val="1C3A36"/>
                <w:sz w:val="18"/>
              </w:rPr>
              <w:t>2,709</w:t>
            </w:r>
          </w:p>
        </w:tc>
        <w:tc>
          <w:tcPr>
            <w:tcW w:type="dxa" w:w="1872"/>
          </w:tcPr>
          <w:p>
            <w:pPr>
              <w:spacing w:after="20"/>
              <w:jc w:val="right"/>
            </w:pPr>
            <w:r>
              <w:rPr>
                <w:color w:val="1C3A36"/>
                <w:sz w:val="18"/>
              </w:rPr>
              <w:t>3,555</w:t>
            </w:r>
          </w:p>
        </w:tc>
      </w:tr>
      <w:tr>
        <w:tc>
          <w:tcPr>
            <w:tcW w:type="dxa" w:w="3744"/>
          </w:tcPr>
          <w:p>
            <w:pPr>
              <w:spacing w:after="20"/>
            </w:pPr>
            <w:r>
              <w:rPr>
                <w:color w:val="1C3A36"/>
                <w:sz w:val="18"/>
              </w:rPr>
              <w:t>Volume (Mt)</w:t>
            </w:r>
          </w:p>
        </w:tc>
        <w:tc>
          <w:tcPr>
            <w:tcW w:type="dxa" w:w="1872"/>
          </w:tcPr>
          <w:p>
            <w:pPr>
              <w:spacing w:after="20"/>
              <w:jc w:val="right"/>
            </w:pPr>
            <w:r>
              <w:rPr>
                <w:color w:val="1C3A36"/>
                <w:sz w:val="18"/>
              </w:rPr>
              <w:t>4.854</w:t>
            </w:r>
          </w:p>
        </w:tc>
        <w:tc>
          <w:tcPr>
            <w:tcW w:type="dxa" w:w="1872"/>
          </w:tcPr>
          <w:p>
            <w:pPr>
              <w:spacing w:after="20"/>
              <w:jc w:val="right"/>
            </w:pPr>
            <w:r>
              <w:rPr>
                <w:color w:val="1C3A36"/>
                <w:sz w:val="18"/>
              </w:rPr>
              <w:t>4.807</w:t>
            </w:r>
          </w:p>
        </w:tc>
        <w:tc>
          <w:tcPr>
            <w:tcW w:type="dxa" w:w="1872"/>
          </w:tcPr>
          <w:p>
            <w:pPr>
              <w:spacing w:after="20"/>
              <w:jc w:val="right"/>
            </w:pPr>
            <w:r>
              <w:rPr>
                <w:color w:val="1C3A36"/>
                <w:sz w:val="18"/>
              </w:rPr>
              <w:t>4.929</w:t>
            </w:r>
          </w:p>
        </w:tc>
      </w:tr>
      <w:tr>
        <w:tc>
          <w:tcPr>
            <w:tcW w:type="dxa" w:w="3744"/>
            <w:shd w:val="clear" w:color="auto" w:fill="F6F1E6"/>
          </w:tcPr>
          <w:p>
            <w:pPr>
              <w:spacing w:after="20"/>
            </w:pPr>
            <w:r>
              <w:rPr>
                <w:b/>
                <w:color w:val="1C3A36"/>
                <w:sz w:val="18"/>
              </w:rPr>
              <w:t>EBITDA (EGP mn)</w:t>
            </w:r>
          </w:p>
        </w:tc>
        <w:tc>
          <w:tcPr>
            <w:tcW w:type="dxa" w:w="1872"/>
            <w:shd w:val="clear" w:color="auto" w:fill="F6F1E6"/>
          </w:tcPr>
          <w:p>
            <w:pPr>
              <w:spacing w:after="20"/>
              <w:jc w:val="right"/>
            </w:pPr>
            <w:r>
              <w:rPr>
                <w:b/>
                <w:color w:val="1C3A36"/>
                <w:sz w:val="18"/>
              </w:rPr>
              <w:t>4,886</w:t>
            </w:r>
          </w:p>
        </w:tc>
        <w:tc>
          <w:tcPr>
            <w:tcW w:type="dxa" w:w="1872"/>
            <w:shd w:val="clear" w:color="auto" w:fill="F6F1E6"/>
          </w:tcPr>
          <w:p>
            <w:pPr>
              <w:spacing w:after="20"/>
              <w:jc w:val="right"/>
            </w:pPr>
            <w:r>
              <w:rPr>
                <w:b/>
                <w:color w:val="1C3A36"/>
                <w:sz w:val="18"/>
              </w:rPr>
              <w:t>4,692</w:t>
            </w:r>
          </w:p>
        </w:tc>
        <w:tc>
          <w:tcPr>
            <w:tcW w:type="dxa" w:w="1872"/>
            <w:shd w:val="clear" w:color="auto" w:fill="F6F1E6"/>
          </w:tcPr>
          <w:p>
            <w:pPr>
              <w:spacing w:after="20"/>
              <w:jc w:val="right"/>
            </w:pPr>
            <w:r>
              <w:rPr>
                <w:b/>
                <w:color w:val="1C3A36"/>
                <w:sz w:val="18"/>
              </w:rPr>
              <w:t>6,138</w:t>
            </w:r>
          </w:p>
        </w:tc>
      </w:tr>
      <w:tr>
        <w:tc>
          <w:tcPr>
            <w:tcW w:type="dxa" w:w="3744"/>
            <w:shd w:val="clear" w:color="auto" w:fill="F6F1E6"/>
          </w:tcPr>
          <w:p>
            <w:pPr>
              <w:spacing w:after="20"/>
            </w:pPr>
            <w:r>
              <w:rPr>
                <w:b/>
                <w:color w:val="1C3A36"/>
                <w:sz w:val="18"/>
              </w:rPr>
              <w:t>EBITDA margin</w:t>
            </w:r>
          </w:p>
        </w:tc>
        <w:tc>
          <w:tcPr>
            <w:tcW w:type="dxa" w:w="1872"/>
            <w:shd w:val="clear" w:color="auto" w:fill="F6F1E6"/>
          </w:tcPr>
          <w:p>
            <w:pPr>
              <w:spacing w:after="20"/>
              <w:jc w:val="right"/>
            </w:pPr>
            <w:r>
              <w:rPr>
                <w:b/>
                <w:color w:val="1C3A36"/>
                <w:sz w:val="18"/>
              </w:rPr>
              <w:t>39.3%</w:t>
            </w:r>
          </w:p>
        </w:tc>
        <w:tc>
          <w:tcPr>
            <w:tcW w:type="dxa" w:w="1872"/>
            <w:shd w:val="clear" w:color="auto" w:fill="F6F1E6"/>
          </w:tcPr>
          <w:p>
            <w:pPr>
              <w:spacing w:after="20"/>
              <w:jc w:val="right"/>
            </w:pPr>
            <w:r>
              <w:rPr>
                <w:b/>
                <w:color w:val="1C3A36"/>
                <w:sz w:val="18"/>
              </w:rPr>
              <w:t>36.0%</w:t>
            </w:r>
          </w:p>
        </w:tc>
        <w:tc>
          <w:tcPr>
            <w:tcW w:type="dxa" w:w="1872"/>
            <w:shd w:val="clear" w:color="auto" w:fill="F6F1E6"/>
          </w:tcPr>
          <w:p>
            <w:pPr>
              <w:spacing w:after="20"/>
              <w:jc w:val="right"/>
            </w:pPr>
            <w:r>
              <w:rPr>
                <w:b/>
                <w:color w:val="1C3A36"/>
                <w:sz w:val="18"/>
              </w:rPr>
              <w:t>35.0%</w:t>
            </w:r>
          </w:p>
        </w:tc>
      </w:tr>
    </w:tbl>
    <w:p>
      <w:pPr>
        <w:spacing w:after="40"/>
      </w:pPr>
    </w:p>
    <w:p>
      <w:pPr>
        <w:spacing w:after="200" w:before="0"/>
      </w:pPr>
      <w:r>
        <w:rPr>
          <w:b w:val="0"/>
          <w:i/>
          <w:color w:val="6E7B77"/>
          <w:sz w:val="17"/>
        </w:rPr>
        <w:t>Table 3 — The cost stack per tonne and the margin it produces. EBITDA is an OUTPUT of this build, not an input to it.</w:t>
      </w:r>
    </w:p>
    <w:p>
      <w:pPr>
        <w:spacing w:after="40"/>
        <w:jc w:val="center"/>
      </w:pPr>
      <w:r>
        <w:drawing>
          <wp:inline xmlns:a="http://schemas.openxmlformats.org/drawingml/2006/main" xmlns:pic="http://schemas.openxmlformats.org/drawingml/2006/picture">
            <wp:extent cx="6309360" cy="2826068"/>
            <wp:docPr id="2" name="Picture 2"/>
            <wp:cNvGraphicFramePr>
              <a:graphicFrameLocks noChangeAspect="1"/>
            </wp:cNvGraphicFramePr>
            <a:graphic>
              <a:graphicData uri="http://schemas.openxmlformats.org/drawingml/2006/picture">
                <pic:pic>
                  <pic:nvPicPr>
                    <pic:cNvPr id="0" name="fig7_stack.png"/>
                    <pic:cNvPicPr/>
                  </pic:nvPicPr>
                  <pic:blipFill>
                    <a:blip r:embed="rId10"/>
                    <a:stretch>
                      <a:fillRect/>
                    </a:stretch>
                  </pic:blipFill>
                  <pic:spPr>
                    <a:xfrm>
                      <a:off x="0" y="0"/>
                      <a:ext cx="6309360" cy="2826068"/>
                    </a:xfrm>
                    <a:prstGeom prst="rect"/>
                  </pic:spPr>
                </pic:pic>
              </a:graphicData>
            </a:graphic>
          </wp:inline>
        </w:drawing>
      </w:r>
    </w:p>
    <w:p>
      <w:pPr>
        <w:spacing w:after="200" w:before="0"/>
      </w:pPr>
      <w:r>
        <w:rPr>
          <w:b w:val="0"/>
          <w:i/>
          <w:color w:val="6E7B77"/>
          <w:sz w:val="17"/>
        </w:rPr>
        <w:t>Figure 2 — Cash cost per tonne against realised price per tonne. The margin is the gap, and the gap narrows across the forecast.</w:t>
      </w:r>
    </w:p>
    <w:p>
      <w:pPr>
        <w:spacing w:after="120" w:before="0"/>
      </w:pPr>
      <w:r>
        <w:rPr>
          <w:b w:val="0"/>
          <w:i w:val="0"/>
          <w:color w:val="1C3A36"/>
          <w:sz w:val="21"/>
        </w:rPr>
        <w:t>The reconstruction reproduces audited FY2025 revenue to +0.000% and audited FY2025 EBITDA to +0.000%. It is not forced to: the volume is derived from the revenue note and the cost lines are the printed ones, so a wrong price assumption would show up as a non-zero residual.</w:t>
      </w:r>
    </w:p>
    <w:p>
      <w:pPr>
        <w:spacing w:after="120" w:before="0"/>
      </w:pPr>
      <w:r>
        <w:rPr>
          <w:b w:val="0"/>
          <w:i w:val="0"/>
          <w:color w:val="1C3A36"/>
          <w:sz w:val="21"/>
        </w:rPr>
        <w:t>One physical constraint is worth checking, because the volume forecast is built off CEMENT capacity while the kiln is what could bind first. At a clinker factor of 0.73 — observed from the audited capacity pair of 4.2Mt of clinker against 5.0Mt of cement — the FY2030 volume needs 3.612Mt of clinker against 4.2Mt of kiln capacity, or 86.0% of it. The forecast fits the plant, with 0.588Mt of headroom, and more blending would widen that.</w:t>
      </w:r>
    </w:p>
    <w:p>
      <w:pPr>
        <w:spacing w:after="120" w:before="0"/>
      </w:pPr>
      <w:r>
        <w:rPr>
          <w:b w:val="0"/>
          <w:i w:val="0"/>
          <w:color w:val="1C3A36"/>
          <w:sz w:val="21"/>
        </w:rPr>
        <w:t>The company-specific lever is fuel, and it is now visible in the accounts rather than assumed. Assets under construction of EGP 392mn include EGP 240mn of alternative-fuel capacity for production line 2 and EGP 146mn of a new cement silo for line 1, and a EUR 25mn European Bank for Reconstruction and Development facility is drawn against exactly that programme — tranche one for alternative-fuel capacity and hydrogen injection on kiln 1, tranche two for hydrogen injection on kiln 2. The model carries a saving on the materials-and-fuel line rising to 5.5% by FY2030 as a result. That is a funded and part-built programme, not an intention.</w:t>
      </w:r>
    </w:p>
    <w:p>
      <w:pPr>
        <w:spacing w:after="80" w:before="200"/>
      </w:pPr>
      <w:r>
        <w:rPr>
          <w:b/>
          <w:i w:val="0"/>
          <w:color w:val="1C3A36"/>
          <w:sz w:val="24"/>
        </w:rPr>
        <w:t>1.3  Depreciation, capital spending, and what the book hides</w:t>
      </w:r>
    </w:p>
    <w:p>
      <w:pPr>
        <w:spacing w:after="120" w:before="0"/>
      </w:pPr>
      <w:r>
        <w:rPr>
          <w:b w:val="0"/>
          <w:i w:val="0"/>
          <w:color w:val="1C3A36"/>
          <w:sz w:val="21"/>
        </w:rPr>
        <w:t>Depreciation and amortisation is disclosed in the cash flow statement: EGP 290mn in FY2025, EGP 257mn in FY2024 and EGP 250mn in FY2023 — property depreciation, licence amortisation and right-of-use amortisation. That is 2.33% of FY2025 revenue, and it is small for a cement plant.</w:t>
      </w:r>
    </w:p>
    <w:p>
      <w:pPr>
        <w:spacing w:after="120" w:before="0"/>
      </w:pPr>
      <w:r>
        <w:rPr>
          <w:b w:val="0"/>
          <w:i w:val="0"/>
          <w:color w:val="1C3A36"/>
          <w:sz w:val="21"/>
        </w:rPr>
        <w:t>It is small for a reason that matters to the valuation. The plant dates from around 2010 and the accounts are prepared on a historical-cost basis; the pound has devalued several times since. Net property, plant and equipment is EGP 2,522mn, which on 5.0Mt of capacity is about USD 12 per annual tonne including construction in progress — against a replacement cost of USD 130. The book is carrying the plant at roughly a tenth of what one would cost to build.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44"/>
        <w:gridCol w:w="1872"/>
        <w:gridCol w:w="1872"/>
        <w:gridCol w:w="1872"/>
      </w:tblGrid>
      <w:tr>
        <w:tc>
          <w:tcPr>
            <w:tcW w:type="dxa" w:w="3744"/>
            <w:shd w:val="clear" w:color="auto" w:fill="EAF0EE"/>
          </w:tcPr>
          <w:p>
            <w:pPr>
              <w:spacing w:after="20"/>
            </w:pPr>
            <w:r>
              <w:rPr>
                <w:b/>
                <w:color w:val="1C3A36"/>
                <w:sz w:val="18"/>
              </w:rPr>
              <w:t>EGP mn</w:t>
            </w:r>
          </w:p>
        </w:tc>
        <w:tc>
          <w:tcPr>
            <w:tcW w:type="dxa" w:w="1872"/>
            <w:shd w:val="clear" w:color="auto" w:fill="EAF0EE"/>
          </w:tcPr>
          <w:p>
            <w:pPr>
              <w:spacing w:after="20"/>
            </w:pPr>
            <w:r>
              <w:rPr>
                <w:b/>
                <w:color w:val="1C3A36"/>
                <w:sz w:val="18"/>
              </w:rPr>
              <w:t>FY2023</w:t>
            </w:r>
          </w:p>
        </w:tc>
        <w:tc>
          <w:tcPr>
            <w:tcW w:type="dxa" w:w="1872"/>
            <w:shd w:val="clear" w:color="auto" w:fill="EAF0EE"/>
          </w:tcPr>
          <w:p>
            <w:pPr>
              <w:spacing w:after="20"/>
            </w:pPr>
            <w:r>
              <w:rPr>
                <w:b/>
                <w:color w:val="1C3A36"/>
                <w:sz w:val="18"/>
              </w:rPr>
              <w:t>FY2024</w:t>
            </w:r>
          </w:p>
        </w:tc>
        <w:tc>
          <w:tcPr>
            <w:tcW w:type="dxa" w:w="1872"/>
            <w:shd w:val="clear" w:color="auto" w:fill="EAF0EE"/>
          </w:tcPr>
          <w:p>
            <w:pPr>
              <w:spacing w:after="20"/>
            </w:pPr>
            <w:r>
              <w:rPr>
                <w:b/>
                <w:color w:val="1C3A36"/>
                <w:sz w:val="18"/>
              </w:rPr>
              <w:t>FY2025</w:t>
            </w:r>
          </w:p>
        </w:tc>
      </w:tr>
      <w:tr>
        <w:tc>
          <w:tcPr>
            <w:tcW w:type="dxa" w:w="3744"/>
          </w:tcPr>
          <w:p>
            <w:pPr>
              <w:spacing w:after="20"/>
            </w:pPr>
            <w:r>
              <w:rPr>
                <w:color w:val="1C3A36"/>
                <w:sz w:val="18"/>
              </w:rPr>
              <w:t>Depreciation and amortisation</w:t>
            </w:r>
          </w:p>
        </w:tc>
        <w:tc>
          <w:tcPr>
            <w:tcW w:type="dxa" w:w="1872"/>
          </w:tcPr>
          <w:p>
            <w:pPr>
              <w:spacing w:after="20"/>
              <w:jc w:val="right"/>
            </w:pPr>
            <w:r>
              <w:rPr>
                <w:color w:val="1C3A36"/>
                <w:sz w:val="18"/>
              </w:rPr>
              <w:t>250</w:t>
            </w:r>
          </w:p>
        </w:tc>
        <w:tc>
          <w:tcPr>
            <w:tcW w:type="dxa" w:w="1872"/>
          </w:tcPr>
          <w:p>
            <w:pPr>
              <w:spacing w:after="20"/>
              <w:jc w:val="right"/>
            </w:pPr>
            <w:r>
              <w:rPr>
                <w:color w:val="1C3A36"/>
                <w:sz w:val="18"/>
              </w:rPr>
              <w:t>257</w:t>
            </w:r>
          </w:p>
        </w:tc>
        <w:tc>
          <w:tcPr>
            <w:tcW w:type="dxa" w:w="1872"/>
          </w:tcPr>
          <w:p>
            <w:pPr>
              <w:spacing w:after="20"/>
              <w:jc w:val="right"/>
            </w:pPr>
            <w:r>
              <w:rPr>
                <w:color w:val="1C3A36"/>
                <w:sz w:val="18"/>
              </w:rPr>
              <w:t>290</w:t>
            </w:r>
          </w:p>
        </w:tc>
      </w:tr>
      <w:tr>
        <w:tc>
          <w:tcPr>
            <w:tcW w:type="dxa" w:w="3744"/>
          </w:tcPr>
          <w:p>
            <w:pPr>
              <w:spacing w:after="20"/>
            </w:pPr>
            <w:r>
              <w:rPr>
                <w:color w:val="1C3A36"/>
                <w:sz w:val="18"/>
              </w:rPr>
              <w:t>Capital expenditure</w:t>
            </w:r>
          </w:p>
        </w:tc>
        <w:tc>
          <w:tcPr>
            <w:tcW w:type="dxa" w:w="1872"/>
          </w:tcPr>
          <w:p>
            <w:pPr>
              <w:spacing w:after="20"/>
              <w:jc w:val="right"/>
            </w:pPr>
            <w:r>
              <w:rPr>
                <w:color w:val="1C3A36"/>
                <w:sz w:val="18"/>
              </w:rPr>
              <w:t>59</w:t>
            </w:r>
          </w:p>
        </w:tc>
        <w:tc>
          <w:tcPr>
            <w:tcW w:type="dxa" w:w="1872"/>
          </w:tcPr>
          <w:p>
            <w:pPr>
              <w:spacing w:after="20"/>
              <w:jc w:val="right"/>
            </w:pPr>
            <w:r>
              <w:rPr>
                <w:color w:val="1C3A36"/>
                <w:sz w:val="18"/>
              </w:rPr>
              <w:t>912</w:t>
            </w:r>
          </w:p>
        </w:tc>
        <w:tc>
          <w:tcPr>
            <w:tcW w:type="dxa" w:w="1872"/>
          </w:tcPr>
          <w:p>
            <w:pPr>
              <w:spacing w:after="20"/>
              <w:jc w:val="right"/>
            </w:pPr>
            <w:r>
              <w:rPr>
                <w:color w:val="1C3A36"/>
                <w:sz w:val="18"/>
              </w:rPr>
              <w:t>796</w:t>
            </w:r>
          </w:p>
        </w:tc>
      </w:tr>
      <w:tr>
        <w:tc>
          <w:tcPr>
            <w:tcW w:type="dxa" w:w="3744"/>
          </w:tcPr>
          <w:p>
            <w:pPr>
              <w:spacing w:after="20"/>
            </w:pPr>
            <w:r>
              <w:rPr>
                <w:color w:val="1C3A36"/>
                <w:sz w:val="18"/>
              </w:rPr>
              <w:t>Capex as a share of EBITDA</w:t>
            </w:r>
          </w:p>
        </w:tc>
        <w:tc>
          <w:tcPr>
            <w:tcW w:type="dxa" w:w="1872"/>
          </w:tcPr>
          <w:p>
            <w:pPr>
              <w:spacing w:after="20"/>
              <w:jc w:val="right"/>
            </w:pPr>
            <w:r>
              <w:rPr>
                <w:color w:val="1C3A36"/>
                <w:sz w:val="18"/>
              </w:rPr>
              <w:t>4.4%</w:t>
            </w:r>
          </w:p>
        </w:tc>
        <w:tc>
          <w:tcPr>
            <w:tcW w:type="dxa" w:w="1872"/>
          </w:tcPr>
          <w:p>
            <w:pPr>
              <w:spacing w:after="20"/>
              <w:jc w:val="right"/>
            </w:pPr>
            <w:r>
              <w:rPr>
                <w:color w:val="1C3A36"/>
                <w:sz w:val="18"/>
              </w:rPr>
              <w:t>45.1%</w:t>
            </w:r>
          </w:p>
        </w:tc>
        <w:tc>
          <w:tcPr>
            <w:tcW w:type="dxa" w:w="1872"/>
          </w:tcPr>
          <w:p>
            <w:pPr>
              <w:spacing w:after="20"/>
              <w:jc w:val="right"/>
            </w:pPr>
            <w:r>
              <w:rPr>
                <w:color w:val="1C3A36"/>
                <w:sz w:val="18"/>
              </w:rPr>
              <w:t>16.3%</w:t>
            </w:r>
          </w:p>
        </w:tc>
      </w:tr>
      <w:tr>
        <w:tc>
          <w:tcPr>
            <w:tcW w:type="dxa" w:w="3744"/>
          </w:tcPr>
          <w:p>
            <w:pPr>
              <w:spacing w:after="20"/>
            </w:pPr>
            <w:r>
              <w:rPr>
                <w:color w:val="1C3A36"/>
                <w:sz w:val="18"/>
              </w:rPr>
              <w:t>Net reinvestment (capex less depreciation)</w:t>
            </w:r>
          </w:p>
        </w:tc>
        <w:tc>
          <w:tcPr>
            <w:tcW w:type="dxa" w:w="1872"/>
          </w:tcPr>
          <w:p>
            <w:pPr>
              <w:spacing w:after="20"/>
              <w:jc w:val="right"/>
            </w:pPr>
            <w:r>
              <w:rPr>
                <w:color w:val="1C3A36"/>
                <w:sz w:val="18"/>
              </w:rPr>
              <w:t>-192</w:t>
            </w:r>
          </w:p>
        </w:tc>
        <w:tc>
          <w:tcPr>
            <w:tcW w:type="dxa" w:w="1872"/>
          </w:tcPr>
          <w:p>
            <w:pPr>
              <w:spacing w:after="20"/>
              <w:jc w:val="right"/>
            </w:pPr>
            <w:r>
              <w:rPr>
                <w:color w:val="1C3A36"/>
                <w:sz w:val="18"/>
              </w:rPr>
              <w:t>655</w:t>
            </w:r>
          </w:p>
        </w:tc>
        <w:tc>
          <w:tcPr>
            <w:tcW w:type="dxa" w:w="1872"/>
          </w:tcPr>
          <w:p>
            <w:pPr>
              <w:spacing w:after="20"/>
              <w:jc w:val="right"/>
            </w:pPr>
            <w:r>
              <w:rPr>
                <w:color w:val="1C3A36"/>
                <w:sz w:val="18"/>
              </w:rPr>
              <w:t>507</w:t>
            </w:r>
          </w:p>
        </w:tc>
      </w:tr>
      <w:tr>
        <w:tc>
          <w:tcPr>
            <w:tcW w:type="dxa" w:w="3744"/>
          </w:tcPr>
          <w:p>
            <w:pPr>
              <w:spacing w:after="20"/>
            </w:pPr>
            <w:r>
              <w:rPr>
                <w:color w:val="1C3A36"/>
                <w:sz w:val="18"/>
              </w:rPr>
              <w:t>Reinvestment rate (net reinvestment / NOPAT)</w:t>
            </w:r>
          </w:p>
        </w:tc>
        <w:tc>
          <w:tcPr>
            <w:tcW w:type="dxa" w:w="1872"/>
          </w:tcPr>
          <w:p>
            <w:pPr>
              <w:spacing w:after="20"/>
              <w:jc w:val="right"/>
            </w:pPr>
            <w:r>
              <w:rPr>
                <w:color w:val="1C3A36"/>
                <w:sz w:val="18"/>
              </w:rPr>
              <w:t>-23.7%</w:t>
            </w:r>
          </w:p>
        </w:tc>
        <w:tc>
          <w:tcPr>
            <w:tcW w:type="dxa" w:w="1872"/>
          </w:tcPr>
          <w:p>
            <w:pPr>
              <w:spacing w:after="20"/>
              <w:jc w:val="right"/>
            </w:pPr>
            <w:r>
              <w:rPr>
                <w:color w:val="1C3A36"/>
                <w:sz w:val="18"/>
              </w:rPr>
              <w:t>48.2%</w:t>
            </w:r>
          </w:p>
        </w:tc>
        <w:tc>
          <w:tcPr>
            <w:tcW w:type="dxa" w:w="1872"/>
          </w:tcPr>
          <w:p>
            <w:pPr>
              <w:spacing w:after="20"/>
              <w:jc w:val="right"/>
            </w:pPr>
            <w:r>
              <w:rPr>
                <w:color w:val="1C3A36"/>
                <w:sz w:val="18"/>
              </w:rPr>
              <w:t>14.5%</w:t>
            </w:r>
          </w:p>
        </w:tc>
      </w:tr>
      <w:tr>
        <w:tc>
          <w:tcPr>
            <w:tcW w:type="dxa" w:w="3744"/>
          </w:tcPr>
          <w:p>
            <w:pPr>
              <w:spacing w:after="20"/>
            </w:pPr>
            <w:r>
              <w:rPr>
                <w:color w:val="1C3A36"/>
                <w:sz w:val="18"/>
              </w:rPr>
              <w:t>Return on BOOK invested capital</w:t>
            </w:r>
          </w:p>
        </w:tc>
        <w:tc>
          <w:tcPr>
            <w:tcW w:type="dxa" w:w="1872"/>
          </w:tcPr>
          <w:p>
            <w:pPr>
              <w:spacing w:after="20"/>
              <w:jc w:val="right"/>
            </w:pPr>
            <w:r>
              <w:rPr>
                <w:color w:val="1C3A36"/>
                <w:sz w:val="18"/>
              </w:rPr>
              <w:t>43.9%</w:t>
            </w:r>
          </w:p>
        </w:tc>
        <w:tc>
          <w:tcPr>
            <w:tcW w:type="dxa" w:w="1872"/>
          </w:tcPr>
          <w:p>
            <w:pPr>
              <w:spacing w:after="20"/>
              <w:jc w:val="right"/>
            </w:pPr>
            <w:r>
              <w:rPr>
                <w:color w:val="1C3A36"/>
                <w:sz w:val="18"/>
              </w:rPr>
              <w:t>44.3%</w:t>
            </w:r>
          </w:p>
        </w:tc>
        <w:tc>
          <w:tcPr>
            <w:tcW w:type="dxa" w:w="1872"/>
          </w:tcPr>
          <w:p>
            <w:pPr>
              <w:spacing w:after="20"/>
              <w:jc w:val="right"/>
            </w:pPr>
            <w:r>
              <w:rPr>
                <w:color w:val="1C3A36"/>
                <w:sz w:val="18"/>
              </w:rPr>
              <w:t>60.6%</w:t>
            </w:r>
          </w:p>
        </w:tc>
      </w:tr>
      <w:tr>
        <w:tc>
          <w:tcPr>
            <w:tcW w:type="dxa" w:w="3744"/>
          </w:tcPr>
          <w:p>
            <w:pPr>
              <w:spacing w:after="20"/>
            </w:pPr>
            <w:r>
              <w:rPr>
                <w:color w:val="1C3A36"/>
                <w:sz w:val="18"/>
              </w:rPr>
              <w:t>Character</w:t>
            </w:r>
          </w:p>
        </w:tc>
        <w:tc>
          <w:tcPr>
            <w:tcW w:type="dxa" w:w="1872"/>
          </w:tcPr>
          <w:p>
            <w:pPr>
              <w:spacing w:after="20"/>
              <w:jc w:val="right"/>
            </w:pPr>
            <w:r>
              <w:rPr>
                <w:color w:val="1C3A36"/>
                <w:sz w:val="18"/>
              </w:rPr>
              <w:t>stable</w:t>
            </w:r>
          </w:p>
        </w:tc>
        <w:tc>
          <w:tcPr>
            <w:tcW w:type="dxa" w:w="1872"/>
          </w:tcPr>
          <w:p>
            <w:pPr>
              <w:spacing w:after="20"/>
              <w:jc w:val="right"/>
            </w:pPr>
            <w:r>
              <w:rPr>
                <w:color w:val="1C3A36"/>
                <w:sz w:val="18"/>
              </w:rPr>
              <w:t>stable</w:t>
            </w:r>
          </w:p>
        </w:tc>
        <w:tc>
          <w:tcPr>
            <w:tcW w:type="dxa" w:w="1872"/>
          </w:tcPr>
          <w:p>
            <w:pPr>
              <w:spacing w:after="20"/>
              <w:jc w:val="right"/>
            </w:pPr>
            <w:r>
              <w:rPr>
                <w:color w:val="1C3A36"/>
                <w:sz w:val="18"/>
              </w:rPr>
              <w:t>stable</w:t>
            </w:r>
          </w:p>
        </w:tc>
      </w:tr>
    </w:tbl>
    <w:p>
      <w:pPr>
        <w:spacing w:after="40"/>
      </w:pPr>
    </w:p>
    <w:p>
      <w:pPr>
        <w:spacing w:after="200" w:before="0"/>
      </w:pPr>
      <w:r>
        <w:rPr>
          <w:b w:val="0"/>
          <w:i/>
          <w:color w:val="6E7B77"/>
          <w:sz w:val="17"/>
        </w:rPr>
        <w:t>Table 4 — The reinvestment record, buildable because capital expenditure is disclosed for all three years. FY2023 spent less than it depreciated; FY2024 and FY2025 carried the alternative-fuel and silo programmes on top of maintenance.</w:t>
      </w:r>
    </w:p>
    <w:p>
      <w:pPr>
        <w:spacing w:after="120" w:before="0"/>
      </w:pPr>
      <w:r>
        <w:rPr>
          <w:b w:val="0"/>
          <w:i w:val="0"/>
          <w:color w:val="1C3A36"/>
          <w:sz w:val="21"/>
        </w:rPr>
        <w:t>That has a direct consequence for the forecast, and it is treated as one. Capital expenditure is NOT set at book depreciation. It is set at the economic maintenance level of USD 4.00 per tonne of installed capacity — about EGP 1,012mn in FY2026 against a book charge of EGP 326mn. Setting capex equal to book depreciation would flatter free cash flow by construction; the cost of refusing to do so is computed in section 1.9 and is worth +13.1% of the cash-flow lens. The audited FY2024 and FY2025 outturns of EGP 912mn and EGP 796mn — USD 4.1 and USD 3.2 a tonne — bracket the assumption, and both of those years carried growth projects as well as maintenance.</w:t>
      </w:r>
    </w:p>
    <w:p>
      <w:pPr>
        <w:spacing w:after="80" w:before="200"/>
      </w:pPr>
      <w:r>
        <w:rPr>
          <w:b/>
          <w:i w:val="0"/>
          <w:color w:val="1C3A36"/>
          <w:sz w:val="24"/>
        </w:rPr>
        <w:t>1.4  The cost of capital, and a debt book that changed currency</w:t>
      </w:r>
    </w:p>
    <w:p>
      <w:pPr>
        <w:spacing w:after="120" w:before="0"/>
      </w:pPr>
      <w:r>
        <w:rPr>
          <w:b w:val="0"/>
          <w:i w:val="0"/>
          <w:color w:val="1C3A36"/>
          <w:sz w:val="21"/>
        </w:rPr>
        <w:t>The discount rate is a schedule, not a number. Egypt is in monetary transition: the central bank held its main operation rate at 19.50% through the first half of 2026 while headline inflation eased to 14.3%, and its own published medium-term target is 7%. A single flat rate applied to both the explicit years and a perpetuity would assert that Egypt's cost of capital never normalises.</w:t>
      </w:r>
    </w:p>
    <w:p>
      <w:pPr>
        <w:spacing w:after="120" w:before="0"/>
      </w:pPr>
      <w:r>
        <w:rPr>
          <w:b w:val="0"/>
          <w:i w:val="0"/>
          <w:color w:val="1C3A36"/>
          <w:sz w:val="21"/>
        </w:rPr>
        <w:t>The cost of DEBT is the line the audited accounts changed most. During 2025 the company refinanced out of pound working-capital facilities and into euro term debt: a EUR 25mn facility from the European Bank for Reconstruction and Development at three-month Euribor plus 4.35%, drawn to EUR 18.5mn to fund alternative-fuel capacity and hydrogen injection, and a EUR 3.09mn National Bank of Egypt facility under a KfW industrial-pollution programme at six-month Euribor plus 3%. 91.1% of the interest-bearing book is now euro-denominated.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44"/>
        <w:gridCol w:w="1728"/>
        <w:gridCol w:w="1440"/>
        <w:gridCol w:w="2304"/>
      </w:tblGrid>
      <w:tr>
        <w:tc>
          <w:tcPr>
            <w:tcW w:type="dxa" w:w="3744"/>
            <w:shd w:val="clear" w:color="auto" w:fill="EAF0EE"/>
          </w:tcPr>
          <w:p>
            <w:pPr>
              <w:spacing w:after="20"/>
            </w:pPr>
            <w:r>
              <w:rPr>
                <w:b/>
                <w:color w:val="1C3A36"/>
                <w:sz w:val="18"/>
              </w:rPr>
              <w:t>Facility</w:t>
            </w:r>
          </w:p>
        </w:tc>
        <w:tc>
          <w:tcPr>
            <w:tcW w:type="dxa" w:w="1728"/>
            <w:shd w:val="clear" w:color="auto" w:fill="EAF0EE"/>
          </w:tcPr>
          <w:p>
            <w:pPr>
              <w:spacing w:after="20"/>
            </w:pPr>
            <w:r>
              <w:rPr>
                <w:b/>
                <w:color w:val="1C3A36"/>
                <w:sz w:val="18"/>
              </w:rPr>
              <w:t>Balance (EGP mn)</w:t>
            </w:r>
          </w:p>
        </w:tc>
        <w:tc>
          <w:tcPr>
            <w:tcW w:type="dxa" w:w="1440"/>
            <w:shd w:val="clear" w:color="auto" w:fill="EAF0EE"/>
          </w:tcPr>
          <w:p>
            <w:pPr>
              <w:spacing w:after="20"/>
            </w:pPr>
            <w:r>
              <w:rPr>
                <w:b/>
                <w:color w:val="1C3A36"/>
                <w:sz w:val="18"/>
              </w:rPr>
              <w:t>Currency</w:t>
            </w:r>
          </w:p>
        </w:tc>
        <w:tc>
          <w:tcPr>
            <w:tcW w:type="dxa" w:w="2304"/>
            <w:shd w:val="clear" w:color="auto" w:fill="EAF0EE"/>
          </w:tcPr>
          <w:p>
            <w:pPr>
              <w:spacing w:after="20"/>
            </w:pPr>
            <w:r>
              <w:rPr>
                <w:b/>
                <w:color w:val="1C3A36"/>
                <w:sz w:val="18"/>
              </w:rPr>
              <w:t>Contractual rate</w:t>
            </w:r>
          </w:p>
        </w:tc>
      </w:tr>
      <w:tr>
        <w:tc>
          <w:tcPr>
            <w:tcW w:type="dxa" w:w="3744"/>
          </w:tcPr>
          <w:p>
            <w:pPr>
              <w:spacing w:after="20"/>
            </w:pPr>
            <w:r>
              <w:rPr>
                <w:color w:val="1C3A36"/>
                <w:sz w:val="18"/>
              </w:rPr>
              <w:t>CIB credit facilities</w:t>
            </w:r>
          </w:p>
        </w:tc>
        <w:tc>
          <w:tcPr>
            <w:tcW w:type="dxa" w:w="1728"/>
          </w:tcPr>
          <w:p>
            <w:pPr>
              <w:spacing w:after="20"/>
              <w:jc w:val="right"/>
            </w:pPr>
            <w:r>
              <w:rPr>
                <w:color w:val="1C3A36"/>
                <w:sz w:val="18"/>
              </w:rPr>
              <w:t>100</w:t>
            </w:r>
          </w:p>
        </w:tc>
        <w:tc>
          <w:tcPr>
            <w:tcW w:type="dxa" w:w="1440"/>
          </w:tcPr>
          <w:p>
            <w:pPr>
              <w:spacing w:after="20"/>
              <w:jc w:val="right"/>
            </w:pPr>
            <w:r>
              <w:rPr>
                <w:color w:val="1C3A36"/>
                <w:sz w:val="18"/>
              </w:rPr>
              <w:t>EGP</w:t>
            </w:r>
          </w:p>
        </w:tc>
        <w:tc>
          <w:tcPr>
            <w:tcW w:type="dxa" w:w="2304"/>
          </w:tcPr>
          <w:p>
            <w:pPr>
              <w:spacing w:after="20"/>
              <w:jc w:val="right"/>
            </w:pPr>
            <w:r>
              <w:rPr>
                <w:color w:val="1C3A36"/>
                <w:sz w:val="18"/>
              </w:rPr>
              <w:t>corridor + 0.6% = 20.60%</w:t>
            </w:r>
          </w:p>
        </w:tc>
      </w:tr>
      <w:tr>
        <w:tc>
          <w:tcPr>
            <w:tcW w:type="dxa" w:w="3744"/>
          </w:tcPr>
          <w:p>
            <w:pPr>
              <w:spacing w:after="20"/>
            </w:pPr>
            <w:r>
              <w:rPr>
                <w:color w:val="1C3A36"/>
                <w:sz w:val="18"/>
              </w:rPr>
              <w:t>National Bank of Egypt / KfW</w:t>
            </w:r>
          </w:p>
        </w:tc>
        <w:tc>
          <w:tcPr>
            <w:tcW w:type="dxa" w:w="1728"/>
          </w:tcPr>
          <w:p>
            <w:pPr>
              <w:spacing w:after="20"/>
              <w:jc w:val="right"/>
            </w:pPr>
            <w:r>
              <w:rPr>
                <w:color w:val="1C3A36"/>
                <w:sz w:val="18"/>
              </w:rPr>
              <w:t>146</w:t>
            </w:r>
          </w:p>
        </w:tc>
        <w:tc>
          <w:tcPr>
            <w:tcW w:type="dxa" w:w="1440"/>
          </w:tcPr>
          <w:p>
            <w:pPr>
              <w:spacing w:after="20"/>
              <w:jc w:val="right"/>
            </w:pPr>
            <w:r>
              <w:rPr>
                <w:color w:val="1C3A36"/>
                <w:sz w:val="18"/>
              </w:rPr>
              <w:t>EUR</w:t>
            </w:r>
          </w:p>
        </w:tc>
        <w:tc>
          <w:tcPr>
            <w:tcW w:type="dxa" w:w="2304"/>
          </w:tcPr>
          <w:p>
            <w:pPr>
              <w:spacing w:after="20"/>
              <w:jc w:val="right"/>
            </w:pPr>
            <w:r>
              <w:rPr>
                <w:color w:val="1C3A36"/>
                <w:sz w:val="18"/>
              </w:rPr>
              <w:t>Euribor + 3.00% = 5.49%</w:t>
            </w:r>
          </w:p>
        </w:tc>
      </w:tr>
      <w:tr>
        <w:tc>
          <w:tcPr>
            <w:tcW w:type="dxa" w:w="3744"/>
          </w:tcPr>
          <w:p>
            <w:pPr>
              <w:spacing w:after="20"/>
            </w:pPr>
            <w:r>
              <w:rPr>
                <w:color w:val="1C3A36"/>
                <w:sz w:val="18"/>
              </w:rPr>
              <w:t>European Bank for Reconstruction and Development</w:t>
            </w:r>
          </w:p>
        </w:tc>
        <w:tc>
          <w:tcPr>
            <w:tcW w:type="dxa" w:w="1728"/>
          </w:tcPr>
          <w:p>
            <w:pPr>
              <w:spacing w:after="20"/>
              <w:jc w:val="right"/>
            </w:pPr>
            <w:r>
              <w:rPr>
                <w:color w:val="1C3A36"/>
                <w:sz w:val="18"/>
              </w:rPr>
              <w:t>888</w:t>
            </w:r>
          </w:p>
        </w:tc>
        <w:tc>
          <w:tcPr>
            <w:tcW w:type="dxa" w:w="1440"/>
          </w:tcPr>
          <w:p>
            <w:pPr>
              <w:spacing w:after="20"/>
              <w:jc w:val="right"/>
            </w:pPr>
            <w:r>
              <w:rPr>
                <w:color w:val="1C3A36"/>
                <w:sz w:val="18"/>
              </w:rPr>
              <w:t>EUR</w:t>
            </w:r>
          </w:p>
        </w:tc>
        <w:tc>
          <w:tcPr>
            <w:tcW w:type="dxa" w:w="2304"/>
          </w:tcPr>
          <w:p>
            <w:pPr>
              <w:spacing w:after="20"/>
              <w:jc w:val="right"/>
            </w:pPr>
            <w:r>
              <w:rPr>
                <w:color w:val="1C3A36"/>
                <w:sz w:val="18"/>
              </w:rPr>
              <w:t>Euribor + 4.35% = 6.84%</w:t>
            </w:r>
          </w:p>
        </w:tc>
      </w:tr>
      <w:tr>
        <w:tc>
          <w:tcPr>
            <w:tcW w:type="dxa" w:w="3744"/>
          </w:tcPr>
          <w:p>
            <w:pPr>
              <w:spacing w:after="20"/>
            </w:pPr>
            <w:r>
              <w:rPr>
                <w:color w:val="1C3A36"/>
                <w:sz w:val="18"/>
              </w:rPr>
              <w:t>Lease liabilities</w:t>
            </w:r>
          </w:p>
        </w:tc>
        <w:tc>
          <w:tcPr>
            <w:tcW w:type="dxa" w:w="1728"/>
          </w:tcPr>
          <w:p>
            <w:pPr>
              <w:spacing w:after="20"/>
              <w:jc w:val="right"/>
            </w:pPr>
            <w:r>
              <w:rPr>
                <w:color w:val="1C3A36"/>
                <w:sz w:val="18"/>
              </w:rPr>
              <w:t>1.2</w:t>
            </w:r>
          </w:p>
        </w:tc>
        <w:tc>
          <w:tcPr>
            <w:tcW w:type="dxa" w:w="1440"/>
          </w:tcPr>
          <w:p>
            <w:pPr>
              <w:spacing w:after="20"/>
              <w:jc w:val="right"/>
            </w:pPr>
            <w:r>
              <w:rPr>
                <w:color w:val="1C3A36"/>
                <w:sz w:val="18"/>
              </w:rPr>
              <w:t>EGP</w:t>
            </w:r>
          </w:p>
        </w:tc>
        <w:tc>
          <w:tcPr>
            <w:tcW w:type="dxa" w:w="2304"/>
          </w:tcPr>
          <w:p>
            <w:pPr>
              <w:spacing w:after="20"/>
              <w:jc w:val="right"/>
            </w:pPr>
            <w:r>
              <w:rPr>
                <w:color w:val="1C3A36"/>
                <w:sz w:val="18"/>
              </w:rPr>
              <w:t>—</w:t>
            </w:r>
          </w:p>
        </w:tc>
      </w:tr>
      <w:tr>
        <w:tc>
          <w:tcPr>
            <w:tcW w:type="dxa" w:w="3744"/>
            <w:shd w:val="clear" w:color="auto" w:fill="F6F1E6"/>
          </w:tcPr>
          <w:p>
            <w:pPr>
              <w:spacing w:after="20"/>
            </w:pPr>
            <w:r>
              <w:rPr>
                <w:b/>
                <w:color w:val="1C3A36"/>
                <w:sz w:val="18"/>
              </w:rPr>
              <w:t>Blended cost of debt, adopted</w:t>
            </w:r>
          </w:p>
        </w:tc>
        <w:tc>
          <w:tcPr>
            <w:tcW w:type="dxa" w:w="1728"/>
            <w:shd w:val="clear" w:color="auto" w:fill="F6F1E6"/>
          </w:tcPr>
          <w:p>
            <w:pPr>
              <w:spacing w:after="20"/>
              <w:jc w:val="right"/>
            </w:pPr>
            <w:r>
              <w:rPr>
                <w:b/>
                <w:color w:val="1C3A36"/>
                <w:sz w:val="18"/>
              </w:rPr>
              <w:t>1,135</w:t>
            </w:r>
          </w:p>
        </w:tc>
        <w:tc>
          <w:tcPr>
            <w:tcW w:type="dxa" w:w="1440"/>
            <w:shd w:val="clear" w:color="auto" w:fill="F6F1E6"/>
          </w:tcPr>
          <w:p>
            <w:pPr>
              <w:spacing w:after="20"/>
              <w:jc w:val="right"/>
            </w:pPr>
            <w:r>
              <w:rPr>
                <w:b/>
                <w:color w:val="1C3A36"/>
                <w:sz w:val="18"/>
              </w:rPr>
              <w:t>91% EUR</w:t>
            </w:r>
          </w:p>
        </w:tc>
        <w:tc>
          <w:tcPr>
            <w:tcW w:type="dxa" w:w="2304"/>
            <w:shd w:val="clear" w:color="auto" w:fill="F6F1E6"/>
          </w:tcPr>
          <w:p>
            <w:pPr>
              <w:spacing w:after="20"/>
              <w:jc w:val="right"/>
            </w:pPr>
            <w:r>
              <w:rPr>
                <w:b/>
                <w:color w:val="1C3A36"/>
                <w:sz w:val="18"/>
              </w:rPr>
              <w:t>7.89%</w:t>
            </w:r>
          </w:p>
        </w:tc>
      </w:tr>
    </w:tbl>
    <w:p>
      <w:pPr>
        <w:spacing w:after="40"/>
      </w:pPr>
    </w:p>
    <w:p>
      <w:pPr>
        <w:spacing w:after="200" w:before="0"/>
      </w:pPr>
      <w:r>
        <w:rPr>
          <w:b w:val="0"/>
          <w:i/>
          <w:color w:val="6E7B77"/>
          <w:sz w:val="17"/>
        </w:rPr>
        <w:t>Table 5 — The debt book, facility by facility, from the audited borrowings note. The blended rate is built in the model from these four lines, not pasted.</w:t>
      </w:r>
    </w:p>
    <w:p>
      <w:pPr>
        <w:spacing w:after="120" w:before="0"/>
      </w:pPr>
      <w:r>
        <w:rPr>
          <w:b w:val="0"/>
          <w:i w:val="0"/>
          <w:color w:val="1C3A36"/>
          <w:sz w:val="21"/>
        </w:rPr>
        <w:t>Three checks are published rather than asserted, because a contractual rate is not the same thing as a rate paid. Interest expense over average interest-bearing debt gives 20.85% in FY2024, 5.03% in FY2025 and 3.73% annualising the first quarter of 2026. The contractual 7.89% sits ABOVE all three, and the gap is not a reconciling item to be smoothed: the book re-based mid-year, so the trailing average balance is not what carried the interest, and the borrowing that funds an asset still under construction has its interest capitalised into that asset rather than expensed. The marginal contractual rate is the right one for a forward-looking discount rate, and the gap is disclosed so the reader can disagree.</w:t>
      </w:r>
    </w:p>
    <w:p>
      <w:pPr>
        <w:spacing w:after="120" w:before="0"/>
      </w:pPr>
      <w:r>
        <w:rPr>
          <w:b w:val="0"/>
          <w:i w:val="0"/>
          <w:color w:val="1C3A36"/>
          <w:sz w:val="21"/>
        </w:rPr>
        <w:t>One caution belongs next to that number. Adopting the contracted euro rate means the euro debt is NOT compensated for pound depreciation beyond what this study's own currency path already assumes. Loading the euro legs with 6% annual pound depreciation under interest parity gives a pound-equivalent cost of debt of 13.36% — nearly twice the adopted figure. The alternative is computed as a VALUE and not merely described: it is worth +3.1% of the cash-flow lens, because debt is only 4.9% of the capital structure. A large swing in a small weight is still a small effect, and saying so is not the same as dismissing it.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176"/>
        <w:gridCol w:w="2592"/>
        <w:gridCol w:w="2592"/>
      </w:tblGrid>
      <w:tr>
        <w:tc>
          <w:tcPr>
            <w:tcW w:type="dxa" w:w="4176"/>
            <w:shd w:val="clear" w:color="auto" w:fill="EAF0EE"/>
          </w:tcPr>
          <w:p>
            <w:pPr>
              <w:spacing w:after="20"/>
            </w:pPr>
            <w:r>
              <w:rPr>
                <w:b/>
                <w:color w:val="1C3A36"/>
                <w:sz w:val="18"/>
              </w:rPr>
            </w:r>
          </w:p>
        </w:tc>
        <w:tc>
          <w:tcPr>
            <w:tcW w:type="dxa" w:w="2592"/>
            <w:shd w:val="clear" w:color="auto" w:fill="EAF0EE"/>
          </w:tcPr>
          <w:p>
            <w:pPr>
              <w:spacing w:after="20"/>
            </w:pPr>
            <w:r>
              <w:rPr>
                <w:b/>
                <w:color w:val="1C3A36"/>
                <w:sz w:val="18"/>
              </w:rPr>
              <w:t>Explicit window</w:t>
            </w:r>
          </w:p>
        </w:tc>
        <w:tc>
          <w:tcPr>
            <w:tcW w:type="dxa" w:w="2592"/>
            <w:shd w:val="clear" w:color="auto" w:fill="EAF0EE"/>
          </w:tcPr>
          <w:p>
            <w:pPr>
              <w:spacing w:after="20"/>
            </w:pPr>
            <w:r>
              <w:rPr>
                <w:b/>
                <w:color w:val="1C3A36"/>
                <w:sz w:val="18"/>
              </w:rPr>
              <w:t>Terminal</w:t>
            </w:r>
          </w:p>
        </w:tc>
      </w:tr>
      <w:tr>
        <w:tc>
          <w:tcPr>
            <w:tcW w:type="dxa" w:w="4176"/>
          </w:tcPr>
          <w:p>
            <w:pPr>
              <w:spacing w:after="20"/>
            </w:pPr>
            <w:r>
              <w:rPr>
                <w:color w:val="1C3A36"/>
                <w:sz w:val="18"/>
              </w:rPr>
              <w:t>Risk-free rate</w:t>
            </w:r>
          </w:p>
        </w:tc>
        <w:tc>
          <w:tcPr>
            <w:tcW w:type="dxa" w:w="2592"/>
          </w:tcPr>
          <w:p>
            <w:pPr>
              <w:spacing w:after="20"/>
              <w:jc w:val="right"/>
            </w:pPr>
            <w:r>
              <w:rPr>
                <w:color w:val="1C3A36"/>
                <w:sz w:val="18"/>
              </w:rPr>
              <w:t>22.95%</w:t>
            </w:r>
          </w:p>
        </w:tc>
        <w:tc>
          <w:tcPr>
            <w:tcW w:type="dxa" w:w="2592"/>
          </w:tcPr>
          <w:p>
            <w:pPr>
              <w:spacing w:after="20"/>
              <w:jc w:val="right"/>
            </w:pPr>
            <w:r>
              <w:rPr>
                <w:color w:val="1C3A36"/>
                <w:sz w:val="18"/>
              </w:rPr>
              <w:t>10.50%</w:t>
            </w:r>
          </w:p>
        </w:tc>
      </w:tr>
      <w:tr>
        <w:tc>
          <w:tcPr>
            <w:tcW w:type="dxa" w:w="4176"/>
          </w:tcPr>
          <w:p>
            <w:pPr>
              <w:spacing w:after="20"/>
            </w:pPr>
            <w:r>
              <w:rPr>
                <w:color w:val="1C3A36"/>
                <w:sz w:val="18"/>
              </w:rPr>
              <w:t>Less sovereign default spread</w:t>
            </w:r>
          </w:p>
        </w:tc>
        <w:tc>
          <w:tcPr>
            <w:tcW w:type="dxa" w:w="2592"/>
          </w:tcPr>
          <w:p>
            <w:pPr>
              <w:spacing w:after="20"/>
              <w:jc w:val="right"/>
            </w:pPr>
            <w:r>
              <w:rPr>
                <w:color w:val="1C3A36"/>
                <w:sz w:val="18"/>
              </w:rPr>
              <w:t>(3.40%)</w:t>
            </w:r>
          </w:p>
        </w:tc>
        <w:tc>
          <w:tcPr>
            <w:tcW w:type="dxa" w:w="2592"/>
          </w:tcPr>
          <w:p>
            <w:pPr>
              <w:spacing w:after="20"/>
              <w:jc w:val="right"/>
            </w:pPr>
            <w:r>
              <w:rPr>
                <w:color w:val="1C3A36"/>
                <w:sz w:val="18"/>
              </w:rPr>
              <w:t>—</w:t>
            </w:r>
          </w:p>
        </w:tc>
      </w:tr>
      <w:tr>
        <w:tc>
          <w:tcPr>
            <w:tcW w:type="dxa" w:w="4176"/>
          </w:tcPr>
          <w:p>
            <w:pPr>
              <w:spacing w:after="20"/>
            </w:pPr>
            <w:r>
              <w:rPr>
                <w:color w:val="1C3A36"/>
                <w:sz w:val="18"/>
              </w:rPr>
              <w:t>Normalised risk-free rate</w:t>
            </w:r>
          </w:p>
        </w:tc>
        <w:tc>
          <w:tcPr>
            <w:tcW w:type="dxa" w:w="2592"/>
          </w:tcPr>
          <w:p>
            <w:pPr>
              <w:spacing w:after="20"/>
              <w:jc w:val="right"/>
            </w:pPr>
            <w:r>
              <w:rPr>
                <w:color w:val="1C3A36"/>
                <w:sz w:val="18"/>
              </w:rPr>
              <w:t>19.55%</w:t>
            </w:r>
          </w:p>
        </w:tc>
        <w:tc>
          <w:tcPr>
            <w:tcW w:type="dxa" w:w="2592"/>
          </w:tcPr>
          <w:p>
            <w:pPr>
              <w:spacing w:after="20"/>
              <w:jc w:val="right"/>
            </w:pPr>
            <w:r>
              <w:rPr>
                <w:color w:val="1C3A36"/>
                <w:sz w:val="18"/>
              </w:rPr>
              <w:t>10.50%</w:t>
            </w:r>
          </w:p>
        </w:tc>
      </w:tr>
      <w:tr>
        <w:tc>
          <w:tcPr>
            <w:tcW w:type="dxa" w:w="4176"/>
          </w:tcPr>
          <w:p>
            <w:pPr>
              <w:spacing w:after="20"/>
            </w:pPr>
            <w:r>
              <w:rPr>
                <w:color w:val="1C3A36"/>
                <w:sz w:val="18"/>
              </w:rPr>
              <w:t>Beta</w:t>
            </w:r>
          </w:p>
        </w:tc>
        <w:tc>
          <w:tcPr>
            <w:tcW w:type="dxa" w:w="2592"/>
          </w:tcPr>
          <w:p>
            <w:pPr>
              <w:spacing w:after="20"/>
              <w:jc w:val="right"/>
            </w:pPr>
            <w:r>
              <w:rPr>
                <w:color w:val="1C3A36"/>
                <w:sz w:val="18"/>
              </w:rPr>
              <w:t>0.628</w:t>
            </w:r>
          </w:p>
        </w:tc>
        <w:tc>
          <w:tcPr>
            <w:tcW w:type="dxa" w:w="2592"/>
          </w:tcPr>
          <w:p>
            <w:pPr>
              <w:spacing w:after="20"/>
              <w:jc w:val="right"/>
            </w:pPr>
            <w:r>
              <w:rPr>
                <w:color w:val="1C3A36"/>
                <w:sz w:val="18"/>
              </w:rPr>
              <w:t>0.721</w:t>
            </w:r>
          </w:p>
        </w:tc>
      </w:tr>
      <w:tr>
        <w:tc>
          <w:tcPr>
            <w:tcW w:type="dxa" w:w="4176"/>
          </w:tcPr>
          <w:p>
            <w:pPr>
              <w:spacing w:after="20"/>
            </w:pPr>
            <w:r>
              <w:rPr>
                <w:color w:val="1C3A36"/>
                <w:sz w:val="18"/>
              </w:rPr>
              <w:t>Equity risk premium</w:t>
            </w:r>
          </w:p>
        </w:tc>
        <w:tc>
          <w:tcPr>
            <w:tcW w:type="dxa" w:w="2592"/>
          </w:tcPr>
          <w:p>
            <w:pPr>
              <w:spacing w:after="20"/>
              <w:jc w:val="right"/>
            </w:pPr>
            <w:r>
              <w:rPr>
                <w:color w:val="1C3A36"/>
                <w:sz w:val="18"/>
              </w:rPr>
              <w:t>9.41%</w:t>
            </w:r>
          </w:p>
        </w:tc>
        <w:tc>
          <w:tcPr>
            <w:tcW w:type="dxa" w:w="2592"/>
          </w:tcPr>
          <w:p>
            <w:pPr>
              <w:spacing w:after="20"/>
              <w:jc w:val="right"/>
            </w:pPr>
            <w:r>
              <w:rPr>
                <w:color w:val="1C3A36"/>
                <w:sz w:val="18"/>
              </w:rPr>
              <w:t>7.00%</w:t>
            </w:r>
          </w:p>
        </w:tc>
      </w:tr>
      <w:tr>
        <w:tc>
          <w:tcPr>
            <w:tcW w:type="dxa" w:w="4176"/>
          </w:tcPr>
          <w:p>
            <w:pPr>
              <w:spacing w:after="20"/>
            </w:pPr>
            <w:r>
              <w:rPr>
                <w:color w:val="1C3A36"/>
                <w:sz w:val="18"/>
              </w:rPr>
              <w:t>Cost of equity</w:t>
            </w:r>
          </w:p>
        </w:tc>
        <w:tc>
          <w:tcPr>
            <w:tcW w:type="dxa" w:w="2592"/>
          </w:tcPr>
          <w:p>
            <w:pPr>
              <w:spacing w:after="20"/>
              <w:jc w:val="right"/>
            </w:pPr>
            <w:r>
              <w:rPr>
                <w:color w:val="1C3A36"/>
                <w:sz w:val="18"/>
              </w:rPr>
              <w:t>25.46%</w:t>
            </w:r>
          </w:p>
        </w:tc>
        <w:tc>
          <w:tcPr>
            <w:tcW w:type="dxa" w:w="2592"/>
          </w:tcPr>
          <w:p>
            <w:pPr>
              <w:spacing w:after="20"/>
              <w:jc w:val="right"/>
            </w:pPr>
            <w:r>
              <w:rPr>
                <w:color w:val="1C3A36"/>
                <w:sz w:val="18"/>
              </w:rPr>
              <w:t>15.55%</w:t>
            </w:r>
          </w:p>
        </w:tc>
      </w:tr>
      <w:tr>
        <w:tc>
          <w:tcPr>
            <w:tcW w:type="dxa" w:w="4176"/>
          </w:tcPr>
          <w:p>
            <w:pPr>
              <w:spacing w:after="20"/>
            </w:pPr>
            <w:r>
              <w:rPr>
                <w:color w:val="1C3A36"/>
                <w:sz w:val="18"/>
              </w:rPr>
              <w:t>Cost of debt after tax</w:t>
            </w:r>
          </w:p>
        </w:tc>
        <w:tc>
          <w:tcPr>
            <w:tcW w:type="dxa" w:w="2592"/>
          </w:tcPr>
          <w:p>
            <w:pPr>
              <w:spacing w:after="20"/>
              <w:jc w:val="right"/>
            </w:pPr>
            <w:r>
              <w:rPr>
                <w:color w:val="1C3A36"/>
                <w:sz w:val="18"/>
              </w:rPr>
              <w:t>6.12%</w:t>
            </w:r>
          </w:p>
        </w:tc>
        <w:tc>
          <w:tcPr>
            <w:tcW w:type="dxa" w:w="2592"/>
          </w:tcPr>
          <w:p>
            <w:pPr>
              <w:spacing w:after="20"/>
              <w:jc w:val="right"/>
            </w:pPr>
            <w:r>
              <w:rPr>
                <w:color w:val="1C3A36"/>
                <w:sz w:val="18"/>
              </w:rPr>
              <w:t>10.46%</w:t>
            </w:r>
          </w:p>
        </w:tc>
      </w:tr>
      <w:tr>
        <w:tc>
          <w:tcPr>
            <w:tcW w:type="dxa" w:w="4176"/>
          </w:tcPr>
          <w:p>
            <w:pPr>
              <w:spacing w:after="20"/>
            </w:pPr>
            <w:r>
              <w:rPr>
                <w:color w:val="1C3A36"/>
                <w:sz w:val="18"/>
              </w:rPr>
              <w:t>Debt weight</w:t>
            </w:r>
          </w:p>
        </w:tc>
        <w:tc>
          <w:tcPr>
            <w:tcW w:type="dxa" w:w="2592"/>
          </w:tcPr>
          <w:p>
            <w:pPr>
              <w:spacing w:after="20"/>
              <w:jc w:val="right"/>
            </w:pPr>
            <w:r>
              <w:rPr>
                <w:color w:val="1C3A36"/>
                <w:sz w:val="18"/>
              </w:rPr>
              <w:t>4.88%</w:t>
            </w:r>
          </w:p>
        </w:tc>
        <w:tc>
          <w:tcPr>
            <w:tcW w:type="dxa" w:w="2592"/>
          </w:tcPr>
          <w:p>
            <w:pPr>
              <w:spacing w:after="20"/>
              <w:jc w:val="right"/>
            </w:pPr>
            <w:r>
              <w:rPr>
                <w:color w:val="1C3A36"/>
                <w:sz w:val="18"/>
              </w:rPr>
              <w:t>20.0%</w:t>
            </w:r>
          </w:p>
        </w:tc>
      </w:tr>
      <w:tr>
        <w:tc>
          <w:tcPr>
            <w:tcW w:type="dxa" w:w="4176"/>
            <w:shd w:val="clear" w:color="auto" w:fill="F6F1E6"/>
          </w:tcPr>
          <w:p>
            <w:pPr>
              <w:spacing w:after="20"/>
            </w:pPr>
            <w:r>
              <w:rPr>
                <w:b/>
                <w:color w:val="1C3A36"/>
                <w:sz w:val="18"/>
              </w:rPr>
              <w:t>Blended cost of capital</w:t>
            </w:r>
          </w:p>
        </w:tc>
        <w:tc>
          <w:tcPr>
            <w:tcW w:type="dxa" w:w="2592"/>
            <w:shd w:val="clear" w:color="auto" w:fill="F6F1E6"/>
          </w:tcPr>
          <w:p>
            <w:pPr>
              <w:spacing w:after="20"/>
              <w:jc w:val="right"/>
            </w:pPr>
            <w:r>
              <w:rPr>
                <w:b/>
                <w:color w:val="1C3A36"/>
                <w:sz w:val="18"/>
              </w:rPr>
              <w:t>24.52%</w:t>
            </w:r>
          </w:p>
        </w:tc>
        <w:tc>
          <w:tcPr>
            <w:tcW w:type="dxa" w:w="2592"/>
            <w:shd w:val="clear" w:color="auto" w:fill="F6F1E6"/>
          </w:tcPr>
          <w:p>
            <w:pPr>
              <w:spacing w:after="20"/>
              <w:jc w:val="right"/>
            </w:pPr>
            <w:r>
              <w:rPr>
                <w:b/>
                <w:color w:val="1C3A36"/>
                <w:sz w:val="18"/>
              </w:rPr>
              <w:t>14.53%</w:t>
            </w:r>
          </w:p>
        </w:tc>
      </w:tr>
    </w:tbl>
    <w:p>
      <w:pPr>
        <w:spacing w:after="40"/>
      </w:pPr>
    </w:p>
    <w:p>
      <w:pPr>
        <w:spacing w:after="200" w:before="0"/>
      </w:pPr>
      <w:r>
        <w:rPr>
          <w:b w:val="0"/>
          <w:i/>
          <w:color w:val="6E7B77"/>
          <w:sz w:val="17"/>
        </w:rPr>
        <w:t>Table 6 — The two anchors. The sovereign default spread is netted OUT of the local risk-free rate before a country equity premium is added, so Egypt's default risk is charged once rather than twice; leaving it in would have put the cost of equity at 28.86% instead of 25.46%.</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33"/>
        <w:gridCol w:w="1526"/>
        <w:gridCol w:w="1526"/>
        <w:gridCol w:w="1526"/>
        <w:gridCol w:w="1526"/>
        <w:gridCol w:w="1526"/>
      </w:tblGrid>
      <w:tr>
        <w:tc>
          <w:tcPr>
            <w:tcW w:type="dxa" w:w="2333"/>
            <w:shd w:val="clear" w:color="auto" w:fill="EAF0EE"/>
          </w:tcPr>
          <w:p>
            <w:pPr>
              <w:spacing w:after="20"/>
            </w:pPr>
            <w:r>
              <w:rPr>
                <w:b/>
                <w:color w:val="1C3A36"/>
                <w:sz w:val="18"/>
              </w:rPr>
              <w:t>Year</w:t>
            </w:r>
          </w:p>
        </w:tc>
        <w:tc>
          <w:tcPr>
            <w:tcW w:type="dxa" w:w="1526"/>
            <w:shd w:val="clear" w:color="auto" w:fill="EAF0EE"/>
          </w:tcPr>
          <w:p>
            <w:pPr>
              <w:spacing w:after="20"/>
            </w:pPr>
            <w:r>
              <w:rPr>
                <w:b/>
                <w:color w:val="1C3A36"/>
                <w:sz w:val="18"/>
              </w:rPr>
              <w:t>FY2026E</w:t>
            </w:r>
          </w:p>
        </w:tc>
        <w:tc>
          <w:tcPr>
            <w:tcW w:type="dxa" w:w="1526"/>
            <w:shd w:val="clear" w:color="auto" w:fill="EAF0EE"/>
          </w:tcPr>
          <w:p>
            <w:pPr>
              <w:spacing w:after="20"/>
            </w:pPr>
            <w:r>
              <w:rPr>
                <w:b/>
                <w:color w:val="1C3A36"/>
                <w:sz w:val="18"/>
              </w:rPr>
              <w:t>FY2027E</w:t>
            </w:r>
          </w:p>
        </w:tc>
        <w:tc>
          <w:tcPr>
            <w:tcW w:type="dxa" w:w="1526"/>
            <w:shd w:val="clear" w:color="auto" w:fill="EAF0EE"/>
          </w:tcPr>
          <w:p>
            <w:pPr>
              <w:spacing w:after="20"/>
            </w:pPr>
            <w:r>
              <w:rPr>
                <w:b/>
                <w:color w:val="1C3A36"/>
                <w:sz w:val="18"/>
              </w:rPr>
              <w:t>FY2028E</w:t>
            </w:r>
          </w:p>
        </w:tc>
        <w:tc>
          <w:tcPr>
            <w:tcW w:type="dxa" w:w="1526"/>
            <w:shd w:val="clear" w:color="auto" w:fill="EAF0EE"/>
          </w:tcPr>
          <w:p>
            <w:pPr>
              <w:spacing w:after="20"/>
            </w:pPr>
            <w:r>
              <w:rPr>
                <w:b/>
                <w:color w:val="1C3A36"/>
                <w:sz w:val="18"/>
              </w:rPr>
              <w:t>FY2029E</w:t>
            </w:r>
          </w:p>
        </w:tc>
        <w:tc>
          <w:tcPr>
            <w:tcW w:type="dxa" w:w="1526"/>
            <w:shd w:val="clear" w:color="auto" w:fill="EAF0EE"/>
          </w:tcPr>
          <w:p>
            <w:pPr>
              <w:spacing w:after="20"/>
            </w:pPr>
            <w:r>
              <w:rPr>
                <w:b/>
                <w:color w:val="1C3A36"/>
                <w:sz w:val="18"/>
              </w:rPr>
              <w:t>FY2030E</w:t>
            </w:r>
          </w:p>
        </w:tc>
      </w:tr>
      <w:tr>
        <w:tc>
          <w:tcPr>
            <w:tcW w:type="dxa" w:w="2333"/>
          </w:tcPr>
          <w:p>
            <w:pPr>
              <w:spacing w:after="20"/>
            </w:pPr>
            <w:r>
              <w:rPr>
                <w:color w:val="1C3A36"/>
                <w:sz w:val="18"/>
              </w:rPr>
              <w:t>Glide fraction</w:t>
            </w:r>
          </w:p>
        </w:tc>
        <w:tc>
          <w:tcPr>
            <w:tcW w:type="dxa" w:w="1526"/>
          </w:tcPr>
          <w:p>
            <w:pPr>
              <w:spacing w:after="20"/>
              <w:jc w:val="right"/>
            </w:pPr>
            <w:r>
              <w:rPr>
                <w:color w:val="1C3A36"/>
                <w:sz w:val="18"/>
              </w:rPr>
              <w:t>0.000</w:t>
            </w:r>
          </w:p>
        </w:tc>
        <w:tc>
          <w:tcPr>
            <w:tcW w:type="dxa" w:w="1526"/>
          </w:tcPr>
          <w:p>
            <w:pPr>
              <w:spacing w:after="20"/>
              <w:jc w:val="right"/>
            </w:pPr>
            <w:r>
              <w:rPr>
                <w:color w:val="1C3A36"/>
                <w:sz w:val="18"/>
              </w:rPr>
              <w:t>0.379</w:t>
            </w:r>
          </w:p>
        </w:tc>
        <w:tc>
          <w:tcPr>
            <w:tcW w:type="dxa" w:w="1526"/>
          </w:tcPr>
          <w:p>
            <w:pPr>
              <w:spacing w:after="20"/>
              <w:jc w:val="right"/>
            </w:pPr>
            <w:r>
              <w:rPr>
                <w:color w:val="1C3A36"/>
                <w:sz w:val="18"/>
              </w:rPr>
              <w:t>0.682</w:t>
            </w:r>
          </w:p>
        </w:tc>
        <w:tc>
          <w:tcPr>
            <w:tcW w:type="dxa" w:w="1526"/>
          </w:tcPr>
          <w:p>
            <w:pPr>
              <w:spacing w:after="20"/>
              <w:jc w:val="right"/>
            </w:pPr>
            <w:r>
              <w:rPr>
                <w:color w:val="1C3A36"/>
                <w:sz w:val="18"/>
              </w:rPr>
              <w:t>0.864</w:t>
            </w:r>
          </w:p>
        </w:tc>
        <w:tc>
          <w:tcPr>
            <w:tcW w:type="dxa" w:w="1526"/>
          </w:tcPr>
          <w:p>
            <w:pPr>
              <w:spacing w:after="20"/>
              <w:jc w:val="right"/>
            </w:pPr>
            <w:r>
              <w:rPr>
                <w:color w:val="1C3A36"/>
                <w:sz w:val="18"/>
              </w:rPr>
              <w:t>1.000</w:t>
            </w:r>
          </w:p>
        </w:tc>
      </w:tr>
      <w:tr>
        <w:tc>
          <w:tcPr>
            <w:tcW w:type="dxa" w:w="2333"/>
          </w:tcPr>
          <w:p>
            <w:pPr>
              <w:spacing w:after="20"/>
            </w:pPr>
            <w:r>
              <w:rPr>
                <w:color w:val="1C3A36"/>
                <w:sz w:val="18"/>
              </w:rPr>
              <w:t>Forward cost of capital</w:t>
            </w:r>
          </w:p>
        </w:tc>
        <w:tc>
          <w:tcPr>
            <w:tcW w:type="dxa" w:w="1526"/>
          </w:tcPr>
          <w:p>
            <w:pPr>
              <w:spacing w:after="20"/>
              <w:jc w:val="right"/>
            </w:pPr>
            <w:r>
              <w:rPr>
                <w:color w:val="1C3A36"/>
                <w:sz w:val="18"/>
              </w:rPr>
              <w:t>24.52%</w:t>
            </w:r>
          </w:p>
        </w:tc>
        <w:tc>
          <w:tcPr>
            <w:tcW w:type="dxa" w:w="1526"/>
          </w:tcPr>
          <w:p>
            <w:pPr>
              <w:spacing w:after="20"/>
              <w:jc w:val="right"/>
            </w:pPr>
            <w:r>
              <w:rPr>
                <w:color w:val="1C3A36"/>
                <w:sz w:val="18"/>
              </w:rPr>
              <w:t>20.73%</w:t>
            </w:r>
          </w:p>
        </w:tc>
        <w:tc>
          <w:tcPr>
            <w:tcW w:type="dxa" w:w="1526"/>
          </w:tcPr>
          <w:p>
            <w:pPr>
              <w:spacing w:after="20"/>
              <w:jc w:val="right"/>
            </w:pPr>
            <w:r>
              <w:rPr>
                <w:color w:val="1C3A36"/>
                <w:sz w:val="18"/>
              </w:rPr>
              <w:t>17.71%</w:t>
            </w:r>
          </w:p>
        </w:tc>
        <w:tc>
          <w:tcPr>
            <w:tcW w:type="dxa" w:w="1526"/>
          </w:tcPr>
          <w:p>
            <w:pPr>
              <w:spacing w:after="20"/>
              <w:jc w:val="right"/>
            </w:pPr>
            <w:r>
              <w:rPr>
                <w:color w:val="1C3A36"/>
                <w:sz w:val="18"/>
              </w:rPr>
              <w:t>15.89%</w:t>
            </w:r>
          </w:p>
        </w:tc>
        <w:tc>
          <w:tcPr>
            <w:tcW w:type="dxa" w:w="1526"/>
          </w:tcPr>
          <w:p>
            <w:pPr>
              <w:spacing w:after="20"/>
              <w:jc w:val="right"/>
            </w:pPr>
            <w:r>
              <w:rPr>
                <w:color w:val="1C3A36"/>
                <w:sz w:val="18"/>
              </w:rPr>
              <w:t>14.53%</w:t>
            </w:r>
          </w:p>
        </w:tc>
      </w:tr>
      <w:tr>
        <w:tc>
          <w:tcPr>
            <w:tcW w:type="dxa" w:w="2333"/>
          </w:tcPr>
          <w:p>
            <w:pPr>
              <w:spacing w:after="20"/>
            </w:pPr>
            <w:r>
              <w:rPr>
                <w:color w:val="1C3A36"/>
                <w:sz w:val="18"/>
              </w:rPr>
              <w:t>Cumulative discount factor</w:t>
            </w:r>
          </w:p>
        </w:tc>
        <w:tc>
          <w:tcPr>
            <w:tcW w:type="dxa" w:w="1526"/>
          </w:tcPr>
          <w:p>
            <w:pPr>
              <w:spacing w:after="20"/>
              <w:jc w:val="right"/>
            </w:pPr>
            <w:r>
              <w:rPr>
                <w:color w:val="1C3A36"/>
                <w:sz w:val="18"/>
              </w:rPr>
              <w:t>0.9553</w:t>
            </w:r>
          </w:p>
        </w:tc>
        <w:tc>
          <w:tcPr>
            <w:tcW w:type="dxa" w:w="1526"/>
          </w:tcPr>
          <w:p>
            <w:pPr>
              <w:spacing w:after="20"/>
              <w:jc w:val="right"/>
            </w:pPr>
            <w:r>
              <w:rPr>
                <w:color w:val="1C3A36"/>
                <w:sz w:val="18"/>
              </w:rPr>
              <w:t>0.8306</w:t>
            </w:r>
          </w:p>
        </w:tc>
        <w:tc>
          <w:tcPr>
            <w:tcW w:type="dxa" w:w="1526"/>
          </w:tcPr>
          <w:p>
            <w:pPr>
              <w:spacing w:after="20"/>
              <w:jc w:val="right"/>
            </w:pPr>
            <w:r>
              <w:rPr>
                <w:color w:val="1C3A36"/>
                <w:sz w:val="18"/>
              </w:rPr>
              <w:t>0.6967</w:t>
            </w:r>
          </w:p>
        </w:tc>
        <w:tc>
          <w:tcPr>
            <w:tcW w:type="dxa" w:w="1526"/>
          </w:tcPr>
          <w:p>
            <w:pPr>
              <w:spacing w:after="20"/>
              <w:jc w:val="right"/>
            </w:pPr>
            <w:r>
              <w:rPr>
                <w:color w:val="1C3A36"/>
                <w:sz w:val="18"/>
              </w:rPr>
              <w:t>0.5965</w:t>
            </w:r>
          </w:p>
        </w:tc>
        <w:tc>
          <w:tcPr>
            <w:tcW w:type="dxa" w:w="1526"/>
          </w:tcPr>
          <w:p>
            <w:pPr>
              <w:spacing w:after="20"/>
              <w:jc w:val="right"/>
            </w:pPr>
            <w:r>
              <w:rPr>
                <w:color w:val="1C3A36"/>
                <w:sz w:val="18"/>
              </w:rPr>
              <w:t>0.5178</w:t>
            </w:r>
          </w:p>
        </w:tc>
      </w:tr>
    </w:tbl>
    <w:p>
      <w:pPr>
        <w:spacing w:after="40"/>
      </w:pPr>
    </w:p>
    <w:p>
      <w:pPr>
        <w:spacing w:after="200" w:before="0"/>
      </w:pPr>
      <w:r>
        <w:rPr>
          <w:b w:val="0"/>
          <w:i/>
          <w:color w:val="6E7B77"/>
          <w:sz w:val="17"/>
        </w:rPr>
        <w:t>Table 7 — The schedule. The glide fractions are the cumulative progress of the POUND cost-of-debt path: the discount rate is a pound rate applied to pound cash flows, so the Egyptian easing calendar sets its slope while the euro debt book sets the level of the cost of debt. The terminal value is capitalised at the terminal rate and brought home on year five's own cumulative factor — one date, one price of time.</w:t>
      </w:r>
    </w:p>
    <w:p>
      <w:pPr>
        <w:spacing w:after="80" w:before="200"/>
      </w:pPr>
      <w:r>
        <w:rPr>
          <w:b/>
          <w:i w:val="0"/>
          <w:color w:val="1C3A36"/>
          <w:sz w:val="24"/>
        </w:rPr>
        <w:t>1.5  Beta, and how weak it is</w:t>
      </w:r>
    </w:p>
    <w:p>
      <w:pPr>
        <w:spacing w:after="120" w:before="0"/>
      </w:pPr>
      <w:r>
        <w:rPr>
          <w:b w:val="0"/>
          <w:i w:val="0"/>
          <w:color w:val="1C3A36"/>
          <w:sz w:val="21"/>
        </w:rPr>
        <w:t>The beta is a genuine regression, not a default. Weekly returns over five years against an equal-weight index of the 34 other Egyptian names in the library, with the subject excluded from its own index, give a beta of 0.628 on 257 observations, an R-squared of 9.1% and a standard error of 0.125. The 90% confidence interval is [0.42, 0.83].</w:t>
      </w:r>
    </w:p>
    <w:p>
      <w:pPr>
        <w:spacing w:after="120" w:before="0"/>
      </w:pPr>
      <w:r>
        <w:rPr>
          <w:b w:val="0"/>
          <w:i w:val="0"/>
          <w:color w:val="1C3A36"/>
          <w:sz w:val="21"/>
        </w:rPr>
        <w:t>That clears the usability threshold, and it is also STATISTICALLY WEAK — on one of the two tests rather than both, which is worth being precise about. The R-squared of 9.1% sits below the 10% mark, which triggers the flag. The confidence interval spans 0.65 times the point estimate, which does NOT: that test fires at two times and this is well inside it. The estimate is therefore never restated later as though it were precise, and the valuation is shown across a beta range rather than at a point.</w:t>
      </w:r>
    </w:p>
    <w:p>
      <w:pPr>
        <w:spacing w:after="120" w:before="0"/>
      </w:pPr>
      <w:r>
        <w:rPr>
          <w:b w:val="0"/>
          <w:i w:val="0"/>
          <w:color w:val="1C3A36"/>
          <w:sz w:val="21"/>
        </w:rPr>
        <w:t>Two cross-checks are run rather than asserted. The share closes unchanged on 12.2% of sessions against an Egyptian library median of 9.0%, and non-synchronous trading biases a contemporaneous beta downward; the lead-lag sum-beta that corrects for it is 0.919, an uplift of 0.291 with a standard error of 0.243 — i.e. an uplift not statistically distinguishable from zero. And a simple prior would put a cyclical, capital-intensive materials business at 1.0 to 1.5, which is above where this regression lands. There is a real reason for that: the company carries no net financial leverage, and unlevered equity genuinely moves less than levered equity. The regression is adopted, the correction is published as a value, and the difference is worth -10.5% of the cash-flow lens.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168"/>
        <w:gridCol w:w="1411"/>
        <w:gridCol w:w="1411"/>
        <w:gridCol w:w="1411"/>
        <w:gridCol w:w="1411"/>
        <w:gridCol w:w="1411"/>
      </w:tblGrid>
      <w:tr>
        <w:tc>
          <w:tcPr>
            <w:tcW w:type="dxa" w:w="3168"/>
            <w:shd w:val="clear" w:color="auto" w:fill="EAF0EE"/>
          </w:tcPr>
          <w:p>
            <w:pPr>
              <w:spacing w:after="20"/>
            </w:pPr>
            <w:r>
              <w:rPr>
                <w:b/>
                <w:color w:val="1C3A36"/>
                <w:sz w:val="18"/>
              </w:rPr>
              <w:t>Beta</w:t>
            </w:r>
          </w:p>
        </w:tc>
        <w:tc>
          <w:tcPr>
            <w:tcW w:type="dxa" w:w="1411"/>
            <w:shd w:val="clear" w:color="auto" w:fill="EAF0EE"/>
          </w:tcPr>
          <w:p>
            <w:pPr>
              <w:spacing w:after="20"/>
            </w:pPr>
            <w:r>
              <w:rPr>
                <w:b/>
                <w:color w:val="1C3A36"/>
                <w:sz w:val="18"/>
              </w:rPr>
              <w:t>0.60</w:t>
            </w:r>
          </w:p>
        </w:tc>
        <w:tc>
          <w:tcPr>
            <w:tcW w:type="dxa" w:w="1411"/>
            <w:shd w:val="clear" w:color="auto" w:fill="EAF0EE"/>
          </w:tcPr>
          <w:p>
            <w:pPr>
              <w:spacing w:after="20"/>
            </w:pPr>
            <w:r>
              <w:rPr>
                <w:b/>
                <w:color w:val="1C3A36"/>
                <w:sz w:val="18"/>
              </w:rPr>
              <w:t>0.80</w:t>
            </w:r>
          </w:p>
        </w:tc>
        <w:tc>
          <w:tcPr>
            <w:tcW w:type="dxa" w:w="1411"/>
            <w:shd w:val="clear" w:color="auto" w:fill="EAF0EE"/>
          </w:tcPr>
          <w:p>
            <w:pPr>
              <w:spacing w:after="20"/>
            </w:pPr>
            <w:r>
              <w:rPr>
                <w:b/>
                <w:color w:val="1C3A36"/>
                <w:sz w:val="18"/>
              </w:rPr>
              <w:t>1.00</w:t>
            </w:r>
          </w:p>
        </w:tc>
        <w:tc>
          <w:tcPr>
            <w:tcW w:type="dxa" w:w="1411"/>
            <w:shd w:val="clear" w:color="auto" w:fill="EAF0EE"/>
          </w:tcPr>
          <w:p>
            <w:pPr>
              <w:spacing w:after="20"/>
            </w:pPr>
            <w:r>
              <w:rPr>
                <w:b/>
                <w:color w:val="1C3A36"/>
                <w:sz w:val="18"/>
              </w:rPr>
              <w:t>1.15</w:t>
            </w:r>
          </w:p>
        </w:tc>
        <w:tc>
          <w:tcPr>
            <w:tcW w:type="dxa" w:w="1411"/>
            <w:shd w:val="clear" w:color="auto" w:fill="EAF0EE"/>
          </w:tcPr>
          <w:p>
            <w:pPr>
              <w:spacing w:after="20"/>
            </w:pPr>
            <w:r>
              <w:rPr>
                <w:b/>
                <w:color w:val="1C3A36"/>
                <w:sz w:val="18"/>
              </w:rPr>
              <w:t>1.30</w:t>
            </w:r>
          </w:p>
        </w:tc>
      </w:tr>
      <w:tr>
        <w:tc>
          <w:tcPr>
            <w:tcW w:type="dxa" w:w="3168"/>
          </w:tcPr>
          <w:p>
            <w:pPr>
              <w:spacing w:after="20"/>
            </w:pPr>
            <w:r>
              <w:rPr>
                <w:color w:val="1C3A36"/>
                <w:sz w:val="18"/>
              </w:rPr>
              <w:t>Fair value per share (EGP)</w:t>
            </w:r>
          </w:p>
        </w:tc>
        <w:tc>
          <w:tcPr>
            <w:tcW w:type="dxa" w:w="1411"/>
          </w:tcPr>
          <w:p>
            <w:pPr>
              <w:spacing w:after="20"/>
              <w:jc w:val="right"/>
            </w:pPr>
            <w:r>
              <w:rPr>
                <w:color w:val="1C3A36"/>
                <w:sz w:val="18"/>
              </w:rPr>
              <w:t>57.47</w:t>
            </w:r>
          </w:p>
        </w:tc>
        <w:tc>
          <w:tcPr>
            <w:tcW w:type="dxa" w:w="1411"/>
          </w:tcPr>
          <w:p>
            <w:pPr>
              <w:spacing w:after="20"/>
              <w:jc w:val="right"/>
            </w:pPr>
            <w:r>
              <w:rPr>
                <w:color w:val="1C3A36"/>
                <w:sz w:val="18"/>
              </w:rPr>
              <w:t>52.18</w:t>
            </w:r>
          </w:p>
        </w:tc>
        <w:tc>
          <w:tcPr>
            <w:tcW w:type="dxa" w:w="1411"/>
          </w:tcPr>
          <w:p>
            <w:pPr>
              <w:spacing w:after="20"/>
              <w:jc w:val="right"/>
            </w:pPr>
            <w:r>
              <w:rPr>
                <w:color w:val="1C3A36"/>
                <w:sz w:val="18"/>
              </w:rPr>
              <w:t>48.00</w:t>
            </w:r>
          </w:p>
        </w:tc>
        <w:tc>
          <w:tcPr>
            <w:tcW w:type="dxa" w:w="1411"/>
          </w:tcPr>
          <w:p>
            <w:pPr>
              <w:spacing w:after="20"/>
              <w:jc w:val="right"/>
            </w:pPr>
            <w:r>
              <w:rPr>
                <w:color w:val="1C3A36"/>
                <w:sz w:val="18"/>
              </w:rPr>
              <w:t>45.39</w:t>
            </w:r>
          </w:p>
        </w:tc>
        <w:tc>
          <w:tcPr>
            <w:tcW w:type="dxa" w:w="1411"/>
          </w:tcPr>
          <w:p>
            <w:pPr>
              <w:spacing w:after="20"/>
              <w:jc w:val="right"/>
            </w:pPr>
            <w:r>
              <w:rPr>
                <w:color w:val="1C3A36"/>
                <w:sz w:val="18"/>
              </w:rPr>
              <w:t>43.13</w:t>
            </w:r>
          </w:p>
        </w:tc>
      </w:tr>
    </w:tbl>
    <w:p>
      <w:pPr>
        <w:spacing w:after="40"/>
      </w:pPr>
    </w:p>
    <w:p>
      <w:pPr>
        <w:spacing w:after="200" w:before="0"/>
      </w:pPr>
      <w:r>
        <w:rPr>
          <w:b w:val="0"/>
          <w:i/>
          <w:color w:val="6E7B77"/>
          <w:sz w:val="17"/>
        </w:rPr>
        <w:t>Table 8 — Fair value across the fixed comparability anchors, which span the regression's own confidence interval.</w:t>
      </w:r>
    </w:p>
    <w:p>
      <w:pPr>
        <w:spacing w:after="80" w:before="200"/>
      </w:pPr>
      <w:r>
        <w:rPr>
          <w:b/>
          <w:i w:val="0"/>
          <w:color w:val="1C3A36"/>
          <w:sz w:val="24"/>
        </w:rPr>
        <w:t>1.6  The cash-flow waterfall</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024"/>
        <w:gridCol w:w="1325"/>
        <w:gridCol w:w="1325"/>
        <w:gridCol w:w="1325"/>
        <w:gridCol w:w="1325"/>
        <w:gridCol w:w="1325"/>
      </w:tblGrid>
      <w:tr>
        <w:tc>
          <w:tcPr>
            <w:tcW w:type="dxa" w:w="3024"/>
            <w:shd w:val="clear" w:color="auto" w:fill="EAF0EE"/>
          </w:tcPr>
          <w:p>
            <w:pPr>
              <w:spacing w:after="20"/>
            </w:pPr>
            <w:r>
              <w:rPr>
                <w:b/>
                <w:color w:val="1C3A36"/>
                <w:sz w:val="17"/>
              </w:rPr>
              <w:t>EGP mn</w:t>
            </w:r>
          </w:p>
        </w:tc>
        <w:tc>
          <w:tcPr>
            <w:tcW w:type="dxa" w:w="1325"/>
            <w:shd w:val="clear" w:color="auto" w:fill="EAF0EE"/>
          </w:tcPr>
          <w:p>
            <w:pPr>
              <w:spacing w:after="20"/>
            </w:pPr>
            <w:r>
              <w:rPr>
                <w:b/>
                <w:color w:val="1C3A36"/>
                <w:sz w:val="17"/>
              </w:rPr>
              <w:t>FY2026E</w:t>
            </w:r>
          </w:p>
        </w:tc>
        <w:tc>
          <w:tcPr>
            <w:tcW w:type="dxa" w:w="1325"/>
            <w:shd w:val="clear" w:color="auto" w:fill="EAF0EE"/>
          </w:tcPr>
          <w:p>
            <w:pPr>
              <w:spacing w:after="20"/>
            </w:pPr>
            <w:r>
              <w:rPr>
                <w:b/>
                <w:color w:val="1C3A36"/>
                <w:sz w:val="17"/>
              </w:rPr>
              <w:t>FY2027E</w:t>
            </w:r>
          </w:p>
        </w:tc>
        <w:tc>
          <w:tcPr>
            <w:tcW w:type="dxa" w:w="1325"/>
            <w:shd w:val="clear" w:color="auto" w:fill="EAF0EE"/>
          </w:tcPr>
          <w:p>
            <w:pPr>
              <w:spacing w:after="20"/>
            </w:pPr>
            <w:r>
              <w:rPr>
                <w:b/>
                <w:color w:val="1C3A36"/>
                <w:sz w:val="17"/>
              </w:rPr>
              <w:t>FY2028E</w:t>
            </w:r>
          </w:p>
        </w:tc>
        <w:tc>
          <w:tcPr>
            <w:tcW w:type="dxa" w:w="1325"/>
            <w:shd w:val="clear" w:color="auto" w:fill="EAF0EE"/>
          </w:tcPr>
          <w:p>
            <w:pPr>
              <w:spacing w:after="20"/>
            </w:pPr>
            <w:r>
              <w:rPr>
                <w:b/>
                <w:color w:val="1C3A36"/>
                <w:sz w:val="17"/>
              </w:rPr>
              <w:t>FY2029E</w:t>
            </w:r>
          </w:p>
        </w:tc>
        <w:tc>
          <w:tcPr>
            <w:tcW w:type="dxa" w:w="1325"/>
            <w:shd w:val="clear" w:color="auto" w:fill="EAF0EE"/>
          </w:tcPr>
          <w:p>
            <w:pPr>
              <w:spacing w:after="20"/>
            </w:pPr>
            <w:r>
              <w:rPr>
                <w:b/>
                <w:color w:val="1C3A36"/>
                <w:sz w:val="17"/>
              </w:rPr>
              <w:t>FY2030E</w:t>
            </w:r>
          </w:p>
        </w:tc>
      </w:tr>
      <w:tr>
        <w:tc>
          <w:tcPr>
            <w:tcW w:type="dxa" w:w="3024"/>
          </w:tcPr>
          <w:p>
            <w:pPr>
              <w:spacing w:after="20"/>
            </w:pPr>
            <w:r>
              <w:rPr>
                <w:color w:val="1C3A36"/>
                <w:sz w:val="17"/>
              </w:rPr>
              <w:t>Revenue</w:t>
            </w:r>
          </w:p>
        </w:tc>
        <w:tc>
          <w:tcPr>
            <w:tcW w:type="dxa" w:w="1325"/>
          </w:tcPr>
          <w:p>
            <w:pPr>
              <w:spacing w:after="20"/>
              <w:jc w:val="right"/>
            </w:pPr>
            <w:r>
              <w:rPr>
                <w:color w:val="1C3A36"/>
                <w:sz w:val="17"/>
              </w:rPr>
              <w:t>13,025</w:t>
            </w:r>
          </w:p>
        </w:tc>
        <w:tc>
          <w:tcPr>
            <w:tcW w:type="dxa" w:w="1325"/>
          </w:tcPr>
          <w:p>
            <w:pPr>
              <w:spacing w:after="20"/>
              <w:jc w:val="right"/>
            </w:pPr>
            <w:r>
              <w:rPr>
                <w:color w:val="1C3A36"/>
                <w:sz w:val="17"/>
              </w:rPr>
              <w:t>14,155</w:t>
            </w:r>
          </w:p>
        </w:tc>
        <w:tc>
          <w:tcPr>
            <w:tcW w:type="dxa" w:w="1325"/>
          </w:tcPr>
          <w:p>
            <w:pPr>
              <w:spacing w:after="20"/>
              <w:jc w:val="right"/>
            </w:pPr>
            <w:r>
              <w:rPr>
                <w:color w:val="1C3A36"/>
                <w:sz w:val="17"/>
              </w:rPr>
              <w:t>15,350</w:t>
            </w:r>
          </w:p>
        </w:tc>
        <w:tc>
          <w:tcPr>
            <w:tcW w:type="dxa" w:w="1325"/>
          </w:tcPr>
          <w:p>
            <w:pPr>
              <w:spacing w:after="20"/>
              <w:jc w:val="right"/>
            </w:pPr>
            <w:r>
              <w:rPr>
                <w:color w:val="1C3A36"/>
                <w:sz w:val="17"/>
              </w:rPr>
              <w:t>16,437</w:t>
            </w:r>
          </w:p>
        </w:tc>
        <w:tc>
          <w:tcPr>
            <w:tcW w:type="dxa" w:w="1325"/>
          </w:tcPr>
          <w:p>
            <w:pPr>
              <w:spacing w:after="20"/>
              <w:jc w:val="right"/>
            </w:pPr>
            <w:r>
              <w:rPr>
                <w:color w:val="1C3A36"/>
                <w:sz w:val="17"/>
              </w:rPr>
              <w:t>17,524</w:t>
            </w:r>
          </w:p>
        </w:tc>
      </w:tr>
      <w:tr>
        <w:tc>
          <w:tcPr>
            <w:tcW w:type="dxa" w:w="3024"/>
          </w:tcPr>
          <w:p>
            <w:pPr>
              <w:spacing w:after="20"/>
            </w:pPr>
            <w:r>
              <w:rPr>
                <w:color w:val="1C3A36"/>
                <w:sz w:val="17"/>
              </w:rPr>
              <w:t>EBITDA</w:t>
            </w:r>
          </w:p>
        </w:tc>
        <w:tc>
          <w:tcPr>
            <w:tcW w:type="dxa" w:w="1325"/>
          </w:tcPr>
          <w:p>
            <w:pPr>
              <w:spacing w:after="20"/>
              <w:jc w:val="right"/>
            </w:pPr>
            <w:r>
              <w:rPr>
                <w:color w:val="1C3A36"/>
                <w:sz w:val="17"/>
              </w:rPr>
              <w:t>4,692</w:t>
            </w:r>
          </w:p>
        </w:tc>
        <w:tc>
          <w:tcPr>
            <w:tcW w:type="dxa" w:w="1325"/>
          </w:tcPr>
          <w:p>
            <w:pPr>
              <w:spacing w:after="20"/>
              <w:jc w:val="right"/>
            </w:pPr>
            <w:r>
              <w:rPr>
                <w:color w:val="1C3A36"/>
                <w:sz w:val="17"/>
              </w:rPr>
              <w:t>5,044</w:t>
            </w:r>
          </w:p>
        </w:tc>
        <w:tc>
          <w:tcPr>
            <w:tcW w:type="dxa" w:w="1325"/>
          </w:tcPr>
          <w:p>
            <w:pPr>
              <w:spacing w:after="20"/>
              <w:jc w:val="right"/>
            </w:pPr>
            <w:r>
              <w:rPr>
                <w:color w:val="1C3A36"/>
                <w:sz w:val="17"/>
              </w:rPr>
              <w:t>5,439</w:t>
            </w:r>
          </w:p>
        </w:tc>
        <w:tc>
          <w:tcPr>
            <w:tcW w:type="dxa" w:w="1325"/>
          </w:tcPr>
          <w:p>
            <w:pPr>
              <w:spacing w:after="20"/>
              <w:jc w:val="right"/>
            </w:pPr>
            <w:r>
              <w:rPr>
                <w:color w:val="1C3A36"/>
                <w:sz w:val="17"/>
              </w:rPr>
              <w:t>5,762</w:t>
            </w:r>
          </w:p>
        </w:tc>
        <w:tc>
          <w:tcPr>
            <w:tcW w:type="dxa" w:w="1325"/>
          </w:tcPr>
          <w:p>
            <w:pPr>
              <w:spacing w:after="20"/>
              <w:jc w:val="right"/>
            </w:pPr>
            <w:r>
              <w:rPr>
                <w:color w:val="1C3A36"/>
                <w:sz w:val="17"/>
              </w:rPr>
              <w:t>6,138</w:t>
            </w:r>
          </w:p>
        </w:tc>
      </w:tr>
      <w:tr>
        <w:tc>
          <w:tcPr>
            <w:tcW w:type="dxa" w:w="3024"/>
          </w:tcPr>
          <w:p>
            <w:pPr>
              <w:spacing w:after="20"/>
            </w:pPr>
            <w:r>
              <w:rPr>
                <w:color w:val="1C3A36"/>
                <w:sz w:val="17"/>
              </w:rPr>
              <w:t>EBITDA margin</w:t>
            </w:r>
          </w:p>
        </w:tc>
        <w:tc>
          <w:tcPr>
            <w:tcW w:type="dxa" w:w="1325"/>
          </w:tcPr>
          <w:p>
            <w:pPr>
              <w:spacing w:after="20"/>
              <w:jc w:val="right"/>
            </w:pPr>
            <w:r>
              <w:rPr>
                <w:color w:val="1C3A36"/>
                <w:sz w:val="17"/>
              </w:rPr>
              <w:t>36.0%</w:t>
            </w:r>
          </w:p>
        </w:tc>
        <w:tc>
          <w:tcPr>
            <w:tcW w:type="dxa" w:w="1325"/>
          </w:tcPr>
          <w:p>
            <w:pPr>
              <w:spacing w:after="20"/>
              <w:jc w:val="right"/>
            </w:pPr>
            <w:r>
              <w:rPr>
                <w:color w:val="1C3A36"/>
                <w:sz w:val="17"/>
              </w:rPr>
              <w:t>35.6%</w:t>
            </w:r>
          </w:p>
        </w:tc>
        <w:tc>
          <w:tcPr>
            <w:tcW w:type="dxa" w:w="1325"/>
          </w:tcPr>
          <w:p>
            <w:pPr>
              <w:spacing w:after="20"/>
              <w:jc w:val="right"/>
            </w:pPr>
            <w:r>
              <w:rPr>
                <w:color w:val="1C3A36"/>
                <w:sz w:val="17"/>
              </w:rPr>
              <w:t>35.4%</w:t>
            </w:r>
          </w:p>
        </w:tc>
        <w:tc>
          <w:tcPr>
            <w:tcW w:type="dxa" w:w="1325"/>
          </w:tcPr>
          <w:p>
            <w:pPr>
              <w:spacing w:after="20"/>
              <w:jc w:val="right"/>
            </w:pPr>
            <w:r>
              <w:rPr>
                <w:color w:val="1C3A36"/>
                <w:sz w:val="17"/>
              </w:rPr>
              <w:t>35.1%</w:t>
            </w:r>
          </w:p>
        </w:tc>
        <w:tc>
          <w:tcPr>
            <w:tcW w:type="dxa" w:w="1325"/>
          </w:tcPr>
          <w:p>
            <w:pPr>
              <w:spacing w:after="20"/>
              <w:jc w:val="right"/>
            </w:pPr>
            <w:r>
              <w:rPr>
                <w:color w:val="1C3A36"/>
                <w:sz w:val="17"/>
              </w:rPr>
              <w:t>35.0%</w:t>
            </w:r>
          </w:p>
        </w:tc>
      </w:tr>
      <w:tr>
        <w:tc>
          <w:tcPr>
            <w:tcW w:type="dxa" w:w="3024"/>
          </w:tcPr>
          <w:p>
            <w:pPr>
              <w:spacing w:after="20"/>
            </w:pPr>
            <w:r>
              <w:rPr>
                <w:color w:val="1C3A36"/>
                <w:sz w:val="17"/>
              </w:rPr>
              <w:t>Depreciation and amortisation</w:t>
            </w:r>
          </w:p>
        </w:tc>
        <w:tc>
          <w:tcPr>
            <w:tcW w:type="dxa" w:w="1325"/>
          </w:tcPr>
          <w:p>
            <w:pPr>
              <w:spacing w:after="20"/>
              <w:jc w:val="right"/>
            </w:pPr>
            <w:r>
              <w:rPr>
                <w:color w:val="1C3A36"/>
                <w:sz w:val="17"/>
              </w:rPr>
              <w:t>326</w:t>
            </w:r>
          </w:p>
        </w:tc>
        <w:tc>
          <w:tcPr>
            <w:tcW w:type="dxa" w:w="1325"/>
          </w:tcPr>
          <w:p>
            <w:pPr>
              <w:spacing w:after="20"/>
              <w:jc w:val="right"/>
            </w:pPr>
            <w:r>
              <w:rPr>
                <w:color w:val="1C3A36"/>
                <w:sz w:val="17"/>
              </w:rPr>
              <w:t>382</w:t>
            </w:r>
          </w:p>
        </w:tc>
        <w:tc>
          <w:tcPr>
            <w:tcW w:type="dxa" w:w="1325"/>
          </w:tcPr>
          <w:p>
            <w:pPr>
              <w:spacing w:after="20"/>
              <w:jc w:val="right"/>
            </w:pPr>
            <w:r>
              <w:rPr>
                <w:color w:val="1C3A36"/>
                <w:sz w:val="17"/>
              </w:rPr>
              <w:t>445</w:t>
            </w:r>
          </w:p>
        </w:tc>
        <w:tc>
          <w:tcPr>
            <w:tcW w:type="dxa" w:w="1325"/>
          </w:tcPr>
          <w:p>
            <w:pPr>
              <w:spacing w:after="20"/>
              <w:jc w:val="right"/>
            </w:pPr>
            <w:r>
              <w:rPr>
                <w:color w:val="1C3A36"/>
                <w:sz w:val="17"/>
              </w:rPr>
              <w:t>510</w:t>
            </w:r>
          </w:p>
        </w:tc>
        <w:tc>
          <w:tcPr>
            <w:tcW w:type="dxa" w:w="1325"/>
          </w:tcPr>
          <w:p>
            <w:pPr>
              <w:spacing w:after="20"/>
              <w:jc w:val="right"/>
            </w:pPr>
            <w:r>
              <w:rPr>
                <w:color w:val="1C3A36"/>
                <w:sz w:val="17"/>
              </w:rPr>
              <w:t>578</w:t>
            </w:r>
          </w:p>
        </w:tc>
      </w:tr>
      <w:tr>
        <w:tc>
          <w:tcPr>
            <w:tcW w:type="dxa" w:w="3024"/>
          </w:tcPr>
          <w:p>
            <w:pPr>
              <w:spacing w:after="20"/>
            </w:pPr>
            <w:r>
              <w:rPr>
                <w:color w:val="1C3A36"/>
                <w:sz w:val="17"/>
              </w:rPr>
              <w:t>EBIT</w:t>
            </w:r>
          </w:p>
        </w:tc>
        <w:tc>
          <w:tcPr>
            <w:tcW w:type="dxa" w:w="1325"/>
          </w:tcPr>
          <w:p>
            <w:pPr>
              <w:spacing w:after="20"/>
              <w:jc w:val="right"/>
            </w:pPr>
            <w:r>
              <w:rPr>
                <w:color w:val="1C3A36"/>
                <w:sz w:val="17"/>
              </w:rPr>
              <w:t>4,367</w:t>
            </w:r>
          </w:p>
        </w:tc>
        <w:tc>
          <w:tcPr>
            <w:tcW w:type="dxa" w:w="1325"/>
          </w:tcPr>
          <w:p>
            <w:pPr>
              <w:spacing w:after="20"/>
              <w:jc w:val="right"/>
            </w:pPr>
            <w:r>
              <w:rPr>
                <w:color w:val="1C3A36"/>
                <w:sz w:val="17"/>
              </w:rPr>
              <w:t>4,662</w:t>
            </w:r>
          </w:p>
        </w:tc>
        <w:tc>
          <w:tcPr>
            <w:tcW w:type="dxa" w:w="1325"/>
          </w:tcPr>
          <w:p>
            <w:pPr>
              <w:spacing w:after="20"/>
              <w:jc w:val="right"/>
            </w:pPr>
            <w:r>
              <w:rPr>
                <w:color w:val="1C3A36"/>
                <w:sz w:val="17"/>
              </w:rPr>
              <w:t>4,994</w:t>
            </w:r>
          </w:p>
        </w:tc>
        <w:tc>
          <w:tcPr>
            <w:tcW w:type="dxa" w:w="1325"/>
          </w:tcPr>
          <w:p>
            <w:pPr>
              <w:spacing w:after="20"/>
              <w:jc w:val="right"/>
            </w:pPr>
            <w:r>
              <w:rPr>
                <w:color w:val="1C3A36"/>
                <w:sz w:val="17"/>
              </w:rPr>
              <w:t>5,253</w:t>
            </w:r>
          </w:p>
        </w:tc>
        <w:tc>
          <w:tcPr>
            <w:tcW w:type="dxa" w:w="1325"/>
          </w:tcPr>
          <w:p>
            <w:pPr>
              <w:spacing w:after="20"/>
              <w:jc w:val="right"/>
            </w:pPr>
            <w:r>
              <w:rPr>
                <w:color w:val="1C3A36"/>
                <w:sz w:val="17"/>
              </w:rPr>
              <w:t>5,559</w:t>
            </w:r>
          </w:p>
        </w:tc>
      </w:tr>
      <w:tr>
        <w:tc>
          <w:tcPr>
            <w:tcW w:type="dxa" w:w="3024"/>
          </w:tcPr>
          <w:p>
            <w:pPr>
              <w:spacing w:after="20"/>
            </w:pPr>
            <w:r>
              <w:rPr>
                <w:color w:val="1C3A36"/>
                <w:sz w:val="17"/>
              </w:rPr>
              <w:t>Tax rate (effective, 23.8%)</w:t>
            </w:r>
          </w:p>
        </w:tc>
        <w:tc>
          <w:tcPr>
            <w:tcW w:type="dxa" w:w="1325"/>
          </w:tcPr>
          <w:p>
            <w:pPr>
              <w:spacing w:after="20"/>
              <w:jc w:val="right"/>
            </w:pPr>
            <w:r>
              <w:rPr>
                <w:color w:val="1C3A36"/>
                <w:sz w:val="17"/>
              </w:rPr>
              <w:t>23.8%</w:t>
            </w:r>
          </w:p>
        </w:tc>
        <w:tc>
          <w:tcPr>
            <w:tcW w:type="dxa" w:w="1325"/>
          </w:tcPr>
          <w:p>
            <w:pPr>
              <w:spacing w:after="20"/>
              <w:jc w:val="right"/>
            </w:pPr>
            <w:r>
              <w:rPr>
                <w:color w:val="1C3A36"/>
                <w:sz w:val="17"/>
              </w:rPr>
              <w:t>23.8%</w:t>
            </w:r>
          </w:p>
        </w:tc>
        <w:tc>
          <w:tcPr>
            <w:tcW w:type="dxa" w:w="1325"/>
          </w:tcPr>
          <w:p>
            <w:pPr>
              <w:spacing w:after="20"/>
              <w:jc w:val="right"/>
            </w:pPr>
            <w:r>
              <w:rPr>
                <w:color w:val="1C3A36"/>
                <w:sz w:val="17"/>
              </w:rPr>
              <w:t>23.8%</w:t>
            </w:r>
          </w:p>
        </w:tc>
        <w:tc>
          <w:tcPr>
            <w:tcW w:type="dxa" w:w="1325"/>
          </w:tcPr>
          <w:p>
            <w:pPr>
              <w:spacing w:after="20"/>
              <w:jc w:val="right"/>
            </w:pPr>
            <w:r>
              <w:rPr>
                <w:color w:val="1C3A36"/>
                <w:sz w:val="17"/>
              </w:rPr>
              <w:t>23.8%</w:t>
            </w:r>
          </w:p>
        </w:tc>
        <w:tc>
          <w:tcPr>
            <w:tcW w:type="dxa" w:w="1325"/>
          </w:tcPr>
          <w:p>
            <w:pPr>
              <w:spacing w:after="20"/>
              <w:jc w:val="right"/>
            </w:pPr>
            <w:r>
              <w:rPr>
                <w:color w:val="1C3A36"/>
                <w:sz w:val="17"/>
              </w:rPr>
              <w:t>23.8%</w:t>
            </w:r>
          </w:p>
        </w:tc>
      </w:tr>
      <w:tr>
        <w:tc>
          <w:tcPr>
            <w:tcW w:type="dxa" w:w="3024"/>
          </w:tcPr>
          <w:p>
            <w:pPr>
              <w:spacing w:after="20"/>
            </w:pPr>
            <w:r>
              <w:rPr>
                <w:color w:val="1C3A36"/>
                <w:sz w:val="17"/>
              </w:rPr>
              <w:t>NOPAT  (EBIT × (1 − t))</w:t>
            </w:r>
          </w:p>
        </w:tc>
        <w:tc>
          <w:tcPr>
            <w:tcW w:type="dxa" w:w="1325"/>
          </w:tcPr>
          <w:p>
            <w:pPr>
              <w:spacing w:after="20"/>
              <w:jc w:val="right"/>
            </w:pPr>
            <w:r>
              <w:rPr>
                <w:color w:val="1C3A36"/>
                <w:sz w:val="17"/>
              </w:rPr>
              <w:t>3,327</w:t>
            </w:r>
          </w:p>
        </w:tc>
        <w:tc>
          <w:tcPr>
            <w:tcW w:type="dxa" w:w="1325"/>
          </w:tcPr>
          <w:p>
            <w:pPr>
              <w:spacing w:after="20"/>
              <w:jc w:val="right"/>
            </w:pPr>
            <w:r>
              <w:rPr>
                <w:color w:val="1C3A36"/>
                <w:sz w:val="17"/>
              </w:rPr>
              <w:t>3,552</w:t>
            </w:r>
          </w:p>
        </w:tc>
        <w:tc>
          <w:tcPr>
            <w:tcW w:type="dxa" w:w="1325"/>
          </w:tcPr>
          <w:p>
            <w:pPr>
              <w:spacing w:after="20"/>
              <w:jc w:val="right"/>
            </w:pPr>
            <w:r>
              <w:rPr>
                <w:color w:val="1C3A36"/>
                <w:sz w:val="17"/>
              </w:rPr>
              <w:t>3,804</w:t>
            </w:r>
          </w:p>
        </w:tc>
        <w:tc>
          <w:tcPr>
            <w:tcW w:type="dxa" w:w="1325"/>
          </w:tcPr>
          <w:p>
            <w:pPr>
              <w:spacing w:after="20"/>
              <w:jc w:val="right"/>
            </w:pPr>
            <w:r>
              <w:rPr>
                <w:color w:val="1C3A36"/>
                <w:sz w:val="17"/>
              </w:rPr>
              <w:t>4,002</w:t>
            </w:r>
          </w:p>
        </w:tc>
        <w:tc>
          <w:tcPr>
            <w:tcW w:type="dxa" w:w="1325"/>
          </w:tcPr>
          <w:p>
            <w:pPr>
              <w:spacing w:after="20"/>
              <w:jc w:val="right"/>
            </w:pPr>
            <w:r>
              <w:rPr>
                <w:color w:val="1C3A36"/>
                <w:sz w:val="17"/>
              </w:rPr>
              <w:t>4,235</w:t>
            </w:r>
          </w:p>
        </w:tc>
      </w:tr>
      <w:tr>
        <w:tc>
          <w:tcPr>
            <w:tcW w:type="dxa" w:w="3024"/>
          </w:tcPr>
          <w:p>
            <w:pPr>
              <w:spacing w:after="20"/>
            </w:pPr>
            <w:r>
              <w:rPr>
                <w:color w:val="1C3A36"/>
                <w:sz w:val="17"/>
              </w:rPr>
              <w:t>Plus depreciation</w:t>
            </w:r>
          </w:p>
        </w:tc>
        <w:tc>
          <w:tcPr>
            <w:tcW w:type="dxa" w:w="1325"/>
          </w:tcPr>
          <w:p>
            <w:pPr>
              <w:spacing w:after="20"/>
              <w:jc w:val="right"/>
            </w:pPr>
            <w:r>
              <w:rPr>
                <w:color w:val="1C3A36"/>
                <w:sz w:val="17"/>
              </w:rPr>
              <w:t>326</w:t>
            </w:r>
          </w:p>
        </w:tc>
        <w:tc>
          <w:tcPr>
            <w:tcW w:type="dxa" w:w="1325"/>
          </w:tcPr>
          <w:p>
            <w:pPr>
              <w:spacing w:after="20"/>
              <w:jc w:val="right"/>
            </w:pPr>
            <w:r>
              <w:rPr>
                <w:color w:val="1C3A36"/>
                <w:sz w:val="17"/>
              </w:rPr>
              <w:t>382</w:t>
            </w:r>
          </w:p>
        </w:tc>
        <w:tc>
          <w:tcPr>
            <w:tcW w:type="dxa" w:w="1325"/>
          </w:tcPr>
          <w:p>
            <w:pPr>
              <w:spacing w:after="20"/>
              <w:jc w:val="right"/>
            </w:pPr>
            <w:r>
              <w:rPr>
                <w:color w:val="1C3A36"/>
                <w:sz w:val="17"/>
              </w:rPr>
              <w:t>445</w:t>
            </w:r>
          </w:p>
        </w:tc>
        <w:tc>
          <w:tcPr>
            <w:tcW w:type="dxa" w:w="1325"/>
          </w:tcPr>
          <w:p>
            <w:pPr>
              <w:spacing w:after="20"/>
              <w:jc w:val="right"/>
            </w:pPr>
            <w:r>
              <w:rPr>
                <w:color w:val="1C3A36"/>
                <w:sz w:val="17"/>
              </w:rPr>
              <w:t>510</w:t>
            </w:r>
          </w:p>
        </w:tc>
        <w:tc>
          <w:tcPr>
            <w:tcW w:type="dxa" w:w="1325"/>
          </w:tcPr>
          <w:p>
            <w:pPr>
              <w:spacing w:after="20"/>
              <w:jc w:val="right"/>
            </w:pPr>
            <w:r>
              <w:rPr>
                <w:color w:val="1C3A36"/>
                <w:sz w:val="17"/>
              </w:rPr>
              <w:t>578</w:t>
            </w:r>
          </w:p>
        </w:tc>
      </w:tr>
      <w:tr>
        <w:tc>
          <w:tcPr>
            <w:tcW w:type="dxa" w:w="3024"/>
          </w:tcPr>
          <w:p>
            <w:pPr>
              <w:spacing w:after="20"/>
            </w:pPr>
            <w:r>
              <w:rPr>
                <w:color w:val="1C3A36"/>
                <w:sz w:val="17"/>
              </w:rPr>
              <w:t>Less capital expenditure</w:t>
            </w:r>
          </w:p>
        </w:tc>
        <w:tc>
          <w:tcPr>
            <w:tcW w:type="dxa" w:w="1325"/>
          </w:tcPr>
          <w:p>
            <w:pPr>
              <w:spacing w:after="20"/>
              <w:jc w:val="right"/>
            </w:pPr>
            <w:r>
              <w:rPr>
                <w:color w:val="1C3A36"/>
                <w:sz w:val="17"/>
              </w:rPr>
              <w:t>(1,012)</w:t>
            </w:r>
          </w:p>
        </w:tc>
        <w:tc>
          <w:tcPr>
            <w:tcW w:type="dxa" w:w="1325"/>
          </w:tcPr>
          <w:p>
            <w:pPr>
              <w:spacing w:after="20"/>
              <w:jc w:val="right"/>
            </w:pPr>
            <w:r>
              <w:rPr>
                <w:color w:val="1C3A36"/>
                <w:sz w:val="17"/>
              </w:rPr>
              <w:t>(1,062)</w:t>
            </w:r>
          </w:p>
        </w:tc>
        <w:tc>
          <w:tcPr>
            <w:tcW w:type="dxa" w:w="1325"/>
          </w:tcPr>
          <w:p>
            <w:pPr>
              <w:spacing w:after="20"/>
              <w:jc w:val="right"/>
            </w:pPr>
            <w:r>
              <w:rPr>
                <w:color w:val="1C3A36"/>
                <w:sz w:val="17"/>
              </w:rPr>
              <w:t>(1,116)</w:t>
            </w:r>
          </w:p>
        </w:tc>
        <w:tc>
          <w:tcPr>
            <w:tcW w:type="dxa" w:w="1325"/>
          </w:tcPr>
          <w:p>
            <w:pPr>
              <w:spacing w:after="20"/>
              <w:jc w:val="right"/>
            </w:pPr>
            <w:r>
              <w:rPr>
                <w:color w:val="1C3A36"/>
                <w:sz w:val="17"/>
              </w:rPr>
              <w:t>(1,172)</w:t>
            </w:r>
          </w:p>
        </w:tc>
        <w:tc>
          <w:tcPr>
            <w:tcW w:type="dxa" w:w="1325"/>
          </w:tcPr>
          <w:p>
            <w:pPr>
              <w:spacing w:after="20"/>
              <w:jc w:val="right"/>
            </w:pPr>
            <w:r>
              <w:rPr>
                <w:color w:val="1C3A36"/>
                <w:sz w:val="17"/>
              </w:rPr>
              <w:t>(1,230)</w:t>
            </w:r>
          </w:p>
        </w:tc>
      </w:tr>
      <w:tr>
        <w:tc>
          <w:tcPr>
            <w:tcW w:type="dxa" w:w="3024"/>
          </w:tcPr>
          <w:p>
            <w:pPr>
              <w:spacing w:after="20"/>
            </w:pPr>
            <w:r>
              <w:rPr>
                <w:color w:val="1C3A36"/>
                <w:sz w:val="17"/>
              </w:rPr>
              <w:t>Less change in working capital</w:t>
            </w:r>
          </w:p>
        </w:tc>
        <w:tc>
          <w:tcPr>
            <w:tcW w:type="dxa" w:w="1325"/>
          </w:tcPr>
          <w:p>
            <w:pPr>
              <w:spacing w:after="20"/>
              <w:jc w:val="right"/>
            </w:pPr>
            <w:r>
              <w:rPr>
                <w:color w:val="1C3A36"/>
                <w:sz w:val="17"/>
              </w:rPr>
              <w:t>(69)</w:t>
            </w:r>
          </w:p>
        </w:tc>
        <w:tc>
          <w:tcPr>
            <w:tcW w:type="dxa" w:w="1325"/>
          </w:tcPr>
          <w:p>
            <w:pPr>
              <w:spacing w:after="20"/>
              <w:jc w:val="right"/>
            </w:pPr>
            <w:r>
              <w:rPr>
                <w:color w:val="1C3A36"/>
                <w:sz w:val="17"/>
              </w:rPr>
              <w:t>(136)</w:t>
            </w:r>
          </w:p>
        </w:tc>
        <w:tc>
          <w:tcPr>
            <w:tcW w:type="dxa" w:w="1325"/>
          </w:tcPr>
          <w:p>
            <w:pPr>
              <w:spacing w:after="20"/>
              <w:jc w:val="right"/>
            </w:pPr>
            <w:r>
              <w:rPr>
                <w:color w:val="1C3A36"/>
                <w:sz w:val="17"/>
              </w:rPr>
              <w:t>(143)</w:t>
            </w:r>
          </w:p>
        </w:tc>
        <w:tc>
          <w:tcPr>
            <w:tcW w:type="dxa" w:w="1325"/>
          </w:tcPr>
          <w:p>
            <w:pPr>
              <w:spacing w:after="20"/>
              <w:jc w:val="right"/>
            </w:pPr>
            <w:r>
              <w:rPr>
                <w:color w:val="1C3A36"/>
                <w:sz w:val="17"/>
              </w:rPr>
              <w:t>(130)</w:t>
            </w:r>
          </w:p>
        </w:tc>
        <w:tc>
          <w:tcPr>
            <w:tcW w:type="dxa" w:w="1325"/>
          </w:tcPr>
          <w:p>
            <w:pPr>
              <w:spacing w:after="20"/>
              <w:jc w:val="right"/>
            </w:pPr>
            <w:r>
              <w:rPr>
                <w:color w:val="1C3A36"/>
                <w:sz w:val="17"/>
              </w:rPr>
              <w:t>(131)</w:t>
            </w:r>
          </w:p>
        </w:tc>
      </w:tr>
      <w:tr>
        <w:tc>
          <w:tcPr>
            <w:tcW w:type="dxa" w:w="3024"/>
            <w:shd w:val="clear" w:color="auto" w:fill="F6F1E6"/>
          </w:tcPr>
          <w:p>
            <w:pPr>
              <w:spacing w:after="20"/>
            </w:pPr>
            <w:r>
              <w:rPr>
                <w:b/>
                <w:color w:val="1C3A36"/>
                <w:sz w:val="17"/>
              </w:rPr>
              <w:t>Free cash flow to the firm</w:t>
            </w:r>
          </w:p>
        </w:tc>
        <w:tc>
          <w:tcPr>
            <w:tcW w:type="dxa" w:w="1325"/>
            <w:shd w:val="clear" w:color="auto" w:fill="F6F1E6"/>
          </w:tcPr>
          <w:p>
            <w:pPr>
              <w:spacing w:after="20"/>
              <w:jc w:val="right"/>
            </w:pPr>
            <w:r>
              <w:rPr>
                <w:b/>
                <w:color w:val="1C3A36"/>
                <w:sz w:val="17"/>
              </w:rPr>
              <w:t>1,072</w:t>
            </w:r>
          </w:p>
        </w:tc>
        <w:tc>
          <w:tcPr>
            <w:tcW w:type="dxa" w:w="1325"/>
            <w:shd w:val="clear" w:color="auto" w:fill="F6F1E6"/>
          </w:tcPr>
          <w:p>
            <w:pPr>
              <w:spacing w:after="20"/>
              <w:jc w:val="right"/>
            </w:pPr>
            <w:r>
              <w:rPr>
                <w:b/>
                <w:color w:val="1C3A36"/>
                <w:sz w:val="17"/>
              </w:rPr>
              <w:t>2,736</w:t>
            </w:r>
          </w:p>
        </w:tc>
        <w:tc>
          <w:tcPr>
            <w:tcW w:type="dxa" w:w="1325"/>
            <w:shd w:val="clear" w:color="auto" w:fill="F6F1E6"/>
          </w:tcPr>
          <w:p>
            <w:pPr>
              <w:spacing w:after="20"/>
              <w:jc w:val="right"/>
            </w:pPr>
            <w:r>
              <w:rPr>
                <w:b/>
                <w:color w:val="1C3A36"/>
                <w:sz w:val="17"/>
              </w:rPr>
              <w:t>2,990</w:t>
            </w:r>
          </w:p>
        </w:tc>
        <w:tc>
          <w:tcPr>
            <w:tcW w:type="dxa" w:w="1325"/>
            <w:shd w:val="clear" w:color="auto" w:fill="F6F1E6"/>
          </w:tcPr>
          <w:p>
            <w:pPr>
              <w:spacing w:after="20"/>
              <w:jc w:val="right"/>
            </w:pPr>
            <w:r>
              <w:rPr>
                <w:b/>
                <w:color w:val="1C3A36"/>
                <w:sz w:val="17"/>
              </w:rPr>
              <w:t>3,209</w:t>
            </w:r>
          </w:p>
        </w:tc>
        <w:tc>
          <w:tcPr>
            <w:tcW w:type="dxa" w:w="1325"/>
            <w:shd w:val="clear" w:color="auto" w:fill="F6F1E6"/>
          </w:tcPr>
          <w:p>
            <w:pPr>
              <w:spacing w:after="20"/>
              <w:jc w:val="right"/>
            </w:pPr>
            <w:r>
              <w:rPr>
                <w:b/>
                <w:color w:val="1C3A36"/>
                <w:sz w:val="17"/>
              </w:rPr>
              <w:t>3,453</w:t>
            </w:r>
          </w:p>
        </w:tc>
      </w:tr>
      <w:tr>
        <w:tc>
          <w:tcPr>
            <w:tcW w:type="dxa" w:w="3024"/>
          </w:tcPr>
          <w:p>
            <w:pPr>
              <w:spacing w:after="20"/>
            </w:pPr>
            <w:r>
              <w:rPr>
                <w:color w:val="1C3A36"/>
                <w:sz w:val="17"/>
              </w:rPr>
              <w:t>Discount factor</w:t>
            </w:r>
          </w:p>
        </w:tc>
        <w:tc>
          <w:tcPr>
            <w:tcW w:type="dxa" w:w="1325"/>
          </w:tcPr>
          <w:p>
            <w:pPr>
              <w:spacing w:after="20"/>
              <w:jc w:val="right"/>
            </w:pPr>
            <w:r>
              <w:rPr>
                <w:color w:val="1C3A36"/>
                <w:sz w:val="17"/>
              </w:rPr>
              <w:t>0.9553</w:t>
            </w:r>
          </w:p>
        </w:tc>
        <w:tc>
          <w:tcPr>
            <w:tcW w:type="dxa" w:w="1325"/>
          </w:tcPr>
          <w:p>
            <w:pPr>
              <w:spacing w:after="20"/>
              <w:jc w:val="right"/>
            </w:pPr>
            <w:r>
              <w:rPr>
                <w:color w:val="1C3A36"/>
                <w:sz w:val="17"/>
              </w:rPr>
              <w:t>0.8306</w:t>
            </w:r>
          </w:p>
        </w:tc>
        <w:tc>
          <w:tcPr>
            <w:tcW w:type="dxa" w:w="1325"/>
          </w:tcPr>
          <w:p>
            <w:pPr>
              <w:spacing w:after="20"/>
              <w:jc w:val="right"/>
            </w:pPr>
            <w:r>
              <w:rPr>
                <w:color w:val="1C3A36"/>
                <w:sz w:val="17"/>
              </w:rPr>
              <w:t>0.6967</w:t>
            </w:r>
          </w:p>
        </w:tc>
        <w:tc>
          <w:tcPr>
            <w:tcW w:type="dxa" w:w="1325"/>
          </w:tcPr>
          <w:p>
            <w:pPr>
              <w:spacing w:after="20"/>
              <w:jc w:val="right"/>
            </w:pPr>
            <w:r>
              <w:rPr>
                <w:color w:val="1C3A36"/>
                <w:sz w:val="17"/>
              </w:rPr>
              <w:t>0.5965</w:t>
            </w:r>
          </w:p>
        </w:tc>
        <w:tc>
          <w:tcPr>
            <w:tcW w:type="dxa" w:w="1325"/>
          </w:tcPr>
          <w:p>
            <w:pPr>
              <w:spacing w:after="20"/>
              <w:jc w:val="right"/>
            </w:pPr>
            <w:r>
              <w:rPr>
                <w:color w:val="1C3A36"/>
                <w:sz w:val="17"/>
              </w:rPr>
              <w:t>0.5178</w:t>
            </w:r>
          </w:p>
        </w:tc>
      </w:tr>
      <w:tr>
        <w:tc>
          <w:tcPr>
            <w:tcW w:type="dxa" w:w="3024"/>
            <w:shd w:val="clear" w:color="auto" w:fill="F6F1E6"/>
          </w:tcPr>
          <w:p>
            <w:pPr>
              <w:spacing w:after="20"/>
            </w:pPr>
            <w:r>
              <w:rPr>
                <w:b/>
                <w:color w:val="1C3A36"/>
                <w:sz w:val="17"/>
              </w:rPr>
              <w:t>Present value of FCFF</w:t>
            </w:r>
          </w:p>
        </w:tc>
        <w:tc>
          <w:tcPr>
            <w:tcW w:type="dxa" w:w="1325"/>
            <w:shd w:val="clear" w:color="auto" w:fill="F6F1E6"/>
          </w:tcPr>
          <w:p>
            <w:pPr>
              <w:spacing w:after="20"/>
              <w:jc w:val="right"/>
            </w:pPr>
            <w:r>
              <w:rPr>
                <w:b/>
                <w:color w:val="1C3A36"/>
                <w:sz w:val="17"/>
              </w:rPr>
              <w:t>1,024</w:t>
            </w:r>
          </w:p>
        </w:tc>
        <w:tc>
          <w:tcPr>
            <w:tcW w:type="dxa" w:w="1325"/>
            <w:shd w:val="clear" w:color="auto" w:fill="F6F1E6"/>
          </w:tcPr>
          <w:p>
            <w:pPr>
              <w:spacing w:after="20"/>
              <w:jc w:val="right"/>
            </w:pPr>
            <w:r>
              <w:rPr>
                <w:b/>
                <w:color w:val="1C3A36"/>
                <w:sz w:val="17"/>
              </w:rPr>
              <w:t>2,273</w:t>
            </w:r>
          </w:p>
        </w:tc>
        <w:tc>
          <w:tcPr>
            <w:tcW w:type="dxa" w:w="1325"/>
            <w:shd w:val="clear" w:color="auto" w:fill="F6F1E6"/>
          </w:tcPr>
          <w:p>
            <w:pPr>
              <w:spacing w:after="20"/>
              <w:jc w:val="right"/>
            </w:pPr>
            <w:r>
              <w:rPr>
                <w:b/>
                <w:color w:val="1C3A36"/>
                <w:sz w:val="17"/>
              </w:rPr>
              <w:t>2,083</w:t>
            </w:r>
          </w:p>
        </w:tc>
        <w:tc>
          <w:tcPr>
            <w:tcW w:type="dxa" w:w="1325"/>
            <w:shd w:val="clear" w:color="auto" w:fill="F6F1E6"/>
          </w:tcPr>
          <w:p>
            <w:pPr>
              <w:spacing w:after="20"/>
              <w:jc w:val="right"/>
            </w:pPr>
            <w:r>
              <w:rPr>
                <w:b/>
                <w:color w:val="1C3A36"/>
                <w:sz w:val="17"/>
              </w:rPr>
              <w:t>1,914</w:t>
            </w:r>
          </w:p>
        </w:tc>
        <w:tc>
          <w:tcPr>
            <w:tcW w:type="dxa" w:w="1325"/>
            <w:shd w:val="clear" w:color="auto" w:fill="F6F1E6"/>
          </w:tcPr>
          <w:p>
            <w:pPr>
              <w:spacing w:after="20"/>
              <w:jc w:val="right"/>
            </w:pPr>
            <w:r>
              <w:rPr>
                <w:b/>
                <w:color w:val="1C3A36"/>
                <w:sz w:val="17"/>
              </w:rPr>
              <w:t>1,788</w:t>
            </w:r>
          </w:p>
        </w:tc>
      </w:tr>
    </w:tbl>
    <w:p>
      <w:pPr>
        <w:spacing w:after="40"/>
      </w:pPr>
    </w:p>
    <w:p>
      <w:pPr>
        <w:spacing w:after="200" w:before="0"/>
      </w:pPr>
      <w:r>
        <w:rPr>
          <w:b w:val="0"/>
          <w:i/>
          <w:color w:val="6E7B77"/>
          <w:sz w:val="17"/>
        </w:rPr>
        <w:t>Table 9 — The full build from revenue to present value. FY2026 carries only the five months not yet earned at the valuation date; the seven already earned are rolled into the opening cash balance instead, so the period is counted exactly once rather than twice or not at all.</w:t>
      </w:r>
    </w:p>
    <w:p>
      <w:pPr>
        <w:spacing w:after="120" w:before="0"/>
      </w:pPr>
      <w:r>
        <w:rPr>
          <w:b w:val="0"/>
          <w:i w:val="0"/>
          <w:color w:val="1C3A36"/>
          <w:sz w:val="21"/>
        </w:rPr>
        <w:t>The effective tax rate of 23.8% is DISCLOSED, not inferred: income tax of EGP 1,125mn against pre-tax profit of EGP 4,725mn. The company separately states an average effective rate of 23.33% for 2025 and 22.96% for 2024, and the first quarter of 2026 ran at 25.9%. It sits close to the statutory 22.5% because the deferred-tax movement is small.</w:t>
      </w:r>
    </w:p>
    <w:p>
      <w:pPr>
        <w:spacing w:after="120" w:before="0"/>
      </w:pPr>
      <w:r>
        <w:rPr>
          <w:b w:val="0"/>
          <w:i w:val="0"/>
          <w:color w:val="1C3A36"/>
          <w:sz w:val="21"/>
        </w:rPr>
        <w:t>The margin path is the central judgement in this forecast, and it deserves stating as one number rather than left inside a table. Local prices are assumed to grow 44.9% in total across the five years while pound costs grow 54.4% — a real erosion of about 7%. The EBITDA margin therefore falls from the audited 39.3% to 35.0% by FY2030, still well above the 23.1% of FY2024 and far above the 22.0% of FY2023. The claim is not that the business deteriorates; it is that part of the 2025 step-change gives back as dormant capacity returns and energy reform continues. A reader who thinks the industry passes cost through faster should read the margin sensitivity in section 7: two points of margin is worth about EGP 5.95 a share.</w:t>
      </w:r>
    </w:p>
    <w:p>
      <w:pPr>
        <w:spacing w:after="120" w:before="0"/>
      </w:pPr>
      <w:r>
        <w:rPr>
          <w:b w:val="0"/>
          <w:i w:val="0"/>
          <w:color w:val="1C3A36"/>
          <w:sz w:val="21"/>
        </w:rPr>
        <w:t>That path is set below the cost path in every year, and this revision changed how it is judged rather than only where it sits. The prior edition justified it against headline inflation of 54.4% — but that is the input-price index, not the cost the model actually charges. Netting the alternative-fuel saving off the materials line, the cash cost per tonne the model charges grows 48.4%, so the real erosion is 2.4% rather than the figure previously printed. The comparison is now made against the cost the model charges.</w:t>
      </w:r>
    </w:p>
    <w:p>
      <w:pPr>
        <w:spacing w:after="120" w:before="0"/>
      </w:pPr>
      <w:r>
        <w:rPr>
          <w:b w:val="0"/>
          <w:i w:val="0"/>
          <w:color w:val="1C3A36"/>
          <w:sz w:val="21"/>
        </w:rPr>
        <w:t>The presentation also settles a question three earlier editions argued about without evidence. It reports local revenue and local volume for both years, so the realised local price can be COMPUTED: EGP 1,810 a tonne in FY2024 against EGP 2,909 in FY2025, a rise of 60.7% on volume up only 11.7%. The FY2025 margin step was price, not volume. More useful for a forecast is the exit rate: the fourth quarter of 2025 realised EGP 3,118 a tonne, 7.2% ABOVE the full-year average. Holding that exit flat through 2026 would by itself produce a full-year average 7.2% higher, so the 8.0% carried here is less than a point above a path in which prices stop rising altogether. That is the sense in which this forecast is conservative, and it can now be checked rather than asserted.</w:t>
      </w:r>
    </w:p>
    <w:p>
      <w:pPr>
        <w:spacing w:after="120" w:before="0"/>
      </w:pPr>
      <w:r>
        <w:rPr>
          <w:b w:val="0"/>
          <w:i w:val="0"/>
          <w:color w:val="1C3A36"/>
          <w:sz w:val="21"/>
        </w:rPr>
        <w:t>The audited record still frames it. In FY2024 revenue grew 44.5% against total cash cost of 41.8%; in FY2025 revenue grew 42.6% against cash cost of 12.5%, which is why the gross margin moved 21.2% to 23.9% to 40.6%. In every period the accounts cover, price outran cost. But the first quarter of 2026 is the sharper evidence and it cuts the other way: revenue grew 17.3% while the gross margin EXPANDED to 42.9% from 40.6%. A margin that widens on a 17% revenue step is the signature of VOLUME spread over fixed cost, not of price. This study does not hold the quarterly volume and price split, so it cannot settle which it was — and that is stated here rather than resolved by assertion, because the answer changes the forecast materially.</w:t>
      </w:r>
    </w:p>
    <w:p>
      <w:pPr>
        <w:spacing w:after="120" w:before="0"/>
      </w:pPr>
      <w:r>
        <w:rPr>
          <w:b w:val="0"/>
          <w:i w:val="0"/>
          <w:color w:val="1C3A36"/>
          <w:sz w:val="21"/>
        </w:rPr>
        <w:t>One reconciliation belongs here too, because it is the sharpest challenge to the forecast. The first quarter of 2026 — reviewed, not audited, but signed off in May — earned attributable profit of EGP 943mn on revenue of EGP 2,996mn, a gross margin of 42.9% against 40.6% for FY2025 as a whole. Four times that quarter is EGP 3,772mn. This model forecasts EGP 3,424mn for FY2026, -9.2% below the simple annualisation. Margins were still EXPANDING in the first quarter; the forecast assumes they turn. That is the assumption to attack.</w:t>
      </w:r>
    </w:p>
    <w:p>
      <w:pPr>
        <w:spacing w:after="80" w:before="200"/>
      </w:pPr>
      <w:r>
        <w:rPr>
          <w:b/>
          <w:i w:val="0"/>
          <w:color w:val="1C3A36"/>
          <w:sz w:val="24"/>
        </w:rPr>
        <w:t>1.7  The enterprise-to-equity bridge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752"/>
        <w:gridCol w:w="2160"/>
        <w:gridCol w:w="2160"/>
      </w:tblGrid>
      <w:tr>
        <w:tc>
          <w:tcPr>
            <w:tcW w:type="dxa" w:w="4752"/>
            <w:shd w:val="clear" w:color="auto" w:fill="EAF0EE"/>
          </w:tcPr>
          <w:p>
            <w:pPr>
              <w:spacing w:after="20"/>
            </w:pPr>
            <w:r>
              <w:rPr>
                <w:b/>
                <w:color w:val="1C3A36"/>
                <w:sz w:val="18"/>
              </w:rPr>
            </w:r>
          </w:p>
        </w:tc>
        <w:tc>
          <w:tcPr>
            <w:tcW w:type="dxa" w:w="2160"/>
            <w:shd w:val="clear" w:color="auto" w:fill="EAF0EE"/>
          </w:tcPr>
          <w:p>
            <w:pPr>
              <w:spacing w:after="20"/>
            </w:pPr>
            <w:r>
              <w:rPr>
                <w:b/>
                <w:color w:val="1C3A36"/>
                <w:sz w:val="18"/>
              </w:rPr>
              <w:t>EGP mn</w:t>
            </w:r>
          </w:p>
        </w:tc>
        <w:tc>
          <w:tcPr>
            <w:tcW w:type="dxa" w:w="2160"/>
            <w:shd w:val="clear" w:color="auto" w:fill="EAF0EE"/>
          </w:tcPr>
          <w:p>
            <w:pPr>
              <w:spacing w:after="20"/>
            </w:pPr>
            <w:r>
              <w:rPr>
                <w:b/>
                <w:color w:val="1C3A36"/>
                <w:sz w:val="18"/>
              </w:rPr>
              <w:t>Per share (EGP)</w:t>
            </w:r>
          </w:p>
        </w:tc>
      </w:tr>
      <w:tr>
        <w:tc>
          <w:tcPr>
            <w:tcW w:type="dxa" w:w="4752"/>
          </w:tcPr>
          <w:p>
            <w:pPr>
              <w:spacing w:after="20"/>
            </w:pPr>
            <w:r>
              <w:rPr>
                <w:color w:val="1C3A36"/>
                <w:sz w:val="18"/>
              </w:rPr>
              <w:t>Present value of explicit free cash flow</w:t>
            </w:r>
          </w:p>
        </w:tc>
        <w:tc>
          <w:tcPr>
            <w:tcW w:type="dxa" w:w="2160"/>
          </w:tcPr>
          <w:p>
            <w:pPr>
              <w:spacing w:after="20"/>
              <w:jc w:val="right"/>
            </w:pPr>
            <w:r>
              <w:rPr>
                <w:color w:val="1C3A36"/>
                <w:sz w:val="18"/>
              </w:rPr>
              <w:t>9,082</w:t>
            </w:r>
          </w:p>
        </w:tc>
        <w:tc>
          <w:tcPr>
            <w:tcW w:type="dxa" w:w="2160"/>
          </w:tcPr>
          <w:p>
            <w:pPr>
              <w:spacing w:after="20"/>
              <w:jc w:val="right"/>
            </w:pPr>
            <w:r>
              <w:rPr>
                <w:color w:val="1C3A36"/>
                <w:sz w:val="18"/>
              </w:rPr>
              <w:t>24.23</w:t>
            </w:r>
          </w:p>
        </w:tc>
      </w:tr>
      <w:tr>
        <w:tc>
          <w:tcPr>
            <w:tcW w:type="dxa" w:w="4752"/>
          </w:tcPr>
          <w:p>
            <w:pPr>
              <w:spacing w:after="20"/>
            </w:pPr>
            <w:r>
              <w:rPr>
                <w:color w:val="1C3A36"/>
                <w:sz w:val="18"/>
              </w:rPr>
              <w:t>Present value of terminal value</w:t>
            </w:r>
          </w:p>
        </w:tc>
        <w:tc>
          <w:tcPr>
            <w:tcW w:type="dxa" w:w="2160"/>
          </w:tcPr>
          <w:p>
            <w:pPr>
              <w:spacing w:after="20"/>
              <w:jc w:val="right"/>
            </w:pPr>
            <w:r>
              <w:rPr>
                <w:color w:val="1C3A36"/>
                <w:sz w:val="18"/>
              </w:rPr>
              <w:t>9,761</w:t>
            </w:r>
          </w:p>
        </w:tc>
        <w:tc>
          <w:tcPr>
            <w:tcW w:type="dxa" w:w="2160"/>
          </w:tcPr>
          <w:p>
            <w:pPr>
              <w:spacing w:after="20"/>
              <w:jc w:val="right"/>
            </w:pPr>
            <w:r>
              <w:rPr>
                <w:color w:val="1C3A36"/>
                <w:sz w:val="18"/>
              </w:rPr>
              <w:t>26.04</w:t>
            </w:r>
          </w:p>
        </w:tc>
      </w:tr>
      <w:tr>
        <w:tc>
          <w:tcPr>
            <w:tcW w:type="dxa" w:w="4752"/>
            <w:shd w:val="clear" w:color="auto" w:fill="F6F1E6"/>
          </w:tcPr>
          <w:p>
            <w:pPr>
              <w:spacing w:after="20"/>
            </w:pPr>
            <w:r>
              <w:rPr>
                <w:b/>
                <w:color w:val="1C3A36"/>
                <w:sz w:val="18"/>
              </w:rPr>
              <w:t>Enterprise value</w:t>
            </w:r>
          </w:p>
        </w:tc>
        <w:tc>
          <w:tcPr>
            <w:tcW w:type="dxa" w:w="2160"/>
            <w:shd w:val="clear" w:color="auto" w:fill="F6F1E6"/>
          </w:tcPr>
          <w:p>
            <w:pPr>
              <w:spacing w:after="20"/>
              <w:jc w:val="right"/>
            </w:pPr>
            <w:r>
              <w:rPr>
                <w:b/>
                <w:color w:val="1C3A36"/>
                <w:sz w:val="18"/>
              </w:rPr>
              <w:t>18,843</w:t>
            </w:r>
          </w:p>
        </w:tc>
        <w:tc>
          <w:tcPr>
            <w:tcW w:type="dxa" w:w="2160"/>
            <w:shd w:val="clear" w:color="auto" w:fill="F6F1E6"/>
          </w:tcPr>
          <w:p>
            <w:pPr>
              <w:spacing w:after="20"/>
              <w:jc w:val="right"/>
            </w:pPr>
            <w:r>
              <w:rPr>
                <w:b/>
                <w:color w:val="1C3A36"/>
                <w:sz w:val="18"/>
              </w:rPr>
              <w:t>50.26</w:t>
            </w:r>
          </w:p>
        </w:tc>
      </w:tr>
      <w:tr>
        <w:tc>
          <w:tcPr>
            <w:tcW w:type="dxa" w:w="4752"/>
          </w:tcPr>
          <w:p>
            <w:pPr>
              <w:spacing w:after="20"/>
            </w:pPr>
            <w:r>
              <w:rPr>
                <w:color w:val="1C3A36"/>
                <w:sz w:val="18"/>
              </w:rPr>
              <w:t>Plus net cash at the valuation date</w:t>
            </w:r>
          </w:p>
        </w:tc>
        <w:tc>
          <w:tcPr>
            <w:tcW w:type="dxa" w:w="2160"/>
          </w:tcPr>
          <w:p>
            <w:pPr>
              <w:spacing w:after="20"/>
              <w:jc w:val="right"/>
            </w:pPr>
            <w:r>
              <w:rPr>
                <w:color w:val="1C3A36"/>
                <w:sz w:val="18"/>
              </w:rPr>
              <w:t>1,926</w:t>
            </w:r>
          </w:p>
        </w:tc>
        <w:tc>
          <w:tcPr>
            <w:tcW w:type="dxa" w:w="2160"/>
          </w:tcPr>
          <w:p>
            <w:pPr>
              <w:spacing w:after="20"/>
              <w:jc w:val="right"/>
            </w:pPr>
            <w:r>
              <w:rPr>
                <w:color w:val="1C3A36"/>
                <w:sz w:val="18"/>
              </w:rPr>
              <w:t>5.14</w:t>
            </w:r>
          </w:p>
        </w:tc>
      </w:tr>
      <w:tr>
        <w:tc>
          <w:tcPr>
            <w:tcW w:type="dxa" w:w="4752"/>
          </w:tcPr>
          <w:p>
            <w:pPr>
              <w:spacing w:after="20"/>
            </w:pPr>
            <w:r>
              <w:rPr>
                <w:color w:val="1C3A36"/>
                <w:sz w:val="18"/>
              </w:rPr>
              <w:t>Less non-controlling interests</w:t>
            </w:r>
          </w:p>
        </w:tc>
        <w:tc>
          <w:tcPr>
            <w:tcW w:type="dxa" w:w="2160"/>
          </w:tcPr>
          <w:p>
            <w:pPr>
              <w:spacing w:after="20"/>
              <w:jc w:val="right"/>
            </w:pPr>
            <w:r>
              <w:rPr>
                <w:color w:val="1C3A36"/>
                <w:sz w:val="18"/>
              </w:rPr>
              <w:t>-0</w:t>
            </w:r>
          </w:p>
        </w:tc>
        <w:tc>
          <w:tcPr>
            <w:tcW w:type="dxa" w:w="2160"/>
          </w:tcPr>
          <w:p>
            <w:pPr>
              <w:spacing w:after="20"/>
              <w:jc w:val="right"/>
            </w:pPr>
            <w:r>
              <w:rPr>
                <w:color w:val="1C3A36"/>
                <w:sz w:val="18"/>
              </w:rPr>
              <w:t>-0.00</w:t>
            </w:r>
          </w:p>
        </w:tc>
      </w:tr>
      <w:tr>
        <w:tc>
          <w:tcPr>
            <w:tcW w:type="dxa" w:w="4752"/>
            <w:shd w:val="clear" w:color="auto" w:fill="F6F1E6"/>
          </w:tcPr>
          <w:p>
            <w:pPr>
              <w:spacing w:after="20"/>
            </w:pPr>
            <w:r>
              <w:rPr>
                <w:b/>
                <w:color w:val="1C3A36"/>
                <w:sz w:val="18"/>
              </w:rPr>
              <w:t>Equity value</w:t>
            </w:r>
          </w:p>
        </w:tc>
        <w:tc>
          <w:tcPr>
            <w:tcW w:type="dxa" w:w="2160"/>
            <w:shd w:val="clear" w:color="auto" w:fill="F6F1E6"/>
          </w:tcPr>
          <w:p>
            <w:pPr>
              <w:spacing w:after="20"/>
              <w:jc w:val="right"/>
            </w:pPr>
            <w:r>
              <w:rPr>
                <w:b/>
                <w:color w:val="1C3A36"/>
                <w:sz w:val="18"/>
              </w:rPr>
              <w:t>20,769</w:t>
            </w:r>
          </w:p>
        </w:tc>
        <w:tc>
          <w:tcPr>
            <w:tcW w:type="dxa" w:w="2160"/>
            <w:shd w:val="clear" w:color="auto" w:fill="F6F1E6"/>
          </w:tcPr>
          <w:p>
            <w:pPr>
              <w:spacing w:after="20"/>
              <w:jc w:val="right"/>
            </w:pPr>
            <w:r>
              <w:rPr>
                <w:b/>
                <w:color w:val="1C3A36"/>
                <w:sz w:val="18"/>
              </w:rPr>
              <w:t>55.40</w:t>
            </w:r>
          </w:p>
        </w:tc>
      </w:tr>
      <w:tr>
        <w:tc>
          <w:tcPr>
            <w:tcW w:type="dxa" w:w="4752"/>
            <w:shd w:val="clear" w:color="auto" w:fill="F6F1E6"/>
          </w:tcPr>
          <w:p>
            <w:pPr>
              <w:spacing w:after="20"/>
            </w:pPr>
            <w:r>
              <w:rPr>
                <w:b/>
                <w:color w:val="1C3A36"/>
                <w:sz w:val="18"/>
              </w:rPr>
              <w:t>Terminal value as % of enterprise value</w:t>
            </w:r>
          </w:p>
        </w:tc>
        <w:tc>
          <w:tcPr>
            <w:tcW w:type="dxa" w:w="2160"/>
            <w:shd w:val="clear" w:color="auto" w:fill="F6F1E6"/>
          </w:tcPr>
          <w:p>
            <w:pPr>
              <w:spacing w:after="20"/>
              <w:jc w:val="right"/>
            </w:pPr>
            <w:r>
              <w:rPr>
                <w:b/>
                <w:color w:val="1C3A36"/>
                <w:sz w:val="18"/>
              </w:rPr>
              <w:t>51.8%</w:t>
            </w:r>
          </w:p>
        </w:tc>
        <w:tc>
          <w:tcPr>
            <w:tcW w:type="dxa" w:w="2160"/>
            <w:shd w:val="clear" w:color="auto" w:fill="F6F1E6"/>
          </w:tcPr>
          <w:p>
            <w:pPr>
              <w:spacing w:after="20"/>
              <w:jc w:val="right"/>
            </w:pPr>
            <w:r>
              <w:rPr>
                <w:b/>
                <w:color w:val="1C3A36"/>
                <w:sz w:val="18"/>
              </w:rPr>
              <w:t>—</w:t>
            </w:r>
          </w:p>
        </w:tc>
      </w:tr>
      <w:tr>
        <w:tc>
          <w:tcPr>
            <w:tcW w:type="dxa" w:w="4752"/>
          </w:tcPr>
          <w:p>
            <w:pPr>
              <w:spacing w:after="20"/>
            </w:pPr>
            <w:r>
              <w:rPr>
                <w:color w:val="1C3A36"/>
                <w:sz w:val="18"/>
              </w:rPr>
              <w:t>Market price, 6 August 2026</w:t>
            </w:r>
          </w:p>
        </w:tc>
        <w:tc>
          <w:tcPr>
            <w:tcW w:type="dxa" w:w="2160"/>
          </w:tcPr>
          <w:p>
            <w:pPr>
              <w:spacing w:after="20"/>
              <w:jc w:val="right"/>
            </w:pPr>
            <w:r>
              <w:rPr>
                <w:color w:val="1C3A36"/>
                <w:sz w:val="18"/>
              </w:rPr>
              <w:t>—</w:t>
            </w:r>
          </w:p>
        </w:tc>
        <w:tc>
          <w:tcPr>
            <w:tcW w:type="dxa" w:w="2160"/>
          </w:tcPr>
          <w:p>
            <w:pPr>
              <w:spacing w:after="20"/>
              <w:jc w:val="right"/>
            </w:pPr>
            <w:r>
              <w:rPr>
                <w:color w:val="1C3A36"/>
                <w:sz w:val="18"/>
              </w:rPr>
              <w:t>59.00</w:t>
            </w:r>
          </w:p>
        </w:tc>
      </w:tr>
      <w:tr>
        <w:tc>
          <w:tcPr>
            <w:tcW w:type="dxa" w:w="4752"/>
          </w:tcPr>
          <w:p>
            <w:pPr>
              <w:spacing w:after="20"/>
            </w:pPr>
            <w:r>
              <w:rPr>
                <w:color w:val="1C3A36"/>
                <w:sz w:val="18"/>
              </w:rPr>
              <w:t>Upside / (downside) to this lens</w:t>
            </w:r>
          </w:p>
        </w:tc>
        <w:tc>
          <w:tcPr>
            <w:tcW w:type="dxa" w:w="2160"/>
          </w:tcPr>
          <w:p>
            <w:pPr>
              <w:spacing w:after="20"/>
              <w:jc w:val="right"/>
            </w:pPr>
            <w:r>
              <w:rPr>
                <w:color w:val="1C3A36"/>
                <w:sz w:val="18"/>
              </w:rPr>
              <w:t>—</w:t>
            </w:r>
          </w:p>
        </w:tc>
        <w:tc>
          <w:tcPr>
            <w:tcW w:type="dxa" w:w="2160"/>
          </w:tcPr>
          <w:p>
            <w:pPr>
              <w:spacing w:after="20"/>
              <w:jc w:val="right"/>
            </w:pPr>
            <w:r>
              <w:rPr>
                <w:color w:val="1C3A36"/>
                <w:sz w:val="18"/>
              </w:rPr>
              <w:t>-6.1%</w:t>
            </w:r>
          </w:p>
        </w:tc>
      </w:tr>
    </w:tbl>
    <w:p>
      <w:pPr>
        <w:spacing w:after="40"/>
      </w:pPr>
    </w:p>
    <w:p>
      <w:pPr>
        <w:spacing w:after="200" w:before="0"/>
      </w:pPr>
      <w:r>
        <w:rPr>
          <w:b w:val="0"/>
          <w:i/>
          <w:color w:val="6E7B77"/>
          <w:sz w:val="17"/>
        </w:rPr>
        <w:t>Table 10 — The bridge. Terminal value as a share of enterprise value is stated here and again in the summary table on page 1.</w:t>
      </w:r>
    </w:p>
    <w:p>
      <w:pPr>
        <w:spacing w:after="120" w:before="0"/>
      </w:pPr>
      <w:r>
        <w:rPr>
          <w:b w:val="0"/>
          <w:i w:val="0"/>
          <w:color w:val="1C3A36"/>
          <w:sz w:val="21"/>
        </w:rPr>
        <w:t>Cash is added at face and is not in the discount rate. The audited balance sheet shows EGP 3,459mn of cash against EGP 1,135mn of interest-bearing debt at 31 December 2025. Rolling that forward on the elapsed part of FY2026 and DEDUCTING the EGP 2,002mn FY2025 dividend — declared and still shown as payable in the March 2026 accounts, so a buyer at today's price does not receive it — puts net cash at EGP 1,926mn at the valuation date, or EGP 5.14 a share. The March 2026 balance sheet is the independent check on that: cash of EGP 4,380mn less debt of EGP 1,261mn less the dividend payable of EGP 2,002mn is EGP 1,117mn at 31 March, four months before the valuation date.</w:t>
      </w:r>
    </w:p>
    <w:p>
      <w:pPr>
        <w:spacing w:after="120" w:before="0"/>
      </w:pPr>
      <w:r>
        <w:rPr>
          <w:b w:val="0"/>
          <w:i w:val="0"/>
          <w:color w:val="1C3A36"/>
          <w:sz w:val="21"/>
        </w:rPr>
        <w:t>Minority interests are deducted, and the audited figure is the reason this line is now immaterial: EGP 158,005 — one hundred and fifty-eight thousand pounds, or 0.0008% of equity value. The subsidiaries are 99% to 99.99% owned.</w:t>
      </w:r>
    </w:p>
    <w:p>
      <w:pPr>
        <w:spacing w:after="120" w:before="0"/>
      </w:pPr>
      <w:r>
        <w:rPr>
          <w:b w:val="0"/>
          <w:i w:val="0"/>
          <w:color w:val="1C3A36"/>
          <w:sz w:val="21"/>
        </w:rPr>
        <w:t>At 51.8% of enterprise value, the terminal value carries less of this valuation than the two-thirds to four-fifths a long-horizon discounted cash-flow model usually ends up with, and that is a consequence of the 24.5% explicit-window discount rate rather than a design choice — at that rate the fifth forecast year is already discounted to 52% of its face value. The answer therefore depends more on the next five years and less on a perpetuity assumption than is usual, which for a business whose next five years are forecastable from tonnes and disclosed costs is the right place for the weight to sit. It is worth naming the direction of travel honestly: the prior revision put the terminal share at 45.5%, and correcting the price path lifted it because a higher terminal margin loads more value into the perpetuity than into a heavily discounted explicit window. More of the answer rests on the far end than it did.</w:t>
      </w:r>
    </w:p>
    <w:p>
      <w:pPr>
        <w:spacing w:after="80" w:before="200"/>
      </w:pPr>
      <w:r>
        <w:rPr>
          <w:b/>
          <w:i w:val="0"/>
          <w:color w:val="1C3A36"/>
          <w:sz w:val="24"/>
        </w:rPr>
        <w:t>1.8  Terminal value, and what growth costs</w:t>
      </w:r>
    </w:p>
    <w:p>
      <w:pPr>
        <w:spacing w:after="120" w:before="0"/>
      </w:pPr>
      <w:r>
        <w:rPr>
          <w:b w:val="0"/>
          <w:i w:val="0"/>
          <w:color w:val="1C3A36"/>
          <w:sz w:val="21"/>
        </w:rPr>
        <w:t>Terminal growth is held at 5%, against a terminal risk-free rate that already embeds disinflation — so approximately zero in real terms. It is not derived from recent performance, and the reason is arithmetic rather than a matter of judgement.</w:t>
      </w:r>
    </w:p>
    <w:p>
      <w:pPr>
        <w:spacing w:after="120" w:before="0"/>
      </w:pPr>
      <w:r>
        <w:rPr>
          <w:b w:val="0"/>
          <w:i w:val="0"/>
          <w:color w:val="1C3A36"/>
          <w:sz w:val="21"/>
        </w:rPr>
        <w:t>Attributable profit compounded 127% a year across the two audited steps from FY2023 to FY2025. Compounded against nominal economic growth of about 18%, a company at 0.069% of Egyptian output today would equal the entire Egyptian economy in roughly 11 years. That is not a forecast anyone would defend; it is the reason recent growth belongs in the explicit window, describing a specific dated event — the removal of the production quota — and not in the perpetuity.</w:t>
      </w:r>
    </w:p>
    <w:p>
      <w:pPr>
        <w:spacing w:after="120" w:before="0"/>
      </w:pPr>
      <w:r>
        <w:rPr>
          <w:b w:val="0"/>
          <w:i w:val="0"/>
          <w:color w:val="1C3A36"/>
          <w:sz w:val="21"/>
        </w:rPr>
        <w:t>Growth in the terminal state has to be paid for, and the choice of what capital it is paid on is the single most consequential judgement in this model. On the audited BOOK, return on invested capital was 60.6% in FY2025 — well above any plausible cost of capital, which would make terminal growth free. But that book carries a plant built around 2010 at historical cost through several devaluations: net property and construction of EGP 2,914mn is about USD 12 per annual tonne against a replacement cost of USD 130. A return computed on that base measures the devaluation, not the economics of adding a tonne.</w:t>
      </w:r>
    </w:p>
    <w:p>
      <w:pPr>
        <w:spacing w:after="120" w:before="0"/>
      </w:pPr>
      <w:r>
        <w:rPr>
          <w:b w:val="0"/>
          <w:i w:val="0"/>
          <w:color w:val="1C3A36"/>
          <w:sz w:val="21"/>
        </w:rPr>
        <w:t>The terminal block is therefore struck on REPLACEMENT-COST invested capital — EGP 50,481mn, being 5.0Mt at USD 130 a tonne. On that basis the terminal return on capital is 8.8% and the reinvestment rate that 5% growth requires is 56.8% of terminal profit.</w:t>
      </w:r>
    </w:p>
    <w:p>
      <w:pPr>
        <w:spacing w:after="120" w:before="0"/>
      </w:pPr>
      <w:r>
        <w:rPr>
          <w:b w:val="0"/>
          <w:i w:val="0"/>
          <w:color w:val="1C3A36"/>
          <w:sz w:val="21"/>
        </w:rPr>
        <w:t>That choice of denominator all but switches the terminal growth rate off, and the reason is worth setting out because the obvious reading of it is wrong. A terminal return of 8.8% against a terminal rate of 14.5% looks like the textbook case in which growth destroys value. It is not the right test. Because reinvestment is growth divided by return on capital, and that return is itself terminal profit grown one year over a fixed capital base, the reinvestment charge collapses to a constant — growth multiplied by invested capital — and the whole terminal block reduces to terminal profit grown one year, less that charge, over the rate less growth. Differentiate it and the growth term vanishes: the DIRECTION of the lever is a constant of the model, and the hurdle is terminal profit over invested capital against the rate over one plus the rate, which is 12.69%. This company sits at 8.39% — -430 basis points above it. Growth therefore adds value, and adds almost none of it: the cash-flow lens is EGP 63.48 at 3% terminal growth and EGP 47.67 at 7%, a spread of -24.9% across four points of perpetual growth. The practical conclusion is the one that matters: on a replacement-cost denominator this plant roughly breaks even on new tonnes, in a market carrying 76Mt of capacity against 54Mt of consumption, so nothing in this valuation is bought with an assumption about perpetual growth. A reader who prefers the book basis should know it lifts the valuation substantially, and should say why a plant carried at a tenth of replacement cost is the right denominator.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77"/>
        <w:gridCol w:w="1469"/>
        <w:gridCol w:w="1469"/>
        <w:gridCol w:w="1469"/>
        <w:gridCol w:w="1469"/>
        <w:gridCol w:w="1469"/>
      </w:tblGrid>
      <w:tr>
        <w:tc>
          <w:tcPr>
            <w:tcW w:type="dxa" w:w="2477"/>
            <w:shd w:val="clear" w:color="auto" w:fill="EAF0EE"/>
          </w:tcPr>
          <w:p>
            <w:pPr>
              <w:spacing w:after="20"/>
            </w:pPr>
            <w:r>
              <w:rPr>
                <w:b/>
                <w:color w:val="1C3A36"/>
                <w:sz w:val="18"/>
              </w:rPr>
              <w:t>Explicit-window rate</w:t>
            </w:r>
          </w:p>
        </w:tc>
        <w:tc>
          <w:tcPr>
            <w:tcW w:type="dxa" w:w="1469"/>
            <w:shd w:val="clear" w:color="auto" w:fill="EAF0EE"/>
          </w:tcPr>
          <w:p>
            <w:pPr>
              <w:spacing w:after="20"/>
            </w:pPr>
            <w:r>
              <w:rPr>
                <w:b/>
                <w:color w:val="1C3A36"/>
                <w:sz w:val="18"/>
              </w:rPr>
              <w:t>3%</w:t>
            </w:r>
          </w:p>
        </w:tc>
        <w:tc>
          <w:tcPr>
            <w:tcW w:type="dxa" w:w="1469"/>
            <w:shd w:val="clear" w:color="auto" w:fill="EAF0EE"/>
          </w:tcPr>
          <w:p>
            <w:pPr>
              <w:spacing w:after="20"/>
            </w:pPr>
            <w:r>
              <w:rPr>
                <w:b/>
                <w:color w:val="1C3A36"/>
                <w:sz w:val="18"/>
              </w:rPr>
              <w:t>4%</w:t>
            </w:r>
          </w:p>
        </w:tc>
        <w:tc>
          <w:tcPr>
            <w:tcW w:type="dxa" w:w="1469"/>
            <w:shd w:val="clear" w:color="auto" w:fill="EAF0EE"/>
          </w:tcPr>
          <w:p>
            <w:pPr>
              <w:spacing w:after="20"/>
            </w:pPr>
            <w:r>
              <w:rPr>
                <w:b/>
                <w:color w:val="1C3A36"/>
                <w:sz w:val="18"/>
              </w:rPr>
              <w:t>5%</w:t>
            </w:r>
          </w:p>
        </w:tc>
        <w:tc>
          <w:tcPr>
            <w:tcW w:type="dxa" w:w="1469"/>
            <w:shd w:val="clear" w:color="auto" w:fill="EAF0EE"/>
          </w:tcPr>
          <w:p>
            <w:pPr>
              <w:spacing w:after="20"/>
            </w:pPr>
            <w:r>
              <w:rPr>
                <w:b/>
                <w:color w:val="1C3A36"/>
                <w:sz w:val="18"/>
              </w:rPr>
              <w:t>6%</w:t>
            </w:r>
          </w:p>
        </w:tc>
        <w:tc>
          <w:tcPr>
            <w:tcW w:type="dxa" w:w="1469"/>
            <w:shd w:val="clear" w:color="auto" w:fill="EAF0EE"/>
          </w:tcPr>
          <w:p>
            <w:pPr>
              <w:spacing w:after="20"/>
            </w:pPr>
            <w:r>
              <w:rPr>
                <w:b/>
                <w:color w:val="1C3A36"/>
                <w:sz w:val="18"/>
              </w:rPr>
              <w:t>7%</w:t>
            </w:r>
          </w:p>
        </w:tc>
      </w:tr>
      <w:tr>
        <w:tc>
          <w:tcPr>
            <w:tcW w:type="dxa" w:w="2477"/>
          </w:tcPr>
          <w:p>
            <w:pPr>
              <w:spacing w:after="20"/>
            </w:pPr>
            <w:r>
              <w:rPr>
                <w:color w:val="1C3A36"/>
                <w:sz w:val="18"/>
              </w:rPr>
              <w:t>21.52%</w:t>
            </w:r>
          </w:p>
        </w:tc>
        <w:tc>
          <w:tcPr>
            <w:tcW w:type="dxa" w:w="1469"/>
          </w:tcPr>
          <w:p>
            <w:pPr>
              <w:spacing w:after="20"/>
              <w:jc w:val="right"/>
            </w:pPr>
            <w:r>
              <w:rPr>
                <w:color w:val="1C3A36"/>
                <w:sz w:val="18"/>
              </w:rPr>
              <w:t>65.44</w:t>
            </w:r>
          </w:p>
        </w:tc>
        <w:tc>
          <w:tcPr>
            <w:tcW w:type="dxa" w:w="1469"/>
          </w:tcPr>
          <w:p>
            <w:pPr>
              <w:spacing w:after="20"/>
              <w:jc w:val="right"/>
            </w:pPr>
            <w:r>
              <w:rPr>
                <w:color w:val="1C3A36"/>
                <w:sz w:val="18"/>
              </w:rPr>
              <w:t>62.50</w:t>
            </w:r>
          </w:p>
        </w:tc>
        <w:tc>
          <w:tcPr>
            <w:tcW w:type="dxa" w:w="1469"/>
          </w:tcPr>
          <w:p>
            <w:pPr>
              <w:spacing w:after="20"/>
              <w:jc w:val="right"/>
            </w:pPr>
            <w:r>
              <w:rPr>
                <w:color w:val="1C3A36"/>
                <w:sz w:val="18"/>
              </w:rPr>
              <w:t>58.95</w:t>
            </w:r>
          </w:p>
        </w:tc>
        <w:tc>
          <w:tcPr>
            <w:tcW w:type="dxa" w:w="1469"/>
          </w:tcPr>
          <w:p>
            <w:pPr>
              <w:spacing w:after="20"/>
              <w:jc w:val="right"/>
            </w:pPr>
            <w:r>
              <w:rPr>
                <w:color w:val="1C3A36"/>
                <w:sz w:val="18"/>
              </w:rPr>
              <w:t>54.57</w:t>
            </w:r>
          </w:p>
        </w:tc>
        <w:tc>
          <w:tcPr>
            <w:tcW w:type="dxa" w:w="1469"/>
          </w:tcPr>
          <w:p>
            <w:pPr>
              <w:spacing w:after="20"/>
              <w:jc w:val="right"/>
            </w:pPr>
            <w:r>
              <w:rPr>
                <w:color w:val="1C3A36"/>
                <w:sz w:val="18"/>
              </w:rPr>
              <w:t>49.02</w:t>
            </w:r>
          </w:p>
        </w:tc>
      </w:tr>
      <w:tr>
        <w:tc>
          <w:tcPr>
            <w:tcW w:type="dxa" w:w="2477"/>
          </w:tcPr>
          <w:p>
            <w:pPr>
              <w:spacing w:after="20"/>
            </w:pPr>
            <w:r>
              <w:rPr>
                <w:color w:val="1C3A36"/>
                <w:sz w:val="18"/>
              </w:rPr>
              <w:t>23.02%</w:t>
            </w:r>
          </w:p>
        </w:tc>
        <w:tc>
          <w:tcPr>
            <w:tcW w:type="dxa" w:w="1469"/>
          </w:tcPr>
          <w:p>
            <w:pPr>
              <w:spacing w:after="20"/>
              <w:jc w:val="right"/>
            </w:pPr>
            <w:r>
              <w:rPr>
                <w:color w:val="1C3A36"/>
                <w:sz w:val="18"/>
              </w:rPr>
              <w:t>64.44</w:t>
            </w:r>
          </w:p>
        </w:tc>
        <w:tc>
          <w:tcPr>
            <w:tcW w:type="dxa" w:w="1469"/>
          </w:tcPr>
          <w:p>
            <w:pPr>
              <w:spacing w:after="20"/>
              <w:jc w:val="right"/>
            </w:pPr>
            <w:r>
              <w:rPr>
                <w:color w:val="1C3A36"/>
                <w:sz w:val="18"/>
              </w:rPr>
              <w:t>61.56</w:t>
            </w:r>
          </w:p>
        </w:tc>
        <w:tc>
          <w:tcPr>
            <w:tcW w:type="dxa" w:w="1469"/>
          </w:tcPr>
          <w:p>
            <w:pPr>
              <w:spacing w:after="20"/>
              <w:jc w:val="right"/>
            </w:pPr>
            <w:r>
              <w:rPr>
                <w:color w:val="1C3A36"/>
                <w:sz w:val="18"/>
              </w:rPr>
              <w:t>58.08</w:t>
            </w:r>
          </w:p>
        </w:tc>
        <w:tc>
          <w:tcPr>
            <w:tcW w:type="dxa" w:w="1469"/>
          </w:tcPr>
          <w:p>
            <w:pPr>
              <w:spacing w:after="20"/>
              <w:jc w:val="right"/>
            </w:pPr>
            <w:r>
              <w:rPr>
                <w:color w:val="1C3A36"/>
                <w:sz w:val="18"/>
              </w:rPr>
              <w:t>53.78</w:t>
            </w:r>
          </w:p>
        </w:tc>
        <w:tc>
          <w:tcPr>
            <w:tcW w:type="dxa" w:w="1469"/>
          </w:tcPr>
          <w:p>
            <w:pPr>
              <w:spacing w:after="20"/>
              <w:jc w:val="right"/>
            </w:pPr>
            <w:r>
              <w:rPr>
                <w:color w:val="1C3A36"/>
                <w:sz w:val="18"/>
              </w:rPr>
              <w:t>48.34</w:t>
            </w:r>
          </w:p>
        </w:tc>
      </w:tr>
      <w:tr>
        <w:tc>
          <w:tcPr>
            <w:tcW w:type="dxa" w:w="2477"/>
          </w:tcPr>
          <w:p>
            <w:pPr>
              <w:spacing w:after="20"/>
            </w:pPr>
            <w:r>
              <w:rPr>
                <w:color w:val="1C3A36"/>
                <w:sz w:val="18"/>
              </w:rPr>
              <w:t>24.52%</w:t>
            </w:r>
          </w:p>
        </w:tc>
        <w:tc>
          <w:tcPr>
            <w:tcW w:type="dxa" w:w="1469"/>
          </w:tcPr>
          <w:p>
            <w:pPr>
              <w:spacing w:after="20"/>
              <w:jc w:val="right"/>
            </w:pPr>
            <w:r>
              <w:rPr>
                <w:color w:val="1C3A36"/>
                <w:sz w:val="18"/>
              </w:rPr>
              <w:t>63.48</w:t>
            </w:r>
          </w:p>
        </w:tc>
        <w:tc>
          <w:tcPr>
            <w:tcW w:type="dxa" w:w="1469"/>
          </w:tcPr>
          <w:p>
            <w:pPr>
              <w:spacing w:after="20"/>
              <w:jc w:val="right"/>
            </w:pPr>
            <w:r>
              <w:rPr>
                <w:color w:val="1C3A36"/>
                <w:sz w:val="18"/>
              </w:rPr>
              <w:t>60.65</w:t>
            </w:r>
          </w:p>
        </w:tc>
        <w:tc>
          <w:tcPr>
            <w:tcW w:type="dxa" w:w="1469"/>
          </w:tcPr>
          <w:p>
            <w:pPr>
              <w:spacing w:after="20"/>
              <w:jc w:val="right"/>
            </w:pPr>
            <w:r>
              <w:rPr>
                <w:color w:val="1C3A36"/>
                <w:sz w:val="18"/>
              </w:rPr>
              <w:t>57.23</w:t>
            </w:r>
          </w:p>
        </w:tc>
        <w:tc>
          <w:tcPr>
            <w:tcW w:type="dxa" w:w="1469"/>
          </w:tcPr>
          <w:p>
            <w:pPr>
              <w:spacing w:after="20"/>
              <w:jc w:val="right"/>
            </w:pPr>
            <w:r>
              <w:rPr>
                <w:color w:val="1C3A36"/>
                <w:sz w:val="18"/>
              </w:rPr>
              <w:t>53.01</w:t>
            </w:r>
          </w:p>
        </w:tc>
        <w:tc>
          <w:tcPr>
            <w:tcW w:type="dxa" w:w="1469"/>
          </w:tcPr>
          <w:p>
            <w:pPr>
              <w:spacing w:after="20"/>
              <w:jc w:val="right"/>
            </w:pPr>
            <w:r>
              <w:rPr>
                <w:color w:val="1C3A36"/>
                <w:sz w:val="18"/>
              </w:rPr>
              <w:t>47.67</w:t>
            </w:r>
          </w:p>
        </w:tc>
      </w:tr>
      <w:tr>
        <w:tc>
          <w:tcPr>
            <w:tcW w:type="dxa" w:w="2477"/>
          </w:tcPr>
          <w:p>
            <w:pPr>
              <w:spacing w:after="20"/>
            </w:pPr>
            <w:r>
              <w:rPr>
                <w:color w:val="1C3A36"/>
                <w:sz w:val="18"/>
              </w:rPr>
              <w:t>26.02%</w:t>
            </w:r>
          </w:p>
        </w:tc>
        <w:tc>
          <w:tcPr>
            <w:tcW w:type="dxa" w:w="1469"/>
          </w:tcPr>
          <w:p>
            <w:pPr>
              <w:spacing w:after="20"/>
              <w:jc w:val="right"/>
            </w:pPr>
            <w:r>
              <w:rPr>
                <w:color w:val="1C3A36"/>
                <w:sz w:val="18"/>
              </w:rPr>
              <w:t>62.53</w:t>
            </w:r>
          </w:p>
        </w:tc>
        <w:tc>
          <w:tcPr>
            <w:tcW w:type="dxa" w:w="1469"/>
          </w:tcPr>
          <w:p>
            <w:pPr>
              <w:spacing w:after="20"/>
              <w:jc w:val="right"/>
            </w:pPr>
            <w:r>
              <w:rPr>
                <w:color w:val="1C3A36"/>
                <w:sz w:val="18"/>
              </w:rPr>
              <w:t>59.76</w:t>
            </w:r>
          </w:p>
        </w:tc>
        <w:tc>
          <w:tcPr>
            <w:tcW w:type="dxa" w:w="1469"/>
          </w:tcPr>
          <w:p>
            <w:pPr>
              <w:spacing w:after="20"/>
              <w:jc w:val="right"/>
            </w:pPr>
            <w:r>
              <w:rPr>
                <w:color w:val="1C3A36"/>
                <w:sz w:val="18"/>
              </w:rPr>
              <w:t>56.40</w:t>
            </w:r>
          </w:p>
        </w:tc>
        <w:tc>
          <w:tcPr>
            <w:tcW w:type="dxa" w:w="1469"/>
          </w:tcPr>
          <w:p>
            <w:pPr>
              <w:spacing w:after="20"/>
              <w:jc w:val="right"/>
            </w:pPr>
            <w:r>
              <w:rPr>
                <w:color w:val="1C3A36"/>
                <w:sz w:val="18"/>
              </w:rPr>
              <w:t>52.26</w:t>
            </w:r>
          </w:p>
        </w:tc>
        <w:tc>
          <w:tcPr>
            <w:tcW w:type="dxa" w:w="1469"/>
          </w:tcPr>
          <w:p>
            <w:pPr>
              <w:spacing w:after="20"/>
              <w:jc w:val="right"/>
            </w:pPr>
            <w:r>
              <w:rPr>
                <w:color w:val="1C3A36"/>
                <w:sz w:val="18"/>
              </w:rPr>
              <w:t>47.01</w:t>
            </w:r>
          </w:p>
        </w:tc>
      </w:tr>
      <w:tr>
        <w:tc>
          <w:tcPr>
            <w:tcW w:type="dxa" w:w="2477"/>
          </w:tcPr>
          <w:p>
            <w:pPr>
              <w:spacing w:after="20"/>
            </w:pPr>
            <w:r>
              <w:rPr>
                <w:color w:val="1C3A36"/>
                <w:sz w:val="18"/>
              </w:rPr>
              <w:t>27.52%</w:t>
            </w:r>
          </w:p>
        </w:tc>
        <w:tc>
          <w:tcPr>
            <w:tcW w:type="dxa" w:w="1469"/>
          </w:tcPr>
          <w:p>
            <w:pPr>
              <w:spacing w:after="20"/>
              <w:jc w:val="right"/>
            </w:pPr>
            <w:r>
              <w:rPr>
                <w:color w:val="1C3A36"/>
                <w:sz w:val="18"/>
              </w:rPr>
              <w:t>61.61</w:t>
            </w:r>
          </w:p>
        </w:tc>
        <w:tc>
          <w:tcPr>
            <w:tcW w:type="dxa" w:w="1469"/>
          </w:tcPr>
          <w:p>
            <w:pPr>
              <w:spacing w:after="20"/>
              <w:jc w:val="right"/>
            </w:pPr>
            <w:r>
              <w:rPr>
                <w:color w:val="1C3A36"/>
                <w:sz w:val="18"/>
              </w:rPr>
              <w:t>58.89</w:t>
            </w:r>
          </w:p>
        </w:tc>
        <w:tc>
          <w:tcPr>
            <w:tcW w:type="dxa" w:w="1469"/>
          </w:tcPr>
          <w:p>
            <w:pPr>
              <w:spacing w:after="20"/>
              <w:jc w:val="right"/>
            </w:pPr>
            <w:r>
              <w:rPr>
                <w:color w:val="1C3A36"/>
                <w:sz w:val="18"/>
              </w:rPr>
              <w:t>55.59</w:t>
            </w:r>
          </w:p>
        </w:tc>
        <w:tc>
          <w:tcPr>
            <w:tcW w:type="dxa" w:w="1469"/>
          </w:tcPr>
          <w:p>
            <w:pPr>
              <w:spacing w:after="20"/>
              <w:jc w:val="right"/>
            </w:pPr>
            <w:r>
              <w:rPr>
                <w:color w:val="1C3A36"/>
                <w:sz w:val="18"/>
              </w:rPr>
              <w:t>51.53</w:t>
            </w:r>
          </w:p>
        </w:tc>
        <w:tc>
          <w:tcPr>
            <w:tcW w:type="dxa" w:w="1469"/>
          </w:tcPr>
          <w:p>
            <w:pPr>
              <w:spacing w:after="20"/>
              <w:jc w:val="right"/>
            </w:pPr>
            <w:r>
              <w:rPr>
                <w:color w:val="1C3A36"/>
                <w:sz w:val="18"/>
              </w:rPr>
              <w:t>46.38</w:t>
            </w:r>
          </w:p>
        </w:tc>
      </w:tr>
    </w:tbl>
    <w:p>
      <w:pPr>
        <w:spacing w:after="40"/>
      </w:pPr>
    </w:p>
    <w:p>
      <w:pPr>
        <w:spacing w:after="200" w:before="0"/>
      </w:pPr>
      <w:r>
        <w:rPr>
          <w:b w:val="0"/>
          <w:i/>
          <w:color w:val="6E7B77"/>
          <w:sz w:val="17"/>
        </w:rPr>
        <w:t>Table 11 — Fair value per share across the explicit-window cost of capital and terminal growth. Growth is the STRONGER of the two levers here and it points DOWN: across a row the value moves EGP 16.41, against EGP 3.82 down a column. The paragraphs above set out why the growth axis is nearly flat — on a replacement-cost denominator this plant sits within -430 basis points of breaking even on new tonnes, so perpetual growth neither creates nor destroys much of anything.</w:t>
      </w:r>
    </w:p>
    <w:p>
      <w:pPr>
        <w:spacing w:after="40"/>
        <w:jc w:val="center"/>
      </w:pPr>
      <w:r>
        <w:drawing>
          <wp:inline xmlns:a="http://schemas.openxmlformats.org/drawingml/2006/main" xmlns:pic="http://schemas.openxmlformats.org/drawingml/2006/picture">
            <wp:extent cx="6035040" cy="3017520"/>
            <wp:docPr id="3" name="Picture 3"/>
            <wp:cNvGraphicFramePr>
              <a:graphicFrameLocks noChangeAspect="1"/>
            </wp:cNvGraphicFramePr>
            <a:graphic>
              <a:graphicData uri="http://schemas.openxmlformats.org/drawingml/2006/picture">
                <pic:pic>
                  <pic:nvPicPr>
                    <pic:cNvPr id="0" name="fig2_sens.png"/>
                    <pic:cNvPicPr/>
                  </pic:nvPicPr>
                  <pic:blipFill>
                    <a:blip r:embed="rId11"/>
                    <a:stretch>
                      <a:fillRect/>
                    </a:stretch>
                  </pic:blipFill>
                  <pic:spPr>
                    <a:xfrm>
                      <a:off x="0" y="0"/>
                      <a:ext cx="6035040" cy="3017520"/>
                    </a:xfrm>
                    <a:prstGeom prst="rect"/>
                  </pic:spPr>
                </pic:pic>
              </a:graphicData>
            </a:graphic>
          </wp:inline>
        </w:drawing>
      </w:r>
    </w:p>
    <w:p>
      <w:pPr>
        <w:spacing w:after="200" w:before="0"/>
      </w:pPr>
      <w:r>
        <w:rPr>
          <w:b w:val="0"/>
          <w:i/>
          <w:color w:val="6E7B77"/>
          <w:sz w:val="17"/>
        </w:rPr>
        <w:t>Figure 3 — The same surface. The growth axis is almost flat and the discount-rate axis is not; that is the model being consistent with its own terminal algebra rather than a sign error.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77"/>
        <w:gridCol w:w="1469"/>
        <w:gridCol w:w="1469"/>
        <w:gridCol w:w="1469"/>
        <w:gridCol w:w="1469"/>
        <w:gridCol w:w="1469"/>
      </w:tblGrid>
      <w:tr>
        <w:tc>
          <w:tcPr>
            <w:tcW w:type="dxa" w:w="2477"/>
            <w:shd w:val="clear" w:color="auto" w:fill="EAF0EE"/>
          </w:tcPr>
          <w:p>
            <w:pPr>
              <w:spacing w:after="20"/>
            </w:pPr>
            <w:r>
              <w:rPr>
                <w:b/>
                <w:color w:val="1C3A36"/>
                <w:sz w:val="18"/>
              </w:rPr>
              <w:t>Explicit-window rate</w:t>
            </w:r>
          </w:p>
        </w:tc>
        <w:tc>
          <w:tcPr>
            <w:tcW w:type="dxa" w:w="1469"/>
            <w:shd w:val="clear" w:color="auto" w:fill="EAF0EE"/>
          </w:tcPr>
          <w:p>
            <w:pPr>
              <w:spacing w:after="20"/>
            </w:pPr>
            <w:r>
              <w:rPr>
                <w:b/>
                <w:color w:val="1C3A36"/>
                <w:sz w:val="18"/>
              </w:rPr>
              <w:t>12.5%</w:t>
            </w:r>
          </w:p>
        </w:tc>
        <w:tc>
          <w:tcPr>
            <w:tcW w:type="dxa" w:w="1469"/>
            <w:shd w:val="clear" w:color="auto" w:fill="EAF0EE"/>
          </w:tcPr>
          <w:p>
            <w:pPr>
              <w:spacing w:after="20"/>
            </w:pPr>
            <w:r>
              <w:rPr>
                <w:b/>
                <w:color w:val="1C3A36"/>
                <w:sz w:val="18"/>
              </w:rPr>
              <w:t>13.5%</w:t>
            </w:r>
          </w:p>
        </w:tc>
        <w:tc>
          <w:tcPr>
            <w:tcW w:type="dxa" w:w="1469"/>
            <w:shd w:val="clear" w:color="auto" w:fill="EAF0EE"/>
          </w:tcPr>
          <w:p>
            <w:pPr>
              <w:spacing w:after="20"/>
            </w:pPr>
            <w:r>
              <w:rPr>
                <w:b/>
                <w:color w:val="1C3A36"/>
                <w:sz w:val="18"/>
              </w:rPr>
              <w:t>14.5%</w:t>
            </w:r>
          </w:p>
        </w:tc>
        <w:tc>
          <w:tcPr>
            <w:tcW w:type="dxa" w:w="1469"/>
            <w:shd w:val="clear" w:color="auto" w:fill="EAF0EE"/>
          </w:tcPr>
          <w:p>
            <w:pPr>
              <w:spacing w:after="20"/>
            </w:pPr>
            <w:r>
              <w:rPr>
                <w:b/>
                <w:color w:val="1C3A36"/>
                <w:sz w:val="18"/>
              </w:rPr>
              <w:t>15.5%</w:t>
            </w:r>
          </w:p>
        </w:tc>
        <w:tc>
          <w:tcPr>
            <w:tcW w:type="dxa" w:w="1469"/>
            <w:shd w:val="clear" w:color="auto" w:fill="EAF0EE"/>
          </w:tcPr>
          <w:p>
            <w:pPr>
              <w:spacing w:after="20"/>
            </w:pPr>
            <w:r>
              <w:rPr>
                <w:b/>
                <w:color w:val="1C3A36"/>
                <w:sz w:val="18"/>
              </w:rPr>
              <w:t>16.5%</w:t>
            </w:r>
          </w:p>
        </w:tc>
      </w:tr>
      <w:tr>
        <w:tc>
          <w:tcPr>
            <w:tcW w:type="dxa" w:w="2477"/>
          </w:tcPr>
          <w:p>
            <w:pPr>
              <w:spacing w:after="20"/>
            </w:pPr>
            <w:r>
              <w:rPr>
                <w:color w:val="1C3A36"/>
                <w:sz w:val="18"/>
              </w:rPr>
              <w:t>21.52%</w:t>
            </w:r>
          </w:p>
        </w:tc>
        <w:tc>
          <w:tcPr>
            <w:tcW w:type="dxa" w:w="1469"/>
          </w:tcPr>
          <w:p>
            <w:pPr>
              <w:spacing w:after="20"/>
              <w:jc w:val="right"/>
            </w:pPr>
            <w:r>
              <w:rPr>
                <w:color w:val="1C3A36"/>
                <w:sz w:val="18"/>
              </w:rPr>
              <w:t>68.65</w:t>
            </w:r>
          </w:p>
        </w:tc>
        <w:tc>
          <w:tcPr>
            <w:tcW w:type="dxa" w:w="1469"/>
          </w:tcPr>
          <w:p>
            <w:pPr>
              <w:spacing w:after="20"/>
              <w:jc w:val="right"/>
            </w:pPr>
            <w:r>
              <w:rPr>
                <w:color w:val="1C3A36"/>
                <w:sz w:val="18"/>
              </w:rPr>
              <w:t>63.24</w:t>
            </w:r>
          </w:p>
        </w:tc>
        <w:tc>
          <w:tcPr>
            <w:tcW w:type="dxa" w:w="1469"/>
          </w:tcPr>
          <w:p>
            <w:pPr>
              <w:spacing w:after="20"/>
              <w:jc w:val="right"/>
            </w:pPr>
            <w:r>
              <w:rPr>
                <w:color w:val="1C3A36"/>
                <w:sz w:val="18"/>
              </w:rPr>
              <w:t>58.95</w:t>
            </w:r>
          </w:p>
        </w:tc>
        <w:tc>
          <w:tcPr>
            <w:tcW w:type="dxa" w:w="1469"/>
          </w:tcPr>
          <w:p>
            <w:pPr>
              <w:spacing w:after="20"/>
              <w:jc w:val="right"/>
            </w:pPr>
            <w:r>
              <w:rPr>
                <w:color w:val="1C3A36"/>
                <w:sz w:val="18"/>
              </w:rPr>
              <w:t>55.45</w:t>
            </w:r>
          </w:p>
        </w:tc>
        <w:tc>
          <w:tcPr>
            <w:tcW w:type="dxa" w:w="1469"/>
          </w:tcPr>
          <w:p>
            <w:pPr>
              <w:spacing w:after="20"/>
              <w:jc w:val="right"/>
            </w:pPr>
            <w:r>
              <w:rPr>
                <w:color w:val="1C3A36"/>
                <w:sz w:val="18"/>
              </w:rPr>
              <w:t>52.54</w:t>
            </w:r>
          </w:p>
        </w:tc>
      </w:tr>
      <w:tr>
        <w:tc>
          <w:tcPr>
            <w:tcW w:type="dxa" w:w="2477"/>
          </w:tcPr>
          <w:p>
            <w:pPr>
              <w:spacing w:after="20"/>
            </w:pPr>
            <w:r>
              <w:rPr>
                <w:color w:val="1C3A36"/>
                <w:sz w:val="18"/>
              </w:rPr>
              <w:t>23.02%</w:t>
            </w:r>
          </w:p>
        </w:tc>
        <w:tc>
          <w:tcPr>
            <w:tcW w:type="dxa" w:w="1469"/>
          </w:tcPr>
          <w:p>
            <w:pPr>
              <w:spacing w:after="20"/>
              <w:jc w:val="right"/>
            </w:pPr>
            <w:r>
              <w:rPr>
                <w:color w:val="1C3A36"/>
                <w:sz w:val="18"/>
              </w:rPr>
              <w:t>67.59</w:t>
            </w:r>
          </w:p>
        </w:tc>
        <w:tc>
          <w:tcPr>
            <w:tcW w:type="dxa" w:w="1469"/>
          </w:tcPr>
          <w:p>
            <w:pPr>
              <w:spacing w:after="20"/>
              <w:jc w:val="right"/>
            </w:pPr>
            <w:r>
              <w:rPr>
                <w:color w:val="1C3A36"/>
                <w:sz w:val="18"/>
              </w:rPr>
              <w:t>62.29</w:t>
            </w:r>
          </w:p>
        </w:tc>
        <w:tc>
          <w:tcPr>
            <w:tcW w:type="dxa" w:w="1469"/>
          </w:tcPr>
          <w:p>
            <w:pPr>
              <w:spacing w:after="20"/>
              <w:jc w:val="right"/>
            </w:pPr>
            <w:r>
              <w:rPr>
                <w:color w:val="1C3A36"/>
                <w:sz w:val="18"/>
              </w:rPr>
              <w:t>58.08</w:t>
            </w:r>
          </w:p>
        </w:tc>
        <w:tc>
          <w:tcPr>
            <w:tcW w:type="dxa" w:w="1469"/>
          </w:tcPr>
          <w:p>
            <w:pPr>
              <w:spacing w:after="20"/>
              <w:jc w:val="right"/>
            </w:pPr>
            <w:r>
              <w:rPr>
                <w:color w:val="1C3A36"/>
                <w:sz w:val="18"/>
              </w:rPr>
              <w:t>54.65</w:t>
            </w:r>
          </w:p>
        </w:tc>
        <w:tc>
          <w:tcPr>
            <w:tcW w:type="dxa" w:w="1469"/>
          </w:tcPr>
          <w:p>
            <w:pPr>
              <w:spacing w:after="20"/>
              <w:jc w:val="right"/>
            </w:pPr>
            <w:r>
              <w:rPr>
                <w:color w:val="1C3A36"/>
                <w:sz w:val="18"/>
              </w:rPr>
              <w:t>51.79</w:t>
            </w:r>
          </w:p>
        </w:tc>
      </w:tr>
      <w:tr>
        <w:tc>
          <w:tcPr>
            <w:tcW w:type="dxa" w:w="2477"/>
          </w:tcPr>
          <w:p>
            <w:pPr>
              <w:spacing w:after="20"/>
            </w:pPr>
            <w:r>
              <w:rPr>
                <w:color w:val="1C3A36"/>
                <w:sz w:val="18"/>
              </w:rPr>
              <w:t>24.52%</w:t>
            </w:r>
          </w:p>
        </w:tc>
        <w:tc>
          <w:tcPr>
            <w:tcW w:type="dxa" w:w="1469"/>
          </w:tcPr>
          <w:p>
            <w:pPr>
              <w:spacing w:after="20"/>
              <w:jc w:val="right"/>
            </w:pPr>
            <w:r>
              <w:rPr>
                <w:color w:val="1C3A36"/>
                <w:sz w:val="18"/>
              </w:rPr>
              <w:t>66.56</w:t>
            </w:r>
          </w:p>
        </w:tc>
        <w:tc>
          <w:tcPr>
            <w:tcW w:type="dxa" w:w="1469"/>
          </w:tcPr>
          <w:p>
            <w:pPr>
              <w:spacing w:after="20"/>
              <w:jc w:val="right"/>
            </w:pPr>
            <w:r>
              <w:rPr>
                <w:color w:val="1C3A36"/>
                <w:sz w:val="18"/>
              </w:rPr>
              <w:t>61.36</w:t>
            </w:r>
          </w:p>
        </w:tc>
        <w:tc>
          <w:tcPr>
            <w:tcW w:type="dxa" w:w="1469"/>
          </w:tcPr>
          <w:p>
            <w:pPr>
              <w:spacing w:after="20"/>
              <w:jc w:val="right"/>
            </w:pPr>
            <w:r>
              <w:rPr>
                <w:color w:val="1C3A36"/>
                <w:sz w:val="18"/>
              </w:rPr>
              <w:t>57.23</w:t>
            </w:r>
          </w:p>
        </w:tc>
        <w:tc>
          <w:tcPr>
            <w:tcW w:type="dxa" w:w="1469"/>
          </w:tcPr>
          <w:p>
            <w:pPr>
              <w:spacing w:after="20"/>
              <w:jc w:val="right"/>
            </w:pPr>
            <w:r>
              <w:rPr>
                <w:color w:val="1C3A36"/>
                <w:sz w:val="18"/>
              </w:rPr>
              <w:t>53.86</w:t>
            </w:r>
          </w:p>
        </w:tc>
        <w:tc>
          <w:tcPr>
            <w:tcW w:type="dxa" w:w="1469"/>
          </w:tcPr>
          <w:p>
            <w:pPr>
              <w:spacing w:after="20"/>
              <w:jc w:val="right"/>
            </w:pPr>
            <w:r>
              <w:rPr>
                <w:color w:val="1C3A36"/>
                <w:sz w:val="18"/>
              </w:rPr>
              <w:t>51.06</w:t>
            </w:r>
          </w:p>
        </w:tc>
      </w:tr>
      <w:tr>
        <w:tc>
          <w:tcPr>
            <w:tcW w:type="dxa" w:w="2477"/>
          </w:tcPr>
          <w:p>
            <w:pPr>
              <w:spacing w:after="20"/>
            </w:pPr>
            <w:r>
              <w:rPr>
                <w:color w:val="1C3A36"/>
                <w:sz w:val="18"/>
              </w:rPr>
              <w:t>26.02%</w:t>
            </w:r>
          </w:p>
        </w:tc>
        <w:tc>
          <w:tcPr>
            <w:tcW w:type="dxa" w:w="1469"/>
          </w:tcPr>
          <w:p>
            <w:pPr>
              <w:spacing w:after="20"/>
              <w:jc w:val="right"/>
            </w:pPr>
            <w:r>
              <w:rPr>
                <w:color w:val="1C3A36"/>
                <w:sz w:val="18"/>
              </w:rPr>
              <w:t>65.55</w:t>
            </w:r>
          </w:p>
        </w:tc>
        <w:tc>
          <w:tcPr>
            <w:tcW w:type="dxa" w:w="1469"/>
          </w:tcPr>
          <w:p>
            <w:pPr>
              <w:spacing w:after="20"/>
              <w:jc w:val="right"/>
            </w:pPr>
            <w:r>
              <w:rPr>
                <w:color w:val="1C3A36"/>
                <w:sz w:val="18"/>
              </w:rPr>
              <w:t>60.45</w:t>
            </w:r>
          </w:p>
        </w:tc>
        <w:tc>
          <w:tcPr>
            <w:tcW w:type="dxa" w:w="1469"/>
          </w:tcPr>
          <w:p>
            <w:pPr>
              <w:spacing w:after="20"/>
              <w:jc w:val="right"/>
            </w:pPr>
            <w:r>
              <w:rPr>
                <w:color w:val="1C3A36"/>
                <w:sz w:val="18"/>
              </w:rPr>
              <w:t>56.40</w:t>
            </w:r>
          </w:p>
        </w:tc>
        <w:tc>
          <w:tcPr>
            <w:tcW w:type="dxa" w:w="1469"/>
          </w:tcPr>
          <w:p>
            <w:pPr>
              <w:spacing w:after="20"/>
              <w:jc w:val="right"/>
            </w:pPr>
            <w:r>
              <w:rPr>
                <w:color w:val="1C3A36"/>
                <w:sz w:val="18"/>
              </w:rPr>
              <w:t>53.10</w:t>
            </w:r>
          </w:p>
        </w:tc>
        <w:tc>
          <w:tcPr>
            <w:tcW w:type="dxa" w:w="1469"/>
          </w:tcPr>
          <w:p>
            <w:pPr>
              <w:spacing w:after="20"/>
              <w:jc w:val="right"/>
            </w:pPr>
            <w:r>
              <w:rPr>
                <w:color w:val="1C3A36"/>
                <w:sz w:val="18"/>
              </w:rPr>
              <w:t>50.35</w:t>
            </w:r>
          </w:p>
        </w:tc>
      </w:tr>
      <w:tr>
        <w:tc>
          <w:tcPr>
            <w:tcW w:type="dxa" w:w="2477"/>
          </w:tcPr>
          <w:p>
            <w:pPr>
              <w:spacing w:after="20"/>
            </w:pPr>
            <w:r>
              <w:rPr>
                <w:color w:val="1C3A36"/>
                <w:sz w:val="18"/>
              </w:rPr>
              <w:t>27.52%</w:t>
            </w:r>
          </w:p>
        </w:tc>
        <w:tc>
          <w:tcPr>
            <w:tcW w:type="dxa" w:w="1469"/>
          </w:tcPr>
          <w:p>
            <w:pPr>
              <w:spacing w:after="20"/>
              <w:jc w:val="right"/>
            </w:pPr>
            <w:r>
              <w:rPr>
                <w:color w:val="1C3A36"/>
                <w:sz w:val="18"/>
              </w:rPr>
              <w:t>64.57</w:t>
            </w:r>
          </w:p>
        </w:tc>
        <w:tc>
          <w:tcPr>
            <w:tcW w:type="dxa" w:w="1469"/>
          </w:tcPr>
          <w:p>
            <w:pPr>
              <w:spacing w:after="20"/>
              <w:jc w:val="right"/>
            </w:pPr>
            <w:r>
              <w:rPr>
                <w:color w:val="1C3A36"/>
                <w:sz w:val="18"/>
              </w:rPr>
              <w:t>59.57</w:t>
            </w:r>
          </w:p>
        </w:tc>
        <w:tc>
          <w:tcPr>
            <w:tcW w:type="dxa" w:w="1469"/>
          </w:tcPr>
          <w:p>
            <w:pPr>
              <w:spacing w:after="20"/>
              <w:jc w:val="right"/>
            </w:pPr>
            <w:r>
              <w:rPr>
                <w:color w:val="1C3A36"/>
                <w:sz w:val="18"/>
              </w:rPr>
              <w:t>55.59</w:t>
            </w:r>
          </w:p>
        </w:tc>
        <w:tc>
          <w:tcPr>
            <w:tcW w:type="dxa" w:w="1469"/>
          </w:tcPr>
          <w:p>
            <w:pPr>
              <w:spacing w:after="20"/>
              <w:jc w:val="right"/>
            </w:pPr>
            <w:r>
              <w:rPr>
                <w:color w:val="1C3A36"/>
                <w:sz w:val="18"/>
              </w:rPr>
              <w:t>52.35</w:t>
            </w:r>
          </w:p>
        </w:tc>
        <w:tc>
          <w:tcPr>
            <w:tcW w:type="dxa" w:w="1469"/>
          </w:tcPr>
          <w:p>
            <w:pPr>
              <w:spacing w:after="20"/>
              <w:jc w:val="right"/>
            </w:pPr>
            <w:r>
              <w:rPr>
                <w:color w:val="1C3A36"/>
                <w:sz w:val="18"/>
              </w:rPr>
              <w:t>49.66</w:t>
            </w:r>
          </w:p>
        </w:tc>
      </w:tr>
    </w:tbl>
    <w:p>
      <w:pPr>
        <w:spacing w:after="40"/>
      </w:pPr>
    </w:p>
    <w:p>
      <w:pPr>
        <w:spacing w:after="200" w:before="0"/>
      </w:pPr>
      <w:r>
        <w:rPr>
          <w:b w:val="0"/>
          <w:i/>
          <w:color w:val="6E7B77"/>
          <w:sz w:val="17"/>
        </w:rPr>
        <w:t>Table 12 — The two anchors varied INDEPENDENTLY: the explicit-window rate down the side, the terminal rate across the top. This shows what the valuation needs the economy to do, not merely what growth rate the model needs.</w:t>
      </w:r>
    </w:p>
    <w:p>
      <w:pPr>
        <w:spacing w:after="80" w:before="200"/>
      </w:pPr>
      <w:r>
        <w:rPr>
          <w:b/>
          <w:i w:val="0"/>
          <w:color w:val="1C3A36"/>
          <w:sz w:val="24"/>
        </w:rPr>
        <w:t>1.9  The other three lenses, and the choices that were contested</w:t>
      </w:r>
    </w:p>
    <w:p>
      <w:pPr>
        <w:spacing w:after="120" w:before="0"/>
      </w:pPr>
      <w:r>
        <w:rPr>
          <w:b w:val="0"/>
          <w:i w:val="0"/>
          <w:color w:val="1C3A36"/>
          <w:sz w:val="21"/>
        </w:rPr>
        <w:t>The relative lens applies 4.5 times to normalised EBITDA of EGP 3,651mn — the FY2025 revenue base cut 6% and a mid-cycle margin of 31.2% applied to it — and adds net cash at face. The multiple is disclosed as weakly anchored: the listed Egyptian peer set is thin, and its published multiples do not reconcile against the market capitalisations printed beside them. That is why this lens carries 20% and not more.</w:t>
      </w:r>
    </w:p>
    <w:p>
      <w:pPr>
        <w:spacing w:after="120" w:before="0"/>
      </w:pPr>
      <w:r>
        <w:rPr>
          <w:b w:val="0"/>
          <w:i w:val="0"/>
          <w:color w:val="1C3A36"/>
          <w:sz w:val="21"/>
        </w:rPr>
        <w:t>The normalised-earnings lens capitalises the same mid-cycle operating profit after tax — EGP 2,560mn — at 7.0 times, and again adds cash at FACE rather than capitalising it at the operating multiple. Cash is worth cash; capitalising a pound of treasury at seven times would value it at a discount to itself.</w:t>
      </w:r>
    </w:p>
    <w:p>
      <w:pPr>
        <w:spacing w:after="120" w:before="0"/>
      </w:pPr>
      <w:r>
        <w:rPr>
          <w:b w:val="0"/>
          <w:i w:val="0"/>
          <w:color w:val="1C3A36"/>
          <w:sz w:val="21"/>
        </w:rPr>
        <w:t>The asset lens values the capacity: 5.0Mt at a justified USD 95 per annual tonne, marked down 27% from a replacement cost of USD 130. Against that, the market is paying USD 80.3 per annual tonne. This lens carries only 8%, and the reason is in the same paragraph as the number: restarting a mothballed line costs a fraction of building one, and 12.6Mt of restart capacity is queuing. Replacement cost is a ceiling here, not a floor.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672"/>
        <w:gridCol w:w="1512"/>
        <w:gridCol w:w="1728"/>
        <w:gridCol w:w="2448"/>
      </w:tblGrid>
      <w:tr>
        <w:tc>
          <w:tcPr>
            <w:tcW w:type="dxa" w:w="3672"/>
            <w:shd w:val="clear" w:color="auto" w:fill="EAF0EE"/>
          </w:tcPr>
          <w:p>
            <w:pPr>
              <w:spacing w:after="20"/>
            </w:pPr>
            <w:r>
              <w:rPr>
                <w:b/>
                <w:color w:val="1C3A36"/>
                <w:sz w:val="17"/>
              </w:rPr>
              <w:t>Choice</w:t>
            </w:r>
          </w:p>
        </w:tc>
        <w:tc>
          <w:tcPr>
            <w:tcW w:type="dxa" w:w="1512"/>
            <w:shd w:val="clear" w:color="auto" w:fill="EAF0EE"/>
          </w:tcPr>
          <w:p>
            <w:pPr>
              <w:spacing w:after="20"/>
            </w:pPr>
            <w:r>
              <w:rPr>
                <w:b/>
                <w:color w:val="1C3A36"/>
                <w:sz w:val="17"/>
              </w:rPr>
              <w:t>Adopted</w:t>
            </w:r>
          </w:p>
        </w:tc>
        <w:tc>
          <w:tcPr>
            <w:tcW w:type="dxa" w:w="1728"/>
            <w:shd w:val="clear" w:color="auto" w:fill="EAF0EE"/>
          </w:tcPr>
          <w:p>
            <w:pPr>
              <w:spacing w:after="20"/>
            </w:pPr>
            <w:r>
              <w:rPr>
                <w:b/>
                <w:color w:val="1C3A36"/>
                <w:sz w:val="17"/>
              </w:rPr>
              <w:t>Alternative</w:t>
            </w:r>
          </w:p>
        </w:tc>
        <w:tc>
          <w:tcPr>
            <w:tcW w:type="dxa" w:w="2448"/>
            <w:shd w:val="clear" w:color="auto" w:fill="EAF0EE"/>
          </w:tcPr>
          <w:p>
            <w:pPr>
              <w:spacing w:after="20"/>
            </w:pPr>
            <w:r>
              <w:rPr>
                <w:b/>
                <w:color w:val="1C3A36"/>
                <w:sz w:val="17"/>
              </w:rPr>
              <w:t>Effect on the cash-flow lens</w:t>
            </w:r>
          </w:p>
        </w:tc>
      </w:tr>
      <w:tr>
        <w:tc>
          <w:tcPr>
            <w:tcW w:type="dxa" w:w="3672"/>
          </w:tcPr>
          <w:p>
            <w:pPr>
              <w:spacing w:after="20"/>
            </w:pPr>
            <w:r>
              <w:rPr>
                <w:color w:val="1C3A36"/>
                <w:sz w:val="17"/>
              </w:rPr>
              <w:t>Cost of debt: currency composition as contracted (adopted) vs the pound-equivalent under uncovered interest parity</w:t>
            </w:r>
          </w:p>
        </w:tc>
        <w:tc>
          <w:tcPr>
            <w:tcW w:type="dxa" w:w="1512"/>
          </w:tcPr>
          <w:p>
            <w:pPr>
              <w:spacing w:after="20"/>
              <w:jc w:val="right"/>
            </w:pPr>
            <w:r>
              <w:rPr>
                <w:color w:val="1C3A36"/>
                <w:sz w:val="17"/>
              </w:rPr>
              <w:t>7.89%</w:t>
            </w:r>
          </w:p>
        </w:tc>
        <w:tc>
          <w:tcPr>
            <w:tcW w:type="dxa" w:w="1728"/>
          </w:tcPr>
          <w:p>
            <w:pPr>
              <w:spacing w:after="20"/>
              <w:jc w:val="right"/>
            </w:pPr>
            <w:r>
              <w:rPr>
                <w:color w:val="1C3A36"/>
                <w:sz w:val="17"/>
              </w:rPr>
              <w:t>13.36%</w:t>
            </w:r>
          </w:p>
        </w:tc>
        <w:tc>
          <w:tcPr>
            <w:tcW w:type="dxa" w:w="2448"/>
          </w:tcPr>
          <w:p>
            <w:pPr>
              <w:spacing w:after="20"/>
              <w:jc w:val="right"/>
            </w:pPr>
            <w:r>
              <w:rPr>
                <w:color w:val="1C3A36"/>
                <w:sz w:val="17"/>
              </w:rPr>
              <w:t>57.12  (+3.1%)</w:t>
            </w:r>
          </w:p>
        </w:tc>
      </w:tr>
      <w:tr>
        <w:tc>
          <w:tcPr>
            <w:tcW w:type="dxa" w:w="3672"/>
          </w:tcPr>
          <w:p>
            <w:pPr>
              <w:spacing w:after="20"/>
            </w:pPr>
            <w:r>
              <w:rPr>
                <w:color w:val="1C3A36"/>
                <w:sz w:val="17"/>
              </w:rPr>
              <w:t>Beta: contemporaneous regression (adopted) vs lead-lag sum-beta</w:t>
            </w:r>
          </w:p>
        </w:tc>
        <w:tc>
          <w:tcPr>
            <w:tcW w:type="dxa" w:w="1512"/>
          </w:tcPr>
          <w:p>
            <w:pPr>
              <w:spacing w:after="20"/>
              <w:jc w:val="right"/>
            </w:pPr>
            <w:r>
              <w:rPr>
                <w:color w:val="1C3A36"/>
                <w:sz w:val="17"/>
              </w:rPr>
              <w:t>0.628</w:t>
            </w:r>
          </w:p>
        </w:tc>
        <w:tc>
          <w:tcPr>
            <w:tcW w:type="dxa" w:w="1728"/>
          </w:tcPr>
          <w:p>
            <w:pPr>
              <w:spacing w:after="20"/>
              <w:jc w:val="right"/>
            </w:pPr>
            <w:r>
              <w:rPr>
                <w:color w:val="1C3A36"/>
                <w:sz w:val="17"/>
              </w:rPr>
              <w:t>0.919</w:t>
            </w:r>
          </w:p>
        </w:tc>
        <w:tc>
          <w:tcPr>
            <w:tcW w:type="dxa" w:w="2448"/>
          </w:tcPr>
          <w:p>
            <w:pPr>
              <w:spacing w:after="20"/>
              <w:jc w:val="right"/>
            </w:pPr>
            <w:r>
              <w:rPr>
                <w:color w:val="1C3A36"/>
                <w:sz w:val="17"/>
              </w:rPr>
              <w:t>49.58  (-10.5%)</w:t>
            </w:r>
          </w:p>
        </w:tc>
      </w:tr>
      <w:tr>
        <w:tc>
          <w:tcPr>
            <w:tcW w:type="dxa" w:w="3672"/>
          </w:tcPr>
          <w:p>
            <w:pPr>
              <w:spacing w:after="20"/>
            </w:pPr>
            <w:r>
              <w:rPr>
                <w:color w:val="1C3A36"/>
                <w:sz w:val="17"/>
              </w:rPr>
              <w:t>Capex: economic maintenance in dollars per tonne (adopted) vs book depreciation</w:t>
            </w:r>
          </w:p>
        </w:tc>
        <w:tc>
          <w:tcPr>
            <w:tcW w:type="dxa" w:w="1512"/>
          </w:tcPr>
          <w:p>
            <w:pPr>
              <w:spacing w:after="20"/>
              <w:jc w:val="right"/>
            </w:pPr>
            <w:r>
              <w:rPr>
                <w:color w:val="1C3A36"/>
                <w:sz w:val="17"/>
              </w:rPr>
              <w:t>USD 4.00/t</w:t>
            </w:r>
          </w:p>
        </w:tc>
        <w:tc>
          <w:tcPr>
            <w:tcW w:type="dxa" w:w="1728"/>
          </w:tcPr>
          <w:p>
            <w:pPr>
              <w:spacing w:after="20"/>
              <w:jc w:val="right"/>
            </w:pPr>
            <w:r>
              <w:rPr>
                <w:color w:val="1C3A36"/>
                <w:sz w:val="17"/>
              </w:rPr>
              <w:t>book depreciation</w:t>
            </w:r>
          </w:p>
        </w:tc>
        <w:tc>
          <w:tcPr>
            <w:tcW w:type="dxa" w:w="2448"/>
          </w:tcPr>
          <w:p>
            <w:pPr>
              <w:spacing w:after="20"/>
              <w:jc w:val="right"/>
            </w:pPr>
            <w:r>
              <w:rPr>
                <w:color w:val="1C3A36"/>
                <w:sz w:val="17"/>
              </w:rPr>
              <w:t>62.66  (+13.1%)</w:t>
            </w:r>
          </w:p>
        </w:tc>
      </w:tr>
    </w:tbl>
    <w:p>
      <w:pPr>
        <w:spacing w:after="40"/>
      </w:pPr>
    </w:p>
    <w:p>
      <w:pPr>
        <w:spacing w:after="200" w:before="0"/>
      </w:pPr>
      <w:r>
        <w:rPr>
          <w:b w:val="0"/>
          <w:i/>
          <w:color w:val="6E7B77"/>
          <w:sz w:val="17"/>
        </w:rPr>
        <w:t>Table 13 — Every contested choice computed as a value rather than argued in prose. None of these alternatives is hidden; each is a full re-run of the model.</w:t>
      </w:r>
    </w:p>
    <w:p>
      <w:pPr>
        <w:spacing w:after="80" w:before="200"/>
      </w:pPr>
      <w:r>
        <w:rPr>
          <w:b/>
          <w:i w:val="0"/>
          <w:color w:val="1C3A36"/>
          <w:sz w:val="24"/>
        </w:rPr>
        <w:t>1.10  A published sell-side target, reconciled item by item</w:t>
      </w:r>
    </w:p>
    <w:p>
      <w:pPr>
        <w:spacing w:after="120" w:before="0"/>
      </w:pPr>
      <w:r>
        <w:rPr>
          <w:b w:val="0"/>
          <w:i w:val="0"/>
          <w:color w:val="1C3A36"/>
          <w:sz w:val="21"/>
        </w:rPr>
        <w:t>On 6 August 2026 EFG Hermes published a Buy rating on ARCC with a target price of EGP 69.75, against a spot of EGP 59.00. Both models reproduce FY2025 revenue, cost of sales, gross profit, D&amp;A, capex and net cash to the pound, so the whole EGP 15.10 gap between the two targets is forward-looking. What follows replaces one driver of theirs with one of ours at a time and records the change, so the bars sum to the gap by construction rather than by a plug.</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816"/>
        <w:gridCol w:w="1224"/>
        <w:gridCol w:w="4320"/>
      </w:tblGrid>
      <w:tr>
        <w:tc>
          <w:tcPr>
            <w:tcW w:type="dxa" w:w="3816"/>
            <w:shd w:val="clear" w:color="auto" w:fill="EAF0EE"/>
          </w:tcPr>
          <w:p>
            <w:pPr>
              <w:spacing w:after="20"/>
            </w:pPr>
            <w:r>
              <w:rPr>
                <w:b/>
                <w:color w:val="1C3A36"/>
                <w:sz w:val="17"/>
              </w:rPr>
              <w:t>Step</w:t>
            </w:r>
          </w:p>
        </w:tc>
        <w:tc>
          <w:tcPr>
            <w:tcW w:type="dxa" w:w="1224"/>
            <w:shd w:val="clear" w:color="auto" w:fill="EAF0EE"/>
          </w:tcPr>
          <w:p>
            <w:pPr>
              <w:spacing w:after="20"/>
            </w:pPr>
            <w:r>
              <w:rPr>
                <w:b/>
                <w:color w:val="1C3A36"/>
                <w:sz w:val="17"/>
              </w:rPr>
              <w:t>EGP/sh</w:t>
            </w:r>
          </w:p>
        </w:tc>
        <w:tc>
          <w:tcPr>
            <w:tcW w:type="dxa" w:w="4320"/>
            <w:shd w:val="clear" w:color="auto" w:fill="EAF0EE"/>
          </w:tcPr>
          <w:p>
            <w:pPr>
              <w:spacing w:after="20"/>
            </w:pPr>
            <w:r>
              <w:rPr>
                <w:b/>
                <w:color w:val="1C3A36"/>
                <w:sz w:val="17"/>
              </w:rPr>
              <w:t>What moved</w:t>
            </w:r>
          </w:p>
        </w:tc>
      </w:tr>
      <w:tr>
        <w:tc>
          <w:tcPr>
            <w:tcW w:type="dxa" w:w="3816"/>
          </w:tcPr>
          <w:p>
            <w:pPr>
              <w:spacing w:after="20"/>
            </w:pPr>
            <w:r>
              <w:rPr>
                <w:color w:val="1C3A36"/>
                <w:sz w:val="17"/>
              </w:rPr>
              <w:t>START — EFG Hermes target</w:t>
            </w:r>
          </w:p>
        </w:tc>
        <w:tc>
          <w:tcPr>
            <w:tcW w:type="dxa" w:w="1224"/>
          </w:tcPr>
          <w:p>
            <w:pPr>
              <w:spacing w:after="20"/>
              <w:jc w:val="right"/>
            </w:pPr>
            <w:r>
              <w:rPr>
                <w:color w:val="1C3A36"/>
                <w:sz w:val="17"/>
              </w:rPr>
              <w:t>69.75</w:t>
            </w:r>
          </w:p>
        </w:tc>
        <w:tc>
          <w:tcPr>
            <w:tcW w:type="dxa" w:w="4320"/>
          </w:tcPr>
          <w:p>
            <w:pPr>
              <w:spacing w:after="20"/>
              <w:jc w:val="right"/>
            </w:pPr>
            <w:r>
              <w:rPr>
                <w:color w:val="1C3A36"/>
                <w:sz w:val="17"/>
              </w:rPr>
              <w:t>6 Aug 2026, Buy, DCF</w:t>
            </w:r>
          </w:p>
        </w:tc>
      </w:tr>
      <w:tr>
        <w:tc>
          <w:tcPr>
            <w:tcW w:type="dxa" w:w="3816"/>
          </w:tcPr>
          <w:p>
            <w:pPr>
              <w:spacing w:after="20"/>
            </w:pPr>
            <w:r>
              <w:rPr>
                <w:color w:val="1C3A36"/>
                <w:sz w:val="17"/>
              </w:rPr>
              <w:t>EFG's own date mismatch</w:t>
            </w:r>
          </w:p>
        </w:tc>
        <w:tc>
          <w:tcPr>
            <w:tcW w:type="dxa" w:w="1224"/>
          </w:tcPr>
          <w:p>
            <w:pPr>
              <w:spacing w:after="20"/>
              <w:jc w:val="right"/>
            </w:pPr>
            <w:r>
              <w:rPr>
                <w:color w:val="1C3A36"/>
                <w:sz w:val="17"/>
              </w:rPr>
              <w:t>-2.12</w:t>
            </w:r>
          </w:p>
        </w:tc>
        <w:tc>
          <w:tcPr>
            <w:tcW w:type="dxa" w:w="4320"/>
          </w:tcPr>
          <w:p>
            <w:pPr>
              <w:spacing w:after="20"/>
              <w:jc w:val="right"/>
            </w:pPr>
            <w:r>
              <w:rPr>
                <w:color w:val="1C3A36"/>
                <w:sz w:val="17"/>
              </w:rPr>
              <w:t>flows dated 1-Jan, cash dated August</w:t>
            </w:r>
          </w:p>
        </w:tc>
      </w:tr>
      <w:tr>
        <w:tc>
          <w:tcPr>
            <w:tcW w:type="dxa" w:w="3816"/>
          </w:tcPr>
          <w:p>
            <w:pPr>
              <w:spacing w:after="20"/>
            </w:pPr>
            <w:r>
              <w:rPr>
                <w:color w:val="1C3A36"/>
                <w:sz w:val="17"/>
              </w:rPr>
              <w:t>Maintenance capex</w:t>
            </w:r>
          </w:p>
        </w:tc>
        <w:tc>
          <w:tcPr>
            <w:tcW w:type="dxa" w:w="1224"/>
          </w:tcPr>
          <w:p>
            <w:pPr>
              <w:spacing w:after="20"/>
              <w:jc w:val="right"/>
            </w:pPr>
            <w:r>
              <w:rPr>
                <w:color w:val="1C3A36"/>
                <w:sz w:val="17"/>
              </w:rPr>
              <w:t>-7.62</w:t>
            </w:r>
          </w:p>
        </w:tc>
        <w:tc>
          <w:tcPr>
            <w:tcW w:type="dxa" w:w="4320"/>
          </w:tcPr>
          <w:p>
            <w:pPr>
              <w:spacing w:after="20"/>
              <w:jc w:val="right"/>
            </w:pPr>
            <w:r>
              <w:rPr>
                <w:color w:val="1C3A36"/>
                <w:sz w:val="17"/>
              </w:rPr>
              <w:t>5-yr 1,533 → 5,592 theirs below D&amp;A</w:t>
            </w:r>
          </w:p>
        </w:tc>
      </w:tr>
      <w:tr>
        <w:tc>
          <w:tcPr>
            <w:tcW w:type="dxa" w:w="3816"/>
          </w:tcPr>
          <w:p>
            <w:pPr>
              <w:spacing w:after="20"/>
            </w:pPr>
            <w:r>
              <w:rPr>
                <w:color w:val="1C3A36"/>
                <w:sz w:val="17"/>
              </w:rPr>
              <w:t>Operating build</w:t>
            </w:r>
          </w:p>
        </w:tc>
        <w:tc>
          <w:tcPr>
            <w:tcW w:type="dxa" w:w="1224"/>
          </w:tcPr>
          <w:p>
            <w:pPr>
              <w:spacing w:after="20"/>
              <w:jc w:val="right"/>
            </w:pPr>
            <w:r>
              <w:rPr>
                <w:color w:val="1C3A36"/>
                <w:sz w:val="17"/>
              </w:rPr>
              <w:t>+2.44</w:t>
            </w:r>
          </w:p>
        </w:tc>
        <w:tc>
          <w:tcPr>
            <w:tcW w:type="dxa" w:w="4320"/>
          </w:tcPr>
          <w:p>
            <w:pPr>
              <w:spacing w:after="20"/>
              <w:jc w:val="right"/>
            </w:pPr>
            <w:r>
              <w:rPr>
                <w:color w:val="1C3A36"/>
                <w:sz w:val="17"/>
              </w:rPr>
              <w:t>our volume up, our margin down</w:t>
            </w:r>
          </w:p>
        </w:tc>
      </w:tr>
      <w:tr>
        <w:tc>
          <w:tcPr>
            <w:tcW w:type="dxa" w:w="3816"/>
          </w:tcPr>
          <w:p>
            <w:pPr>
              <w:spacing w:after="20"/>
            </w:pPr>
            <w:r>
              <w:rPr>
                <w:color w:val="1C3A36"/>
                <w:sz w:val="17"/>
              </w:rPr>
              <w:t>Terminal block</w:t>
            </w:r>
          </w:p>
        </w:tc>
        <w:tc>
          <w:tcPr>
            <w:tcW w:type="dxa" w:w="1224"/>
          </w:tcPr>
          <w:p>
            <w:pPr>
              <w:spacing w:after="20"/>
              <w:jc w:val="right"/>
            </w:pPr>
            <w:r>
              <w:rPr>
                <w:color w:val="1C3A36"/>
                <w:sz w:val="17"/>
              </w:rPr>
              <w:t>-2.51</w:t>
            </w:r>
          </w:p>
        </w:tc>
        <w:tc>
          <w:tcPr>
            <w:tcW w:type="dxa" w:w="4320"/>
          </w:tcPr>
          <w:p>
            <w:pPr>
              <w:spacing w:after="20"/>
              <w:jc w:val="right"/>
            </w:pPr>
            <w:r>
              <w:rPr>
                <w:color w:val="1C3A36"/>
                <w:sz w:val="17"/>
              </w:rPr>
              <w:t>growth must fund itself: 56.8% back in</w:t>
            </w:r>
          </w:p>
        </w:tc>
      </w:tr>
      <w:tr>
        <w:tc>
          <w:tcPr>
            <w:tcW w:type="dxa" w:w="3816"/>
          </w:tcPr>
          <w:p>
            <w:pPr>
              <w:spacing w:after="20"/>
            </w:pPr>
            <w:r>
              <w:rPr>
                <w:color w:val="1C3A36"/>
                <w:sz w:val="17"/>
              </w:rPr>
              <w:t>Discount rate</w:t>
            </w:r>
          </w:p>
        </w:tc>
        <w:tc>
          <w:tcPr>
            <w:tcW w:type="dxa" w:w="1224"/>
          </w:tcPr>
          <w:p>
            <w:pPr>
              <w:spacing w:after="20"/>
              <w:jc w:val="right"/>
            </w:pPr>
            <w:r>
              <w:rPr>
                <w:color w:val="1C3A36"/>
                <w:sz w:val="17"/>
              </w:rPr>
              <w:t>-0.16</w:t>
            </w:r>
          </w:p>
        </w:tc>
        <w:tc>
          <w:tcPr>
            <w:tcW w:type="dxa" w:w="4320"/>
          </w:tcPr>
          <w:p>
            <w:pPr>
              <w:spacing w:after="20"/>
              <w:jc w:val="right"/>
            </w:pPr>
            <w:r>
              <w:rPr>
                <w:color w:val="1C3A36"/>
                <w:sz w:val="17"/>
              </w:rPr>
              <w:t>their flat 20.06% vs our 24.5%→14.5%</w:t>
            </w:r>
          </w:p>
        </w:tc>
      </w:tr>
      <w:tr>
        <w:tc>
          <w:tcPr>
            <w:tcW w:type="dxa" w:w="3816"/>
          </w:tcPr>
          <w:p>
            <w:pPr>
              <w:spacing w:after="20"/>
            </w:pPr>
            <w:r>
              <w:rPr>
                <w:color w:val="1C3A36"/>
                <w:sz w:val="17"/>
              </w:rPr>
              <w:t>Valuation date 1 Jan → 6 Aug</w:t>
            </w:r>
          </w:p>
        </w:tc>
        <w:tc>
          <w:tcPr>
            <w:tcW w:type="dxa" w:w="1224"/>
          </w:tcPr>
          <w:p>
            <w:pPr>
              <w:spacing w:after="20"/>
              <w:jc w:val="right"/>
            </w:pPr>
            <w:r>
              <w:rPr>
                <w:color w:val="1C3A36"/>
                <w:sz w:val="17"/>
              </w:rPr>
              <w:t>+1.28</w:t>
            </w:r>
          </w:p>
        </w:tc>
        <w:tc>
          <w:tcPr>
            <w:tcW w:type="dxa" w:w="4320"/>
          </w:tcPr>
          <w:p>
            <w:pPr>
              <w:spacing w:after="20"/>
              <w:jc w:val="right"/>
            </w:pPr>
            <w:r>
              <w:rPr>
                <w:color w:val="1C3A36"/>
                <w:sz w:val="17"/>
              </w:rPr>
              <w:t>−3.33 out of window, +4.61 back as cash</w:t>
            </w:r>
          </w:p>
        </w:tc>
      </w:tr>
      <w:tr>
        <w:tc>
          <w:tcPr>
            <w:tcW w:type="dxa" w:w="3816"/>
          </w:tcPr>
          <w:p>
            <w:pPr>
              <w:spacing w:after="20"/>
            </w:pPr>
            <w:r>
              <w:rPr>
                <w:color w:val="1C3A36"/>
                <w:sz w:val="17"/>
              </w:rPr>
              <w:t>Dividend paid, debt refreshed</w:t>
            </w:r>
          </w:p>
        </w:tc>
        <w:tc>
          <w:tcPr>
            <w:tcW w:type="dxa" w:w="1224"/>
          </w:tcPr>
          <w:p>
            <w:pPr>
              <w:spacing w:after="20"/>
              <w:jc w:val="right"/>
            </w:pPr>
            <w:r>
              <w:rPr>
                <w:color w:val="1C3A36"/>
                <w:sz w:val="17"/>
              </w:rPr>
              <w:t>-5.67</w:t>
            </w:r>
          </w:p>
        </w:tc>
        <w:tc>
          <w:tcPr>
            <w:tcW w:type="dxa" w:w="4320"/>
          </w:tcPr>
          <w:p>
            <w:pPr>
              <w:spacing w:after="20"/>
              <w:jc w:val="right"/>
            </w:pPr>
            <w:r>
              <w:rPr>
                <w:color w:val="1C3A36"/>
                <w:sz w:val="17"/>
              </w:rPr>
              <w:t>EGP 5.34 ex 12 Apr (−2,002mn)</w:t>
            </w:r>
          </w:p>
        </w:tc>
      </w:tr>
      <w:tr>
        <w:tc>
          <w:tcPr>
            <w:tcW w:type="dxa" w:w="3816"/>
          </w:tcPr>
          <w:p>
            <w:pPr>
              <w:spacing w:after="20"/>
            </w:pPr>
            <w:r>
              <w:rPr>
                <w:color w:val="1C3A36"/>
                <w:sz w:val="17"/>
              </w:rPr>
              <w:t>Other three lenses</w:t>
            </w:r>
          </w:p>
        </w:tc>
        <w:tc>
          <w:tcPr>
            <w:tcW w:type="dxa" w:w="1224"/>
          </w:tcPr>
          <w:p>
            <w:pPr>
              <w:spacing w:after="20"/>
              <w:jc w:val="right"/>
            </w:pPr>
            <w:r>
              <w:rPr>
                <w:color w:val="1C3A36"/>
                <w:sz w:val="17"/>
              </w:rPr>
              <w:t>-0.73</w:t>
            </w:r>
          </w:p>
        </w:tc>
        <w:tc>
          <w:tcPr>
            <w:tcW w:type="dxa" w:w="4320"/>
          </w:tcPr>
          <w:p>
            <w:pPr>
              <w:spacing w:after="20"/>
              <w:jc w:val="right"/>
            </w:pPr>
            <w:r>
              <w:rPr>
                <w:color w:val="1C3A36"/>
                <w:sz w:val="17"/>
              </w:rPr>
              <w:t>50/20/22/8 weights and share count</w:t>
            </w:r>
          </w:p>
        </w:tc>
      </w:tr>
      <w:tr>
        <w:tc>
          <w:tcPr>
            <w:tcW w:type="dxa" w:w="3816"/>
          </w:tcPr>
          <w:p>
            <w:pPr>
              <w:spacing w:after="20"/>
            </w:pPr>
            <w:r>
              <w:rPr>
                <w:color w:val="1C3A36"/>
                <w:sz w:val="17"/>
              </w:rPr>
              <w:t>END — this study's weighted central</w:t>
            </w:r>
          </w:p>
        </w:tc>
        <w:tc>
          <w:tcPr>
            <w:tcW w:type="dxa" w:w="1224"/>
          </w:tcPr>
          <w:p>
            <w:pPr>
              <w:spacing w:after="20"/>
              <w:jc w:val="right"/>
            </w:pPr>
            <w:r>
              <w:rPr>
                <w:color w:val="1C3A36"/>
                <w:sz w:val="17"/>
              </w:rPr>
              <w:t>54.65</w:t>
            </w:r>
          </w:p>
        </w:tc>
        <w:tc>
          <w:tcPr>
            <w:tcW w:type="dxa" w:w="4320"/>
          </w:tcPr>
          <w:p>
            <w:pPr>
              <w:spacing w:after="20"/>
              <w:jc w:val="right"/>
            </w:pPr>
            <w:r>
              <w:rPr>
                <w:color w:val="1C3A36"/>
                <w:sz w:val="17"/>
              </w:rPr>
              <w:t>four lenses, weighted</w:t>
            </w:r>
          </w:p>
        </w:tc>
      </w:tr>
    </w:tbl>
    <w:p>
      <w:pPr>
        <w:spacing w:after="40"/>
      </w:pPr>
    </w:p>
    <w:p>
      <w:pPr>
        <w:spacing w:after="200" w:before="0"/>
      </w:pPr>
      <w:r>
        <w:rPr>
          <w:b w:val="0"/>
          <w:i/>
          <w:color w:val="6E7B77"/>
          <w:sz w:val="17"/>
        </w:rPr>
        <w:t>Table 14 — The reconciliation bridge. Bars sum to the gap exactly (-15.10 vs -15.10). Reproduced independently as a check before publication.</w:t>
      </w:r>
    </w:p>
    <w:p>
      <w:pPr>
        <w:spacing w:after="40"/>
        <w:jc w:val="center"/>
      </w:pPr>
      <w:r>
        <w:drawing>
          <wp:inline xmlns:a="http://schemas.openxmlformats.org/drawingml/2006/main" xmlns:pic="http://schemas.openxmlformats.org/drawingml/2006/picture">
            <wp:extent cx="6035040" cy="4242569"/>
            <wp:docPr id="4" name="Picture 4"/>
            <wp:cNvGraphicFramePr>
              <a:graphicFrameLocks noChangeAspect="1"/>
            </wp:cNvGraphicFramePr>
            <a:graphic>
              <a:graphicData uri="http://schemas.openxmlformats.org/drawingml/2006/picture">
                <pic:pic>
                  <pic:nvPicPr>
                    <pic:cNvPr id="0" name="fig_efg_bridge.png"/>
                    <pic:cNvPicPr/>
                  </pic:nvPicPr>
                  <pic:blipFill>
                    <a:blip r:embed="rId12"/>
                    <a:stretch>
                      <a:fillRect/>
                    </a:stretch>
                  </pic:blipFill>
                  <pic:spPr>
                    <a:xfrm>
                      <a:off x="0" y="0"/>
                      <a:ext cx="6035040" cy="4242569"/>
                    </a:xfrm>
                    <a:prstGeom prst="rect"/>
                  </pic:spPr>
                </pic:pic>
              </a:graphicData>
            </a:graphic>
          </wp:inline>
        </w:drawing>
      </w:r>
    </w:p>
    <w:p>
      <w:pPr>
        <w:spacing w:after="200" w:before="0"/>
      </w:pPr>
      <w:r>
        <w:rPr>
          <w:b w:val="0"/>
          <w:i/>
          <w:color w:val="6E7B77"/>
          <w:sz w:val="17"/>
        </w:rPr>
        <w:t>Figure 4 — The same bridge, drawn. Every bar substitutes exactly one driver and carries it through both the discounted window and the cash bridge, so nothing is counted twice.</w:t>
      </w:r>
    </w:p>
    <w:p>
      <w:pPr>
        <w:spacing w:after="120" w:before="0"/>
      </w:pPr>
      <w:r>
        <w:rPr>
          <w:b w:val="0"/>
          <w:i w:val="0"/>
          <w:color w:val="1C3A36"/>
          <w:sz w:val="21"/>
        </w:rPr>
        <w:t>Sorting the eight steps by who the evidence favours: the items where EFG’s own construction is inconsistent with itself sum to -16.65 — an internal date mismatch between their discount factors and their cash balance, a capex path that sits below their own depreciation in every tabulated year, a terminal value grown without a reinvestment charge, and a dividend of EGP 5.34/share, ex 12 April 2026, that their own front page discloses and their balance sheet does not appear to reflect. Two items are genuinely open — the operating build, where our volumes are higher and our margin path is lower, and the discount-rate convention, where their rate is below the sovereign risk-free rate early and harsher than ours late, worth a combined +2.28. The remaining -0.73 is a lens-weighting difference, not an error on either side.</w:t>
      </w:r>
    </w:p>
    <w:p>
      <w:pPr>
        <w:spacing w:after="120" w:before="0"/>
      </w:pPr>
      <w:r>
        <w:rPr>
          <w:b w:val="0"/>
          <w:i w:val="0"/>
          <w:color w:val="1C3A36"/>
          <w:sz w:val="19"/>
        </w:rPr>
        <w:t>EFG's own date mismatch (-2.12, EFG off mark). Their factors are 1/(1.2006)^(t-1), so FY2026 is undiscounted and the flows sit at 1-Jan-2026. Their net cash of 3,119 is ABOVE the audited 31-Dec-2025 net cash of 2,324. The whole FY2026 free cash flow of 2,975 is in the window AND the cash it generated from January to August is in the bridge — those months are counted twice. On their own consistent basis their target is 67.64, not 69.75.</w:t>
      </w:r>
    </w:p>
    <w:p>
      <w:pPr>
        <w:spacing w:after="120" w:before="0"/>
      </w:pPr>
      <w:r>
        <w:rPr>
          <w:b w:val="0"/>
          <w:i w:val="0"/>
          <w:color w:val="1C3A36"/>
          <w:sz w:val="19"/>
        </w:rPr>
        <w:t>Maintenance capex (-7.62, EFG off mark). EFG's capex sits below their OWN D&amp;A in all three years they tabulate: 308 vs 318, 300 vs 347, 248 vs 378 — net disinvestment. ARCC actually spent 912 (FY2024) and 799 (FY2025). CAVEAT: ours is not obviously right either; 1,012 in FY2026 is ABOVE the FY2025 actual of 799. The magnitude is arguable, the direction is not.</w:t>
      </w:r>
    </w:p>
    <w:p>
      <w:pPr>
        <w:spacing w:after="120" w:before="0"/>
      </w:pPr>
      <w:r>
        <w:rPr>
          <w:b w:val="0"/>
          <w:i w:val="0"/>
          <w:color w:val="1C3A36"/>
          <w:sz w:val="19"/>
        </w:rPr>
        <w:t>Operating build (+2.44, open — no referee). Two errors pointing opposite ways and no referee. Our FY2028 revenue is 15,350 against their 13,792 (+11.3%) because we build tonnes from kiln utilisation 91.7%-&gt;93.5%; they have volume FALLING 3%. But our EBITDA margin glides 39.3%-&gt;34.3% while Q1-2026 gross margin was 42.9% and widening, which is their side of it.</w:t>
      </w:r>
    </w:p>
    <w:p>
      <w:pPr>
        <w:spacing w:after="120" w:before="0"/>
      </w:pPr>
      <w:r>
        <w:rPr>
          <w:b w:val="0"/>
          <w:i w:val="0"/>
          <w:color w:val="1C3A36"/>
          <w:sz w:val="19"/>
        </w:rPr>
        <w:t>Terminal block (-2.51, EFG off mark). They grow FY2030 FCF at 2.5% forever with no reinvestment charge. A perpetuity growing at g on returns of ROIC must plough back g/ROIC. At our terminal ROIC of 8.81% that is 56.8% of profit. CAVEAT: the 8.81% rests on replacement capital of 50,481 = 5.0Mt x USD 130/t x 50.30 x 1.544, and the USD 130/t is our least-verified single input.</w:t>
      </w:r>
    </w:p>
    <w:p>
      <w:pPr>
        <w:spacing w:after="120" w:before="0"/>
      </w:pPr>
      <w:r>
        <w:rPr>
          <w:b w:val="0"/>
          <w:i w:val="0"/>
          <w:color w:val="1C3A36"/>
          <w:sz w:val="19"/>
        </w:rPr>
        <w:t>Discount rate (-0.16, open — no referee). Their flat 20.06% is applied to FY2026 while the Egyptian 1-year T-bill yields 22.95% — below the risk-free rate, which is hard to defend. But it is correspondingly too HIGH late: their year-5 factor of 0.4813 is harsher than our 0.4876. The two errors very nearly cancel and the whole bar is EGP 0.16, so neither convention is worth arguing over.</w:t>
      </w:r>
    </w:p>
    <w:p>
      <w:pPr>
        <w:spacing w:after="120" w:before="0"/>
      </w:pPr>
      <w:r>
        <w:rPr>
          <w:b w:val="0"/>
          <w:i w:val="0"/>
          <w:color w:val="1C3A36"/>
          <w:sz w:val="19"/>
        </w:rPr>
        <w:t>Valuation date 1 Jan → 6 Aug (+1.28, EFG off mark). A price is what you pay today. Only 0.417 of FY2026 remains, so 0.583 of that year's FCFF leaves the discounted window — and arrives in the bridge as cash already earned. This step ADDS value on net. The +4.61 of accumulated cash is INSIDE the 54.65; it is not owed on top.</w:t>
      </w:r>
    </w:p>
    <w:p>
      <w:pPr>
        <w:spacing w:after="120" w:before="0"/>
      </w:pPr>
      <w:r>
        <w:rPr>
          <w:b w:val="0"/>
          <w:i w:val="0"/>
          <w:color w:val="1C3A36"/>
          <w:sz w:val="19"/>
        </w:rPr>
        <w:t>Dividend paid, debt refreshed (-5.67, EFG off mark). EFG's own front page prints 'Last Div. / Ex. Date EGP5.34 / 12 Apr 2026'. A buyer on 6 August does not receive it. Their net cash of 3,119 is 1,193 ABOVE our post-dividend 1,926 and cannot be a post-dividend August figure. INFERRED, not proved: they do not print the date.</w:t>
      </w:r>
    </w:p>
    <w:p>
      <w:pPr>
        <w:spacing w:after="120" w:before="0"/>
      </w:pPr>
      <w:r>
        <w:rPr>
          <w:b w:val="0"/>
          <w:i w:val="0"/>
          <w:color w:val="1C3A36"/>
          <w:sz w:val="19"/>
        </w:rPr>
        <w:t>Other three lenses (-0.73, method, not error). Not an error on either side. They publish a DCF; we weight DCF 50%, multiples 20%, normalised earnings 22%, replacement cost 8%. The three non-DCF lenses land at 48.96 / 52.95 / 68.87 and pull down 0.73 net. The share count (374.867 vs 375.0) is inside that.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512"/>
        <w:gridCol w:w="1656"/>
        <w:gridCol w:w="1872"/>
        <w:gridCol w:w="2232"/>
        <w:gridCol w:w="1368"/>
      </w:tblGrid>
      <w:tr>
        <w:tc>
          <w:tcPr>
            <w:tcW w:type="dxa" w:w="1512"/>
            <w:shd w:val="clear" w:color="auto" w:fill="EAF0EE"/>
          </w:tcPr>
          <w:p>
            <w:pPr>
              <w:spacing w:after="20"/>
            </w:pPr>
            <w:r>
              <w:rPr>
                <w:b/>
                <w:color w:val="1C3A36"/>
                <w:sz w:val="17"/>
              </w:rPr>
              <w:t>Year</w:t>
            </w:r>
          </w:p>
        </w:tc>
        <w:tc>
          <w:tcPr>
            <w:tcW w:type="dxa" w:w="1656"/>
            <w:shd w:val="clear" w:color="auto" w:fill="EAF0EE"/>
          </w:tcPr>
          <w:p>
            <w:pPr>
              <w:spacing w:after="20"/>
            </w:pPr>
            <w:r>
              <w:rPr>
                <w:b/>
                <w:color w:val="1C3A36"/>
                <w:sz w:val="17"/>
              </w:rPr>
              <w:t>Testahil</w:t>
            </w:r>
          </w:p>
        </w:tc>
        <w:tc>
          <w:tcPr>
            <w:tcW w:type="dxa" w:w="1872"/>
            <w:shd w:val="clear" w:color="auto" w:fill="EAF0EE"/>
          </w:tcPr>
          <w:p>
            <w:pPr>
              <w:spacing w:after="20"/>
            </w:pPr>
            <w:r>
              <w:rPr>
                <w:b/>
                <w:color w:val="1C3A36"/>
                <w:sz w:val="17"/>
              </w:rPr>
              <w:t>EFG published</w:t>
            </w:r>
          </w:p>
        </w:tc>
        <w:tc>
          <w:tcPr>
            <w:tcW w:type="dxa" w:w="2232"/>
            <w:shd w:val="clear" w:color="auto" w:fill="EAF0EE"/>
          </w:tcPr>
          <w:p>
            <w:pPr>
              <w:spacing w:after="20"/>
            </w:pPr>
            <w:r>
              <w:rPr>
                <w:b/>
                <w:color w:val="1C3A36"/>
                <w:sz w:val="17"/>
              </w:rPr>
              <w:t>EFG on our definition</w:t>
            </w:r>
          </w:p>
        </w:tc>
        <w:tc>
          <w:tcPr>
            <w:tcW w:type="dxa" w:w="1368"/>
            <w:shd w:val="clear" w:color="auto" w:fill="EAF0EE"/>
          </w:tcPr>
          <w:p>
            <w:pPr>
              <w:spacing w:after="20"/>
            </w:pPr>
            <w:r>
              <w:rPr>
                <w:b/>
                <w:color w:val="1C3A36"/>
                <w:sz w:val="17"/>
              </w:rPr>
              <w:t>Gap</w:t>
            </w:r>
          </w:p>
        </w:tc>
      </w:tr>
      <w:tr>
        <w:tc>
          <w:tcPr>
            <w:tcW w:type="dxa" w:w="1512"/>
          </w:tcPr>
          <w:p>
            <w:pPr>
              <w:spacing w:after="20"/>
            </w:pPr>
            <w:r>
              <w:rPr>
                <w:color w:val="1C3A36"/>
                <w:sz w:val="17"/>
              </w:rPr>
              <w:t>FY2025a</w:t>
            </w:r>
          </w:p>
        </w:tc>
        <w:tc>
          <w:tcPr>
            <w:tcW w:type="dxa" w:w="1656"/>
          </w:tcPr>
          <w:p>
            <w:pPr>
              <w:spacing w:after="20"/>
              <w:jc w:val="right"/>
            </w:pPr>
            <w:r>
              <w:rPr>
                <w:color w:val="1C3A36"/>
                <w:sz w:val="17"/>
              </w:rPr>
              <w:t>39.2%</w:t>
            </w:r>
          </w:p>
        </w:tc>
        <w:tc>
          <w:tcPr>
            <w:tcW w:type="dxa" w:w="1872"/>
          </w:tcPr>
          <w:p>
            <w:pPr>
              <w:spacing w:after="20"/>
              <w:jc w:val="right"/>
            </w:pPr>
            <w:r>
              <w:rPr>
                <w:color w:val="1C3A36"/>
                <w:sz w:val="17"/>
              </w:rPr>
              <w:t>40.3%</w:t>
            </w:r>
          </w:p>
        </w:tc>
        <w:tc>
          <w:tcPr>
            <w:tcW w:type="dxa" w:w="2232"/>
          </w:tcPr>
          <w:p>
            <w:pPr>
              <w:spacing w:after="20"/>
              <w:jc w:val="right"/>
            </w:pPr>
            <w:r>
              <w:rPr>
                <w:color w:val="1C3A36"/>
                <w:sz w:val="17"/>
              </w:rPr>
              <w:t>39.2%</w:t>
            </w:r>
          </w:p>
        </w:tc>
        <w:tc>
          <w:tcPr>
            <w:tcW w:type="dxa" w:w="1368"/>
          </w:tcPr>
          <w:p>
            <w:pPr>
              <w:spacing w:after="20"/>
              <w:jc w:val="right"/>
            </w:pPr>
            <w:r>
              <w:rPr>
                <w:color w:val="1C3A36"/>
                <w:sz w:val="17"/>
              </w:rPr>
              <w:t>audited</w:t>
            </w:r>
          </w:p>
        </w:tc>
      </w:tr>
      <w:tr>
        <w:tc>
          <w:tcPr>
            <w:tcW w:type="dxa" w:w="1512"/>
          </w:tcPr>
          <w:p>
            <w:pPr>
              <w:spacing w:after="20"/>
            </w:pPr>
            <w:r>
              <w:rPr>
                <w:color w:val="1C3A36"/>
                <w:sz w:val="17"/>
              </w:rPr>
              <w:t>FY2026e</w:t>
            </w:r>
          </w:p>
        </w:tc>
        <w:tc>
          <w:tcPr>
            <w:tcW w:type="dxa" w:w="1656"/>
          </w:tcPr>
          <w:p>
            <w:pPr>
              <w:spacing w:after="20"/>
              <w:jc w:val="right"/>
            </w:pPr>
            <w:r>
              <w:rPr>
                <w:color w:val="1C3A36"/>
                <w:sz w:val="17"/>
              </w:rPr>
              <w:t>36.0%</w:t>
            </w:r>
          </w:p>
        </w:tc>
        <w:tc>
          <w:tcPr>
            <w:tcW w:type="dxa" w:w="1872"/>
          </w:tcPr>
          <w:p>
            <w:pPr>
              <w:spacing w:after="20"/>
              <w:jc w:val="right"/>
            </w:pPr>
            <w:r>
              <w:rPr>
                <w:color w:val="1C3A36"/>
                <w:sz w:val="17"/>
              </w:rPr>
              <w:t>39.0%</w:t>
            </w:r>
          </w:p>
        </w:tc>
        <w:tc>
          <w:tcPr>
            <w:tcW w:type="dxa" w:w="2232"/>
          </w:tcPr>
          <w:p>
            <w:pPr>
              <w:spacing w:after="20"/>
              <w:jc w:val="right"/>
            </w:pPr>
            <w:r>
              <w:rPr>
                <w:color w:val="1C3A36"/>
                <w:sz w:val="17"/>
              </w:rPr>
              <w:t>38.0%</w:t>
            </w:r>
          </w:p>
        </w:tc>
        <w:tc>
          <w:tcPr>
            <w:tcW w:type="dxa" w:w="1368"/>
          </w:tcPr>
          <w:p>
            <w:pPr>
              <w:spacing w:after="20"/>
              <w:jc w:val="right"/>
            </w:pPr>
            <w:r>
              <w:rPr>
                <w:color w:val="1C3A36"/>
                <w:sz w:val="17"/>
              </w:rPr>
              <w:t>+1.96pt</w:t>
            </w:r>
          </w:p>
        </w:tc>
      </w:tr>
      <w:tr>
        <w:tc>
          <w:tcPr>
            <w:tcW w:type="dxa" w:w="1512"/>
          </w:tcPr>
          <w:p>
            <w:pPr>
              <w:spacing w:after="20"/>
            </w:pPr>
            <w:r>
              <w:rPr>
                <w:color w:val="1C3A36"/>
                <w:sz w:val="17"/>
              </w:rPr>
              <w:t>FY2027e</w:t>
            </w:r>
          </w:p>
        </w:tc>
        <w:tc>
          <w:tcPr>
            <w:tcW w:type="dxa" w:w="1656"/>
          </w:tcPr>
          <w:p>
            <w:pPr>
              <w:spacing w:after="20"/>
              <w:jc w:val="right"/>
            </w:pPr>
            <w:r>
              <w:rPr>
                <w:color w:val="1C3A36"/>
                <w:sz w:val="17"/>
              </w:rPr>
              <w:t>35.6%</w:t>
            </w:r>
          </w:p>
        </w:tc>
        <w:tc>
          <w:tcPr>
            <w:tcW w:type="dxa" w:w="1872"/>
          </w:tcPr>
          <w:p>
            <w:pPr>
              <w:spacing w:after="20"/>
              <w:jc w:val="right"/>
            </w:pPr>
            <w:r>
              <w:rPr>
                <w:color w:val="1C3A36"/>
                <w:sz w:val="17"/>
              </w:rPr>
              <w:t>40.6%</w:t>
            </w:r>
          </w:p>
        </w:tc>
        <w:tc>
          <w:tcPr>
            <w:tcW w:type="dxa" w:w="2232"/>
          </w:tcPr>
          <w:p>
            <w:pPr>
              <w:spacing w:after="20"/>
              <w:jc w:val="right"/>
            </w:pPr>
            <w:r>
              <w:rPr>
                <w:color w:val="1C3A36"/>
                <w:sz w:val="17"/>
              </w:rPr>
              <w:t>39.5%</w:t>
            </w:r>
          </w:p>
        </w:tc>
        <w:tc>
          <w:tcPr>
            <w:tcW w:type="dxa" w:w="1368"/>
          </w:tcPr>
          <w:p>
            <w:pPr>
              <w:spacing w:after="20"/>
              <w:jc w:val="right"/>
            </w:pPr>
            <w:r>
              <w:rPr>
                <w:color w:val="1C3A36"/>
                <w:sz w:val="17"/>
              </w:rPr>
              <w:t>+3.85pt</w:t>
            </w:r>
          </w:p>
        </w:tc>
      </w:tr>
      <w:tr>
        <w:tc>
          <w:tcPr>
            <w:tcW w:type="dxa" w:w="1512"/>
          </w:tcPr>
          <w:p>
            <w:pPr>
              <w:spacing w:after="20"/>
            </w:pPr>
            <w:r>
              <w:rPr>
                <w:color w:val="1C3A36"/>
                <w:sz w:val="17"/>
              </w:rPr>
              <w:t>FY2028e</w:t>
            </w:r>
          </w:p>
        </w:tc>
        <w:tc>
          <w:tcPr>
            <w:tcW w:type="dxa" w:w="1656"/>
          </w:tcPr>
          <w:p>
            <w:pPr>
              <w:spacing w:after="20"/>
              <w:jc w:val="right"/>
            </w:pPr>
            <w:r>
              <w:rPr>
                <w:color w:val="1C3A36"/>
                <w:sz w:val="17"/>
              </w:rPr>
              <w:t>35.4%</w:t>
            </w:r>
          </w:p>
        </w:tc>
        <w:tc>
          <w:tcPr>
            <w:tcW w:type="dxa" w:w="1872"/>
          </w:tcPr>
          <w:p>
            <w:pPr>
              <w:spacing w:after="20"/>
              <w:jc w:val="right"/>
            </w:pPr>
            <w:r>
              <w:rPr>
                <w:color w:val="1C3A36"/>
                <w:sz w:val="17"/>
              </w:rPr>
              <w:t>40.8%</w:t>
            </w:r>
          </w:p>
        </w:tc>
        <w:tc>
          <w:tcPr>
            <w:tcW w:type="dxa" w:w="2232"/>
          </w:tcPr>
          <w:p>
            <w:pPr>
              <w:spacing w:after="20"/>
              <w:jc w:val="right"/>
            </w:pPr>
            <w:r>
              <w:rPr>
                <w:color w:val="1C3A36"/>
                <w:sz w:val="17"/>
              </w:rPr>
              <w:t>39.7%</w:t>
            </w:r>
          </w:p>
        </w:tc>
        <w:tc>
          <w:tcPr>
            <w:tcW w:type="dxa" w:w="1368"/>
          </w:tcPr>
          <w:p>
            <w:pPr>
              <w:spacing w:after="20"/>
              <w:jc w:val="right"/>
            </w:pPr>
            <w:r>
              <w:rPr>
                <w:color w:val="1C3A36"/>
                <w:sz w:val="17"/>
              </w:rPr>
              <w:t>+4.26pt</w:t>
            </w:r>
          </w:p>
        </w:tc>
      </w:tr>
      <w:tr>
        <w:tc>
          <w:tcPr>
            <w:tcW w:type="dxa" w:w="1512"/>
          </w:tcPr>
          <w:p>
            <w:pPr>
              <w:spacing w:after="20"/>
            </w:pPr>
            <w:r>
              <w:rPr>
                <w:color w:val="1C3A36"/>
                <w:sz w:val="17"/>
              </w:rPr>
              <w:t>FY2029e</w:t>
            </w:r>
          </w:p>
        </w:tc>
        <w:tc>
          <w:tcPr>
            <w:tcW w:type="dxa" w:w="1656"/>
          </w:tcPr>
          <w:p>
            <w:pPr>
              <w:spacing w:after="20"/>
              <w:jc w:val="right"/>
            </w:pPr>
            <w:r>
              <w:rPr>
                <w:color w:val="1C3A36"/>
                <w:sz w:val="17"/>
              </w:rPr>
              <w:t>35.1%</w:t>
            </w:r>
          </w:p>
        </w:tc>
        <w:tc>
          <w:tcPr>
            <w:tcW w:type="dxa" w:w="1872"/>
          </w:tcPr>
          <w:p>
            <w:pPr>
              <w:spacing w:after="20"/>
              <w:jc w:val="right"/>
            </w:pPr>
            <w:r>
              <w:rPr>
                <w:color w:val="1C3A36"/>
                <w:sz w:val="17"/>
              </w:rPr>
              <w:t>40.8%</w:t>
            </w:r>
          </w:p>
        </w:tc>
        <w:tc>
          <w:tcPr>
            <w:tcW w:type="dxa" w:w="2232"/>
          </w:tcPr>
          <w:p>
            <w:pPr>
              <w:spacing w:after="20"/>
              <w:jc w:val="right"/>
            </w:pPr>
            <w:r>
              <w:rPr>
                <w:color w:val="1C3A36"/>
                <w:sz w:val="17"/>
              </w:rPr>
              <w:t>39.7%</w:t>
            </w:r>
          </w:p>
        </w:tc>
        <w:tc>
          <w:tcPr>
            <w:tcW w:type="dxa" w:w="1368"/>
          </w:tcPr>
          <w:p>
            <w:pPr>
              <w:spacing w:after="20"/>
              <w:jc w:val="right"/>
            </w:pPr>
            <w:r>
              <w:rPr>
                <w:color w:val="1C3A36"/>
                <w:sz w:val="17"/>
              </w:rPr>
              <w:t>+4.63pt</w:t>
            </w:r>
          </w:p>
        </w:tc>
      </w:tr>
      <w:tr>
        <w:tc>
          <w:tcPr>
            <w:tcW w:type="dxa" w:w="1512"/>
          </w:tcPr>
          <w:p>
            <w:pPr>
              <w:spacing w:after="20"/>
            </w:pPr>
            <w:r>
              <w:rPr>
                <w:color w:val="1C3A36"/>
                <w:sz w:val="17"/>
              </w:rPr>
              <w:t>FY2030e</w:t>
            </w:r>
          </w:p>
        </w:tc>
        <w:tc>
          <w:tcPr>
            <w:tcW w:type="dxa" w:w="1656"/>
          </w:tcPr>
          <w:p>
            <w:pPr>
              <w:spacing w:after="20"/>
              <w:jc w:val="right"/>
            </w:pPr>
            <w:r>
              <w:rPr>
                <w:color w:val="1C3A36"/>
                <w:sz w:val="17"/>
              </w:rPr>
              <w:t>35.0%</w:t>
            </w:r>
          </w:p>
        </w:tc>
        <w:tc>
          <w:tcPr>
            <w:tcW w:type="dxa" w:w="1872"/>
          </w:tcPr>
          <w:p>
            <w:pPr>
              <w:spacing w:after="20"/>
              <w:jc w:val="right"/>
            </w:pPr>
            <w:r>
              <w:rPr>
                <w:color w:val="1C3A36"/>
                <w:sz w:val="17"/>
              </w:rPr>
              <w:t>40.8%</w:t>
            </w:r>
          </w:p>
        </w:tc>
        <w:tc>
          <w:tcPr>
            <w:tcW w:type="dxa" w:w="2232"/>
          </w:tcPr>
          <w:p>
            <w:pPr>
              <w:spacing w:after="20"/>
              <w:jc w:val="right"/>
            </w:pPr>
            <w:r>
              <w:rPr>
                <w:color w:val="1C3A36"/>
                <w:sz w:val="17"/>
              </w:rPr>
              <w:t>39.7%</w:t>
            </w:r>
          </w:p>
        </w:tc>
        <w:tc>
          <w:tcPr>
            <w:tcW w:type="dxa" w:w="1368"/>
          </w:tcPr>
          <w:p>
            <w:pPr>
              <w:spacing w:after="20"/>
              <w:jc w:val="right"/>
            </w:pPr>
            <w:r>
              <w:rPr>
                <w:color w:val="1C3A36"/>
                <w:sz w:val="17"/>
              </w:rPr>
              <w:t>+4.67pt</w:t>
            </w:r>
          </w:p>
        </w:tc>
      </w:tr>
    </w:tbl>
    <w:p>
      <w:pPr>
        <w:spacing w:after="40"/>
      </w:pPr>
    </w:p>
    <w:p>
      <w:pPr>
        <w:spacing w:after="200" w:before="0"/>
      </w:pPr>
      <w:r>
        <w:rPr>
          <w:b w:val="0"/>
          <w:i/>
          <w:color w:val="6E7B77"/>
          <w:sz w:val="17"/>
        </w:rPr>
        <w:t>Table 15 — EBITDA margin, year by year. EFG’s FY2025a margin restates to 39.3% once the 1.1% definitional wedge — provisions, expected credit losses and other operating income, which the two models classify oppositely — is removed, reproducing our own audited figure exactly. The disagreement from FY2026 on is real, not definitional, and it widens rather than staying flat.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5184"/>
        <w:gridCol w:w="1368"/>
        <w:gridCol w:w="1368"/>
        <w:gridCol w:w="1368"/>
      </w:tblGrid>
      <w:tr>
        <w:tc>
          <w:tcPr>
            <w:tcW w:type="dxa" w:w="5184"/>
            <w:shd w:val="clear" w:color="auto" w:fill="EAF0EE"/>
          </w:tcPr>
          <w:p>
            <w:pPr>
              <w:spacing w:after="20"/>
            </w:pPr>
            <w:r>
              <w:rPr>
                <w:b/>
                <w:color w:val="1C3A36"/>
                <w:sz w:val="17"/>
              </w:rPr>
              <w:t>Scenario</w:t>
            </w:r>
          </w:p>
        </w:tc>
        <w:tc>
          <w:tcPr>
            <w:tcW w:type="dxa" w:w="1368"/>
            <w:shd w:val="clear" w:color="auto" w:fill="EAF0EE"/>
          </w:tcPr>
          <w:p>
            <w:pPr>
              <w:spacing w:after="20"/>
            </w:pPr>
            <w:r>
              <w:rPr>
                <w:b/>
                <w:color w:val="1C3A36"/>
                <w:sz w:val="17"/>
              </w:rPr>
              <w:t>DCF lens</w:t>
            </w:r>
          </w:p>
        </w:tc>
        <w:tc>
          <w:tcPr>
            <w:tcW w:type="dxa" w:w="1368"/>
            <w:shd w:val="clear" w:color="auto" w:fill="EAF0EE"/>
          </w:tcPr>
          <w:p>
            <w:pPr>
              <w:spacing w:after="20"/>
            </w:pPr>
            <w:r>
              <w:rPr>
                <w:b/>
                <w:color w:val="1C3A36"/>
                <w:sz w:val="17"/>
              </w:rPr>
              <w:t>Central</w:t>
            </w:r>
          </w:p>
        </w:tc>
        <w:tc>
          <w:tcPr>
            <w:tcW w:type="dxa" w:w="1368"/>
            <w:shd w:val="clear" w:color="auto" w:fill="EAF0EE"/>
          </w:tcPr>
          <w:p>
            <w:pPr>
              <w:spacing w:after="20"/>
            </w:pPr>
            <w:r>
              <w:rPr>
                <w:b/>
                <w:color w:val="1C3A36"/>
                <w:sz w:val="17"/>
              </w:rPr>
              <w:t>vs spot</w:t>
            </w:r>
          </w:p>
        </w:tc>
      </w:tr>
      <w:tr>
        <w:tc>
          <w:tcPr>
            <w:tcW w:type="dxa" w:w="5184"/>
          </w:tcPr>
          <w:p>
            <w:pPr>
              <w:spacing w:after="20"/>
            </w:pPr>
            <w:r>
              <w:rPr>
                <w:color w:val="1C3A36"/>
                <w:sz w:val="17"/>
              </w:rPr>
              <w:t>Testahil base — our margin, our volumes</w:t>
            </w:r>
          </w:p>
        </w:tc>
        <w:tc>
          <w:tcPr>
            <w:tcW w:type="dxa" w:w="1368"/>
          </w:tcPr>
          <w:p>
            <w:pPr>
              <w:spacing w:after="20"/>
              <w:jc w:val="right"/>
            </w:pPr>
            <w:r>
              <w:rPr>
                <w:color w:val="1C3A36"/>
                <w:sz w:val="17"/>
              </w:rPr>
              <w:t>55.40</w:t>
            </w:r>
          </w:p>
        </w:tc>
        <w:tc>
          <w:tcPr>
            <w:tcW w:type="dxa" w:w="1368"/>
          </w:tcPr>
          <w:p>
            <w:pPr>
              <w:spacing w:after="20"/>
              <w:jc w:val="right"/>
            </w:pPr>
            <w:r>
              <w:rPr>
                <w:color w:val="1C3A36"/>
                <w:sz w:val="17"/>
              </w:rPr>
              <w:t>54.65</w:t>
            </w:r>
          </w:p>
        </w:tc>
        <w:tc>
          <w:tcPr>
            <w:tcW w:type="dxa" w:w="1368"/>
          </w:tcPr>
          <w:p>
            <w:pPr>
              <w:spacing w:after="20"/>
              <w:jc w:val="right"/>
            </w:pPr>
            <w:r>
              <w:rPr>
                <w:color w:val="1C3A36"/>
                <w:sz w:val="17"/>
              </w:rPr>
              <w:t>-7.4%</w:t>
            </w:r>
          </w:p>
        </w:tc>
      </w:tr>
      <w:tr>
        <w:tc>
          <w:tcPr>
            <w:tcW w:type="dxa" w:w="5184"/>
          </w:tcPr>
          <w:p>
            <w:pPr>
              <w:spacing w:after="20"/>
            </w:pPr>
            <w:r>
              <w:rPr>
                <w:color w:val="1C3A36"/>
                <w:sz w:val="17"/>
              </w:rPr>
              <w:t>Half way between the two margin paths</w:t>
            </w:r>
          </w:p>
        </w:tc>
        <w:tc>
          <w:tcPr>
            <w:tcW w:type="dxa" w:w="1368"/>
          </w:tcPr>
          <w:p>
            <w:pPr>
              <w:spacing w:after="20"/>
              <w:jc w:val="right"/>
            </w:pPr>
            <w:r>
              <w:rPr>
                <w:color w:val="1C3A36"/>
                <w:sz w:val="17"/>
              </w:rPr>
              <w:t>61.75</w:t>
            </w:r>
          </w:p>
        </w:tc>
        <w:tc>
          <w:tcPr>
            <w:tcW w:type="dxa" w:w="1368"/>
          </w:tcPr>
          <w:p>
            <w:pPr>
              <w:spacing w:after="20"/>
              <w:jc w:val="right"/>
            </w:pPr>
            <w:r>
              <w:rPr>
                <w:color w:val="1C3A36"/>
                <w:sz w:val="17"/>
              </w:rPr>
              <w:t>57.83</w:t>
            </w:r>
          </w:p>
        </w:tc>
        <w:tc>
          <w:tcPr>
            <w:tcW w:type="dxa" w:w="1368"/>
          </w:tcPr>
          <w:p>
            <w:pPr>
              <w:spacing w:after="20"/>
              <w:jc w:val="right"/>
            </w:pPr>
            <w:r>
              <w:rPr>
                <w:color w:val="1C3A36"/>
                <w:sz w:val="17"/>
              </w:rPr>
              <w:t>-2.0%</w:t>
            </w:r>
          </w:p>
        </w:tc>
      </w:tr>
      <w:tr>
        <w:tc>
          <w:tcPr>
            <w:tcW w:type="dxa" w:w="5184"/>
          </w:tcPr>
          <w:p>
            <w:pPr>
              <w:spacing w:after="20"/>
            </w:pPr>
            <w:r>
              <w:rPr>
                <w:color w:val="1C3A36"/>
                <w:sz w:val="17"/>
              </w:rPr>
              <w:t>EFG margin, OUR volumes</w:t>
            </w:r>
          </w:p>
        </w:tc>
        <w:tc>
          <w:tcPr>
            <w:tcW w:type="dxa" w:w="1368"/>
          </w:tcPr>
          <w:p>
            <w:pPr>
              <w:spacing w:after="20"/>
              <w:jc w:val="right"/>
            </w:pPr>
            <w:r>
              <w:rPr>
                <w:color w:val="1C3A36"/>
                <w:sz w:val="17"/>
              </w:rPr>
              <w:t>68.10</w:t>
            </w:r>
          </w:p>
        </w:tc>
        <w:tc>
          <w:tcPr>
            <w:tcW w:type="dxa" w:w="1368"/>
          </w:tcPr>
          <w:p>
            <w:pPr>
              <w:spacing w:after="20"/>
              <w:jc w:val="right"/>
            </w:pPr>
            <w:r>
              <w:rPr>
                <w:color w:val="1C3A36"/>
                <w:sz w:val="17"/>
              </w:rPr>
              <w:t>61.00</w:t>
            </w:r>
          </w:p>
        </w:tc>
        <w:tc>
          <w:tcPr>
            <w:tcW w:type="dxa" w:w="1368"/>
          </w:tcPr>
          <w:p>
            <w:pPr>
              <w:spacing w:after="20"/>
              <w:jc w:val="right"/>
            </w:pPr>
            <w:r>
              <w:rPr>
                <w:color w:val="1C3A36"/>
                <w:sz w:val="17"/>
              </w:rPr>
              <w:t>+3.4%</w:t>
            </w:r>
          </w:p>
        </w:tc>
      </w:tr>
      <w:tr>
        <w:tc>
          <w:tcPr>
            <w:tcW w:type="dxa" w:w="5184"/>
          </w:tcPr>
          <w:p>
            <w:pPr>
              <w:spacing w:after="20"/>
            </w:pPr>
            <w:r>
              <w:rPr>
                <w:color w:val="1C3A36"/>
                <w:sz w:val="17"/>
              </w:rPr>
              <w:t>EFG margin, EFG volumes — their view whole</w:t>
            </w:r>
          </w:p>
        </w:tc>
        <w:tc>
          <w:tcPr>
            <w:tcW w:type="dxa" w:w="1368"/>
          </w:tcPr>
          <w:p>
            <w:pPr>
              <w:spacing w:after="20"/>
              <w:jc w:val="right"/>
            </w:pPr>
            <w:r>
              <w:rPr>
                <w:color w:val="1C3A36"/>
                <w:sz w:val="17"/>
              </w:rPr>
              <w:t>50.83</w:t>
            </w:r>
          </w:p>
        </w:tc>
        <w:tc>
          <w:tcPr>
            <w:tcW w:type="dxa" w:w="1368"/>
          </w:tcPr>
          <w:p>
            <w:pPr>
              <w:spacing w:after="20"/>
              <w:jc w:val="right"/>
            </w:pPr>
            <w:r>
              <w:rPr>
                <w:color w:val="1C3A36"/>
                <w:sz w:val="17"/>
              </w:rPr>
              <w:t>52.37</w:t>
            </w:r>
          </w:p>
        </w:tc>
        <w:tc>
          <w:tcPr>
            <w:tcW w:type="dxa" w:w="1368"/>
          </w:tcPr>
          <w:p>
            <w:pPr>
              <w:spacing w:after="20"/>
              <w:jc w:val="right"/>
            </w:pPr>
            <w:r>
              <w:rPr>
                <w:color w:val="1C3A36"/>
                <w:sz w:val="17"/>
              </w:rPr>
              <w:t>-11.2%</w:t>
            </w:r>
          </w:p>
        </w:tc>
      </w:tr>
      <w:tr>
        <w:tc>
          <w:tcPr>
            <w:tcW w:type="dxa" w:w="5184"/>
          </w:tcPr>
          <w:p>
            <w:pPr>
              <w:spacing w:after="20"/>
            </w:pPr>
            <w:r>
              <w:rPr>
                <w:color w:val="1C3A36"/>
                <w:sz w:val="17"/>
              </w:rPr>
              <w:t>EFG margin, our volumes, mid-cycle lifted too</w:t>
            </w:r>
          </w:p>
        </w:tc>
        <w:tc>
          <w:tcPr>
            <w:tcW w:type="dxa" w:w="1368"/>
          </w:tcPr>
          <w:p>
            <w:pPr>
              <w:spacing w:after="20"/>
              <w:jc w:val="right"/>
            </w:pPr>
            <w:r>
              <w:rPr>
                <w:color w:val="1C3A36"/>
                <w:sz w:val="17"/>
              </w:rPr>
              <w:t>68.10</w:t>
            </w:r>
          </w:p>
        </w:tc>
        <w:tc>
          <w:tcPr>
            <w:tcW w:type="dxa" w:w="1368"/>
          </w:tcPr>
          <w:p>
            <w:pPr>
              <w:spacing w:after="20"/>
              <w:jc w:val="right"/>
            </w:pPr>
            <w:r>
              <w:rPr>
                <w:color w:val="1C3A36"/>
                <w:sz w:val="17"/>
              </w:rPr>
              <w:t>66.21</w:t>
            </w:r>
          </w:p>
        </w:tc>
        <w:tc>
          <w:tcPr>
            <w:tcW w:type="dxa" w:w="1368"/>
          </w:tcPr>
          <w:p>
            <w:pPr>
              <w:spacing w:after="20"/>
              <w:jc w:val="right"/>
            </w:pPr>
            <w:r>
              <w:rPr>
                <w:color w:val="1C3A36"/>
                <w:sz w:val="17"/>
              </w:rPr>
              <w:t>+12.2%</w:t>
            </w:r>
          </w:p>
        </w:tc>
      </w:tr>
    </w:tbl>
    <w:p>
      <w:pPr>
        <w:spacing w:after="40"/>
      </w:pPr>
    </w:p>
    <w:p>
      <w:pPr>
        <w:spacing w:after="200" w:before="0"/>
      </w:pPr>
      <w:r>
        <w:rPr>
          <w:b w:val="0"/>
          <w:i/>
          <w:color w:val="6E7B77"/>
          <w:sz w:val="17"/>
        </w:rPr>
        <w:t>Table 16 — What EFG’s margin view is worth, held against both volume assumptions. Their margin on OUR volumes clears spot; their margin AND their volumes, taken together, does not.</w:t>
      </w:r>
    </w:p>
    <w:p>
      <w:pPr>
        <w:spacing w:after="80" w:before="200"/>
      </w:pPr>
      <w:r>
        <w:rPr>
          <w:b/>
          <w:i w:val="0"/>
          <w:color w:val="1C3A36"/>
          <w:sz w:val="24"/>
        </w:rPr>
        <w:t>1.11  What a buyer at EGP 59.00 must believe</w:t>
      </w:r>
    </w:p>
    <w:p>
      <w:pPr>
        <w:spacing w:after="120" w:before="0"/>
      </w:pPr>
      <w:r>
        <w:rPr>
          <w:b w:val="0"/>
          <w:i w:val="0"/>
          <w:color w:val="1C3A36"/>
          <w:sz w:val="21"/>
        </w:rPr>
        <w:t>Strip out the items resolved above and the honest disagreement left is one thing: how fast does the FY2025 margin peak fade. Everything else in the bridge is either a construction error on the published target (the date mismatch, the sub-depreciation capex path, the unfunded terminal growth, the still-outstanding dividend) or a lens-weighting convention that is not a factual dispute at all. A market price of EGP 59.00 sits between this study’s central of EGP 54.65 and EFG’s corrected-for-its-own-errors figure, closer to ours — but a buyer paying spot is not implicitly endorsing either model whole. Splitting the one open question down the middle — EFG’s margin path and this study’s volume path, averaged rather than either side’s optimism taken alone — prices at EGP 57.83, -2.0% against spot. That, not either published figure, is the number this study would defend if forced to name one.</w:t>
      </w:r>
    </w:p>
    <w:p>
      <w:pPr>
        <w:spacing w:after="120" w:before="280"/>
      </w:pPr>
      <w:r>
        <w:rPr>
          <w:b/>
          <w:i w:val="0"/>
          <w:color w:val="1C3A36"/>
          <w:sz w:val="30"/>
        </w:rPr>
        <w:t>2  Price structure</w:t>
      </w:r>
    </w:p>
    <w:p>
      <w:pPr>
        <w:spacing w:after="120" w:before="0"/>
      </w:pPr>
      <w:r>
        <w:rPr>
          <w:b w:val="0"/>
          <w:i w:val="0"/>
          <w:color w:val="1C3A36"/>
          <w:sz w:val="21"/>
        </w:rPr>
        <w:t>The price closed 59.00 above a rising 20-day (56.27), a rising 50-day (56.25) and a rising 200-day (51.73). Momentum is firm: RSI(14) is ~65 and the daily ATR near 1.28 (~2.2%) points to a normal tape. MACD (12·26·9) is positive and rising (+0.46 / +0.25 / +0.20). Over the last year it has ranged 35.01–60.40; the last close sits 2% below that high and 69% above that low.</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880"/>
        <w:gridCol w:w="2160"/>
        <w:gridCol w:w="2448"/>
      </w:tblGrid>
      <w:tr>
        <w:tc>
          <w:tcPr>
            <w:tcW w:type="dxa" w:w="2880"/>
            <w:shd w:val="clear" w:color="auto" w:fill="EAF0EE"/>
          </w:tcPr>
          <w:p>
            <w:pPr>
              <w:spacing w:after="20"/>
            </w:pPr>
            <w:r>
              <w:rPr>
                <w:b/>
                <w:color w:val="1C3A36"/>
                <w:sz w:val="18"/>
              </w:rPr>
            </w:r>
          </w:p>
        </w:tc>
        <w:tc>
          <w:tcPr>
            <w:tcW w:type="dxa" w:w="2160"/>
            <w:shd w:val="clear" w:color="auto" w:fill="EAF0EE"/>
          </w:tcPr>
          <w:p>
            <w:pPr>
              <w:spacing w:after="20"/>
            </w:pPr>
            <w:r>
              <w:rPr>
                <w:b/>
                <w:color w:val="1C3A36"/>
                <w:sz w:val="18"/>
              </w:rPr>
              <w:t>Level (EGP)</w:t>
            </w:r>
          </w:p>
        </w:tc>
        <w:tc>
          <w:tcPr>
            <w:tcW w:type="dxa" w:w="2448"/>
            <w:shd w:val="clear" w:color="auto" w:fill="EAF0EE"/>
          </w:tcPr>
          <w:p>
            <w:pPr>
              <w:spacing w:after="20"/>
            </w:pPr>
            <w:r>
              <w:rPr>
                <w:b/>
                <w:color w:val="1C3A36"/>
                <w:sz w:val="18"/>
              </w:rPr>
              <w:t>Distance from spot</w:t>
            </w:r>
          </w:p>
        </w:tc>
      </w:tr>
      <w:tr>
        <w:tc>
          <w:tcPr>
            <w:tcW w:type="dxa" w:w="2880"/>
          </w:tcPr>
          <w:p>
            <w:pPr>
              <w:spacing w:after="20"/>
            </w:pPr>
            <w:r>
              <w:rPr>
                <w:color w:val="1C3A36"/>
                <w:sz w:val="18"/>
              </w:rPr>
              <w:t>Resistance 1</w:t>
            </w:r>
          </w:p>
        </w:tc>
        <w:tc>
          <w:tcPr>
            <w:tcW w:type="dxa" w:w="2160"/>
          </w:tcPr>
          <w:p>
            <w:pPr>
              <w:spacing w:after="20"/>
              <w:jc w:val="right"/>
            </w:pPr>
            <w:r>
              <w:rPr>
                <w:color w:val="1C3A36"/>
                <w:sz w:val="18"/>
              </w:rPr>
              <w:t>60.34</w:t>
            </w:r>
          </w:p>
        </w:tc>
        <w:tc>
          <w:tcPr>
            <w:tcW w:type="dxa" w:w="2448"/>
          </w:tcPr>
          <w:p>
            <w:pPr>
              <w:spacing w:after="20"/>
              <w:jc w:val="right"/>
            </w:pPr>
            <w:r>
              <w:rPr>
                <w:color w:val="1C3A36"/>
                <w:sz w:val="18"/>
              </w:rPr>
              <w:t>+2.3%</w:t>
            </w:r>
          </w:p>
        </w:tc>
      </w:tr>
      <w:tr>
        <w:tc>
          <w:tcPr>
            <w:tcW w:type="dxa" w:w="2880"/>
          </w:tcPr>
          <w:p>
            <w:pPr>
              <w:spacing w:after="20"/>
            </w:pPr>
            <w:r>
              <w:rPr>
                <w:color w:val="1C3A36"/>
                <w:sz w:val="18"/>
              </w:rPr>
              <w:t>Resistance 2</w:t>
            </w:r>
          </w:p>
        </w:tc>
        <w:tc>
          <w:tcPr>
            <w:tcW w:type="dxa" w:w="2160"/>
          </w:tcPr>
          <w:p>
            <w:pPr>
              <w:spacing w:after="20"/>
              <w:jc w:val="right"/>
            </w:pPr>
            <w:r>
              <w:rPr>
                <w:color w:val="1C3A36"/>
                <w:sz w:val="18"/>
              </w:rPr>
              <w:t>62.00</w:t>
            </w:r>
          </w:p>
        </w:tc>
        <w:tc>
          <w:tcPr>
            <w:tcW w:type="dxa" w:w="2448"/>
          </w:tcPr>
          <w:p>
            <w:pPr>
              <w:spacing w:after="20"/>
              <w:jc w:val="right"/>
            </w:pPr>
            <w:r>
              <w:rPr>
                <w:color w:val="1C3A36"/>
                <w:sz w:val="18"/>
              </w:rPr>
              <w:t>+5.1%</w:t>
            </w:r>
          </w:p>
        </w:tc>
      </w:tr>
      <w:tr>
        <w:tc>
          <w:tcPr>
            <w:tcW w:type="dxa" w:w="2880"/>
          </w:tcPr>
          <w:p>
            <w:pPr>
              <w:spacing w:after="20"/>
            </w:pPr>
            <w:r>
              <w:rPr>
                <w:color w:val="1C3A36"/>
                <w:sz w:val="18"/>
              </w:rPr>
              <w:t>Resistance 3</w:t>
            </w:r>
          </w:p>
        </w:tc>
        <w:tc>
          <w:tcPr>
            <w:tcW w:type="dxa" w:w="2160"/>
          </w:tcPr>
          <w:p>
            <w:pPr>
              <w:spacing w:after="20"/>
              <w:jc w:val="right"/>
            </w:pPr>
            <w:r>
              <w:rPr>
                <w:color w:val="1C3A36"/>
                <w:sz w:val="18"/>
              </w:rPr>
              <w:t>63.00</w:t>
            </w:r>
          </w:p>
        </w:tc>
        <w:tc>
          <w:tcPr>
            <w:tcW w:type="dxa" w:w="2448"/>
          </w:tcPr>
          <w:p>
            <w:pPr>
              <w:spacing w:after="20"/>
              <w:jc w:val="right"/>
            </w:pPr>
            <w:r>
              <w:rPr>
                <w:color w:val="1C3A36"/>
                <w:sz w:val="18"/>
              </w:rPr>
              <w:t>+6.8%</w:t>
            </w:r>
          </w:p>
        </w:tc>
      </w:tr>
      <w:tr>
        <w:tc>
          <w:tcPr>
            <w:tcW w:type="dxa" w:w="2880"/>
          </w:tcPr>
          <w:p>
            <w:pPr>
              <w:spacing w:after="20"/>
            </w:pPr>
            <w:r>
              <w:rPr>
                <w:color w:val="1C3A36"/>
                <w:sz w:val="18"/>
              </w:rPr>
              <w:t>Support 1</w:t>
            </w:r>
          </w:p>
        </w:tc>
        <w:tc>
          <w:tcPr>
            <w:tcW w:type="dxa" w:w="2160"/>
          </w:tcPr>
          <w:p>
            <w:pPr>
              <w:spacing w:after="20"/>
              <w:jc w:val="right"/>
            </w:pPr>
            <w:r>
              <w:rPr>
                <w:color w:val="1C3A36"/>
                <w:sz w:val="18"/>
              </w:rPr>
              <w:t>54.25</w:t>
            </w:r>
          </w:p>
        </w:tc>
        <w:tc>
          <w:tcPr>
            <w:tcW w:type="dxa" w:w="2448"/>
          </w:tcPr>
          <w:p>
            <w:pPr>
              <w:spacing w:after="20"/>
              <w:jc w:val="right"/>
            </w:pPr>
            <w:r>
              <w:rPr>
                <w:color w:val="1C3A36"/>
                <w:sz w:val="18"/>
              </w:rPr>
              <w:t>-8.1%</w:t>
            </w:r>
          </w:p>
        </w:tc>
      </w:tr>
      <w:tr>
        <w:tc>
          <w:tcPr>
            <w:tcW w:type="dxa" w:w="2880"/>
          </w:tcPr>
          <w:p>
            <w:pPr>
              <w:spacing w:after="20"/>
            </w:pPr>
            <w:r>
              <w:rPr>
                <w:color w:val="1C3A36"/>
                <w:sz w:val="18"/>
              </w:rPr>
              <w:t>Support 2</w:t>
            </w:r>
          </w:p>
        </w:tc>
        <w:tc>
          <w:tcPr>
            <w:tcW w:type="dxa" w:w="2160"/>
          </w:tcPr>
          <w:p>
            <w:pPr>
              <w:spacing w:after="20"/>
              <w:jc w:val="right"/>
            </w:pPr>
            <w:r>
              <w:rPr>
                <w:color w:val="1C3A36"/>
                <w:sz w:val="18"/>
              </w:rPr>
              <w:t>52.99</w:t>
            </w:r>
          </w:p>
        </w:tc>
        <w:tc>
          <w:tcPr>
            <w:tcW w:type="dxa" w:w="2448"/>
          </w:tcPr>
          <w:p>
            <w:pPr>
              <w:spacing w:after="20"/>
              <w:jc w:val="right"/>
            </w:pPr>
            <w:r>
              <w:rPr>
                <w:color w:val="1C3A36"/>
                <w:sz w:val="18"/>
              </w:rPr>
              <w:t>-10.2%</w:t>
            </w:r>
          </w:p>
        </w:tc>
      </w:tr>
      <w:tr>
        <w:tc>
          <w:tcPr>
            <w:tcW w:type="dxa" w:w="2880"/>
          </w:tcPr>
          <w:p>
            <w:pPr>
              <w:spacing w:after="20"/>
            </w:pPr>
            <w:r>
              <w:rPr>
                <w:color w:val="1C3A36"/>
                <w:sz w:val="18"/>
              </w:rPr>
              <w:t>Support 3</w:t>
            </w:r>
          </w:p>
        </w:tc>
        <w:tc>
          <w:tcPr>
            <w:tcW w:type="dxa" w:w="2160"/>
          </w:tcPr>
          <w:p>
            <w:pPr>
              <w:spacing w:after="20"/>
              <w:jc w:val="right"/>
            </w:pPr>
            <w:r>
              <w:rPr>
                <w:color w:val="1C3A36"/>
                <w:sz w:val="18"/>
              </w:rPr>
              <w:t>48.10</w:t>
            </w:r>
          </w:p>
        </w:tc>
        <w:tc>
          <w:tcPr>
            <w:tcW w:type="dxa" w:w="2448"/>
          </w:tcPr>
          <w:p>
            <w:pPr>
              <w:spacing w:after="20"/>
              <w:jc w:val="right"/>
            </w:pPr>
            <w:r>
              <w:rPr>
                <w:color w:val="1C3A36"/>
                <w:sz w:val="18"/>
              </w:rPr>
              <w:t>-18.5%</w:t>
            </w:r>
          </w:p>
        </w:tc>
      </w:tr>
      <w:tr>
        <w:tc>
          <w:tcPr>
            <w:tcW w:type="dxa" w:w="2880"/>
          </w:tcPr>
          <w:p>
            <w:pPr>
              <w:spacing w:after="20"/>
            </w:pPr>
            <w:r>
              <w:rPr>
                <w:color w:val="1C3A36"/>
                <w:sz w:val="18"/>
              </w:rPr>
              <w:t>52-week high</w:t>
            </w:r>
          </w:p>
        </w:tc>
        <w:tc>
          <w:tcPr>
            <w:tcW w:type="dxa" w:w="2160"/>
          </w:tcPr>
          <w:p>
            <w:pPr>
              <w:spacing w:after="20"/>
              <w:jc w:val="right"/>
            </w:pPr>
            <w:r>
              <w:rPr>
                <w:color w:val="1C3A36"/>
                <w:sz w:val="18"/>
              </w:rPr>
              <w:t>60.40</w:t>
            </w:r>
          </w:p>
        </w:tc>
        <w:tc>
          <w:tcPr>
            <w:tcW w:type="dxa" w:w="2448"/>
          </w:tcPr>
          <w:p>
            <w:pPr>
              <w:spacing w:after="20"/>
              <w:jc w:val="right"/>
            </w:pPr>
            <w:r>
              <w:rPr>
                <w:color w:val="1C3A36"/>
                <w:sz w:val="18"/>
              </w:rPr>
              <w:t>+2.4%</w:t>
            </w:r>
          </w:p>
        </w:tc>
      </w:tr>
      <w:tr>
        <w:tc>
          <w:tcPr>
            <w:tcW w:type="dxa" w:w="2880"/>
          </w:tcPr>
          <w:p>
            <w:pPr>
              <w:spacing w:after="20"/>
            </w:pPr>
            <w:r>
              <w:rPr>
                <w:color w:val="1C3A36"/>
                <w:sz w:val="18"/>
              </w:rPr>
              <w:t>52-week low</w:t>
            </w:r>
          </w:p>
        </w:tc>
        <w:tc>
          <w:tcPr>
            <w:tcW w:type="dxa" w:w="2160"/>
          </w:tcPr>
          <w:p>
            <w:pPr>
              <w:spacing w:after="20"/>
              <w:jc w:val="right"/>
            </w:pPr>
            <w:r>
              <w:rPr>
                <w:color w:val="1C3A36"/>
                <w:sz w:val="18"/>
              </w:rPr>
              <w:t>35.01</w:t>
            </w:r>
          </w:p>
        </w:tc>
        <w:tc>
          <w:tcPr>
            <w:tcW w:type="dxa" w:w="2448"/>
          </w:tcPr>
          <w:p>
            <w:pPr>
              <w:spacing w:after="20"/>
              <w:jc w:val="right"/>
            </w:pPr>
            <w:r>
              <w:rPr>
                <w:color w:val="1C3A36"/>
                <w:sz w:val="18"/>
              </w:rPr>
              <w:t>-40.7%</w:t>
            </w:r>
          </w:p>
        </w:tc>
      </w:tr>
    </w:tbl>
    <w:p>
      <w:pPr>
        <w:spacing w:after="40"/>
      </w:pPr>
    </w:p>
    <w:p>
      <w:pPr>
        <w:spacing w:after="200" w:before="0"/>
      </w:pPr>
      <w:r>
        <w:rPr>
          <w:b w:val="0"/>
          <w:i/>
          <w:color w:val="6E7B77"/>
          <w:sz w:val="17"/>
        </w:rPr>
        <w:t>Table 17 — Levels are computed from swing structure with a recency weight; moving averages, the 52-week extremes and round numbers are admitted as candidates but score below real swing points. Resistance 1 and support 1 always mean nearest to the close.</w:t>
      </w:r>
    </w:p>
    <w:p>
      <w:pPr>
        <w:spacing w:after="40"/>
        <w:jc w:val="center"/>
      </w:pPr>
      <w:r>
        <w:drawing>
          <wp:inline xmlns:a="http://schemas.openxmlformats.org/drawingml/2006/main" xmlns:pic="http://schemas.openxmlformats.org/drawingml/2006/picture">
            <wp:extent cx="6309360" cy="2575249"/>
            <wp:docPr id="5" name="Picture 5"/>
            <wp:cNvGraphicFramePr>
              <a:graphicFrameLocks noChangeAspect="1"/>
            </wp:cNvGraphicFramePr>
            <a:graphic>
              <a:graphicData uri="http://schemas.openxmlformats.org/drawingml/2006/picture">
                <pic:pic>
                  <pic:nvPicPr>
                    <pic:cNvPr id="0" name="fig3_ma.png"/>
                    <pic:cNvPicPr/>
                  </pic:nvPicPr>
                  <pic:blipFill>
                    <a:blip r:embed="rId13"/>
                    <a:stretch>
                      <a:fillRect/>
                    </a:stretch>
                  </pic:blipFill>
                  <pic:spPr>
                    <a:xfrm>
                      <a:off x="0" y="0"/>
                      <a:ext cx="6309360" cy="2575249"/>
                    </a:xfrm>
                    <a:prstGeom prst="rect"/>
                  </pic:spPr>
                </pic:pic>
              </a:graphicData>
            </a:graphic>
          </wp:inline>
        </w:drawing>
      </w:r>
    </w:p>
    <w:p>
      <w:pPr>
        <w:spacing w:after="200" w:before="0"/>
      </w:pPr>
      <w:r>
        <w:rPr>
          <w:b w:val="0"/>
          <w:i/>
          <w:color w:val="6E7B77"/>
          <w:sz w:val="17"/>
        </w:rPr>
        <w:t>Figure 5 — Three years of price with the 50- and 200-day averages.</w:t>
      </w:r>
    </w:p>
    <w:p>
      <w:pPr>
        <w:spacing w:after="120" w:before="0"/>
      </w:pPr>
      <w:r>
        <w:rPr>
          <w:b/>
          <w:i w:val="0"/>
          <w:color w:val="1C3A36"/>
          <w:sz w:val="21"/>
        </w:rPr>
        <w:t xml:space="preserve">On the upside: </w:t>
      </w:r>
      <w:r>
        <w:rPr>
          <w:b w:val="0"/>
          <w:i w:val="0"/>
          <w:color w:val="1C3A36"/>
          <w:sz w:val="21"/>
        </w:rPr>
        <w:t>A daily close back above 60.34 would clear the nearest resistance and open the 63.00 zone.</w:t>
      </w:r>
    </w:p>
    <w:p>
      <w:pPr>
        <w:spacing w:after="120" w:before="0"/>
      </w:pPr>
      <w:r>
        <w:rPr>
          <w:b/>
          <w:i w:val="0"/>
          <w:color w:val="1C3A36"/>
          <w:sz w:val="21"/>
        </w:rPr>
        <w:t xml:space="preserve">On the downside: </w:t>
      </w:r>
      <w:r>
        <w:rPr>
          <w:b w:val="0"/>
          <w:i w:val="0"/>
          <w:color w:val="1C3A36"/>
          <w:sz w:val="21"/>
        </w:rPr>
        <w:t>A close below 54.25 would break the nearest support and open the 48.10 zone.</w:t>
      </w:r>
    </w:p>
    <w:p>
      <w:pPr>
        <w:spacing w:after="120" w:before="0"/>
      </w:pPr>
      <w:r>
        <w:rPr>
          <w:b w:val="0"/>
          <w:i w:val="0"/>
          <w:color w:val="1C3A36"/>
          <w:sz w:val="21"/>
        </w:rPr>
        <w:t>This section describes the tape and makes no claim about value. The two are compared in section 4.</w:t>
      </w:r>
    </w:p>
    <w:p>
      <w:pPr>
        <w:spacing w:after="120" w:before="280"/>
      </w:pPr>
      <w:r>
        <w:rPr>
          <w:b/>
          <w:i w:val="0"/>
          <w:color w:val="1C3A36"/>
          <w:sz w:val="30"/>
        </w:rPr>
        <w:t>3  A probabilistic price map</w:t>
      </w:r>
    </w:p>
    <w:p>
      <w:pPr>
        <w:spacing w:after="120" w:before="0"/>
      </w:pPr>
      <w:r>
        <w:rPr>
          <w:b w:val="0"/>
          <w:i w:val="0"/>
          <w:color w:val="1C3A36"/>
          <w:sz w:val="21"/>
        </w:rPr>
        <w:t>The following is NOT a valuation. It is a distribution of where the share price could sit at two horizons, drawn from the price history alone and from nothing in the preceding sections. It is included because a single fair-value number tells a reader nothing about dispersion, and it is labelled illustrative because its own calibration record says it should be.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320"/>
        <w:gridCol w:w="2304"/>
        <w:gridCol w:w="2304"/>
      </w:tblGrid>
      <w:tr>
        <w:tc>
          <w:tcPr>
            <w:tcW w:type="dxa" w:w="4320"/>
            <w:shd w:val="clear" w:color="auto" w:fill="EAF0EE"/>
          </w:tcPr>
          <w:p>
            <w:pPr>
              <w:spacing w:after="20"/>
            </w:pPr>
            <w:r>
              <w:rPr>
                <w:b/>
                <w:color w:val="1C3A36"/>
                <w:sz w:val="18"/>
              </w:rPr>
            </w:r>
          </w:p>
        </w:tc>
        <w:tc>
          <w:tcPr>
            <w:tcW w:type="dxa" w:w="2304"/>
            <w:shd w:val="clear" w:color="auto" w:fill="EAF0EE"/>
          </w:tcPr>
          <w:p>
            <w:pPr>
              <w:spacing w:after="20"/>
            </w:pPr>
            <w:r>
              <w:rPr>
                <w:b/>
                <w:color w:val="1C3A36"/>
                <w:sz w:val="18"/>
              </w:rPr>
              <w:t>One month</w:t>
            </w:r>
          </w:p>
        </w:tc>
        <w:tc>
          <w:tcPr>
            <w:tcW w:type="dxa" w:w="2304"/>
            <w:shd w:val="clear" w:color="auto" w:fill="EAF0EE"/>
          </w:tcPr>
          <w:p>
            <w:pPr>
              <w:spacing w:after="20"/>
            </w:pPr>
            <w:r>
              <w:rPr>
                <w:b/>
                <w:color w:val="1C3A36"/>
                <w:sz w:val="18"/>
              </w:rPr>
              <w:t>Three months</w:t>
            </w:r>
          </w:p>
        </w:tc>
      </w:tr>
      <w:tr>
        <w:tc>
          <w:tcPr>
            <w:tcW w:type="dxa" w:w="4320"/>
          </w:tcPr>
          <w:p>
            <w:pPr>
              <w:spacing w:after="20"/>
            </w:pPr>
            <w:r>
              <w:rPr>
                <w:color w:val="1C3A36"/>
                <w:sz w:val="18"/>
              </w:rPr>
              <w:t>5th percentile</w:t>
            </w:r>
          </w:p>
        </w:tc>
        <w:tc>
          <w:tcPr>
            <w:tcW w:type="dxa" w:w="2304"/>
          </w:tcPr>
          <w:p>
            <w:pPr>
              <w:spacing w:after="20"/>
              <w:jc w:val="right"/>
            </w:pPr>
            <w:r>
              <w:rPr>
                <w:color w:val="1C3A36"/>
                <w:sz w:val="18"/>
              </w:rPr>
              <w:t>50.44</w:t>
            </w:r>
          </w:p>
        </w:tc>
        <w:tc>
          <w:tcPr>
            <w:tcW w:type="dxa" w:w="2304"/>
          </w:tcPr>
          <w:p>
            <w:pPr>
              <w:spacing w:after="20"/>
              <w:jc w:val="right"/>
            </w:pPr>
            <w:r>
              <w:rPr>
                <w:color w:val="1C3A36"/>
                <w:sz w:val="18"/>
              </w:rPr>
              <w:t>43.92</w:t>
            </w:r>
          </w:p>
        </w:tc>
      </w:tr>
      <w:tr>
        <w:tc>
          <w:tcPr>
            <w:tcW w:type="dxa" w:w="4320"/>
          </w:tcPr>
          <w:p>
            <w:pPr>
              <w:spacing w:after="20"/>
            </w:pPr>
            <w:r>
              <w:rPr>
                <w:color w:val="1C3A36"/>
                <w:sz w:val="18"/>
              </w:rPr>
              <w:t>25th percentile</w:t>
            </w:r>
          </w:p>
        </w:tc>
        <w:tc>
          <w:tcPr>
            <w:tcW w:type="dxa" w:w="2304"/>
          </w:tcPr>
          <w:p>
            <w:pPr>
              <w:spacing w:after="20"/>
              <w:jc w:val="right"/>
            </w:pPr>
            <w:r>
              <w:rPr>
                <w:color w:val="1C3A36"/>
                <w:sz w:val="18"/>
              </w:rPr>
              <w:t>55.93</w:t>
            </w:r>
          </w:p>
        </w:tc>
        <w:tc>
          <w:tcPr>
            <w:tcW w:type="dxa" w:w="2304"/>
          </w:tcPr>
          <w:p>
            <w:pPr>
              <w:spacing w:after="20"/>
              <w:jc w:val="right"/>
            </w:pPr>
            <w:r>
              <w:rPr>
                <w:color w:val="1C3A36"/>
                <w:sz w:val="18"/>
              </w:rPr>
              <w:t>53.71</w:t>
            </w:r>
          </w:p>
        </w:tc>
      </w:tr>
      <w:tr>
        <w:tc>
          <w:tcPr>
            <w:tcW w:type="dxa" w:w="4320"/>
            <w:shd w:val="clear" w:color="auto" w:fill="F6F1E6"/>
          </w:tcPr>
          <w:p>
            <w:pPr>
              <w:spacing w:after="20"/>
            </w:pPr>
            <w:r>
              <w:rPr>
                <w:b/>
                <w:color w:val="1C3A36"/>
                <w:sz w:val="18"/>
              </w:rPr>
              <w:t>Median</w:t>
            </w:r>
          </w:p>
        </w:tc>
        <w:tc>
          <w:tcPr>
            <w:tcW w:type="dxa" w:w="2304"/>
            <w:shd w:val="clear" w:color="auto" w:fill="F6F1E6"/>
          </w:tcPr>
          <w:p>
            <w:pPr>
              <w:spacing w:after="20"/>
              <w:jc w:val="right"/>
            </w:pPr>
            <w:r>
              <w:rPr>
                <w:b/>
                <w:color w:val="1C3A36"/>
                <w:sz w:val="18"/>
              </w:rPr>
              <w:t>59.45</w:t>
            </w:r>
          </w:p>
        </w:tc>
        <w:tc>
          <w:tcPr>
            <w:tcW w:type="dxa" w:w="2304"/>
            <w:shd w:val="clear" w:color="auto" w:fill="F6F1E6"/>
          </w:tcPr>
          <w:p>
            <w:pPr>
              <w:spacing w:after="20"/>
              <w:jc w:val="right"/>
            </w:pPr>
            <w:r>
              <w:rPr>
                <w:b/>
                <w:color w:val="1C3A36"/>
                <w:sz w:val="18"/>
              </w:rPr>
              <w:t>60.46</w:t>
            </w:r>
          </w:p>
        </w:tc>
      </w:tr>
      <w:tr>
        <w:tc>
          <w:tcPr>
            <w:tcW w:type="dxa" w:w="4320"/>
          </w:tcPr>
          <w:p>
            <w:pPr>
              <w:spacing w:after="20"/>
            </w:pPr>
            <w:r>
              <w:rPr>
                <w:color w:val="1C3A36"/>
                <w:sz w:val="18"/>
              </w:rPr>
              <w:t>75th percentile</w:t>
            </w:r>
          </w:p>
        </w:tc>
        <w:tc>
          <w:tcPr>
            <w:tcW w:type="dxa" w:w="2304"/>
          </w:tcPr>
          <w:p>
            <w:pPr>
              <w:spacing w:after="20"/>
              <w:jc w:val="right"/>
            </w:pPr>
            <w:r>
              <w:rPr>
                <w:color w:val="1C3A36"/>
                <w:sz w:val="18"/>
              </w:rPr>
              <w:t>63.21</w:t>
            </w:r>
          </w:p>
        </w:tc>
        <w:tc>
          <w:tcPr>
            <w:tcW w:type="dxa" w:w="2304"/>
          </w:tcPr>
          <w:p>
            <w:pPr>
              <w:spacing w:after="20"/>
              <w:jc w:val="right"/>
            </w:pPr>
            <w:r>
              <w:rPr>
                <w:color w:val="1C3A36"/>
                <w:sz w:val="18"/>
              </w:rPr>
              <w:t>67.97</w:t>
            </w:r>
          </w:p>
        </w:tc>
      </w:tr>
      <w:tr>
        <w:tc>
          <w:tcPr>
            <w:tcW w:type="dxa" w:w="4320"/>
          </w:tcPr>
          <w:p>
            <w:pPr>
              <w:spacing w:after="20"/>
            </w:pPr>
            <w:r>
              <w:rPr>
                <w:color w:val="1C3A36"/>
                <w:sz w:val="18"/>
              </w:rPr>
              <w:t>95th percentile</w:t>
            </w:r>
          </w:p>
        </w:tc>
        <w:tc>
          <w:tcPr>
            <w:tcW w:type="dxa" w:w="2304"/>
          </w:tcPr>
          <w:p>
            <w:pPr>
              <w:spacing w:after="20"/>
              <w:jc w:val="right"/>
            </w:pPr>
            <w:r>
              <w:rPr>
                <w:color w:val="1C3A36"/>
                <w:sz w:val="18"/>
              </w:rPr>
              <w:t>70.09</w:t>
            </w:r>
          </w:p>
        </w:tc>
        <w:tc>
          <w:tcPr>
            <w:tcW w:type="dxa" w:w="2304"/>
          </w:tcPr>
          <w:p>
            <w:pPr>
              <w:spacing w:after="20"/>
              <w:jc w:val="right"/>
            </w:pPr>
            <w:r>
              <w:rPr>
                <w:color w:val="1C3A36"/>
                <w:sz w:val="18"/>
              </w:rPr>
              <w:t>83.17</w:t>
            </w:r>
          </w:p>
        </w:tc>
      </w:tr>
      <w:tr>
        <w:tc>
          <w:tcPr>
            <w:tcW w:type="dxa" w:w="4320"/>
          </w:tcPr>
          <w:p>
            <w:pPr>
              <w:spacing w:after="20"/>
            </w:pPr>
            <w:r>
              <w:rPr>
                <w:color w:val="1C3A36"/>
                <w:sz w:val="18"/>
              </w:rPr>
              <w:t>Probability of finishing above the current price</w:t>
            </w:r>
          </w:p>
        </w:tc>
        <w:tc>
          <w:tcPr>
            <w:tcW w:type="dxa" w:w="2304"/>
          </w:tcPr>
          <w:p>
            <w:pPr>
              <w:spacing w:after="20"/>
              <w:jc w:val="right"/>
            </w:pPr>
            <w:r>
              <w:rPr>
                <w:color w:val="1C3A36"/>
                <w:sz w:val="18"/>
              </w:rPr>
              <w:t>53.4%</w:t>
            </w:r>
          </w:p>
        </w:tc>
        <w:tc>
          <w:tcPr>
            <w:tcW w:type="dxa" w:w="2304"/>
          </w:tcPr>
          <w:p>
            <w:pPr>
              <w:spacing w:after="20"/>
              <w:jc w:val="right"/>
            </w:pPr>
            <w:r>
              <w:rPr>
                <w:color w:val="1C3A36"/>
                <w:sz w:val="18"/>
              </w:rPr>
              <w:t>55.6%</w:t>
            </w:r>
          </w:p>
        </w:tc>
      </w:tr>
      <w:tr>
        <w:tc>
          <w:tcPr>
            <w:tcW w:type="dxa" w:w="4320"/>
          </w:tcPr>
          <w:p>
            <w:pPr>
              <w:spacing w:after="20"/>
            </w:pPr>
            <w:r>
              <w:rPr>
                <w:color w:val="1C3A36"/>
                <w:sz w:val="18"/>
              </w:rPr>
              <w:t>Probability of touching +10% at any point</w:t>
            </w:r>
          </w:p>
        </w:tc>
        <w:tc>
          <w:tcPr>
            <w:tcW w:type="dxa" w:w="2304"/>
          </w:tcPr>
          <w:p>
            <w:pPr>
              <w:spacing w:after="20"/>
              <w:jc w:val="right"/>
            </w:pPr>
            <w:r>
              <w:rPr>
                <w:color w:val="1C3A36"/>
                <w:sz w:val="18"/>
              </w:rPr>
              <w:t>27.8%</w:t>
            </w:r>
          </w:p>
        </w:tc>
        <w:tc>
          <w:tcPr>
            <w:tcW w:type="dxa" w:w="2304"/>
          </w:tcPr>
          <w:p>
            <w:pPr>
              <w:spacing w:after="20"/>
              <w:jc w:val="right"/>
            </w:pPr>
            <w:r>
              <w:rPr>
                <w:color w:val="1C3A36"/>
                <w:sz w:val="18"/>
              </w:rPr>
              <w:t>58.0%</w:t>
            </w:r>
          </w:p>
        </w:tc>
      </w:tr>
      <w:tr>
        <w:tc>
          <w:tcPr>
            <w:tcW w:type="dxa" w:w="4320"/>
          </w:tcPr>
          <w:p>
            <w:pPr>
              <w:spacing w:after="20"/>
            </w:pPr>
            <w:r>
              <w:rPr>
                <w:color w:val="1C3A36"/>
                <w:sz w:val="18"/>
              </w:rPr>
              <w:t>Probability of touching −10% at any point</w:t>
            </w:r>
          </w:p>
        </w:tc>
        <w:tc>
          <w:tcPr>
            <w:tcW w:type="dxa" w:w="2304"/>
          </w:tcPr>
          <w:p>
            <w:pPr>
              <w:spacing w:after="20"/>
              <w:jc w:val="right"/>
            </w:pPr>
            <w:r>
              <w:rPr>
                <w:color w:val="1C3A36"/>
                <w:sz w:val="18"/>
              </w:rPr>
              <w:t>19.8%</w:t>
            </w:r>
          </w:p>
        </w:tc>
        <w:tc>
          <w:tcPr>
            <w:tcW w:type="dxa" w:w="2304"/>
          </w:tcPr>
          <w:p>
            <w:pPr>
              <w:spacing w:after="20"/>
              <w:jc w:val="right"/>
            </w:pPr>
            <w:r>
              <w:rPr>
                <w:color w:val="1C3A36"/>
                <w:sz w:val="18"/>
              </w:rPr>
              <w:t>45.5%</w:t>
            </w:r>
          </w:p>
        </w:tc>
      </w:tr>
    </w:tbl>
    <w:p>
      <w:pPr>
        <w:spacing w:after="40"/>
      </w:pPr>
    </w:p>
    <w:p>
      <w:pPr>
        <w:spacing w:after="200" w:before="0"/>
      </w:pPr>
      <w:r>
        <w:rPr>
          <w:b w:val="0"/>
          <w:i/>
          <w:color w:val="6E7B77"/>
          <w:sz w:val="17"/>
        </w:rPr>
        <w:t>Table 18 — Percentiles in EGP per share, from a 50,000-path simulation anchored on the 6 August 2026 close of EGP 59.00. The drift is the carry — the risk-free rate less the dividend yield — and nothing else.</w:t>
      </w:r>
    </w:p>
    <w:p>
      <w:pPr>
        <w:spacing w:after="40"/>
        <w:jc w:val="center"/>
      </w:pPr>
      <w:r>
        <w:drawing>
          <wp:inline xmlns:a="http://schemas.openxmlformats.org/drawingml/2006/main" xmlns:pic="http://schemas.openxmlformats.org/drawingml/2006/picture">
            <wp:extent cx="6309360" cy="2704011"/>
            <wp:docPr id="6" name="Picture 6"/>
            <wp:cNvGraphicFramePr>
              <a:graphicFrameLocks noChangeAspect="1"/>
            </wp:cNvGraphicFramePr>
            <a:graphic>
              <a:graphicData uri="http://schemas.openxmlformats.org/drawingml/2006/picture">
                <pic:pic>
                  <pic:nvPicPr>
                    <pic:cNvPr id="0" name="fig4_fan.png"/>
                    <pic:cNvPicPr/>
                  </pic:nvPicPr>
                  <pic:blipFill>
                    <a:blip r:embed="rId14"/>
                    <a:stretch>
                      <a:fillRect/>
                    </a:stretch>
                  </pic:blipFill>
                  <pic:spPr>
                    <a:xfrm>
                      <a:off x="0" y="0"/>
                      <a:ext cx="6309360" cy="2704011"/>
                    </a:xfrm>
                    <a:prstGeom prst="rect"/>
                  </pic:spPr>
                </pic:pic>
              </a:graphicData>
            </a:graphic>
          </wp:inline>
        </w:drawing>
      </w:r>
    </w:p>
    <w:p>
      <w:pPr>
        <w:spacing w:after="200" w:before="0"/>
      </w:pPr>
      <w:r>
        <w:rPr>
          <w:b w:val="0"/>
          <w:i/>
          <w:color w:val="6E7B77"/>
          <w:sz w:val="17"/>
        </w:rPr>
        <w:t>Figure 6 — The three-month cone.</w:t>
      </w:r>
    </w:p>
    <w:p>
      <w:pPr>
        <w:spacing w:after="40"/>
        <w:jc w:val="center"/>
      </w:pPr>
      <w:r>
        <w:drawing>
          <wp:inline xmlns:a="http://schemas.openxmlformats.org/drawingml/2006/main" xmlns:pic="http://schemas.openxmlformats.org/drawingml/2006/picture">
            <wp:extent cx="5852160" cy="2381693"/>
            <wp:docPr id="7" name="Picture 7"/>
            <wp:cNvGraphicFramePr>
              <a:graphicFrameLocks noChangeAspect="1"/>
            </wp:cNvGraphicFramePr>
            <a:graphic>
              <a:graphicData uri="http://schemas.openxmlformats.org/drawingml/2006/picture">
                <pic:pic>
                  <pic:nvPicPr>
                    <pic:cNvPr id="0" name="fig6_dist.png"/>
                    <pic:cNvPicPr/>
                  </pic:nvPicPr>
                  <pic:blipFill>
                    <a:blip r:embed="rId15"/>
                    <a:stretch>
                      <a:fillRect/>
                    </a:stretch>
                  </pic:blipFill>
                  <pic:spPr>
                    <a:xfrm>
                      <a:off x="0" y="0"/>
                      <a:ext cx="5852160" cy="2381693"/>
                    </a:xfrm>
                    <a:prstGeom prst="rect"/>
                  </pic:spPr>
                </pic:pic>
              </a:graphicData>
            </a:graphic>
          </wp:inline>
        </w:drawing>
      </w:r>
    </w:p>
    <w:p>
      <w:pPr>
        <w:spacing w:after="200" w:before="0"/>
      </w:pPr>
      <w:r>
        <w:rPr>
          <w:b w:val="0"/>
          <w:i/>
          <w:color w:val="6E7B77"/>
          <w:sz w:val="17"/>
        </w:rPr>
        <w:t>Figure 7 — The three-month outcome distribution.</w:t>
      </w:r>
    </w:p>
    <w:p>
      <w:pPr>
        <w:spacing w:after="120" w:before="0"/>
      </w:pPr>
      <w:r>
        <w:rPr>
          <w:b w:val="0"/>
          <w:i w:val="0"/>
          <w:color w:val="1C3A36"/>
          <w:sz w:val="21"/>
        </w:rPr>
        <w:t>How well calibrated is it? Measured over 16 independent quarterly windows, the bands cover 56%, 100% and 100% of outcomes against nominal 50%, 80% and 90%. The map is therefore TOO WIDE rather than mis-centred: it is not missing the outcome, it is covering more ground than it claims to. Its skill against a simple random walk is -1.8% — statistically indistinguishable from zero at every block size tested. No valuation conclusion in this study rests on it.</w:t>
      </w:r>
    </w:p>
    <w:p>
      <w:pPr>
        <w:spacing w:after="120" w:before="280"/>
      </w:pPr>
      <w:r>
        <w:rPr>
          <w:b/>
          <w:i w:val="0"/>
          <w:color w:val="1C3A36"/>
          <w:sz w:val="30"/>
        </w:rPr>
        <w:t>4  Comparison of the lenses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880"/>
        <w:gridCol w:w="1440"/>
        <w:gridCol w:w="1440"/>
        <w:gridCol w:w="1440"/>
        <w:gridCol w:w="1037"/>
        <w:gridCol w:w="1469"/>
      </w:tblGrid>
      <w:tr>
        <w:tc>
          <w:tcPr>
            <w:tcW w:type="dxa" w:w="2880"/>
            <w:shd w:val="clear" w:color="auto" w:fill="EAF0EE"/>
          </w:tcPr>
          <w:p>
            <w:pPr>
              <w:spacing w:after="20"/>
            </w:pPr>
            <w:r>
              <w:rPr>
                <w:b/>
                <w:color w:val="1C3A36"/>
                <w:sz w:val="18"/>
              </w:rPr>
              <w:t>Lens</w:t>
            </w:r>
          </w:p>
        </w:tc>
        <w:tc>
          <w:tcPr>
            <w:tcW w:type="dxa" w:w="1440"/>
            <w:shd w:val="clear" w:color="auto" w:fill="EAF0EE"/>
          </w:tcPr>
          <w:p>
            <w:pPr>
              <w:spacing w:after="20"/>
            </w:pPr>
            <w:r>
              <w:rPr>
                <w:b/>
                <w:color w:val="1C3A36"/>
                <w:sz w:val="18"/>
              </w:rPr>
              <w:t>Bear (EGP)</w:t>
            </w:r>
          </w:p>
        </w:tc>
        <w:tc>
          <w:tcPr>
            <w:tcW w:type="dxa" w:w="1440"/>
            <w:shd w:val="clear" w:color="auto" w:fill="EAF0EE"/>
          </w:tcPr>
          <w:p>
            <w:pPr>
              <w:spacing w:after="20"/>
            </w:pPr>
            <w:r>
              <w:rPr>
                <w:b/>
                <w:color w:val="1C3A36"/>
                <w:sz w:val="18"/>
              </w:rPr>
              <w:t>Base (EGP)</w:t>
            </w:r>
          </w:p>
        </w:tc>
        <w:tc>
          <w:tcPr>
            <w:tcW w:type="dxa" w:w="1440"/>
            <w:shd w:val="clear" w:color="auto" w:fill="EAF0EE"/>
          </w:tcPr>
          <w:p>
            <w:pPr>
              <w:spacing w:after="20"/>
            </w:pPr>
            <w:r>
              <w:rPr>
                <w:b/>
                <w:color w:val="1C3A36"/>
                <w:sz w:val="18"/>
              </w:rPr>
              <w:t>Bull (EGP)</w:t>
            </w:r>
          </w:p>
        </w:tc>
        <w:tc>
          <w:tcPr>
            <w:tcW w:type="dxa" w:w="1037"/>
            <w:shd w:val="clear" w:color="auto" w:fill="EAF0EE"/>
          </w:tcPr>
          <w:p>
            <w:pPr>
              <w:spacing w:after="20"/>
            </w:pPr>
            <w:r>
              <w:rPr>
                <w:b/>
                <w:color w:val="1C3A36"/>
                <w:sz w:val="18"/>
              </w:rPr>
              <w:t>Weight</w:t>
            </w:r>
          </w:p>
        </w:tc>
        <w:tc>
          <w:tcPr>
            <w:tcW w:type="dxa" w:w="1469"/>
            <w:shd w:val="clear" w:color="auto" w:fill="EAF0EE"/>
          </w:tcPr>
          <w:p>
            <w:pPr>
              <w:spacing w:after="20"/>
            </w:pPr>
            <w:r>
              <w:rPr>
                <w:b/>
                <w:color w:val="1C3A36"/>
                <w:sz w:val="18"/>
              </w:rPr>
              <w:t>Versus spot</w:t>
            </w:r>
          </w:p>
        </w:tc>
      </w:tr>
      <w:tr>
        <w:tc>
          <w:tcPr>
            <w:tcW w:type="dxa" w:w="2880"/>
          </w:tcPr>
          <w:p>
            <w:pPr>
              <w:spacing w:after="20"/>
            </w:pPr>
            <w:r>
              <w:rPr>
                <w:color w:val="1C3A36"/>
                <w:sz w:val="18"/>
              </w:rPr>
              <w:t>DCF (cash flow)</w:t>
            </w:r>
          </w:p>
        </w:tc>
        <w:tc>
          <w:tcPr>
            <w:tcW w:type="dxa" w:w="1440"/>
          </w:tcPr>
          <w:p>
            <w:pPr>
              <w:spacing w:after="20"/>
              <w:jc w:val="right"/>
            </w:pPr>
            <w:r>
              <w:rPr>
                <w:color w:val="1C3A36"/>
                <w:sz w:val="18"/>
              </w:rPr>
              <w:t>50.55</w:t>
            </w:r>
          </w:p>
        </w:tc>
        <w:tc>
          <w:tcPr>
            <w:tcW w:type="dxa" w:w="1440"/>
          </w:tcPr>
          <w:p>
            <w:pPr>
              <w:spacing w:after="20"/>
              <w:jc w:val="right"/>
            </w:pPr>
            <w:r>
              <w:rPr>
                <w:color w:val="1C3A36"/>
                <w:sz w:val="18"/>
              </w:rPr>
              <w:t>55.40</w:t>
            </w:r>
          </w:p>
        </w:tc>
        <w:tc>
          <w:tcPr>
            <w:tcW w:type="dxa" w:w="1440"/>
          </w:tcPr>
          <w:p>
            <w:pPr>
              <w:spacing w:after="20"/>
              <w:jc w:val="right"/>
            </w:pPr>
            <w:r>
              <w:rPr>
                <w:color w:val="1C3A36"/>
                <w:sz w:val="18"/>
              </w:rPr>
              <w:t>64.14</w:t>
            </w:r>
          </w:p>
        </w:tc>
        <w:tc>
          <w:tcPr>
            <w:tcW w:type="dxa" w:w="1037"/>
          </w:tcPr>
          <w:p>
            <w:pPr>
              <w:spacing w:after="20"/>
              <w:jc w:val="right"/>
            </w:pPr>
            <w:r>
              <w:rPr>
                <w:color w:val="1C3A36"/>
                <w:sz w:val="18"/>
              </w:rPr>
              <w:t>50%</w:t>
            </w:r>
          </w:p>
        </w:tc>
        <w:tc>
          <w:tcPr>
            <w:tcW w:type="dxa" w:w="1469"/>
          </w:tcPr>
          <w:p>
            <w:pPr>
              <w:spacing w:after="20"/>
              <w:jc w:val="right"/>
            </w:pPr>
            <w:r>
              <w:rPr>
                <w:color w:val="1C3A36"/>
                <w:sz w:val="18"/>
              </w:rPr>
              <w:t>-6.1%</w:t>
            </w:r>
          </w:p>
        </w:tc>
      </w:tr>
      <w:tr>
        <w:tc>
          <w:tcPr>
            <w:tcW w:type="dxa" w:w="2880"/>
          </w:tcPr>
          <w:p>
            <w:pPr>
              <w:spacing w:after="20"/>
            </w:pPr>
            <w:r>
              <w:rPr>
                <w:color w:val="1C3A36"/>
                <w:sz w:val="18"/>
              </w:rPr>
              <w:t>Relative multiples</w:t>
            </w:r>
          </w:p>
        </w:tc>
        <w:tc>
          <w:tcPr>
            <w:tcW w:type="dxa" w:w="1440"/>
          </w:tcPr>
          <w:p>
            <w:pPr>
              <w:spacing w:after="20"/>
              <w:jc w:val="right"/>
            </w:pPr>
            <w:r>
              <w:rPr>
                <w:color w:val="1C3A36"/>
                <w:sz w:val="18"/>
              </w:rPr>
              <w:t>44.06</w:t>
            </w:r>
          </w:p>
        </w:tc>
        <w:tc>
          <w:tcPr>
            <w:tcW w:type="dxa" w:w="1440"/>
          </w:tcPr>
          <w:p>
            <w:pPr>
              <w:spacing w:after="20"/>
              <w:jc w:val="right"/>
            </w:pPr>
            <w:r>
              <w:rPr>
                <w:color w:val="1C3A36"/>
                <w:sz w:val="18"/>
              </w:rPr>
              <w:t>48.96</w:t>
            </w:r>
          </w:p>
        </w:tc>
        <w:tc>
          <w:tcPr>
            <w:tcW w:type="dxa" w:w="1440"/>
          </w:tcPr>
          <w:p>
            <w:pPr>
              <w:spacing w:after="20"/>
              <w:jc w:val="right"/>
            </w:pPr>
            <w:r>
              <w:rPr>
                <w:color w:val="1C3A36"/>
                <w:sz w:val="18"/>
              </w:rPr>
              <w:t>53.86</w:t>
            </w:r>
          </w:p>
        </w:tc>
        <w:tc>
          <w:tcPr>
            <w:tcW w:type="dxa" w:w="1037"/>
          </w:tcPr>
          <w:p>
            <w:pPr>
              <w:spacing w:after="20"/>
              <w:jc w:val="right"/>
            </w:pPr>
            <w:r>
              <w:rPr>
                <w:color w:val="1C3A36"/>
                <w:sz w:val="18"/>
              </w:rPr>
              <w:t>20%</w:t>
            </w:r>
          </w:p>
        </w:tc>
        <w:tc>
          <w:tcPr>
            <w:tcW w:type="dxa" w:w="1469"/>
          </w:tcPr>
          <w:p>
            <w:pPr>
              <w:spacing w:after="20"/>
              <w:jc w:val="right"/>
            </w:pPr>
            <w:r>
              <w:rPr>
                <w:color w:val="1C3A36"/>
                <w:sz w:val="18"/>
              </w:rPr>
              <w:t>-17.0%</w:t>
            </w:r>
          </w:p>
        </w:tc>
      </w:tr>
      <w:tr>
        <w:tc>
          <w:tcPr>
            <w:tcW w:type="dxa" w:w="2880"/>
          </w:tcPr>
          <w:p>
            <w:pPr>
              <w:spacing w:after="20"/>
            </w:pPr>
            <w:r>
              <w:rPr>
                <w:color w:val="1C3A36"/>
                <w:sz w:val="18"/>
              </w:rPr>
              <w:t>Normalised earnings</w:t>
            </w:r>
          </w:p>
        </w:tc>
        <w:tc>
          <w:tcPr>
            <w:tcW w:type="dxa" w:w="1440"/>
          </w:tcPr>
          <w:p>
            <w:pPr>
              <w:spacing w:after="20"/>
              <w:jc w:val="right"/>
            </w:pPr>
            <w:r>
              <w:rPr>
                <w:color w:val="1C3A36"/>
                <w:sz w:val="18"/>
              </w:rPr>
              <w:t>47.65</w:t>
            </w:r>
          </w:p>
        </w:tc>
        <w:tc>
          <w:tcPr>
            <w:tcW w:type="dxa" w:w="1440"/>
          </w:tcPr>
          <w:p>
            <w:pPr>
              <w:spacing w:after="20"/>
              <w:jc w:val="right"/>
            </w:pPr>
            <w:r>
              <w:rPr>
                <w:color w:val="1C3A36"/>
                <w:sz w:val="18"/>
              </w:rPr>
              <w:t>52.95</w:t>
            </w:r>
          </w:p>
        </w:tc>
        <w:tc>
          <w:tcPr>
            <w:tcW w:type="dxa" w:w="1440"/>
          </w:tcPr>
          <w:p>
            <w:pPr>
              <w:spacing w:after="20"/>
              <w:jc w:val="right"/>
            </w:pPr>
            <w:r>
              <w:rPr>
                <w:color w:val="1C3A36"/>
                <w:sz w:val="18"/>
              </w:rPr>
              <w:t>58.24</w:t>
            </w:r>
          </w:p>
        </w:tc>
        <w:tc>
          <w:tcPr>
            <w:tcW w:type="dxa" w:w="1037"/>
          </w:tcPr>
          <w:p>
            <w:pPr>
              <w:spacing w:after="20"/>
              <w:jc w:val="right"/>
            </w:pPr>
            <w:r>
              <w:rPr>
                <w:color w:val="1C3A36"/>
                <w:sz w:val="18"/>
              </w:rPr>
              <w:t>22%</w:t>
            </w:r>
          </w:p>
        </w:tc>
        <w:tc>
          <w:tcPr>
            <w:tcW w:type="dxa" w:w="1469"/>
          </w:tcPr>
          <w:p>
            <w:pPr>
              <w:spacing w:after="20"/>
              <w:jc w:val="right"/>
            </w:pPr>
            <w:r>
              <w:rPr>
                <w:color w:val="1C3A36"/>
                <w:sz w:val="18"/>
              </w:rPr>
              <w:t>-10.3%</w:t>
            </w:r>
          </w:p>
        </w:tc>
      </w:tr>
      <w:tr>
        <w:tc>
          <w:tcPr>
            <w:tcW w:type="dxa" w:w="2880"/>
          </w:tcPr>
          <w:p>
            <w:pPr>
              <w:spacing w:after="20"/>
            </w:pPr>
            <w:r>
              <w:rPr>
                <w:color w:val="1C3A36"/>
                <w:sz w:val="18"/>
              </w:rPr>
              <w:t>Asset / replacement cost</w:t>
            </w:r>
          </w:p>
        </w:tc>
        <w:tc>
          <w:tcPr>
            <w:tcW w:type="dxa" w:w="1440"/>
          </w:tcPr>
          <w:p>
            <w:pPr>
              <w:spacing w:after="20"/>
              <w:jc w:val="right"/>
            </w:pPr>
            <w:r>
              <w:rPr>
                <w:color w:val="1C3A36"/>
                <w:sz w:val="18"/>
              </w:rPr>
              <w:t>61.99</w:t>
            </w:r>
          </w:p>
        </w:tc>
        <w:tc>
          <w:tcPr>
            <w:tcW w:type="dxa" w:w="1440"/>
          </w:tcPr>
          <w:p>
            <w:pPr>
              <w:spacing w:after="20"/>
              <w:jc w:val="right"/>
            </w:pPr>
            <w:r>
              <w:rPr>
                <w:color w:val="1C3A36"/>
                <w:sz w:val="18"/>
              </w:rPr>
              <w:t>68.87</w:t>
            </w:r>
          </w:p>
        </w:tc>
        <w:tc>
          <w:tcPr>
            <w:tcW w:type="dxa" w:w="1440"/>
          </w:tcPr>
          <w:p>
            <w:pPr>
              <w:spacing w:after="20"/>
              <w:jc w:val="right"/>
            </w:pPr>
            <w:r>
              <w:rPr>
                <w:color w:val="1C3A36"/>
                <w:sz w:val="18"/>
              </w:rPr>
              <w:t>75.76</w:t>
            </w:r>
          </w:p>
        </w:tc>
        <w:tc>
          <w:tcPr>
            <w:tcW w:type="dxa" w:w="1037"/>
          </w:tcPr>
          <w:p>
            <w:pPr>
              <w:spacing w:after="20"/>
              <w:jc w:val="right"/>
            </w:pPr>
            <w:r>
              <w:rPr>
                <w:color w:val="1C3A36"/>
                <w:sz w:val="18"/>
              </w:rPr>
              <w:t>8%</w:t>
            </w:r>
          </w:p>
        </w:tc>
        <w:tc>
          <w:tcPr>
            <w:tcW w:type="dxa" w:w="1469"/>
          </w:tcPr>
          <w:p>
            <w:pPr>
              <w:spacing w:after="20"/>
              <w:jc w:val="right"/>
            </w:pPr>
            <w:r>
              <w:rPr>
                <w:color w:val="1C3A36"/>
                <w:sz w:val="18"/>
              </w:rPr>
              <w:t>+16.7%</w:t>
            </w:r>
          </w:p>
        </w:tc>
      </w:tr>
      <w:tr>
        <w:tc>
          <w:tcPr>
            <w:tcW w:type="dxa" w:w="2880"/>
            <w:shd w:val="clear" w:color="auto" w:fill="F6F1E6"/>
          </w:tcPr>
          <w:p>
            <w:pPr>
              <w:spacing w:after="20"/>
            </w:pPr>
            <w:r>
              <w:rPr>
                <w:b/>
                <w:color w:val="1C3A36"/>
                <w:sz w:val="18"/>
              </w:rPr>
              <w:t>Weighted central</w:t>
            </w:r>
          </w:p>
        </w:tc>
        <w:tc>
          <w:tcPr>
            <w:tcW w:type="dxa" w:w="1440"/>
            <w:shd w:val="clear" w:color="auto" w:fill="F6F1E6"/>
          </w:tcPr>
          <w:p>
            <w:pPr>
              <w:spacing w:after="20"/>
              <w:jc w:val="right"/>
            </w:pPr>
            <w:r>
              <w:rPr>
                <w:b/>
                <w:color w:val="1C3A36"/>
                <w:sz w:val="18"/>
              </w:rPr>
              <w:t>49.53</w:t>
            </w:r>
          </w:p>
        </w:tc>
        <w:tc>
          <w:tcPr>
            <w:tcW w:type="dxa" w:w="1440"/>
            <w:shd w:val="clear" w:color="auto" w:fill="F6F1E6"/>
          </w:tcPr>
          <w:p>
            <w:pPr>
              <w:spacing w:after="20"/>
              <w:jc w:val="right"/>
            </w:pPr>
            <w:r>
              <w:rPr>
                <w:b/>
                <w:color w:val="1C3A36"/>
                <w:sz w:val="18"/>
              </w:rPr>
              <w:t>54.65</w:t>
            </w:r>
          </w:p>
        </w:tc>
        <w:tc>
          <w:tcPr>
            <w:tcW w:type="dxa" w:w="1440"/>
            <w:shd w:val="clear" w:color="auto" w:fill="F6F1E6"/>
          </w:tcPr>
          <w:p>
            <w:pPr>
              <w:spacing w:after="20"/>
              <w:jc w:val="right"/>
            </w:pPr>
            <w:r>
              <w:rPr>
                <w:b/>
                <w:color w:val="1C3A36"/>
                <w:sz w:val="18"/>
              </w:rPr>
              <w:t>61.71</w:t>
            </w:r>
          </w:p>
        </w:tc>
        <w:tc>
          <w:tcPr>
            <w:tcW w:type="dxa" w:w="1037"/>
            <w:shd w:val="clear" w:color="auto" w:fill="F6F1E6"/>
          </w:tcPr>
          <w:p>
            <w:pPr>
              <w:spacing w:after="20"/>
              <w:jc w:val="right"/>
            </w:pPr>
            <w:r>
              <w:rPr>
                <w:b/>
                <w:color w:val="1C3A36"/>
                <w:sz w:val="18"/>
              </w:rPr>
              <w:t>100%</w:t>
            </w:r>
          </w:p>
        </w:tc>
        <w:tc>
          <w:tcPr>
            <w:tcW w:type="dxa" w:w="1469"/>
            <w:shd w:val="clear" w:color="auto" w:fill="F6F1E6"/>
          </w:tcPr>
          <w:p>
            <w:pPr>
              <w:spacing w:after="20"/>
              <w:jc w:val="right"/>
            </w:pPr>
            <w:r>
              <w:rPr>
                <w:b/>
                <w:color w:val="1C3A36"/>
                <w:sz w:val="18"/>
              </w:rPr>
              <w:t>-7.4%</w:t>
            </w:r>
          </w:p>
        </w:tc>
      </w:tr>
    </w:tbl>
    <w:p>
      <w:pPr>
        <w:spacing w:after="40"/>
      </w:pPr>
    </w:p>
    <w:p>
      <w:pPr>
        <w:spacing w:after="200" w:before="0"/>
      </w:pPr>
      <w:r>
        <w:rPr>
          <w:b w:val="0"/>
          <w:i/>
          <w:color w:val="6E7B77"/>
          <w:sz w:val="17"/>
        </w:rPr>
        <w:t>Table 19 — Each lens as a range. The disagreement between them is information, not noise.</w:t>
      </w:r>
    </w:p>
    <w:p>
      <w:pPr>
        <w:spacing w:after="120" w:before="0"/>
      </w:pPr>
      <w:r>
        <w:rPr>
          <w:b w:val="0"/>
          <w:i w:val="0"/>
          <w:color w:val="1C3A36"/>
          <w:sz w:val="21"/>
        </w:rPr>
        <w:t>The four lenses do not agree, and the pattern of their disagreement is the most useful thing in this study. Two of them sit ABOVE the market price — Asset / replacement cost, at EGP 68.87 — and two sit below: Relative multiples, Normalised earnings and DCF (cash flow), at EGP 48.96 and EGP 52.95 and EGP 55.40. The split is not assets against earnings. It runs between what the plant can be expected to EARN or COST from here, which both land above the market, and what the market is currently willing to PAY for a pound of Egyptian cement earnings, which is what the two multiple-based lenses measure and which lands below. A cement peer group trading at 6.2 times earnings in a country whose policy rate has a two in front of it is not obviously mispricing anything; it is discounting the same restart programme this study discounts, only harder and sooner.</w:t>
      </w:r>
    </w:p>
    <w:p>
      <w:pPr>
        <w:spacing w:after="120" w:before="0"/>
      </w:pPr>
      <w:r>
        <w:rPr>
          <w:b w:val="0"/>
          <w:i w:val="0"/>
          <w:color w:val="1C3A36"/>
          <w:sz w:val="21"/>
        </w:rPr>
        <w:t>The weighting resolves that in favour of earnings, at 50%/20%/22%/8%, and gives a central EGP 54.65 against EGP 59.00 — -7.4%. A reader who believes replacement cost is a floor rather than a ceiling would weight the asset lens far more and reach the opposite conclusion. The case against doing so is the 12.6Mt restart programme, and it is a testable one.</w:t>
      </w:r>
    </w:p>
    <w:p>
      <w:pPr>
        <w:spacing w:after="120" w:before="0"/>
      </w:pPr>
      <w:r>
        <w:rPr>
          <w:b w:val="0"/>
          <w:i w:val="0"/>
          <w:color w:val="1C3A36"/>
          <w:sz w:val="21"/>
        </w:rPr>
        <w:t>Against the technical picture, the two readings are in tension. The share is above its entire moving-average stack on a rising 200-day and 98% of of its 52-week intraday high — 98% OF that high, and 94% of the way UP the range, which are different statistics and the earlier edition ran them together — while the two multiple-based lenses put fair value below the current price and the two forward-looking ones put it above. Momentum sits with the cash-flow case here rather than against it, and the disagreement that remains is between that case and the multiple the market is prepared to pay. This study takes no view on which resolves first.</w:t>
      </w:r>
    </w:p>
    <w:p>
      <w:pPr>
        <w:spacing w:after="120" w:before="280"/>
      </w:pPr>
      <w:r>
        <w:rPr>
          <w:b/>
          <w:i w:val="0"/>
          <w:color w:val="1C3A36"/>
          <w:sz w:val="30"/>
        </w:rPr>
        <w:t>5  Catalysts to watch</w:t>
      </w:r>
    </w:p>
    <w:p>
      <w:pPr>
        <w:pStyle w:val="ListBullet"/>
        <w:spacing w:after="60"/>
      </w:pPr>
      <w:r>
        <w:rPr>
          <w:b/>
          <w:color w:val="1C3A36"/>
          <w:sz w:val="21"/>
        </w:rPr>
        <w:t xml:space="preserve">The restart programme. </w:t>
      </w:r>
      <w:r>
        <w:rPr>
          <w:color w:val="1C3A36"/>
          <w:sz w:val="21"/>
        </w:rPr>
        <w:t>Seven to nine dormant Egyptian lines are under study for revival, potentially adding 12.6Mt from the second half of 2026 — about 23% of domestic consumption. Whether those lines actually restart, and how fast, is the single largest swing factor in the price path this model assumes.</w:t>
      </w:r>
    </w:p>
    <w:p>
      <w:pPr>
        <w:pStyle w:val="ListBullet"/>
        <w:spacing w:after="60"/>
      </w:pPr>
      <w:r>
        <w:rPr>
          <w:b/>
          <w:color w:val="1C3A36"/>
          <w:sz w:val="21"/>
        </w:rPr>
        <w:t xml:space="preserve">The realised price, quarter by quarter. </w:t>
      </w:r>
      <w:r>
        <w:rPr>
          <w:color w:val="1C3A36"/>
          <w:sz w:val="21"/>
        </w:rPr>
        <w:t>The model assumes a domestic price of EGP 3,085 a tonne in FY2026 and growth below cost inflation thereafter. Two consecutive quarters of realised prices above EGP 4,200 would break that assumption upward; a return toward EGP 3,000 would break it down.</w:t>
      </w:r>
    </w:p>
    <w:p>
      <w:pPr>
        <w:pStyle w:val="ListBullet"/>
        <w:spacing w:after="60"/>
      </w:pPr>
      <w:r>
        <w:rPr>
          <w:b/>
          <w:color w:val="1C3A36"/>
          <w:sz w:val="21"/>
        </w:rPr>
        <w:t xml:space="preserve">The alternative-fuel programme. </w:t>
      </w:r>
      <w:r>
        <w:rPr>
          <w:color w:val="1C3A36"/>
          <w:sz w:val="21"/>
        </w:rPr>
        <w:t>The substitution rate is assumed to rise from a cumulative 5.5% saving on the materials and fuel line by FY2030, against a EUR 25mn facility already drawn and EGP 240mn of capacity already under construction. Progress on it is reported in the company's own sustainability disclosure and is directly visible in the fuel cost per tonne. A stall would cost roughly the difference between the blended and fossil-only fuel bills.</w:t>
      </w:r>
    </w:p>
    <w:p>
      <w:pPr>
        <w:pStyle w:val="ListBullet"/>
        <w:spacing w:after="60"/>
      </w:pPr>
      <w:r>
        <w:rPr>
          <w:b/>
          <w:color w:val="1C3A36"/>
          <w:sz w:val="21"/>
        </w:rPr>
        <w:t xml:space="preserve">Energy tariffs. </w:t>
      </w:r>
      <w:r>
        <w:rPr>
          <w:color w:val="1C3A36"/>
          <w:sz w:val="21"/>
        </w:rPr>
        <w:t>Phased subsidy reform continues to raise the domestic industrial energy bill independently of the global fuel price. The model inflates the pound cost lines by 11.5% in FY2026, easing to 7.0% by FY2030; a faster reform schedule would compress the margin faster than assumed.</w:t>
      </w:r>
    </w:p>
    <w:p>
      <w:pPr>
        <w:pStyle w:val="ListBullet"/>
        <w:spacing w:after="60"/>
      </w:pPr>
      <w:r>
        <w:rPr>
          <w:b/>
          <w:color w:val="1C3A36"/>
          <w:sz w:val="21"/>
        </w:rPr>
        <w:t xml:space="preserve">The export cap and the carbon border mechanism. </w:t>
      </w:r>
      <w:r>
        <w:rPr>
          <w:color w:val="1C3A36"/>
          <w:sz w:val="21"/>
        </w:rPr>
        <w:t>Exports are capped at 30% of production, and the EU carbon border mechanism raises the landed cost of Egyptian cement in Europe. A low-clinker, high-alternative-fuel producer suffers less from the second than a conventional peer, and the export price path assumes exactly that.</w:t>
      </w:r>
    </w:p>
    <w:p>
      <w:pPr>
        <w:pStyle w:val="ListBullet"/>
        <w:spacing w:after="60"/>
      </w:pPr>
      <w:r>
        <w:rPr>
          <w:b/>
          <w:color w:val="1C3A36"/>
          <w:sz w:val="21"/>
        </w:rPr>
        <w:t xml:space="preserve">Distribution policy. </w:t>
      </w:r>
      <w:r>
        <w:rPr>
          <w:color w:val="1C3A36"/>
          <w:sz w:val="21"/>
        </w:rPr>
        <w:t>The company declared EGP 2,002mn for FY2025, about 56% of attributable profit, on top of EGP 1,102mn for FY2024. A change in that policy changes the cash roll-forward and, through it, the balance sheet the bridge relies on.</w:t>
      </w:r>
    </w:p>
    <w:p>
      <w:pPr>
        <w:spacing w:after="120" w:before="280"/>
      </w:pPr>
      <w:r>
        <w:rPr>
          <w:b/>
          <w:i w:val="0"/>
          <w:color w:val="1C3A36"/>
          <w:sz w:val="30"/>
        </w:rPr>
        <w:t>6  Reading the probability zones</w:t>
      </w:r>
    </w:p>
    <w:p>
      <w:pPr>
        <w:spacing w:after="120" w:before="0"/>
      </w:pPr>
      <w:r>
        <w:rPr>
          <w:b w:val="0"/>
          <w:i w:val="0"/>
          <w:color w:val="1C3A36"/>
          <w:sz w:val="21"/>
        </w:rPr>
        <w:t>The distribution in section 3 is easier to use as zones than as percentiles. The following divides the three-month outcome space into four bands and states what each would mean, without predicting which occurs.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584"/>
        <w:gridCol w:w="2232"/>
        <w:gridCol w:w="1296"/>
        <w:gridCol w:w="3672"/>
      </w:tblGrid>
      <w:tr>
        <w:tc>
          <w:tcPr>
            <w:tcW w:type="dxa" w:w="1584"/>
            <w:shd w:val="clear" w:color="auto" w:fill="EAF0EE"/>
          </w:tcPr>
          <w:p>
            <w:pPr>
              <w:spacing w:after="20"/>
            </w:pPr>
            <w:r>
              <w:rPr>
                <w:b/>
                <w:color w:val="1C3A36"/>
                <w:sz w:val="17"/>
              </w:rPr>
              <w:t>Zone</w:t>
            </w:r>
          </w:p>
        </w:tc>
        <w:tc>
          <w:tcPr>
            <w:tcW w:type="dxa" w:w="2232"/>
            <w:shd w:val="clear" w:color="auto" w:fill="EAF0EE"/>
          </w:tcPr>
          <w:p>
            <w:pPr>
              <w:spacing w:after="20"/>
            </w:pPr>
            <w:r>
              <w:rPr>
                <w:b/>
                <w:color w:val="1C3A36"/>
                <w:sz w:val="17"/>
              </w:rPr>
              <w:t>Three-month range (EGP)</w:t>
            </w:r>
          </w:p>
        </w:tc>
        <w:tc>
          <w:tcPr>
            <w:tcW w:type="dxa" w:w="1296"/>
            <w:shd w:val="clear" w:color="auto" w:fill="EAF0EE"/>
          </w:tcPr>
          <w:p>
            <w:pPr>
              <w:spacing w:after="20"/>
            </w:pPr>
            <w:r>
              <w:rPr>
                <w:b/>
                <w:color w:val="1C3A36"/>
                <w:sz w:val="17"/>
              </w:rPr>
              <w:t>Probability</w:t>
            </w:r>
          </w:p>
        </w:tc>
        <w:tc>
          <w:tcPr>
            <w:tcW w:type="dxa" w:w="3672"/>
            <w:shd w:val="clear" w:color="auto" w:fill="EAF0EE"/>
          </w:tcPr>
          <w:p>
            <w:pPr>
              <w:spacing w:after="20"/>
            </w:pPr>
            <w:r>
              <w:rPr>
                <w:b/>
                <w:color w:val="1C3A36"/>
                <w:sz w:val="17"/>
              </w:rPr>
              <w:t>What it would mean</w:t>
            </w:r>
          </w:p>
        </w:tc>
      </w:tr>
      <w:tr>
        <w:tc>
          <w:tcPr>
            <w:tcW w:type="dxa" w:w="1584"/>
          </w:tcPr>
          <w:p>
            <w:pPr>
              <w:spacing w:after="20"/>
            </w:pPr>
            <w:r>
              <w:rPr>
                <w:color w:val="1C3A36"/>
                <w:sz w:val="17"/>
              </w:rPr>
              <w:t>Lower tail</w:t>
            </w:r>
          </w:p>
        </w:tc>
        <w:tc>
          <w:tcPr>
            <w:tcW w:type="dxa" w:w="2232"/>
          </w:tcPr>
          <w:p>
            <w:pPr>
              <w:spacing w:after="20"/>
              <w:jc w:val="right"/>
            </w:pPr>
            <w:r>
              <w:rPr>
                <w:color w:val="1C3A36"/>
                <w:sz w:val="17"/>
              </w:rPr>
              <w:t>below 43.92</w:t>
            </w:r>
          </w:p>
        </w:tc>
        <w:tc>
          <w:tcPr>
            <w:tcW w:type="dxa" w:w="1296"/>
          </w:tcPr>
          <w:p>
            <w:pPr>
              <w:spacing w:after="20"/>
              <w:jc w:val="right"/>
            </w:pPr>
            <w:r>
              <w:rPr>
                <w:color w:val="1C3A36"/>
                <w:sz w:val="17"/>
              </w:rPr>
              <w:t>5%</w:t>
            </w:r>
          </w:p>
        </w:tc>
        <w:tc>
          <w:tcPr>
            <w:tcW w:type="dxa" w:w="3672"/>
          </w:tcPr>
          <w:p>
            <w:pPr>
              <w:spacing w:after="20"/>
              <w:jc w:val="right"/>
            </w:pPr>
            <w:r>
              <w:rPr>
                <w:color w:val="1C3A36"/>
                <w:sz w:val="17"/>
              </w:rPr>
              <w:t>A break of the 48.10 support zone, most plausibly on a faster-than-assumed capacity restart</w:t>
            </w:r>
          </w:p>
        </w:tc>
      </w:tr>
      <w:tr>
        <w:tc>
          <w:tcPr>
            <w:tcW w:type="dxa" w:w="1584"/>
          </w:tcPr>
          <w:p>
            <w:pPr>
              <w:spacing w:after="20"/>
            </w:pPr>
            <w:r>
              <w:rPr>
                <w:color w:val="1C3A36"/>
                <w:sz w:val="17"/>
              </w:rPr>
              <w:t>Below spot</w:t>
            </w:r>
          </w:p>
        </w:tc>
        <w:tc>
          <w:tcPr>
            <w:tcW w:type="dxa" w:w="2232"/>
          </w:tcPr>
          <w:p>
            <w:pPr>
              <w:spacing w:after="20"/>
              <w:jc w:val="right"/>
            </w:pPr>
            <w:r>
              <w:rPr>
                <w:color w:val="1C3A36"/>
                <w:sz w:val="17"/>
              </w:rPr>
              <w:t>43.92 – 59.00</w:t>
            </w:r>
          </w:p>
        </w:tc>
        <w:tc>
          <w:tcPr>
            <w:tcW w:type="dxa" w:w="1296"/>
          </w:tcPr>
          <w:p>
            <w:pPr>
              <w:spacing w:after="20"/>
              <w:jc w:val="right"/>
            </w:pPr>
            <w:r>
              <w:rPr>
                <w:color w:val="1C3A36"/>
                <w:sz w:val="17"/>
              </w:rPr>
              <w:t>39%</w:t>
            </w:r>
          </w:p>
        </w:tc>
        <w:tc>
          <w:tcPr>
            <w:tcW w:type="dxa" w:w="3672"/>
          </w:tcPr>
          <w:p>
            <w:pPr>
              <w:spacing w:after="20"/>
              <w:jc w:val="right"/>
            </w:pPr>
            <w:r>
              <w:rPr>
                <w:color w:val="1C3A36"/>
                <w:sz w:val="17"/>
              </w:rPr>
              <w:t>The market converging toward the earnings-based lenses in this study</w:t>
            </w:r>
          </w:p>
        </w:tc>
      </w:tr>
      <w:tr>
        <w:tc>
          <w:tcPr>
            <w:tcW w:type="dxa" w:w="1584"/>
          </w:tcPr>
          <w:p>
            <w:pPr>
              <w:spacing w:after="20"/>
            </w:pPr>
            <w:r>
              <w:rPr>
                <w:color w:val="1C3A36"/>
                <w:sz w:val="17"/>
              </w:rPr>
              <w:t>Above spot</w:t>
            </w:r>
          </w:p>
        </w:tc>
        <w:tc>
          <w:tcPr>
            <w:tcW w:type="dxa" w:w="2232"/>
          </w:tcPr>
          <w:p>
            <w:pPr>
              <w:spacing w:after="20"/>
              <w:jc w:val="right"/>
            </w:pPr>
            <w:r>
              <w:rPr>
                <w:color w:val="1C3A36"/>
                <w:sz w:val="17"/>
              </w:rPr>
              <w:t>59.00 – 83.17</w:t>
            </w:r>
          </w:p>
        </w:tc>
        <w:tc>
          <w:tcPr>
            <w:tcW w:type="dxa" w:w="1296"/>
          </w:tcPr>
          <w:p>
            <w:pPr>
              <w:spacing w:after="20"/>
              <w:jc w:val="right"/>
            </w:pPr>
            <w:r>
              <w:rPr>
                <w:color w:val="1C3A36"/>
                <w:sz w:val="17"/>
              </w:rPr>
              <w:t>51%</w:t>
            </w:r>
          </w:p>
        </w:tc>
        <w:tc>
          <w:tcPr>
            <w:tcW w:type="dxa" w:w="3672"/>
          </w:tcPr>
          <w:p>
            <w:pPr>
              <w:spacing w:after="20"/>
              <w:jc w:val="right"/>
            </w:pPr>
            <w:r>
              <w:rPr>
                <w:color w:val="1C3A36"/>
                <w:sz w:val="17"/>
              </w:rPr>
              <w:t>Momentum and the 2026 pricing environment continuing to lead the earnings case</w:t>
            </w:r>
          </w:p>
        </w:tc>
      </w:tr>
      <w:tr>
        <w:tc>
          <w:tcPr>
            <w:tcW w:type="dxa" w:w="1584"/>
          </w:tcPr>
          <w:p>
            <w:pPr>
              <w:spacing w:after="20"/>
            </w:pPr>
            <w:r>
              <w:rPr>
                <w:color w:val="1C3A36"/>
                <w:sz w:val="17"/>
              </w:rPr>
              <w:t>Upper tail</w:t>
            </w:r>
          </w:p>
        </w:tc>
        <w:tc>
          <w:tcPr>
            <w:tcW w:type="dxa" w:w="2232"/>
          </w:tcPr>
          <w:p>
            <w:pPr>
              <w:spacing w:after="20"/>
              <w:jc w:val="right"/>
            </w:pPr>
            <w:r>
              <w:rPr>
                <w:color w:val="1C3A36"/>
                <w:sz w:val="17"/>
              </w:rPr>
              <w:t>above 83.17</w:t>
            </w:r>
          </w:p>
        </w:tc>
        <w:tc>
          <w:tcPr>
            <w:tcW w:type="dxa" w:w="1296"/>
          </w:tcPr>
          <w:p>
            <w:pPr>
              <w:spacing w:after="20"/>
              <w:jc w:val="right"/>
            </w:pPr>
            <w:r>
              <w:rPr>
                <w:color w:val="1C3A36"/>
                <w:sz w:val="17"/>
              </w:rPr>
              <w:t>5%</w:t>
            </w:r>
          </w:p>
        </w:tc>
        <w:tc>
          <w:tcPr>
            <w:tcW w:type="dxa" w:w="3672"/>
          </w:tcPr>
          <w:p>
            <w:pPr>
              <w:spacing w:after="20"/>
              <w:jc w:val="right"/>
            </w:pPr>
            <w:r>
              <w:rPr>
                <w:color w:val="1C3A36"/>
                <w:sz w:val="17"/>
              </w:rPr>
              <w:t>A re-rating toward the asset lens, which would require the restart programme to be abandoned or delayed materially</w:t>
            </w:r>
          </w:p>
        </w:tc>
      </w:tr>
    </w:tbl>
    <w:p>
      <w:pPr>
        <w:spacing w:after="40"/>
      </w:pPr>
    </w:p>
    <w:p>
      <w:pPr>
        <w:spacing w:after="200" w:before="0"/>
      </w:pPr>
      <w:r>
        <w:rPr>
          <w:b w:val="0"/>
          <w:i/>
          <w:color w:val="6E7B77"/>
          <w:sz w:val="17"/>
        </w:rPr>
        <w:t>Table 20 — Zones, not forecasts. The four are exclusive and sum to 100%: each tail is carved OUT of the band beside it rather than counted twice. The probabilities come from the price map and are subject to the same over-width caution as everything else in section 3.</w:t>
      </w:r>
    </w:p>
    <w:p>
      <w:pPr>
        <w:spacing w:after="120" w:before="280"/>
      </w:pPr>
      <w:r>
        <w:rPr>
          <w:b/>
          <w:i w:val="0"/>
          <w:color w:val="1C3A36"/>
          <w:sz w:val="30"/>
        </w:rPr>
        <w:t>7  Caveats and what would change our mind</w:t>
      </w:r>
    </w:p>
    <w:p>
      <w:pPr>
        <w:pStyle w:val="ListBullet"/>
        <w:spacing w:after="60"/>
      </w:pPr>
      <w:r>
        <w:rPr>
          <w:b/>
          <w:color w:val="1C3A36"/>
          <w:sz w:val="21"/>
        </w:rPr>
        <w:t xml:space="preserve">The accounts are audited, and this study is built on them. </w:t>
      </w:r>
      <w:r>
        <w:rPr>
          <w:color w:val="1C3A36"/>
          <w:sz w:val="21"/>
        </w:rPr>
        <w:t>An earlier edition of this work was written without access to a source document and reconstructed the history by closing disclosed profit against modelled assumptions. That edition is superseded. Every historical figure here is read from the consolidated financial statements signed by Deloitte on 25 February 2026, or from the reviewed interim accounts of 25 May 2026. Four things it got materially wrong are worth naming, because they show where reconstruction fails: minority interests were deducted at EGP 150mn against an audited EGP 158,005; the effective tax rate was inferred at 29.4% against a disclosed 23.8%; the cost of debt was assumed at 21.5% against a euro-denominated book paying about 7.5%; and kiln capacity was assumed 14% too low.</w:t>
      </w:r>
    </w:p>
    <w:p>
      <w:pPr>
        <w:pStyle w:val="ListBullet"/>
        <w:spacing w:after="60"/>
      </w:pPr>
      <w:r>
        <w:rPr>
          <w:b/>
          <w:color w:val="1C3A36"/>
          <w:sz w:val="21"/>
        </w:rPr>
        <w:t xml:space="preserve">The model was rebuilt bottom up, and the answer moved a long way. </w:t>
      </w:r>
      <w:r>
        <w:rPr>
          <w:color w:val="1C3A36"/>
          <w:sz w:val="21"/>
        </w:rPr>
        <w:t>Four reviewers tested the previous edition. Between them they showed that its volume came from an assumed price rather than from the plant, that its FY2025 validation was an identity that could not fail, that its terminal capital was measured in valuation-date pounds against a terminal-year cash flow, that its terminal cost of debt sat 250 basis points below its own terminal risk-free rate, that its terminal risk-free rate used the central bank's near-dated inflation target rather than its medium-term one, that its discount factors applied each year's rate one period late, that its beta was levered twice, and that ten rows of its income statement were labelled one row above their contents. All of that is corrected here. The central fair value moves from EGP 61.30 to EGP 54.65, and the conclusion moves from a premium over the market to a small discount.</w:t>
      </w:r>
    </w:p>
    <w:p>
      <w:pPr>
        <w:pStyle w:val="ListBullet"/>
        <w:spacing w:after="60"/>
      </w:pPr>
      <w:r>
        <w:rPr>
          <w:b/>
          <w:color w:val="1C3A36"/>
          <w:sz w:val="21"/>
        </w:rPr>
        <w:t xml:space="preserve">The expert panel is the model at three parameter values, not three independent valuations. </w:t>
      </w:r>
      <w:r>
        <w:rPr>
          <w:color w:val="1C3A36"/>
          <w:sz w:val="21"/>
        </w:rPr>
        <w:t>A reviewer pointed out that Expert 1's central IS the asset lens to the pound and Expert 2's IS the normalised-earnings lens. That is correct, and the workbook now builds all nine panel figures as FORMULAS off the same drivers rather than typing them, so the point is demonstrated rather than argued: Expert 1 marks replacement cost at USD 80/95/110 a tonne, Expert 2 capitalises the normalised base at 6/7/8 times, Expert 3 discounts mid-cycle free cash flow at a 20.0%/17.5%/15.0% required return. Read the panel as a sensitivity with reasoning attached, not as corroboration.</w:t>
      </w:r>
    </w:p>
    <w:p>
      <w:pPr>
        <w:pStyle w:val="ListBullet"/>
        <w:spacing w:after="60"/>
      </w:pPr>
      <w:r>
        <w:rPr>
          <w:b/>
          <w:color w:val="1C3A36"/>
          <w:sz w:val="21"/>
        </w:rPr>
        <w:t xml:space="preserve">Volume is now physical, and it is the largest open question in the study. </w:t>
      </w:r>
      <w:r>
        <w:rPr>
          <w:color w:val="1C3A36"/>
          <w:sz w:val="21"/>
        </w:rPr>
        <w:t>The build runs on kiln utilisation, the clinker factor and two export shares, and the three realised prices are derived from the audited revenue note. That makes the prices testable, and they do not fully pass: export clinker derives to USD 30.0 a tonne against a trade-press range of USD 44-48. Either the physical assumptions are too generous or realisations run below the published indices. The company discloses despatch volumes in its investor material, which would settle it; that material could not be reached from here, and the audited statements are image-only scans that carry no volume table.</w:t>
      </w:r>
    </w:p>
    <w:p>
      <w:pPr>
        <w:pStyle w:val="ListBullet"/>
        <w:spacing w:after="60"/>
      </w:pPr>
      <w:r>
        <w:rPr>
          <w:b/>
          <w:color w:val="1C3A36"/>
          <w:sz w:val="21"/>
        </w:rPr>
        <w:t xml:space="preserve">The cost of debt is contractual, not paid. </w:t>
      </w:r>
      <w:r>
        <w:rPr>
          <w:color w:val="1C3A36"/>
          <w:sz w:val="21"/>
        </w:rPr>
        <w:t>The blended 7.89% sits above the 5.03% that FY2025 interest over average debt gives and the 3.73% the first quarter of 2026 annualises to, because the book re-based mid-year and interest on assets still under construction is capitalised. Adopting the contracted euro rate also means the euro debt is not compensated for pound depreciation beyond the currency path assumed here; the pound-equivalent alternative is 13.36% and is worth +3.1%.</w:t>
      </w:r>
    </w:p>
    <w:p>
      <w:pPr>
        <w:pStyle w:val="ListBullet"/>
        <w:spacing w:after="60"/>
      </w:pPr>
      <w:r>
        <w:rPr>
          <w:b/>
          <w:color w:val="1C3A36"/>
          <w:sz w:val="21"/>
        </w:rPr>
        <w:t xml:space="preserve">The forecast is well below the first-quarter run rate. </w:t>
      </w:r>
      <w:r>
        <w:rPr>
          <w:color w:val="1C3A36"/>
          <w:sz w:val="21"/>
        </w:rPr>
        <w:t>This is the largest judgement in the model and section 1.6 states it with the numbers. The first quarter of 2026 ran a 42.9% gross margin against 40.6% for FY2025 as a whole. If that holds, this valuation is too cautious, and the margin sensitivity below is where to look.</w:t>
      </w:r>
    </w:p>
    <w:p>
      <w:pPr>
        <w:pStyle w:val="ListBullet"/>
        <w:spacing w:after="60"/>
      </w:pPr>
      <w:r>
        <w:rPr>
          <w:b/>
          <w:color w:val="1C3A36"/>
          <w:sz w:val="21"/>
        </w:rPr>
        <w:t xml:space="preserve">The terminal denominator is a choice. </w:t>
      </w:r>
      <w:r>
        <w:rPr>
          <w:color w:val="1C3A36"/>
          <w:sz w:val="21"/>
        </w:rPr>
        <w:t>Return on capital is 60.6% on the audited book and 8.8% on replacement cost. The terminal block uses replacement cost, which leaves the plant roughly breaking even on new tonnes — 8.39% against a hurdle of 12.69%, so four points of terminal growth are worth -24.9% of value and the answer does not rest on the rate. On the book basis growth would be close to free and the valuation materially higher. The case for replacement cost is that the book carries a 2010-vintage plant at a tenth of what one would cost to build today, but a reader is entitled to disagree.</w:t>
      </w:r>
    </w:p>
    <w:p>
      <w:pPr>
        <w:pStyle w:val="ListBullet"/>
        <w:spacing w:after="60"/>
      </w:pPr>
      <w:r>
        <w:rPr>
          <w:b/>
          <w:color w:val="1C3A36"/>
          <w:sz w:val="21"/>
        </w:rPr>
        <w:t xml:space="preserve">The beta is weak. </w:t>
      </w:r>
      <w:r>
        <w:rPr>
          <w:color w:val="1C3A36"/>
          <w:sz w:val="21"/>
        </w:rPr>
        <w:t>R-squared of 9.1% and a 90% interval of [0.42, 0.83]. The valuation is shown across a beta range for exactly this reason, and the lead-lag correction is published as a value.</w:t>
      </w:r>
    </w:p>
    <w:p>
      <w:pPr>
        <w:pStyle w:val="ListBullet"/>
        <w:spacing w:after="60"/>
      </w:pPr>
      <w:r>
        <w:rPr>
          <w:b/>
          <w:color w:val="1C3A36"/>
          <w:sz w:val="21"/>
        </w:rPr>
        <w:t xml:space="preserve">The price map is over-wide. </w:t>
      </w:r>
      <w:r>
        <w:rPr>
          <w:color w:val="1C3A36"/>
          <w:sz w:val="21"/>
        </w:rPr>
        <w:t>Its bands cover 100% and 100% of outcomes against nominal 80% and 90%, and its skill against a random walk is -1.8%. It is carried as illustrative only.</w:t>
      </w:r>
    </w:p>
    <w:p>
      <w:pPr>
        <w:pStyle w:val="ListBullet"/>
        <w:spacing w:after="60"/>
      </w:pPr>
      <w:r>
        <w:rPr>
          <w:b/>
          <w:color w:val="1C3A36"/>
          <w:sz w:val="21"/>
        </w:rPr>
        <w:t xml:space="preserve">A minority position under a 60% shareholder. </w:t>
      </w:r>
      <w:r>
        <w:rPr>
          <w:color w:val="1C3A36"/>
          <w:sz w:val="21"/>
        </w:rPr>
        <w:t>Aridos Jativa of Spain owns 60% of the capital. No control premium or discount is applied anywhere in this valuation, in either direction. The company also holds 1% of its own capital in treasury, acquired during 2025, which is excluded from the share count throughout.</w:t>
      </w:r>
    </w:p>
    <w:p>
      <w:pPr>
        <w:pStyle w:val="ListBullet"/>
        <w:spacing w:after="60"/>
      </w:pPr>
      <w:r>
        <w:rPr>
          <w:b/>
          <w:color w:val="1C3A36"/>
          <w:sz w:val="21"/>
        </w:rPr>
        <w:t xml:space="preserve">Currency, on both sides now. </w:t>
      </w:r>
      <w:r>
        <w:rPr>
          <w:color w:val="1C3A36"/>
          <w:sz w:val="21"/>
        </w:rPr>
        <w:t>Revenue is 69% local and 31% export; costs are largely in pounds but fuel and spares are not; and the debt is 91% euro. A weaker pound raises export revenue in pounds and raises the pound cost of servicing the euro debt. The model carries one currency path acting on all three legs.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456"/>
        <w:gridCol w:w="1325"/>
        <w:gridCol w:w="1325"/>
        <w:gridCol w:w="1325"/>
        <w:gridCol w:w="1325"/>
        <w:gridCol w:w="1325"/>
      </w:tblGrid>
      <w:tr>
        <w:tc>
          <w:tcPr>
            <w:tcW w:type="dxa" w:w="3456"/>
            <w:shd w:val="clear" w:color="auto" w:fill="EAF0EE"/>
          </w:tcPr>
          <w:p>
            <w:pPr>
              <w:spacing w:after="20"/>
            </w:pPr>
            <w:r>
              <w:rPr>
                <w:b/>
                <w:color w:val="1C3A36"/>
                <w:sz w:val="17"/>
              </w:rPr>
              <w:t>Net cash at the valuation date (EGP mn)</w:t>
            </w:r>
          </w:p>
        </w:tc>
        <w:tc>
          <w:tcPr>
            <w:tcW w:type="dxa" w:w="1325"/>
            <w:shd w:val="clear" w:color="auto" w:fill="EAF0EE"/>
          </w:tcPr>
          <w:p>
            <w:pPr>
              <w:spacing w:after="20"/>
            </w:pPr>
            <w:r>
              <w:rPr>
                <w:b/>
                <w:color w:val="1C3A36"/>
                <w:sz w:val="17"/>
              </w:rPr>
              <w:t>426</w:t>
            </w:r>
          </w:p>
        </w:tc>
        <w:tc>
          <w:tcPr>
            <w:tcW w:type="dxa" w:w="1325"/>
            <w:shd w:val="clear" w:color="auto" w:fill="EAF0EE"/>
          </w:tcPr>
          <w:p>
            <w:pPr>
              <w:spacing w:after="20"/>
            </w:pPr>
            <w:r>
              <w:rPr>
                <w:b/>
                <w:color w:val="1C3A36"/>
                <w:sz w:val="17"/>
              </w:rPr>
              <w:t>1,176</w:t>
            </w:r>
          </w:p>
        </w:tc>
        <w:tc>
          <w:tcPr>
            <w:tcW w:type="dxa" w:w="1325"/>
            <w:shd w:val="clear" w:color="auto" w:fill="EAF0EE"/>
          </w:tcPr>
          <w:p>
            <w:pPr>
              <w:spacing w:after="20"/>
            </w:pPr>
            <w:r>
              <w:rPr>
                <w:b/>
                <w:color w:val="1C3A36"/>
                <w:sz w:val="17"/>
              </w:rPr>
              <w:t>1,926</w:t>
            </w:r>
          </w:p>
        </w:tc>
        <w:tc>
          <w:tcPr>
            <w:tcW w:type="dxa" w:w="1325"/>
            <w:shd w:val="clear" w:color="auto" w:fill="EAF0EE"/>
          </w:tcPr>
          <w:p>
            <w:pPr>
              <w:spacing w:after="20"/>
            </w:pPr>
            <w:r>
              <w:rPr>
                <w:b/>
                <w:color w:val="1C3A36"/>
                <w:sz w:val="17"/>
              </w:rPr>
              <w:t>2,676</w:t>
            </w:r>
          </w:p>
        </w:tc>
        <w:tc>
          <w:tcPr>
            <w:tcW w:type="dxa" w:w="1325"/>
            <w:shd w:val="clear" w:color="auto" w:fill="EAF0EE"/>
          </w:tcPr>
          <w:p>
            <w:pPr>
              <w:spacing w:after="20"/>
            </w:pPr>
            <w:r>
              <w:rPr>
                <w:b/>
                <w:color w:val="1C3A36"/>
                <w:sz w:val="17"/>
              </w:rPr>
              <w:t>3,426</w:t>
            </w:r>
          </w:p>
        </w:tc>
      </w:tr>
      <w:tr>
        <w:tc>
          <w:tcPr>
            <w:tcW w:type="dxa" w:w="3456"/>
          </w:tcPr>
          <w:p>
            <w:pPr>
              <w:spacing w:after="20"/>
            </w:pPr>
            <w:r>
              <w:rPr>
                <w:color w:val="1C3A36"/>
                <w:sz w:val="17"/>
              </w:rPr>
              <w:t>Fair value per share (EGP)</w:t>
            </w:r>
          </w:p>
        </w:tc>
        <w:tc>
          <w:tcPr>
            <w:tcW w:type="dxa" w:w="1325"/>
          </w:tcPr>
          <w:p>
            <w:pPr>
              <w:spacing w:after="20"/>
              <w:jc w:val="right"/>
            </w:pPr>
            <w:r>
              <w:rPr>
                <w:color w:val="1C3A36"/>
                <w:sz w:val="17"/>
              </w:rPr>
              <w:t>53.23</w:t>
            </w:r>
          </w:p>
        </w:tc>
        <w:tc>
          <w:tcPr>
            <w:tcW w:type="dxa" w:w="1325"/>
          </w:tcPr>
          <w:p>
            <w:pPr>
              <w:spacing w:after="20"/>
              <w:jc w:val="right"/>
            </w:pPr>
            <w:r>
              <w:rPr>
                <w:color w:val="1C3A36"/>
                <w:sz w:val="17"/>
              </w:rPr>
              <w:t>55.23</w:t>
            </w:r>
          </w:p>
        </w:tc>
        <w:tc>
          <w:tcPr>
            <w:tcW w:type="dxa" w:w="1325"/>
          </w:tcPr>
          <w:p>
            <w:pPr>
              <w:spacing w:after="20"/>
              <w:jc w:val="right"/>
            </w:pPr>
            <w:r>
              <w:rPr>
                <w:color w:val="1C3A36"/>
                <w:sz w:val="17"/>
              </w:rPr>
              <w:t>57.23</w:t>
            </w:r>
          </w:p>
        </w:tc>
        <w:tc>
          <w:tcPr>
            <w:tcW w:type="dxa" w:w="1325"/>
          </w:tcPr>
          <w:p>
            <w:pPr>
              <w:spacing w:after="20"/>
              <w:jc w:val="right"/>
            </w:pPr>
            <w:r>
              <w:rPr>
                <w:color w:val="1C3A36"/>
                <w:sz w:val="17"/>
              </w:rPr>
              <w:t>59.23</w:t>
            </w:r>
          </w:p>
        </w:tc>
        <w:tc>
          <w:tcPr>
            <w:tcW w:type="dxa" w:w="1325"/>
          </w:tcPr>
          <w:p>
            <w:pPr>
              <w:spacing w:after="20"/>
              <w:jc w:val="right"/>
            </w:pPr>
            <w:r>
              <w:rPr>
                <w:color w:val="1C3A36"/>
                <w:sz w:val="17"/>
              </w:rPr>
              <w:t>61.23</w:t>
            </w:r>
          </w:p>
        </w:tc>
      </w:tr>
    </w:tbl>
    <w:p>
      <w:pPr>
        <w:spacing w:after="40"/>
      </w:pPr>
    </w:p>
    <w:p>
      <w:pPr>
        <w:spacing w:after="200" w:before="0"/>
      </w:pPr>
      <w:r>
        <w:rPr>
          <w:b w:val="0"/>
          <w:i/>
          <w:color w:val="6E7B77"/>
          <w:sz w:val="17"/>
        </w:rPr>
        <w:t>Table 21 — The clean net-cash sensitivity, with the tax rate held.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456"/>
        <w:gridCol w:w="1325"/>
        <w:gridCol w:w="1325"/>
        <w:gridCol w:w="1325"/>
        <w:gridCol w:w="1325"/>
        <w:gridCol w:w="1325"/>
      </w:tblGrid>
      <w:tr>
        <w:tc>
          <w:tcPr>
            <w:tcW w:type="dxa" w:w="3456"/>
            <w:shd w:val="clear" w:color="auto" w:fill="EAF0EE"/>
          </w:tcPr>
          <w:p>
            <w:pPr>
              <w:spacing w:after="20"/>
            </w:pPr>
            <w:r>
              <w:rPr>
                <w:b/>
                <w:color w:val="1C3A36"/>
                <w:sz w:val="17"/>
              </w:rPr>
              <w:t>Shift in the EBITDA margin, every forecast year</w:t>
            </w:r>
          </w:p>
        </w:tc>
        <w:tc>
          <w:tcPr>
            <w:tcW w:type="dxa" w:w="1325"/>
            <w:shd w:val="clear" w:color="auto" w:fill="EAF0EE"/>
          </w:tcPr>
          <w:p>
            <w:pPr>
              <w:spacing w:after="20"/>
            </w:pPr>
            <w:r>
              <w:rPr>
                <w:b/>
                <w:color w:val="1C3A36"/>
                <w:sz w:val="17"/>
              </w:rPr>
              <w:t>-4%</w:t>
            </w:r>
          </w:p>
        </w:tc>
        <w:tc>
          <w:tcPr>
            <w:tcW w:type="dxa" w:w="1325"/>
            <w:shd w:val="clear" w:color="auto" w:fill="EAF0EE"/>
          </w:tcPr>
          <w:p>
            <w:pPr>
              <w:spacing w:after="20"/>
            </w:pPr>
            <w:r>
              <w:rPr>
                <w:b/>
                <w:color w:val="1C3A36"/>
                <w:sz w:val="17"/>
              </w:rPr>
              <w:t>-2%</w:t>
            </w:r>
          </w:p>
        </w:tc>
        <w:tc>
          <w:tcPr>
            <w:tcW w:type="dxa" w:w="1325"/>
            <w:shd w:val="clear" w:color="auto" w:fill="EAF0EE"/>
          </w:tcPr>
          <w:p>
            <w:pPr>
              <w:spacing w:after="20"/>
            </w:pPr>
            <w:r>
              <w:rPr>
                <w:b/>
                <w:color w:val="1C3A36"/>
                <w:sz w:val="17"/>
              </w:rPr>
              <w:t>+0%</w:t>
            </w:r>
          </w:p>
        </w:tc>
        <w:tc>
          <w:tcPr>
            <w:tcW w:type="dxa" w:w="1325"/>
            <w:shd w:val="clear" w:color="auto" w:fill="EAF0EE"/>
          </w:tcPr>
          <w:p>
            <w:pPr>
              <w:spacing w:after="20"/>
            </w:pPr>
            <w:r>
              <w:rPr>
                <w:b/>
                <w:color w:val="1C3A36"/>
                <w:sz w:val="17"/>
              </w:rPr>
              <w:t>+2%</w:t>
            </w:r>
          </w:p>
        </w:tc>
        <w:tc>
          <w:tcPr>
            <w:tcW w:type="dxa" w:w="1325"/>
            <w:shd w:val="clear" w:color="auto" w:fill="EAF0EE"/>
          </w:tcPr>
          <w:p>
            <w:pPr>
              <w:spacing w:after="20"/>
            </w:pPr>
            <w:r>
              <w:rPr>
                <w:b/>
                <w:color w:val="1C3A36"/>
                <w:sz w:val="17"/>
              </w:rPr>
              <w:t>+4%</w:t>
            </w:r>
          </w:p>
        </w:tc>
      </w:tr>
      <w:tr>
        <w:tc>
          <w:tcPr>
            <w:tcW w:type="dxa" w:w="3456"/>
          </w:tcPr>
          <w:p>
            <w:pPr>
              <w:spacing w:after="20"/>
            </w:pPr>
            <w:r>
              <w:rPr>
                <w:color w:val="1C3A36"/>
                <w:sz w:val="17"/>
              </w:rPr>
              <w:t>Fair value per share (EGP)</w:t>
            </w:r>
          </w:p>
        </w:tc>
        <w:tc>
          <w:tcPr>
            <w:tcW w:type="dxa" w:w="1325"/>
          </w:tcPr>
          <w:p>
            <w:pPr>
              <w:spacing w:after="20"/>
              <w:jc w:val="right"/>
            </w:pPr>
            <w:r>
              <w:rPr>
                <w:color w:val="1C3A36"/>
                <w:sz w:val="17"/>
              </w:rPr>
              <w:t>45.32</w:t>
            </w:r>
          </w:p>
        </w:tc>
        <w:tc>
          <w:tcPr>
            <w:tcW w:type="dxa" w:w="1325"/>
          </w:tcPr>
          <w:p>
            <w:pPr>
              <w:spacing w:after="20"/>
              <w:jc w:val="right"/>
            </w:pPr>
            <w:r>
              <w:rPr>
                <w:color w:val="1C3A36"/>
                <w:sz w:val="17"/>
              </w:rPr>
              <w:t>51.28</w:t>
            </w:r>
          </w:p>
        </w:tc>
        <w:tc>
          <w:tcPr>
            <w:tcW w:type="dxa" w:w="1325"/>
          </w:tcPr>
          <w:p>
            <w:pPr>
              <w:spacing w:after="20"/>
              <w:jc w:val="right"/>
            </w:pPr>
            <w:r>
              <w:rPr>
                <w:color w:val="1C3A36"/>
                <w:sz w:val="17"/>
              </w:rPr>
              <w:t>57.23</w:t>
            </w:r>
          </w:p>
        </w:tc>
        <w:tc>
          <w:tcPr>
            <w:tcW w:type="dxa" w:w="1325"/>
          </w:tcPr>
          <w:p>
            <w:pPr>
              <w:spacing w:after="20"/>
              <w:jc w:val="right"/>
            </w:pPr>
            <w:r>
              <w:rPr>
                <w:color w:val="1C3A36"/>
                <w:sz w:val="17"/>
              </w:rPr>
              <w:t>63.18</w:t>
            </w:r>
          </w:p>
        </w:tc>
        <w:tc>
          <w:tcPr>
            <w:tcW w:type="dxa" w:w="1325"/>
          </w:tcPr>
          <w:p>
            <w:pPr>
              <w:spacing w:after="20"/>
              <w:jc w:val="right"/>
            </w:pPr>
            <w:r>
              <w:rPr>
                <w:color w:val="1C3A36"/>
                <w:sz w:val="17"/>
              </w:rPr>
              <w:t>69.14</w:t>
            </w:r>
          </w:p>
        </w:tc>
      </w:tr>
    </w:tbl>
    <w:p>
      <w:pPr>
        <w:spacing w:after="40"/>
      </w:pPr>
    </w:p>
    <w:p>
      <w:pPr>
        <w:spacing w:after="200" w:before="0"/>
      </w:pPr>
      <w:r>
        <w:rPr>
          <w:b w:val="0"/>
          <w:i/>
          <w:color w:val="6E7B77"/>
          <w:sz w:val="17"/>
        </w:rPr>
        <w:t>Table 22 — And the margin sensitivity, which is the largest single swing factor in the model.</w:t>
      </w:r>
    </w:p>
    <w:p>
      <w:r>
        <w:br w:type="page"/>
      </w:r>
    </w:p>
    <w:p>
      <w:pPr>
        <w:spacing w:after="120" w:before="280"/>
      </w:pPr>
      <w:r>
        <w:rPr>
          <w:b/>
          <w:i w:val="0"/>
          <w:color w:val="1C3A36"/>
          <w:sz w:val="30"/>
        </w:rPr>
        <w:t>Appendix A  Financial statements</w:t>
      </w:r>
    </w:p>
    <w:p>
      <w:pPr>
        <w:spacing w:after="80" w:before="200"/>
      </w:pPr>
      <w:r>
        <w:rPr>
          <w:b/>
          <w:i w:val="0"/>
          <w:color w:val="1C3A36"/>
          <w:sz w:val="24"/>
        </w:rPr>
        <w:t>Income statement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89"/>
        <w:gridCol w:w="1037"/>
        <w:gridCol w:w="1037"/>
        <w:gridCol w:w="1037"/>
        <w:gridCol w:w="1037"/>
        <w:gridCol w:w="1037"/>
        <w:gridCol w:w="1037"/>
        <w:gridCol w:w="1037"/>
        <w:gridCol w:w="1037"/>
      </w:tblGrid>
      <w:tr>
        <w:tc>
          <w:tcPr>
            <w:tcW w:type="dxa" w:w="2189"/>
            <w:shd w:val="clear" w:color="auto" w:fill="EAF0EE"/>
          </w:tcPr>
          <w:p>
            <w:pPr>
              <w:spacing w:after="20"/>
            </w:pPr>
            <w:r>
              <w:rPr>
                <w:b/>
                <w:color w:val="1C3A36"/>
                <w:sz w:val="16"/>
              </w:rPr>
              <w:t>EGP mn</w:t>
            </w:r>
          </w:p>
        </w:tc>
        <w:tc>
          <w:tcPr>
            <w:tcW w:type="dxa" w:w="1037"/>
            <w:shd w:val="clear" w:color="auto" w:fill="EAF0EE"/>
          </w:tcPr>
          <w:p>
            <w:pPr>
              <w:spacing w:after="20"/>
            </w:pPr>
            <w:r>
              <w:rPr>
                <w:b/>
                <w:color w:val="1C3A36"/>
                <w:sz w:val="16"/>
              </w:rPr>
              <w:t>FY2023</w:t>
            </w:r>
          </w:p>
        </w:tc>
        <w:tc>
          <w:tcPr>
            <w:tcW w:type="dxa" w:w="1037"/>
            <w:shd w:val="clear" w:color="auto" w:fill="EAF0EE"/>
          </w:tcPr>
          <w:p>
            <w:pPr>
              <w:spacing w:after="20"/>
            </w:pPr>
            <w:r>
              <w:rPr>
                <w:b/>
                <w:color w:val="1C3A36"/>
                <w:sz w:val="16"/>
              </w:rPr>
              <w:t>FY2024</w:t>
            </w:r>
          </w:p>
        </w:tc>
        <w:tc>
          <w:tcPr>
            <w:tcW w:type="dxa" w:w="1037"/>
            <w:shd w:val="clear" w:color="auto" w:fill="EAF0EE"/>
          </w:tcPr>
          <w:p>
            <w:pPr>
              <w:spacing w:after="20"/>
            </w:pPr>
            <w:r>
              <w:rPr>
                <w:b/>
                <w:color w:val="1C3A36"/>
                <w:sz w:val="16"/>
              </w:rPr>
              <w:t>FY2025</w:t>
            </w:r>
          </w:p>
        </w:tc>
        <w:tc>
          <w:tcPr>
            <w:tcW w:type="dxa" w:w="1037"/>
            <w:shd w:val="clear" w:color="auto" w:fill="EAF0EE"/>
          </w:tcPr>
          <w:p>
            <w:pPr>
              <w:spacing w:after="20"/>
            </w:pPr>
            <w:r>
              <w:rPr>
                <w:b/>
                <w:color w:val="1C3A36"/>
                <w:sz w:val="16"/>
              </w:rPr>
              <w:t>FY2026E</w:t>
            </w:r>
          </w:p>
        </w:tc>
        <w:tc>
          <w:tcPr>
            <w:tcW w:type="dxa" w:w="1037"/>
            <w:shd w:val="clear" w:color="auto" w:fill="EAF0EE"/>
          </w:tcPr>
          <w:p>
            <w:pPr>
              <w:spacing w:after="20"/>
            </w:pPr>
            <w:r>
              <w:rPr>
                <w:b/>
                <w:color w:val="1C3A36"/>
                <w:sz w:val="16"/>
              </w:rPr>
              <w:t>FY2027E</w:t>
            </w:r>
          </w:p>
        </w:tc>
        <w:tc>
          <w:tcPr>
            <w:tcW w:type="dxa" w:w="1037"/>
            <w:shd w:val="clear" w:color="auto" w:fill="EAF0EE"/>
          </w:tcPr>
          <w:p>
            <w:pPr>
              <w:spacing w:after="20"/>
            </w:pPr>
            <w:r>
              <w:rPr>
                <w:b/>
                <w:color w:val="1C3A36"/>
                <w:sz w:val="16"/>
              </w:rPr>
              <w:t>FY2028E</w:t>
            </w:r>
          </w:p>
        </w:tc>
        <w:tc>
          <w:tcPr>
            <w:tcW w:type="dxa" w:w="1037"/>
            <w:shd w:val="clear" w:color="auto" w:fill="EAF0EE"/>
          </w:tcPr>
          <w:p>
            <w:pPr>
              <w:spacing w:after="20"/>
            </w:pPr>
            <w:r>
              <w:rPr>
                <w:b/>
                <w:color w:val="1C3A36"/>
                <w:sz w:val="16"/>
              </w:rPr>
              <w:t>FY2029E</w:t>
            </w:r>
          </w:p>
        </w:tc>
        <w:tc>
          <w:tcPr>
            <w:tcW w:type="dxa" w:w="1037"/>
            <w:shd w:val="clear" w:color="auto" w:fill="EAF0EE"/>
          </w:tcPr>
          <w:p>
            <w:pPr>
              <w:spacing w:after="20"/>
            </w:pPr>
            <w:r>
              <w:rPr>
                <w:b/>
                <w:color w:val="1C3A36"/>
                <w:sz w:val="16"/>
              </w:rPr>
              <w:t>FY2030E</w:t>
            </w:r>
          </w:p>
        </w:tc>
      </w:tr>
      <w:tr>
        <w:tc>
          <w:tcPr>
            <w:tcW w:type="dxa" w:w="2189"/>
          </w:tcPr>
          <w:p>
            <w:pPr>
              <w:spacing w:after="20"/>
            </w:pPr>
            <w:r>
              <w:rPr>
                <w:color w:val="1C3A36"/>
                <w:sz w:val="16"/>
              </w:rPr>
              <w:t>Revenue</w:t>
            </w:r>
          </w:p>
        </w:tc>
        <w:tc>
          <w:tcPr>
            <w:tcW w:type="dxa" w:w="1037"/>
          </w:tcPr>
          <w:p>
            <w:pPr>
              <w:spacing w:after="20"/>
              <w:jc w:val="right"/>
            </w:pPr>
            <w:r>
              <w:rPr>
                <w:color w:val="1C3A36"/>
                <w:sz w:val="16"/>
              </w:rPr>
              <w:t>6,043</w:t>
            </w:r>
          </w:p>
        </w:tc>
        <w:tc>
          <w:tcPr>
            <w:tcW w:type="dxa" w:w="1037"/>
          </w:tcPr>
          <w:p>
            <w:pPr>
              <w:spacing w:after="20"/>
              <w:jc w:val="right"/>
            </w:pPr>
            <w:r>
              <w:rPr>
                <w:color w:val="1C3A36"/>
                <w:sz w:val="16"/>
              </w:rPr>
              <w:t>8,730</w:t>
            </w:r>
          </w:p>
        </w:tc>
        <w:tc>
          <w:tcPr>
            <w:tcW w:type="dxa" w:w="1037"/>
          </w:tcPr>
          <w:p>
            <w:pPr>
              <w:spacing w:after="20"/>
              <w:jc w:val="right"/>
            </w:pPr>
            <w:r>
              <w:rPr>
                <w:color w:val="1C3A36"/>
                <w:sz w:val="16"/>
              </w:rPr>
              <w:t>12,447</w:t>
            </w:r>
          </w:p>
        </w:tc>
        <w:tc>
          <w:tcPr>
            <w:tcW w:type="dxa" w:w="1037"/>
          </w:tcPr>
          <w:p>
            <w:pPr>
              <w:spacing w:after="20"/>
              <w:jc w:val="right"/>
            </w:pPr>
            <w:r>
              <w:rPr>
                <w:color w:val="1C3A36"/>
                <w:sz w:val="16"/>
              </w:rPr>
              <w:t>13,025</w:t>
            </w:r>
          </w:p>
        </w:tc>
        <w:tc>
          <w:tcPr>
            <w:tcW w:type="dxa" w:w="1037"/>
          </w:tcPr>
          <w:p>
            <w:pPr>
              <w:spacing w:after="20"/>
              <w:jc w:val="right"/>
            </w:pPr>
            <w:r>
              <w:rPr>
                <w:color w:val="1C3A36"/>
                <w:sz w:val="16"/>
              </w:rPr>
              <w:t>14,155</w:t>
            </w:r>
          </w:p>
        </w:tc>
        <w:tc>
          <w:tcPr>
            <w:tcW w:type="dxa" w:w="1037"/>
          </w:tcPr>
          <w:p>
            <w:pPr>
              <w:spacing w:after="20"/>
              <w:jc w:val="right"/>
            </w:pPr>
            <w:r>
              <w:rPr>
                <w:color w:val="1C3A36"/>
                <w:sz w:val="16"/>
              </w:rPr>
              <w:t>15,350</w:t>
            </w:r>
          </w:p>
        </w:tc>
        <w:tc>
          <w:tcPr>
            <w:tcW w:type="dxa" w:w="1037"/>
          </w:tcPr>
          <w:p>
            <w:pPr>
              <w:spacing w:after="20"/>
              <w:jc w:val="right"/>
            </w:pPr>
            <w:r>
              <w:rPr>
                <w:color w:val="1C3A36"/>
                <w:sz w:val="16"/>
              </w:rPr>
              <w:t>16,437</w:t>
            </w:r>
          </w:p>
        </w:tc>
        <w:tc>
          <w:tcPr>
            <w:tcW w:type="dxa" w:w="1037"/>
          </w:tcPr>
          <w:p>
            <w:pPr>
              <w:spacing w:after="20"/>
              <w:jc w:val="right"/>
            </w:pPr>
            <w:r>
              <w:rPr>
                <w:color w:val="1C3A36"/>
                <w:sz w:val="16"/>
              </w:rPr>
              <w:t>17,524</w:t>
            </w:r>
          </w:p>
        </w:tc>
      </w:tr>
      <w:tr>
        <w:tc>
          <w:tcPr>
            <w:tcW w:type="dxa" w:w="2189"/>
          </w:tcPr>
          <w:p>
            <w:pPr>
              <w:spacing w:after="20"/>
            </w:pPr>
            <w:r>
              <w:rPr>
                <w:color w:val="1C3A36"/>
                <w:sz w:val="16"/>
              </w:rPr>
              <w:t>Cost of sales</w:t>
            </w:r>
          </w:p>
        </w:tc>
        <w:tc>
          <w:tcPr>
            <w:tcW w:type="dxa" w:w="1037"/>
          </w:tcPr>
          <w:p>
            <w:pPr>
              <w:spacing w:after="20"/>
              <w:jc w:val="right"/>
            </w:pPr>
            <w:r>
              <w:rPr>
                <w:color w:val="1C3A36"/>
                <w:sz w:val="16"/>
              </w:rPr>
              <w:t>(4,760)</w:t>
            </w:r>
          </w:p>
        </w:tc>
        <w:tc>
          <w:tcPr>
            <w:tcW w:type="dxa" w:w="1037"/>
          </w:tcPr>
          <w:p>
            <w:pPr>
              <w:spacing w:after="20"/>
              <w:jc w:val="right"/>
            </w:pPr>
            <w:r>
              <w:rPr>
                <w:color w:val="1C3A36"/>
                <w:sz w:val="16"/>
              </w:rPr>
              <w:t>(6,643)</w:t>
            </w:r>
          </w:p>
        </w:tc>
        <w:tc>
          <w:tcPr>
            <w:tcW w:type="dxa" w:w="1037"/>
          </w:tcPr>
          <w:p>
            <w:pPr>
              <w:spacing w:after="20"/>
              <w:jc w:val="right"/>
            </w:pPr>
            <w:r>
              <w:rPr>
                <w:color w:val="1C3A36"/>
                <w:sz w:val="16"/>
              </w:rPr>
              <w:t>(7,389)</w:t>
            </w:r>
          </w:p>
        </w:tc>
        <w:tc>
          <w:tcPr>
            <w:tcW w:type="dxa" w:w="1037"/>
          </w:tcPr>
          <w:p>
            <w:pPr>
              <w:spacing w:after="20"/>
              <w:jc w:val="right"/>
            </w:pPr>
            <w:r>
              <w:rPr>
                <w:color w:val="1C3A36"/>
                <w:sz w:val="16"/>
              </w:rPr>
              <w:t>—</w:t>
            </w:r>
          </w:p>
        </w:tc>
        <w:tc>
          <w:tcPr>
            <w:tcW w:type="dxa" w:w="1037"/>
          </w:tcPr>
          <w:p>
            <w:pPr>
              <w:spacing w:after="20"/>
              <w:jc w:val="right"/>
            </w:pPr>
            <w:r>
              <w:rPr>
                <w:color w:val="1C3A36"/>
                <w:sz w:val="16"/>
              </w:rPr>
              <w:t>—</w:t>
            </w:r>
          </w:p>
        </w:tc>
        <w:tc>
          <w:tcPr>
            <w:tcW w:type="dxa" w:w="1037"/>
          </w:tcPr>
          <w:p>
            <w:pPr>
              <w:spacing w:after="20"/>
              <w:jc w:val="right"/>
            </w:pPr>
            <w:r>
              <w:rPr>
                <w:color w:val="1C3A36"/>
                <w:sz w:val="16"/>
              </w:rPr>
              <w:t>—</w:t>
            </w:r>
          </w:p>
        </w:tc>
        <w:tc>
          <w:tcPr>
            <w:tcW w:type="dxa" w:w="1037"/>
          </w:tcPr>
          <w:p>
            <w:pPr>
              <w:spacing w:after="20"/>
              <w:jc w:val="right"/>
            </w:pPr>
            <w:r>
              <w:rPr>
                <w:color w:val="1C3A36"/>
                <w:sz w:val="16"/>
              </w:rPr>
              <w:t>—</w:t>
            </w:r>
          </w:p>
        </w:tc>
        <w:tc>
          <w:tcPr>
            <w:tcW w:type="dxa" w:w="1037"/>
          </w:tcPr>
          <w:p>
            <w:pPr>
              <w:spacing w:after="20"/>
              <w:jc w:val="right"/>
            </w:pPr>
            <w:r>
              <w:rPr>
                <w:color w:val="1C3A36"/>
                <w:sz w:val="16"/>
              </w:rPr>
              <w:t>—</w:t>
            </w:r>
          </w:p>
        </w:tc>
      </w:tr>
      <w:tr>
        <w:tc>
          <w:tcPr>
            <w:tcW w:type="dxa" w:w="2189"/>
          </w:tcPr>
          <w:p>
            <w:pPr>
              <w:spacing w:after="20"/>
            </w:pPr>
            <w:r>
              <w:rPr>
                <w:color w:val="1C3A36"/>
                <w:sz w:val="16"/>
              </w:rPr>
              <w:t>Gross profit</w:t>
            </w:r>
          </w:p>
        </w:tc>
        <w:tc>
          <w:tcPr>
            <w:tcW w:type="dxa" w:w="1037"/>
          </w:tcPr>
          <w:p>
            <w:pPr>
              <w:spacing w:after="20"/>
              <w:jc w:val="right"/>
            </w:pPr>
            <w:r>
              <w:rPr>
                <w:color w:val="1C3A36"/>
                <w:sz w:val="16"/>
              </w:rPr>
              <w:t>1,283</w:t>
            </w:r>
          </w:p>
        </w:tc>
        <w:tc>
          <w:tcPr>
            <w:tcW w:type="dxa" w:w="1037"/>
          </w:tcPr>
          <w:p>
            <w:pPr>
              <w:spacing w:after="20"/>
              <w:jc w:val="right"/>
            </w:pPr>
            <w:r>
              <w:rPr>
                <w:color w:val="1C3A36"/>
                <w:sz w:val="16"/>
              </w:rPr>
              <w:t>2,087</w:t>
            </w:r>
          </w:p>
        </w:tc>
        <w:tc>
          <w:tcPr>
            <w:tcW w:type="dxa" w:w="1037"/>
          </w:tcPr>
          <w:p>
            <w:pPr>
              <w:spacing w:after="20"/>
              <w:jc w:val="right"/>
            </w:pPr>
            <w:r>
              <w:rPr>
                <w:color w:val="1C3A36"/>
                <w:sz w:val="16"/>
              </w:rPr>
              <w:t>5,058</w:t>
            </w:r>
          </w:p>
        </w:tc>
        <w:tc>
          <w:tcPr>
            <w:tcW w:type="dxa" w:w="1037"/>
          </w:tcPr>
          <w:p>
            <w:pPr>
              <w:spacing w:after="20"/>
              <w:jc w:val="right"/>
            </w:pPr>
            <w:r>
              <w:rPr>
                <w:color w:val="1C3A36"/>
                <w:sz w:val="16"/>
              </w:rPr>
              <w:t>—</w:t>
            </w:r>
          </w:p>
        </w:tc>
        <w:tc>
          <w:tcPr>
            <w:tcW w:type="dxa" w:w="1037"/>
          </w:tcPr>
          <w:p>
            <w:pPr>
              <w:spacing w:after="20"/>
              <w:jc w:val="right"/>
            </w:pPr>
            <w:r>
              <w:rPr>
                <w:color w:val="1C3A36"/>
                <w:sz w:val="16"/>
              </w:rPr>
              <w:t>—</w:t>
            </w:r>
          </w:p>
        </w:tc>
        <w:tc>
          <w:tcPr>
            <w:tcW w:type="dxa" w:w="1037"/>
          </w:tcPr>
          <w:p>
            <w:pPr>
              <w:spacing w:after="20"/>
              <w:jc w:val="right"/>
            </w:pPr>
            <w:r>
              <w:rPr>
                <w:color w:val="1C3A36"/>
                <w:sz w:val="16"/>
              </w:rPr>
              <w:t>—</w:t>
            </w:r>
          </w:p>
        </w:tc>
        <w:tc>
          <w:tcPr>
            <w:tcW w:type="dxa" w:w="1037"/>
          </w:tcPr>
          <w:p>
            <w:pPr>
              <w:spacing w:after="20"/>
              <w:jc w:val="right"/>
            </w:pPr>
            <w:r>
              <w:rPr>
                <w:color w:val="1C3A36"/>
                <w:sz w:val="16"/>
              </w:rPr>
              <w:t>—</w:t>
            </w:r>
          </w:p>
        </w:tc>
        <w:tc>
          <w:tcPr>
            <w:tcW w:type="dxa" w:w="1037"/>
          </w:tcPr>
          <w:p>
            <w:pPr>
              <w:spacing w:after="20"/>
              <w:jc w:val="right"/>
            </w:pPr>
            <w:r>
              <w:rPr>
                <w:color w:val="1C3A36"/>
                <w:sz w:val="16"/>
              </w:rPr>
              <w:t>—</w:t>
            </w:r>
          </w:p>
        </w:tc>
      </w:tr>
      <w:tr>
        <w:tc>
          <w:tcPr>
            <w:tcW w:type="dxa" w:w="2189"/>
          </w:tcPr>
          <w:p>
            <w:pPr>
              <w:spacing w:after="20"/>
            </w:pPr>
            <w:r>
              <w:rPr>
                <w:color w:val="1C3A36"/>
                <w:sz w:val="16"/>
              </w:rPr>
              <w:t>Operating profit</w:t>
            </w:r>
          </w:p>
        </w:tc>
        <w:tc>
          <w:tcPr>
            <w:tcW w:type="dxa" w:w="1037"/>
          </w:tcPr>
          <w:p>
            <w:pPr>
              <w:spacing w:after="20"/>
              <w:jc w:val="right"/>
            </w:pPr>
            <w:r>
              <w:rPr>
                <w:color w:val="1C3A36"/>
                <w:sz w:val="16"/>
              </w:rPr>
              <w:t>1,079</w:t>
            </w:r>
          </w:p>
        </w:tc>
        <w:tc>
          <w:tcPr>
            <w:tcW w:type="dxa" w:w="1037"/>
          </w:tcPr>
          <w:p>
            <w:pPr>
              <w:spacing w:after="20"/>
              <w:jc w:val="right"/>
            </w:pPr>
            <w:r>
              <w:rPr>
                <w:color w:val="1C3A36"/>
                <w:sz w:val="16"/>
              </w:rPr>
              <w:t>1,764</w:t>
            </w:r>
          </w:p>
        </w:tc>
        <w:tc>
          <w:tcPr>
            <w:tcW w:type="dxa" w:w="1037"/>
          </w:tcPr>
          <w:p>
            <w:pPr>
              <w:spacing w:after="20"/>
              <w:jc w:val="right"/>
            </w:pPr>
            <w:r>
              <w:rPr>
                <w:color w:val="1C3A36"/>
                <w:sz w:val="16"/>
              </w:rPr>
              <w:t>4,596</w:t>
            </w:r>
          </w:p>
        </w:tc>
        <w:tc>
          <w:tcPr>
            <w:tcW w:type="dxa" w:w="1037"/>
          </w:tcPr>
          <w:p>
            <w:pPr>
              <w:spacing w:after="20"/>
              <w:jc w:val="right"/>
            </w:pPr>
            <w:r>
              <w:rPr>
                <w:color w:val="1C3A36"/>
                <w:sz w:val="16"/>
              </w:rPr>
              <w:t>4,367</w:t>
            </w:r>
          </w:p>
        </w:tc>
        <w:tc>
          <w:tcPr>
            <w:tcW w:type="dxa" w:w="1037"/>
          </w:tcPr>
          <w:p>
            <w:pPr>
              <w:spacing w:after="20"/>
              <w:jc w:val="right"/>
            </w:pPr>
            <w:r>
              <w:rPr>
                <w:color w:val="1C3A36"/>
                <w:sz w:val="16"/>
              </w:rPr>
              <w:t>4,662</w:t>
            </w:r>
          </w:p>
        </w:tc>
        <w:tc>
          <w:tcPr>
            <w:tcW w:type="dxa" w:w="1037"/>
          </w:tcPr>
          <w:p>
            <w:pPr>
              <w:spacing w:after="20"/>
              <w:jc w:val="right"/>
            </w:pPr>
            <w:r>
              <w:rPr>
                <w:color w:val="1C3A36"/>
                <w:sz w:val="16"/>
              </w:rPr>
              <w:t>4,994</w:t>
            </w:r>
          </w:p>
        </w:tc>
        <w:tc>
          <w:tcPr>
            <w:tcW w:type="dxa" w:w="1037"/>
          </w:tcPr>
          <w:p>
            <w:pPr>
              <w:spacing w:after="20"/>
              <w:jc w:val="right"/>
            </w:pPr>
            <w:r>
              <w:rPr>
                <w:color w:val="1C3A36"/>
                <w:sz w:val="16"/>
              </w:rPr>
              <w:t>5,253</w:t>
            </w:r>
          </w:p>
        </w:tc>
        <w:tc>
          <w:tcPr>
            <w:tcW w:type="dxa" w:w="1037"/>
          </w:tcPr>
          <w:p>
            <w:pPr>
              <w:spacing w:after="20"/>
              <w:jc w:val="right"/>
            </w:pPr>
            <w:r>
              <w:rPr>
                <w:color w:val="1C3A36"/>
                <w:sz w:val="16"/>
              </w:rPr>
              <w:t>5,559</w:t>
            </w:r>
          </w:p>
        </w:tc>
      </w:tr>
      <w:tr>
        <w:tc>
          <w:tcPr>
            <w:tcW w:type="dxa" w:w="2189"/>
          </w:tcPr>
          <w:p>
            <w:pPr>
              <w:spacing w:after="20"/>
            </w:pPr>
            <w:r>
              <w:rPr>
                <w:color w:val="1C3A36"/>
                <w:sz w:val="16"/>
              </w:rPr>
              <w:t>Depreciation and amortisation</w:t>
            </w:r>
          </w:p>
        </w:tc>
        <w:tc>
          <w:tcPr>
            <w:tcW w:type="dxa" w:w="1037"/>
          </w:tcPr>
          <w:p>
            <w:pPr>
              <w:spacing w:after="20"/>
              <w:jc w:val="right"/>
            </w:pPr>
            <w:r>
              <w:rPr>
                <w:color w:val="1C3A36"/>
                <w:sz w:val="16"/>
              </w:rPr>
              <w:t>250</w:t>
            </w:r>
          </w:p>
        </w:tc>
        <w:tc>
          <w:tcPr>
            <w:tcW w:type="dxa" w:w="1037"/>
          </w:tcPr>
          <w:p>
            <w:pPr>
              <w:spacing w:after="20"/>
              <w:jc w:val="right"/>
            </w:pPr>
            <w:r>
              <w:rPr>
                <w:color w:val="1C3A36"/>
                <w:sz w:val="16"/>
              </w:rPr>
              <w:t>257</w:t>
            </w:r>
          </w:p>
        </w:tc>
        <w:tc>
          <w:tcPr>
            <w:tcW w:type="dxa" w:w="1037"/>
          </w:tcPr>
          <w:p>
            <w:pPr>
              <w:spacing w:after="20"/>
              <w:jc w:val="right"/>
            </w:pPr>
            <w:r>
              <w:rPr>
                <w:color w:val="1C3A36"/>
                <w:sz w:val="16"/>
              </w:rPr>
              <w:t>290</w:t>
            </w:r>
          </w:p>
        </w:tc>
        <w:tc>
          <w:tcPr>
            <w:tcW w:type="dxa" w:w="1037"/>
          </w:tcPr>
          <w:p>
            <w:pPr>
              <w:spacing w:after="20"/>
              <w:jc w:val="right"/>
            </w:pPr>
            <w:r>
              <w:rPr>
                <w:color w:val="1C3A36"/>
                <w:sz w:val="16"/>
              </w:rPr>
              <w:t>326</w:t>
            </w:r>
          </w:p>
        </w:tc>
        <w:tc>
          <w:tcPr>
            <w:tcW w:type="dxa" w:w="1037"/>
          </w:tcPr>
          <w:p>
            <w:pPr>
              <w:spacing w:after="20"/>
              <w:jc w:val="right"/>
            </w:pPr>
            <w:r>
              <w:rPr>
                <w:color w:val="1C3A36"/>
                <w:sz w:val="16"/>
              </w:rPr>
              <w:t>382</w:t>
            </w:r>
          </w:p>
        </w:tc>
        <w:tc>
          <w:tcPr>
            <w:tcW w:type="dxa" w:w="1037"/>
          </w:tcPr>
          <w:p>
            <w:pPr>
              <w:spacing w:after="20"/>
              <w:jc w:val="right"/>
            </w:pPr>
            <w:r>
              <w:rPr>
                <w:color w:val="1C3A36"/>
                <w:sz w:val="16"/>
              </w:rPr>
              <w:t>445</w:t>
            </w:r>
          </w:p>
        </w:tc>
        <w:tc>
          <w:tcPr>
            <w:tcW w:type="dxa" w:w="1037"/>
          </w:tcPr>
          <w:p>
            <w:pPr>
              <w:spacing w:after="20"/>
              <w:jc w:val="right"/>
            </w:pPr>
            <w:r>
              <w:rPr>
                <w:color w:val="1C3A36"/>
                <w:sz w:val="16"/>
              </w:rPr>
              <w:t>510</w:t>
            </w:r>
          </w:p>
        </w:tc>
        <w:tc>
          <w:tcPr>
            <w:tcW w:type="dxa" w:w="1037"/>
          </w:tcPr>
          <w:p>
            <w:pPr>
              <w:spacing w:after="20"/>
              <w:jc w:val="right"/>
            </w:pPr>
            <w:r>
              <w:rPr>
                <w:color w:val="1C3A36"/>
                <w:sz w:val="16"/>
              </w:rPr>
              <w:t>578</w:t>
            </w:r>
          </w:p>
        </w:tc>
      </w:tr>
      <w:tr>
        <w:tc>
          <w:tcPr>
            <w:tcW w:type="dxa" w:w="2189"/>
          </w:tcPr>
          <w:p>
            <w:pPr>
              <w:spacing w:after="20"/>
            </w:pPr>
            <w:r>
              <w:rPr>
                <w:color w:val="1C3A36"/>
                <w:sz w:val="16"/>
              </w:rPr>
              <w:t>EBITDA</w:t>
            </w:r>
          </w:p>
        </w:tc>
        <w:tc>
          <w:tcPr>
            <w:tcW w:type="dxa" w:w="1037"/>
          </w:tcPr>
          <w:p>
            <w:pPr>
              <w:spacing w:after="20"/>
              <w:jc w:val="right"/>
            </w:pPr>
            <w:r>
              <w:rPr>
                <w:color w:val="1C3A36"/>
                <w:sz w:val="16"/>
              </w:rPr>
              <w:t>1,330</w:t>
            </w:r>
          </w:p>
        </w:tc>
        <w:tc>
          <w:tcPr>
            <w:tcW w:type="dxa" w:w="1037"/>
          </w:tcPr>
          <w:p>
            <w:pPr>
              <w:spacing w:after="20"/>
              <w:jc w:val="right"/>
            </w:pPr>
            <w:r>
              <w:rPr>
                <w:color w:val="1C3A36"/>
                <w:sz w:val="16"/>
              </w:rPr>
              <w:t>2,021</w:t>
            </w:r>
          </w:p>
        </w:tc>
        <w:tc>
          <w:tcPr>
            <w:tcW w:type="dxa" w:w="1037"/>
          </w:tcPr>
          <w:p>
            <w:pPr>
              <w:spacing w:after="20"/>
              <w:jc w:val="right"/>
            </w:pPr>
            <w:r>
              <w:rPr>
                <w:color w:val="1C3A36"/>
                <w:sz w:val="16"/>
              </w:rPr>
              <w:t>4,886</w:t>
            </w:r>
          </w:p>
        </w:tc>
        <w:tc>
          <w:tcPr>
            <w:tcW w:type="dxa" w:w="1037"/>
          </w:tcPr>
          <w:p>
            <w:pPr>
              <w:spacing w:after="20"/>
              <w:jc w:val="right"/>
            </w:pPr>
            <w:r>
              <w:rPr>
                <w:color w:val="1C3A36"/>
                <w:sz w:val="16"/>
              </w:rPr>
              <w:t>4,692</w:t>
            </w:r>
          </w:p>
        </w:tc>
        <w:tc>
          <w:tcPr>
            <w:tcW w:type="dxa" w:w="1037"/>
          </w:tcPr>
          <w:p>
            <w:pPr>
              <w:spacing w:after="20"/>
              <w:jc w:val="right"/>
            </w:pPr>
            <w:r>
              <w:rPr>
                <w:color w:val="1C3A36"/>
                <w:sz w:val="16"/>
              </w:rPr>
              <w:t>5,044</w:t>
            </w:r>
          </w:p>
        </w:tc>
        <w:tc>
          <w:tcPr>
            <w:tcW w:type="dxa" w:w="1037"/>
          </w:tcPr>
          <w:p>
            <w:pPr>
              <w:spacing w:after="20"/>
              <w:jc w:val="right"/>
            </w:pPr>
            <w:r>
              <w:rPr>
                <w:color w:val="1C3A36"/>
                <w:sz w:val="16"/>
              </w:rPr>
              <w:t>5,439</w:t>
            </w:r>
          </w:p>
        </w:tc>
        <w:tc>
          <w:tcPr>
            <w:tcW w:type="dxa" w:w="1037"/>
          </w:tcPr>
          <w:p>
            <w:pPr>
              <w:spacing w:after="20"/>
              <w:jc w:val="right"/>
            </w:pPr>
            <w:r>
              <w:rPr>
                <w:color w:val="1C3A36"/>
                <w:sz w:val="16"/>
              </w:rPr>
              <w:t>5,762</w:t>
            </w:r>
          </w:p>
        </w:tc>
        <w:tc>
          <w:tcPr>
            <w:tcW w:type="dxa" w:w="1037"/>
          </w:tcPr>
          <w:p>
            <w:pPr>
              <w:spacing w:after="20"/>
              <w:jc w:val="right"/>
            </w:pPr>
            <w:r>
              <w:rPr>
                <w:color w:val="1C3A36"/>
                <w:sz w:val="16"/>
              </w:rPr>
              <w:t>6,138</w:t>
            </w:r>
          </w:p>
        </w:tc>
      </w:tr>
      <w:tr>
        <w:tc>
          <w:tcPr>
            <w:tcW w:type="dxa" w:w="2189"/>
          </w:tcPr>
          <w:p>
            <w:pPr>
              <w:spacing w:after="20"/>
            </w:pPr>
            <w:r>
              <w:rPr>
                <w:color w:val="1C3A36"/>
                <w:sz w:val="16"/>
              </w:rPr>
              <w:t>EBITDA margin</w:t>
            </w:r>
          </w:p>
        </w:tc>
        <w:tc>
          <w:tcPr>
            <w:tcW w:type="dxa" w:w="1037"/>
          </w:tcPr>
          <w:p>
            <w:pPr>
              <w:spacing w:after="20"/>
              <w:jc w:val="right"/>
            </w:pPr>
            <w:r>
              <w:rPr>
                <w:color w:val="1C3A36"/>
                <w:sz w:val="16"/>
              </w:rPr>
              <w:t>22.0%</w:t>
            </w:r>
          </w:p>
        </w:tc>
        <w:tc>
          <w:tcPr>
            <w:tcW w:type="dxa" w:w="1037"/>
          </w:tcPr>
          <w:p>
            <w:pPr>
              <w:spacing w:after="20"/>
              <w:jc w:val="right"/>
            </w:pPr>
            <w:r>
              <w:rPr>
                <w:color w:val="1C3A36"/>
                <w:sz w:val="16"/>
              </w:rPr>
              <w:t>23.1%</w:t>
            </w:r>
          </w:p>
        </w:tc>
        <w:tc>
          <w:tcPr>
            <w:tcW w:type="dxa" w:w="1037"/>
          </w:tcPr>
          <w:p>
            <w:pPr>
              <w:spacing w:after="20"/>
              <w:jc w:val="right"/>
            </w:pPr>
            <w:r>
              <w:rPr>
                <w:color w:val="1C3A36"/>
                <w:sz w:val="16"/>
              </w:rPr>
              <w:t>39.3%</w:t>
            </w:r>
          </w:p>
        </w:tc>
        <w:tc>
          <w:tcPr>
            <w:tcW w:type="dxa" w:w="1037"/>
          </w:tcPr>
          <w:p>
            <w:pPr>
              <w:spacing w:after="20"/>
              <w:jc w:val="right"/>
            </w:pPr>
            <w:r>
              <w:rPr>
                <w:color w:val="1C3A36"/>
                <w:sz w:val="16"/>
              </w:rPr>
              <w:t>36.0%</w:t>
            </w:r>
          </w:p>
        </w:tc>
        <w:tc>
          <w:tcPr>
            <w:tcW w:type="dxa" w:w="1037"/>
          </w:tcPr>
          <w:p>
            <w:pPr>
              <w:spacing w:after="20"/>
              <w:jc w:val="right"/>
            </w:pPr>
            <w:r>
              <w:rPr>
                <w:color w:val="1C3A36"/>
                <w:sz w:val="16"/>
              </w:rPr>
              <w:t>35.6%</w:t>
            </w:r>
          </w:p>
        </w:tc>
        <w:tc>
          <w:tcPr>
            <w:tcW w:type="dxa" w:w="1037"/>
          </w:tcPr>
          <w:p>
            <w:pPr>
              <w:spacing w:after="20"/>
              <w:jc w:val="right"/>
            </w:pPr>
            <w:r>
              <w:rPr>
                <w:color w:val="1C3A36"/>
                <w:sz w:val="16"/>
              </w:rPr>
              <w:t>35.4%</w:t>
            </w:r>
          </w:p>
        </w:tc>
        <w:tc>
          <w:tcPr>
            <w:tcW w:type="dxa" w:w="1037"/>
          </w:tcPr>
          <w:p>
            <w:pPr>
              <w:spacing w:after="20"/>
              <w:jc w:val="right"/>
            </w:pPr>
            <w:r>
              <w:rPr>
                <w:color w:val="1C3A36"/>
                <w:sz w:val="16"/>
              </w:rPr>
              <w:t>35.1%</w:t>
            </w:r>
          </w:p>
        </w:tc>
        <w:tc>
          <w:tcPr>
            <w:tcW w:type="dxa" w:w="1037"/>
          </w:tcPr>
          <w:p>
            <w:pPr>
              <w:spacing w:after="20"/>
              <w:jc w:val="right"/>
            </w:pPr>
            <w:r>
              <w:rPr>
                <w:color w:val="1C3A36"/>
                <w:sz w:val="16"/>
              </w:rPr>
              <w:t>35.0%</w:t>
            </w:r>
          </w:p>
        </w:tc>
      </w:tr>
      <w:tr>
        <w:tc>
          <w:tcPr>
            <w:tcW w:type="dxa" w:w="2189"/>
          </w:tcPr>
          <w:p>
            <w:pPr>
              <w:spacing w:after="20"/>
            </w:pPr>
            <w:r>
              <w:rPr>
                <w:color w:val="1C3A36"/>
                <w:sz w:val="16"/>
              </w:rPr>
              <w:t>Net finance and other income</w:t>
            </w:r>
          </w:p>
        </w:tc>
        <w:tc>
          <w:tcPr>
            <w:tcW w:type="dxa" w:w="1037"/>
          </w:tcPr>
          <w:p>
            <w:pPr>
              <w:spacing w:after="20"/>
              <w:jc w:val="right"/>
            </w:pPr>
            <w:r>
              <w:rPr>
                <w:color w:val="1C3A36"/>
                <w:sz w:val="16"/>
              </w:rPr>
              <w:t>-149</w:t>
            </w:r>
          </w:p>
        </w:tc>
        <w:tc>
          <w:tcPr>
            <w:tcW w:type="dxa" w:w="1037"/>
          </w:tcPr>
          <w:p>
            <w:pPr>
              <w:spacing w:after="20"/>
              <w:jc w:val="right"/>
            </w:pPr>
            <w:r>
              <w:rPr>
                <w:color w:val="1C3A36"/>
                <w:sz w:val="16"/>
              </w:rPr>
              <w:t>-258</w:t>
            </w:r>
          </w:p>
        </w:tc>
        <w:tc>
          <w:tcPr>
            <w:tcW w:type="dxa" w:w="1037"/>
          </w:tcPr>
          <w:p>
            <w:pPr>
              <w:spacing w:after="20"/>
              <w:jc w:val="right"/>
            </w:pPr>
            <w:r>
              <w:rPr>
                <w:color w:val="1C3A36"/>
                <w:sz w:val="16"/>
              </w:rPr>
              <w:t>129</w:t>
            </w:r>
          </w:p>
        </w:tc>
        <w:tc>
          <w:tcPr>
            <w:tcW w:type="dxa" w:w="1037"/>
          </w:tcPr>
          <w:p>
            <w:pPr>
              <w:spacing w:after="20"/>
              <w:jc w:val="right"/>
            </w:pPr>
            <w:r>
              <w:rPr>
                <w:color w:val="1C3A36"/>
                <w:sz w:val="16"/>
              </w:rPr>
              <w:t>127</w:t>
            </w:r>
          </w:p>
        </w:tc>
        <w:tc>
          <w:tcPr>
            <w:tcW w:type="dxa" w:w="1037"/>
          </w:tcPr>
          <w:p>
            <w:pPr>
              <w:spacing w:after="20"/>
              <w:jc w:val="right"/>
            </w:pPr>
            <w:r>
              <w:rPr>
                <w:color w:val="1C3A36"/>
                <w:sz w:val="16"/>
              </w:rPr>
              <w:t>200</w:t>
            </w:r>
          </w:p>
        </w:tc>
        <w:tc>
          <w:tcPr>
            <w:tcW w:type="dxa" w:w="1037"/>
          </w:tcPr>
          <w:p>
            <w:pPr>
              <w:spacing w:after="20"/>
              <w:jc w:val="right"/>
            </w:pPr>
            <w:r>
              <w:rPr>
                <w:color w:val="1C3A36"/>
                <w:sz w:val="16"/>
              </w:rPr>
              <w:t>279</w:t>
            </w:r>
          </w:p>
        </w:tc>
        <w:tc>
          <w:tcPr>
            <w:tcW w:type="dxa" w:w="1037"/>
          </w:tcPr>
          <w:p>
            <w:pPr>
              <w:spacing w:after="20"/>
              <w:jc w:val="right"/>
            </w:pPr>
            <w:r>
              <w:rPr>
                <w:color w:val="1C3A36"/>
                <w:sz w:val="16"/>
              </w:rPr>
              <w:t>364</w:t>
            </w:r>
          </w:p>
        </w:tc>
        <w:tc>
          <w:tcPr>
            <w:tcW w:type="dxa" w:w="1037"/>
          </w:tcPr>
          <w:p>
            <w:pPr>
              <w:spacing w:after="20"/>
              <w:jc w:val="right"/>
            </w:pPr>
            <w:r>
              <w:rPr>
                <w:color w:val="1C3A36"/>
                <w:sz w:val="16"/>
              </w:rPr>
              <w:t>469</w:t>
            </w:r>
          </w:p>
        </w:tc>
      </w:tr>
      <w:tr>
        <w:tc>
          <w:tcPr>
            <w:tcW w:type="dxa" w:w="2189"/>
          </w:tcPr>
          <w:p>
            <w:pPr>
              <w:spacing w:after="20"/>
            </w:pPr>
            <w:r>
              <w:rPr>
                <w:color w:val="1C3A36"/>
                <w:sz w:val="16"/>
              </w:rPr>
              <w:t>Profit before tax</w:t>
            </w:r>
          </w:p>
        </w:tc>
        <w:tc>
          <w:tcPr>
            <w:tcW w:type="dxa" w:w="1037"/>
          </w:tcPr>
          <w:p>
            <w:pPr>
              <w:spacing w:after="20"/>
              <w:jc w:val="right"/>
            </w:pPr>
            <w:r>
              <w:rPr>
                <w:color w:val="1C3A36"/>
                <w:sz w:val="16"/>
              </w:rPr>
              <w:t>930</w:t>
            </w:r>
          </w:p>
        </w:tc>
        <w:tc>
          <w:tcPr>
            <w:tcW w:type="dxa" w:w="1037"/>
          </w:tcPr>
          <w:p>
            <w:pPr>
              <w:spacing w:after="20"/>
              <w:jc w:val="right"/>
            </w:pPr>
            <w:r>
              <w:rPr>
                <w:color w:val="1C3A36"/>
                <w:sz w:val="16"/>
              </w:rPr>
              <w:t>1,506</w:t>
            </w:r>
          </w:p>
        </w:tc>
        <w:tc>
          <w:tcPr>
            <w:tcW w:type="dxa" w:w="1037"/>
          </w:tcPr>
          <w:p>
            <w:pPr>
              <w:spacing w:after="20"/>
              <w:jc w:val="right"/>
            </w:pPr>
            <w:r>
              <w:rPr>
                <w:color w:val="1C3A36"/>
                <w:sz w:val="16"/>
              </w:rPr>
              <w:t>4,725</w:t>
            </w:r>
          </w:p>
        </w:tc>
        <w:tc>
          <w:tcPr>
            <w:tcW w:type="dxa" w:w="1037"/>
          </w:tcPr>
          <w:p>
            <w:pPr>
              <w:spacing w:after="20"/>
              <w:jc w:val="right"/>
            </w:pPr>
            <w:r>
              <w:rPr>
                <w:color w:val="1C3A36"/>
                <w:sz w:val="16"/>
              </w:rPr>
              <w:t>4,494</w:t>
            </w:r>
          </w:p>
        </w:tc>
        <w:tc>
          <w:tcPr>
            <w:tcW w:type="dxa" w:w="1037"/>
          </w:tcPr>
          <w:p>
            <w:pPr>
              <w:spacing w:after="20"/>
              <w:jc w:val="right"/>
            </w:pPr>
            <w:r>
              <w:rPr>
                <w:color w:val="1C3A36"/>
                <w:sz w:val="16"/>
              </w:rPr>
              <w:t>4,862</w:t>
            </w:r>
          </w:p>
        </w:tc>
        <w:tc>
          <w:tcPr>
            <w:tcW w:type="dxa" w:w="1037"/>
          </w:tcPr>
          <w:p>
            <w:pPr>
              <w:spacing w:after="20"/>
              <w:jc w:val="right"/>
            </w:pPr>
            <w:r>
              <w:rPr>
                <w:color w:val="1C3A36"/>
                <w:sz w:val="16"/>
              </w:rPr>
              <w:t>5,273</w:t>
            </w:r>
          </w:p>
        </w:tc>
        <w:tc>
          <w:tcPr>
            <w:tcW w:type="dxa" w:w="1037"/>
          </w:tcPr>
          <w:p>
            <w:pPr>
              <w:spacing w:after="20"/>
              <w:jc w:val="right"/>
            </w:pPr>
            <w:r>
              <w:rPr>
                <w:color w:val="1C3A36"/>
                <w:sz w:val="16"/>
              </w:rPr>
              <w:t>5,617</w:t>
            </w:r>
          </w:p>
        </w:tc>
        <w:tc>
          <w:tcPr>
            <w:tcW w:type="dxa" w:w="1037"/>
          </w:tcPr>
          <w:p>
            <w:pPr>
              <w:spacing w:after="20"/>
              <w:jc w:val="right"/>
            </w:pPr>
            <w:r>
              <w:rPr>
                <w:color w:val="1C3A36"/>
                <w:sz w:val="16"/>
              </w:rPr>
              <w:t>6,028</w:t>
            </w:r>
          </w:p>
        </w:tc>
      </w:tr>
      <w:tr>
        <w:tc>
          <w:tcPr>
            <w:tcW w:type="dxa" w:w="2189"/>
          </w:tcPr>
          <w:p>
            <w:pPr>
              <w:spacing w:after="20"/>
            </w:pPr>
            <w:r>
              <w:rPr>
                <w:color w:val="1C3A36"/>
                <w:sz w:val="16"/>
              </w:rPr>
              <w:t>Income tax</w:t>
            </w:r>
          </w:p>
        </w:tc>
        <w:tc>
          <w:tcPr>
            <w:tcW w:type="dxa" w:w="1037"/>
          </w:tcPr>
          <w:p>
            <w:pPr>
              <w:spacing w:after="20"/>
              <w:jc w:val="right"/>
            </w:pPr>
            <w:r>
              <w:rPr>
                <w:color w:val="1C3A36"/>
                <w:sz w:val="16"/>
              </w:rPr>
              <w:t>(233)</w:t>
            </w:r>
          </w:p>
        </w:tc>
        <w:tc>
          <w:tcPr>
            <w:tcW w:type="dxa" w:w="1037"/>
          </w:tcPr>
          <w:p>
            <w:pPr>
              <w:spacing w:after="20"/>
              <w:jc w:val="right"/>
            </w:pPr>
            <w:r>
              <w:rPr>
                <w:color w:val="1C3A36"/>
                <w:sz w:val="16"/>
              </w:rPr>
              <w:t>(346)</w:t>
            </w:r>
          </w:p>
        </w:tc>
        <w:tc>
          <w:tcPr>
            <w:tcW w:type="dxa" w:w="1037"/>
          </w:tcPr>
          <w:p>
            <w:pPr>
              <w:spacing w:after="20"/>
              <w:jc w:val="right"/>
            </w:pPr>
            <w:r>
              <w:rPr>
                <w:color w:val="1C3A36"/>
                <w:sz w:val="16"/>
              </w:rPr>
              <w:t>(1,125)</w:t>
            </w:r>
          </w:p>
        </w:tc>
        <w:tc>
          <w:tcPr>
            <w:tcW w:type="dxa" w:w="1037"/>
          </w:tcPr>
          <w:p>
            <w:pPr>
              <w:spacing w:after="20"/>
              <w:jc w:val="right"/>
            </w:pPr>
            <w:r>
              <w:rPr>
                <w:color w:val="1C3A36"/>
                <w:sz w:val="16"/>
              </w:rPr>
              <w:t>(1,070)</w:t>
            </w:r>
          </w:p>
        </w:tc>
        <w:tc>
          <w:tcPr>
            <w:tcW w:type="dxa" w:w="1037"/>
          </w:tcPr>
          <w:p>
            <w:pPr>
              <w:spacing w:after="20"/>
              <w:jc w:val="right"/>
            </w:pPr>
            <w:r>
              <w:rPr>
                <w:color w:val="1C3A36"/>
                <w:sz w:val="16"/>
              </w:rPr>
              <w:t>(1,158)</w:t>
            </w:r>
          </w:p>
        </w:tc>
        <w:tc>
          <w:tcPr>
            <w:tcW w:type="dxa" w:w="1037"/>
          </w:tcPr>
          <w:p>
            <w:pPr>
              <w:spacing w:after="20"/>
              <w:jc w:val="right"/>
            </w:pPr>
            <w:r>
              <w:rPr>
                <w:color w:val="1C3A36"/>
                <w:sz w:val="16"/>
              </w:rPr>
              <w:t>(1,256)</w:t>
            </w:r>
          </w:p>
        </w:tc>
        <w:tc>
          <w:tcPr>
            <w:tcW w:type="dxa" w:w="1037"/>
          </w:tcPr>
          <w:p>
            <w:pPr>
              <w:spacing w:after="20"/>
              <w:jc w:val="right"/>
            </w:pPr>
            <w:r>
              <w:rPr>
                <w:color w:val="1C3A36"/>
                <w:sz w:val="16"/>
              </w:rPr>
              <w:t>(1,338)</w:t>
            </w:r>
          </w:p>
        </w:tc>
        <w:tc>
          <w:tcPr>
            <w:tcW w:type="dxa" w:w="1037"/>
          </w:tcPr>
          <w:p>
            <w:pPr>
              <w:spacing w:after="20"/>
              <w:jc w:val="right"/>
            </w:pPr>
            <w:r>
              <w:rPr>
                <w:color w:val="1C3A36"/>
                <w:sz w:val="16"/>
              </w:rPr>
              <w:t>(1,436)</w:t>
            </w:r>
          </w:p>
        </w:tc>
      </w:tr>
      <w:tr>
        <w:tc>
          <w:tcPr>
            <w:tcW w:type="dxa" w:w="2189"/>
            <w:shd w:val="clear" w:color="auto" w:fill="F6F1E6"/>
          </w:tcPr>
          <w:p>
            <w:pPr>
              <w:spacing w:after="20"/>
            </w:pPr>
            <w:r>
              <w:rPr>
                <w:b/>
                <w:color w:val="1C3A36"/>
                <w:sz w:val="16"/>
              </w:rPr>
              <w:t>Attributable profit</w:t>
            </w:r>
          </w:p>
        </w:tc>
        <w:tc>
          <w:tcPr>
            <w:tcW w:type="dxa" w:w="1037"/>
            <w:shd w:val="clear" w:color="auto" w:fill="F6F1E6"/>
          </w:tcPr>
          <w:p>
            <w:pPr>
              <w:spacing w:after="20"/>
              <w:jc w:val="right"/>
            </w:pPr>
            <w:r>
              <w:rPr>
                <w:b/>
                <w:color w:val="1C3A36"/>
                <w:sz w:val="16"/>
              </w:rPr>
              <w:t>697</w:t>
            </w:r>
          </w:p>
        </w:tc>
        <w:tc>
          <w:tcPr>
            <w:tcW w:type="dxa" w:w="1037"/>
            <w:shd w:val="clear" w:color="auto" w:fill="F6F1E6"/>
          </w:tcPr>
          <w:p>
            <w:pPr>
              <w:spacing w:after="20"/>
              <w:jc w:val="right"/>
            </w:pPr>
            <w:r>
              <w:rPr>
                <w:b/>
                <w:color w:val="1C3A36"/>
                <w:sz w:val="16"/>
              </w:rPr>
              <w:t>1,160</w:t>
            </w:r>
          </w:p>
        </w:tc>
        <w:tc>
          <w:tcPr>
            <w:tcW w:type="dxa" w:w="1037"/>
            <w:shd w:val="clear" w:color="auto" w:fill="F6F1E6"/>
          </w:tcPr>
          <w:p>
            <w:pPr>
              <w:spacing w:after="20"/>
              <w:jc w:val="right"/>
            </w:pPr>
            <w:r>
              <w:rPr>
                <w:b/>
                <w:color w:val="1C3A36"/>
                <w:sz w:val="16"/>
              </w:rPr>
              <w:t>3,600</w:t>
            </w:r>
          </w:p>
        </w:tc>
        <w:tc>
          <w:tcPr>
            <w:tcW w:type="dxa" w:w="1037"/>
            <w:shd w:val="clear" w:color="auto" w:fill="F6F1E6"/>
          </w:tcPr>
          <w:p>
            <w:pPr>
              <w:spacing w:after="20"/>
              <w:jc w:val="right"/>
            </w:pPr>
            <w:r>
              <w:rPr>
                <w:b/>
                <w:color w:val="1C3A36"/>
                <w:sz w:val="16"/>
              </w:rPr>
              <w:t>3,424</w:t>
            </w:r>
          </w:p>
        </w:tc>
        <w:tc>
          <w:tcPr>
            <w:tcW w:type="dxa" w:w="1037"/>
            <w:shd w:val="clear" w:color="auto" w:fill="F6F1E6"/>
          </w:tcPr>
          <w:p>
            <w:pPr>
              <w:spacing w:after="20"/>
              <w:jc w:val="right"/>
            </w:pPr>
            <w:r>
              <w:rPr>
                <w:b/>
                <w:color w:val="1C3A36"/>
                <w:sz w:val="16"/>
              </w:rPr>
              <w:t>3,704</w:t>
            </w:r>
          </w:p>
        </w:tc>
        <w:tc>
          <w:tcPr>
            <w:tcW w:type="dxa" w:w="1037"/>
            <w:shd w:val="clear" w:color="auto" w:fill="F6F1E6"/>
          </w:tcPr>
          <w:p>
            <w:pPr>
              <w:spacing w:after="20"/>
              <w:jc w:val="right"/>
            </w:pPr>
            <w:r>
              <w:rPr>
                <w:b/>
                <w:color w:val="1C3A36"/>
                <w:sz w:val="16"/>
              </w:rPr>
              <w:t>4,017</w:t>
            </w:r>
          </w:p>
        </w:tc>
        <w:tc>
          <w:tcPr>
            <w:tcW w:type="dxa" w:w="1037"/>
            <w:shd w:val="clear" w:color="auto" w:fill="F6F1E6"/>
          </w:tcPr>
          <w:p>
            <w:pPr>
              <w:spacing w:after="20"/>
              <w:jc w:val="right"/>
            </w:pPr>
            <w:r>
              <w:rPr>
                <w:b/>
                <w:color w:val="1C3A36"/>
                <w:sz w:val="16"/>
              </w:rPr>
              <w:t>4,279</w:t>
            </w:r>
          </w:p>
        </w:tc>
        <w:tc>
          <w:tcPr>
            <w:tcW w:type="dxa" w:w="1037"/>
            <w:shd w:val="clear" w:color="auto" w:fill="F6F1E6"/>
          </w:tcPr>
          <w:p>
            <w:pPr>
              <w:spacing w:after="20"/>
              <w:jc w:val="right"/>
            </w:pPr>
            <w:r>
              <w:rPr>
                <w:b/>
                <w:color w:val="1C3A36"/>
                <w:sz w:val="16"/>
              </w:rPr>
              <w:t>4,592</w:t>
            </w:r>
          </w:p>
        </w:tc>
      </w:tr>
      <w:tr>
        <w:tc>
          <w:tcPr>
            <w:tcW w:type="dxa" w:w="2189"/>
          </w:tcPr>
          <w:p>
            <w:pPr>
              <w:spacing w:after="20"/>
            </w:pPr>
            <w:r>
              <w:rPr>
                <w:color w:val="1C3A36"/>
                <w:sz w:val="16"/>
              </w:rPr>
              <w:t>Earnings per share (EGP)</w:t>
            </w:r>
          </w:p>
        </w:tc>
        <w:tc>
          <w:tcPr>
            <w:tcW w:type="dxa" w:w="1037"/>
          </w:tcPr>
          <w:p>
            <w:pPr>
              <w:spacing w:after="20"/>
              <w:jc w:val="right"/>
            </w:pPr>
            <w:r>
              <w:rPr>
                <w:color w:val="1C3A36"/>
                <w:sz w:val="16"/>
              </w:rPr>
              <w:t>1.81</w:t>
            </w:r>
          </w:p>
        </w:tc>
        <w:tc>
          <w:tcPr>
            <w:tcW w:type="dxa" w:w="1037"/>
          </w:tcPr>
          <w:p>
            <w:pPr>
              <w:spacing w:after="20"/>
              <w:jc w:val="right"/>
            </w:pPr>
            <w:r>
              <w:rPr>
                <w:color w:val="1C3A36"/>
                <w:sz w:val="16"/>
              </w:rPr>
              <w:t>3.02</w:t>
            </w:r>
          </w:p>
        </w:tc>
        <w:tc>
          <w:tcPr>
            <w:tcW w:type="dxa" w:w="1037"/>
          </w:tcPr>
          <w:p>
            <w:pPr>
              <w:spacing w:after="20"/>
              <w:jc w:val="right"/>
            </w:pPr>
            <w:r>
              <w:rPr>
                <w:color w:val="1C3A36"/>
                <w:sz w:val="16"/>
              </w:rPr>
              <w:t>9.49</w:t>
            </w:r>
          </w:p>
        </w:tc>
        <w:tc>
          <w:tcPr>
            <w:tcW w:type="dxa" w:w="1037"/>
          </w:tcPr>
          <w:p>
            <w:pPr>
              <w:spacing w:after="20"/>
              <w:jc w:val="right"/>
            </w:pPr>
            <w:r>
              <w:rPr>
                <w:color w:val="1C3A36"/>
                <w:sz w:val="16"/>
              </w:rPr>
              <w:t>9.13</w:t>
            </w:r>
          </w:p>
        </w:tc>
        <w:tc>
          <w:tcPr>
            <w:tcW w:type="dxa" w:w="1037"/>
          </w:tcPr>
          <w:p>
            <w:pPr>
              <w:spacing w:after="20"/>
              <w:jc w:val="right"/>
            </w:pPr>
            <w:r>
              <w:rPr>
                <w:color w:val="1C3A36"/>
                <w:sz w:val="16"/>
              </w:rPr>
              <w:t>9.88</w:t>
            </w:r>
          </w:p>
        </w:tc>
        <w:tc>
          <w:tcPr>
            <w:tcW w:type="dxa" w:w="1037"/>
          </w:tcPr>
          <w:p>
            <w:pPr>
              <w:spacing w:after="20"/>
              <w:jc w:val="right"/>
            </w:pPr>
            <w:r>
              <w:rPr>
                <w:color w:val="1C3A36"/>
                <w:sz w:val="16"/>
              </w:rPr>
              <w:t>10.72</w:t>
            </w:r>
          </w:p>
        </w:tc>
        <w:tc>
          <w:tcPr>
            <w:tcW w:type="dxa" w:w="1037"/>
          </w:tcPr>
          <w:p>
            <w:pPr>
              <w:spacing w:after="20"/>
              <w:jc w:val="right"/>
            </w:pPr>
            <w:r>
              <w:rPr>
                <w:color w:val="1C3A36"/>
                <w:sz w:val="16"/>
              </w:rPr>
              <w:t>11.42</w:t>
            </w:r>
          </w:p>
        </w:tc>
        <w:tc>
          <w:tcPr>
            <w:tcW w:type="dxa" w:w="1037"/>
          </w:tcPr>
          <w:p>
            <w:pPr>
              <w:spacing w:after="20"/>
              <w:jc w:val="right"/>
            </w:pPr>
            <w:r>
              <w:rPr>
                <w:color w:val="1C3A36"/>
                <w:sz w:val="16"/>
              </w:rPr>
              <w:t>12.25</w:t>
            </w:r>
          </w:p>
        </w:tc>
      </w:tr>
    </w:tbl>
    <w:p>
      <w:pPr>
        <w:spacing w:after="40"/>
      </w:pPr>
    </w:p>
    <w:p>
      <w:pPr>
        <w:spacing w:after="200" w:before="0"/>
      </w:pPr>
      <w:r>
        <w:rPr>
          <w:b w:val="0"/>
          <w:i/>
          <w:color w:val="6E7B77"/>
          <w:sz w:val="17"/>
        </w:rPr>
        <w:t>Table A1 — Three AUDITED years and five forecast. FY2023-FY2025 revenue, cost of sales, administrative expenses, provisions, pre-tax profit, tax, attributable profit, earnings per share and depreciation are disclosed figures; operating profit, EBITDA and the margins are formulas over them. The published earnings per share is struck on distributable profit after the statutory employees' and directors' share, which is why it differs slightly from profit over the share count.</w:t>
      </w:r>
    </w:p>
    <w:p>
      <w:pPr>
        <w:spacing w:after="80" w:before="200"/>
      </w:pPr>
      <w:r>
        <w:rPr>
          <w:b/>
          <w:i w:val="0"/>
          <w:color w:val="1C3A36"/>
          <w:sz w:val="24"/>
        </w:rPr>
        <w:t>Balance sheet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89"/>
        <w:gridCol w:w="1037"/>
        <w:gridCol w:w="1037"/>
        <w:gridCol w:w="1037"/>
        <w:gridCol w:w="1037"/>
        <w:gridCol w:w="1037"/>
        <w:gridCol w:w="1037"/>
        <w:gridCol w:w="1037"/>
        <w:gridCol w:w="1037"/>
      </w:tblGrid>
      <w:tr>
        <w:tc>
          <w:tcPr>
            <w:tcW w:type="dxa" w:w="2189"/>
            <w:shd w:val="clear" w:color="auto" w:fill="EAF0EE"/>
          </w:tcPr>
          <w:p>
            <w:pPr>
              <w:spacing w:after="20"/>
            </w:pPr>
            <w:r>
              <w:rPr>
                <w:b/>
                <w:color w:val="1C3A36"/>
                <w:sz w:val="16"/>
              </w:rPr>
              <w:t>EGP mn</w:t>
            </w:r>
          </w:p>
        </w:tc>
        <w:tc>
          <w:tcPr>
            <w:tcW w:type="dxa" w:w="1037"/>
            <w:shd w:val="clear" w:color="auto" w:fill="EAF0EE"/>
          </w:tcPr>
          <w:p>
            <w:pPr>
              <w:spacing w:after="20"/>
            </w:pPr>
            <w:r>
              <w:rPr>
                <w:b/>
                <w:color w:val="1C3A36"/>
                <w:sz w:val="16"/>
              </w:rPr>
              <w:t>FY2023</w:t>
            </w:r>
          </w:p>
        </w:tc>
        <w:tc>
          <w:tcPr>
            <w:tcW w:type="dxa" w:w="1037"/>
            <w:shd w:val="clear" w:color="auto" w:fill="EAF0EE"/>
          </w:tcPr>
          <w:p>
            <w:pPr>
              <w:spacing w:after="20"/>
            </w:pPr>
            <w:r>
              <w:rPr>
                <w:b/>
                <w:color w:val="1C3A36"/>
                <w:sz w:val="16"/>
              </w:rPr>
              <w:t>FY2024</w:t>
            </w:r>
          </w:p>
        </w:tc>
        <w:tc>
          <w:tcPr>
            <w:tcW w:type="dxa" w:w="1037"/>
            <w:shd w:val="clear" w:color="auto" w:fill="EAF0EE"/>
          </w:tcPr>
          <w:p>
            <w:pPr>
              <w:spacing w:after="20"/>
            </w:pPr>
            <w:r>
              <w:rPr>
                <w:b/>
                <w:color w:val="1C3A36"/>
                <w:sz w:val="16"/>
              </w:rPr>
              <w:t>FY2025</w:t>
            </w:r>
          </w:p>
        </w:tc>
        <w:tc>
          <w:tcPr>
            <w:tcW w:type="dxa" w:w="1037"/>
            <w:shd w:val="clear" w:color="auto" w:fill="EAF0EE"/>
          </w:tcPr>
          <w:p>
            <w:pPr>
              <w:spacing w:after="20"/>
            </w:pPr>
            <w:r>
              <w:rPr>
                <w:b/>
                <w:color w:val="1C3A36"/>
                <w:sz w:val="16"/>
              </w:rPr>
              <w:t>FY2026E</w:t>
            </w:r>
          </w:p>
        </w:tc>
        <w:tc>
          <w:tcPr>
            <w:tcW w:type="dxa" w:w="1037"/>
            <w:shd w:val="clear" w:color="auto" w:fill="EAF0EE"/>
          </w:tcPr>
          <w:p>
            <w:pPr>
              <w:spacing w:after="20"/>
            </w:pPr>
            <w:r>
              <w:rPr>
                <w:b/>
                <w:color w:val="1C3A36"/>
                <w:sz w:val="16"/>
              </w:rPr>
              <w:t>FY2027E</w:t>
            </w:r>
          </w:p>
        </w:tc>
        <w:tc>
          <w:tcPr>
            <w:tcW w:type="dxa" w:w="1037"/>
            <w:shd w:val="clear" w:color="auto" w:fill="EAF0EE"/>
          </w:tcPr>
          <w:p>
            <w:pPr>
              <w:spacing w:after="20"/>
            </w:pPr>
            <w:r>
              <w:rPr>
                <w:b/>
                <w:color w:val="1C3A36"/>
                <w:sz w:val="16"/>
              </w:rPr>
              <w:t>FY2028E</w:t>
            </w:r>
          </w:p>
        </w:tc>
        <w:tc>
          <w:tcPr>
            <w:tcW w:type="dxa" w:w="1037"/>
            <w:shd w:val="clear" w:color="auto" w:fill="EAF0EE"/>
          </w:tcPr>
          <w:p>
            <w:pPr>
              <w:spacing w:after="20"/>
            </w:pPr>
            <w:r>
              <w:rPr>
                <w:b/>
                <w:color w:val="1C3A36"/>
                <w:sz w:val="16"/>
              </w:rPr>
              <w:t>FY2029E</w:t>
            </w:r>
          </w:p>
        </w:tc>
        <w:tc>
          <w:tcPr>
            <w:tcW w:type="dxa" w:w="1037"/>
            <w:shd w:val="clear" w:color="auto" w:fill="EAF0EE"/>
          </w:tcPr>
          <w:p>
            <w:pPr>
              <w:spacing w:after="20"/>
            </w:pPr>
            <w:r>
              <w:rPr>
                <w:b/>
                <w:color w:val="1C3A36"/>
                <w:sz w:val="16"/>
              </w:rPr>
              <w:t>FY2030E</w:t>
            </w:r>
          </w:p>
        </w:tc>
      </w:tr>
      <w:tr>
        <w:tc>
          <w:tcPr>
            <w:tcW w:type="dxa" w:w="2189"/>
            <w:shd w:val="clear" w:color="auto" w:fill="F6F1E6"/>
          </w:tcPr>
          <w:p>
            <w:pPr>
              <w:spacing w:after="20"/>
            </w:pPr>
            <w:r>
              <w:rPr>
                <w:b/>
                <w:color w:val="1C3A36"/>
                <w:sz w:val="16"/>
              </w:rPr>
              <w:t>Total assets</w:t>
            </w:r>
          </w:p>
        </w:tc>
        <w:tc>
          <w:tcPr>
            <w:tcW w:type="dxa" w:w="1037"/>
            <w:shd w:val="clear" w:color="auto" w:fill="F6F1E6"/>
          </w:tcPr>
          <w:p>
            <w:pPr>
              <w:spacing w:after="20"/>
              <w:jc w:val="right"/>
            </w:pPr>
            <w:r>
              <w:rPr>
                <w:b/>
                <w:color w:val="1C3A36"/>
                <w:sz w:val="16"/>
              </w:rPr>
              <w:t>3,888</w:t>
            </w:r>
          </w:p>
        </w:tc>
        <w:tc>
          <w:tcPr>
            <w:tcW w:type="dxa" w:w="1037"/>
            <w:shd w:val="clear" w:color="auto" w:fill="F6F1E6"/>
          </w:tcPr>
          <w:p>
            <w:pPr>
              <w:spacing w:after="20"/>
              <w:jc w:val="right"/>
            </w:pPr>
            <w:r>
              <w:rPr>
                <w:b/>
                <w:color w:val="1C3A36"/>
                <w:sz w:val="16"/>
              </w:rPr>
              <w:t>5,849</w:t>
            </w:r>
          </w:p>
        </w:tc>
        <w:tc>
          <w:tcPr>
            <w:tcW w:type="dxa" w:w="1037"/>
            <w:shd w:val="clear" w:color="auto" w:fill="F6F1E6"/>
          </w:tcPr>
          <w:p>
            <w:pPr>
              <w:spacing w:after="20"/>
              <w:jc w:val="right"/>
            </w:pPr>
            <w:r>
              <w:rPr>
                <w:b/>
                <w:color w:val="1C3A36"/>
                <w:sz w:val="16"/>
              </w:rPr>
              <w:t>8,784</w:t>
            </w:r>
          </w:p>
        </w:tc>
        <w:tc>
          <w:tcPr>
            <w:tcW w:type="dxa" w:w="1037"/>
            <w:shd w:val="clear" w:color="auto" w:fill="F6F1E6"/>
          </w:tcPr>
          <w:p>
            <w:pPr>
              <w:spacing w:after="20"/>
              <w:jc w:val="right"/>
            </w:pPr>
            <w:r>
              <w:rPr>
                <w:b/>
                <w:color w:val="1C3A36"/>
                <w:sz w:val="16"/>
              </w:rPr>
              <w:t>8,301</w:t>
            </w:r>
          </w:p>
        </w:tc>
        <w:tc>
          <w:tcPr>
            <w:tcW w:type="dxa" w:w="1037"/>
            <w:shd w:val="clear" w:color="auto" w:fill="F6F1E6"/>
          </w:tcPr>
          <w:p>
            <w:pPr>
              <w:spacing w:after="20"/>
              <w:jc w:val="right"/>
            </w:pPr>
            <w:r>
              <w:rPr>
                <w:b/>
                <w:color w:val="1C3A36"/>
                <w:sz w:val="16"/>
              </w:rPr>
              <w:t>9,946</w:t>
            </w:r>
          </w:p>
        </w:tc>
        <w:tc>
          <w:tcPr>
            <w:tcW w:type="dxa" w:w="1037"/>
            <w:shd w:val="clear" w:color="auto" w:fill="F6F1E6"/>
          </w:tcPr>
          <w:p>
            <w:pPr>
              <w:spacing w:after="20"/>
              <w:jc w:val="right"/>
            </w:pPr>
            <w:r>
              <w:rPr>
                <w:b/>
                <w:color w:val="1C3A36"/>
                <w:sz w:val="16"/>
              </w:rPr>
              <w:t>11,729</w:t>
            </w:r>
          </w:p>
        </w:tc>
        <w:tc>
          <w:tcPr>
            <w:tcW w:type="dxa" w:w="1037"/>
            <w:shd w:val="clear" w:color="auto" w:fill="F6F1E6"/>
          </w:tcPr>
          <w:p>
            <w:pPr>
              <w:spacing w:after="20"/>
              <w:jc w:val="right"/>
            </w:pPr>
            <w:r>
              <w:rPr>
                <w:b/>
                <w:color w:val="1C3A36"/>
                <w:sz w:val="16"/>
              </w:rPr>
              <w:t>13,629</w:t>
            </w:r>
          </w:p>
        </w:tc>
        <w:tc>
          <w:tcPr>
            <w:tcW w:type="dxa" w:w="1037"/>
            <w:shd w:val="clear" w:color="auto" w:fill="F6F1E6"/>
          </w:tcPr>
          <w:p>
            <w:pPr>
              <w:spacing w:after="20"/>
              <w:jc w:val="right"/>
            </w:pPr>
            <w:r>
              <w:rPr>
                <w:b/>
                <w:color w:val="1C3A36"/>
                <w:sz w:val="16"/>
              </w:rPr>
              <w:t>15,668</w:t>
            </w:r>
          </w:p>
        </w:tc>
      </w:tr>
      <w:tr>
        <w:tc>
          <w:tcPr>
            <w:tcW w:type="dxa" w:w="2189"/>
          </w:tcPr>
          <w:p>
            <w:pPr>
              <w:spacing w:after="20"/>
            </w:pPr>
            <w:r>
              <w:rPr>
                <w:color w:val="1C3A36"/>
                <w:sz w:val="16"/>
              </w:rPr>
              <w:t>Cash and bank balances</w:t>
            </w:r>
          </w:p>
        </w:tc>
        <w:tc>
          <w:tcPr>
            <w:tcW w:type="dxa" w:w="1037"/>
          </w:tcPr>
          <w:p>
            <w:pPr>
              <w:spacing w:after="20"/>
              <w:jc w:val="right"/>
            </w:pPr>
            <w:r>
              <w:rPr>
                <w:color w:val="1C3A36"/>
                <w:sz w:val="16"/>
              </w:rPr>
              <w:t>561</w:t>
            </w:r>
          </w:p>
        </w:tc>
        <w:tc>
          <w:tcPr>
            <w:tcW w:type="dxa" w:w="1037"/>
          </w:tcPr>
          <w:p>
            <w:pPr>
              <w:spacing w:after="20"/>
              <w:jc w:val="right"/>
            </w:pPr>
            <w:r>
              <w:rPr>
                <w:color w:val="1C3A36"/>
                <w:sz w:val="16"/>
              </w:rPr>
              <w:t>1,687</w:t>
            </w:r>
          </w:p>
        </w:tc>
        <w:tc>
          <w:tcPr>
            <w:tcW w:type="dxa" w:w="1037"/>
          </w:tcPr>
          <w:p>
            <w:pPr>
              <w:spacing w:after="20"/>
              <w:jc w:val="right"/>
            </w:pPr>
            <w:r>
              <w:rPr>
                <w:color w:val="1C3A36"/>
                <w:sz w:val="16"/>
              </w:rPr>
              <w:t>3,459</w:t>
            </w:r>
          </w:p>
        </w:tc>
        <w:tc>
          <w:tcPr>
            <w:tcW w:type="dxa" w:w="1037"/>
          </w:tcPr>
          <w:p>
            <w:pPr>
              <w:spacing w:after="20"/>
              <w:jc w:val="right"/>
            </w:pPr>
            <w:r>
              <w:rPr>
                <w:color w:val="1C3A36"/>
                <w:sz w:val="16"/>
              </w:rPr>
              <w:t>2,222</w:t>
            </w:r>
          </w:p>
        </w:tc>
        <w:tc>
          <w:tcPr>
            <w:tcW w:type="dxa" w:w="1037"/>
          </w:tcPr>
          <w:p>
            <w:pPr>
              <w:spacing w:after="20"/>
              <w:jc w:val="right"/>
            </w:pPr>
            <w:r>
              <w:rPr>
                <w:color w:val="1C3A36"/>
                <w:sz w:val="16"/>
              </w:rPr>
              <w:t>3,051</w:t>
            </w:r>
          </w:p>
        </w:tc>
        <w:tc>
          <w:tcPr>
            <w:tcW w:type="dxa" w:w="1037"/>
          </w:tcPr>
          <w:p>
            <w:pPr>
              <w:spacing w:after="20"/>
              <w:jc w:val="right"/>
            </w:pPr>
            <w:r>
              <w:rPr>
                <w:color w:val="1C3A36"/>
                <w:sz w:val="16"/>
              </w:rPr>
              <w:t>4,020</w:t>
            </w:r>
          </w:p>
        </w:tc>
        <w:tc>
          <w:tcPr>
            <w:tcW w:type="dxa" w:w="1037"/>
          </w:tcPr>
          <w:p>
            <w:pPr>
              <w:spacing w:after="20"/>
              <w:jc w:val="right"/>
            </w:pPr>
            <w:r>
              <w:rPr>
                <w:color w:val="1C3A36"/>
                <w:sz w:val="16"/>
              </w:rPr>
              <w:t>5,127</w:t>
            </w:r>
          </w:p>
        </w:tc>
        <w:tc>
          <w:tcPr>
            <w:tcW w:type="dxa" w:w="1037"/>
          </w:tcPr>
          <w:p>
            <w:pPr>
              <w:spacing w:after="20"/>
              <w:jc w:val="right"/>
            </w:pPr>
            <w:r>
              <w:rPr>
                <w:color w:val="1C3A36"/>
                <w:sz w:val="16"/>
              </w:rPr>
              <w:t>6,384</w:t>
            </w:r>
          </w:p>
        </w:tc>
      </w:tr>
      <w:tr>
        <w:tc>
          <w:tcPr>
            <w:tcW w:type="dxa" w:w="2189"/>
          </w:tcPr>
          <w:p>
            <w:pPr>
              <w:spacing w:after="20"/>
            </w:pPr>
            <w:r>
              <w:rPr>
                <w:color w:val="1C3A36"/>
                <w:sz w:val="16"/>
              </w:rPr>
              <w:t>Interest-bearing debt</w:t>
            </w:r>
          </w:p>
        </w:tc>
        <w:tc>
          <w:tcPr>
            <w:tcW w:type="dxa" w:w="1037"/>
          </w:tcPr>
          <w:p>
            <w:pPr>
              <w:spacing w:after="20"/>
              <w:jc w:val="right"/>
            </w:pPr>
            <w:r>
              <w:rPr>
                <w:color w:val="1C3A36"/>
                <w:sz w:val="16"/>
              </w:rPr>
              <w:t>90</w:t>
            </w:r>
          </w:p>
        </w:tc>
        <w:tc>
          <w:tcPr>
            <w:tcW w:type="dxa" w:w="1037"/>
          </w:tcPr>
          <w:p>
            <w:pPr>
              <w:spacing w:after="20"/>
              <w:jc w:val="right"/>
            </w:pPr>
            <w:r>
              <w:rPr>
                <w:color w:val="1C3A36"/>
                <w:sz w:val="16"/>
              </w:rPr>
              <w:t>761</w:t>
            </w:r>
          </w:p>
        </w:tc>
        <w:tc>
          <w:tcPr>
            <w:tcW w:type="dxa" w:w="1037"/>
          </w:tcPr>
          <w:p>
            <w:pPr>
              <w:spacing w:after="20"/>
              <w:jc w:val="right"/>
            </w:pPr>
            <w:r>
              <w:rPr>
                <w:color w:val="1C3A36"/>
                <w:sz w:val="16"/>
              </w:rPr>
              <w:t>1,135</w:t>
            </w:r>
          </w:p>
        </w:tc>
        <w:tc>
          <w:tcPr>
            <w:tcW w:type="dxa" w:w="1037"/>
          </w:tcPr>
          <w:p>
            <w:pPr>
              <w:spacing w:after="20"/>
              <w:jc w:val="right"/>
            </w:pPr>
            <w:r>
              <w:rPr>
                <w:color w:val="1C3A36"/>
                <w:sz w:val="16"/>
              </w:rPr>
              <w:t>1,135</w:t>
            </w:r>
          </w:p>
        </w:tc>
        <w:tc>
          <w:tcPr>
            <w:tcW w:type="dxa" w:w="1037"/>
          </w:tcPr>
          <w:p>
            <w:pPr>
              <w:spacing w:after="20"/>
              <w:jc w:val="right"/>
            </w:pPr>
            <w:r>
              <w:rPr>
                <w:color w:val="1C3A36"/>
                <w:sz w:val="16"/>
              </w:rPr>
              <w:t>1,135</w:t>
            </w:r>
          </w:p>
        </w:tc>
        <w:tc>
          <w:tcPr>
            <w:tcW w:type="dxa" w:w="1037"/>
          </w:tcPr>
          <w:p>
            <w:pPr>
              <w:spacing w:after="20"/>
              <w:jc w:val="right"/>
            </w:pPr>
            <w:r>
              <w:rPr>
                <w:color w:val="1C3A36"/>
                <w:sz w:val="16"/>
              </w:rPr>
              <w:t>1,135</w:t>
            </w:r>
          </w:p>
        </w:tc>
        <w:tc>
          <w:tcPr>
            <w:tcW w:type="dxa" w:w="1037"/>
          </w:tcPr>
          <w:p>
            <w:pPr>
              <w:spacing w:after="20"/>
              <w:jc w:val="right"/>
            </w:pPr>
            <w:r>
              <w:rPr>
                <w:color w:val="1C3A36"/>
                <w:sz w:val="16"/>
              </w:rPr>
              <w:t>1,135</w:t>
            </w:r>
          </w:p>
        </w:tc>
        <w:tc>
          <w:tcPr>
            <w:tcW w:type="dxa" w:w="1037"/>
          </w:tcPr>
          <w:p>
            <w:pPr>
              <w:spacing w:after="20"/>
              <w:jc w:val="right"/>
            </w:pPr>
            <w:r>
              <w:rPr>
                <w:color w:val="1C3A36"/>
                <w:sz w:val="16"/>
              </w:rPr>
              <w:t>1,135</w:t>
            </w:r>
          </w:p>
        </w:tc>
      </w:tr>
      <w:tr>
        <w:tc>
          <w:tcPr>
            <w:tcW w:type="dxa" w:w="2189"/>
          </w:tcPr>
          <w:p>
            <w:pPr>
              <w:spacing w:after="20"/>
            </w:pPr>
            <w:r>
              <w:rPr>
                <w:color w:val="1C3A36"/>
                <w:sz w:val="16"/>
              </w:rPr>
              <w:t>Net (cash) / debt</w:t>
            </w:r>
          </w:p>
        </w:tc>
        <w:tc>
          <w:tcPr>
            <w:tcW w:type="dxa" w:w="1037"/>
          </w:tcPr>
          <w:p>
            <w:pPr>
              <w:spacing w:after="20"/>
              <w:jc w:val="right"/>
            </w:pPr>
            <w:r>
              <w:rPr>
                <w:color w:val="1C3A36"/>
                <w:sz w:val="16"/>
              </w:rPr>
              <w:t>-471</w:t>
            </w:r>
          </w:p>
        </w:tc>
        <w:tc>
          <w:tcPr>
            <w:tcW w:type="dxa" w:w="1037"/>
          </w:tcPr>
          <w:p>
            <w:pPr>
              <w:spacing w:after="20"/>
              <w:jc w:val="right"/>
            </w:pPr>
            <w:r>
              <w:rPr>
                <w:color w:val="1C3A36"/>
                <w:sz w:val="16"/>
              </w:rPr>
              <w:t>-926</w:t>
            </w:r>
          </w:p>
        </w:tc>
        <w:tc>
          <w:tcPr>
            <w:tcW w:type="dxa" w:w="1037"/>
          </w:tcPr>
          <w:p>
            <w:pPr>
              <w:spacing w:after="20"/>
              <w:jc w:val="right"/>
            </w:pPr>
            <w:r>
              <w:rPr>
                <w:color w:val="1C3A36"/>
                <w:sz w:val="16"/>
              </w:rPr>
              <w:t>-2,324</w:t>
            </w:r>
          </w:p>
        </w:tc>
        <w:tc>
          <w:tcPr>
            <w:tcW w:type="dxa" w:w="1037"/>
          </w:tcPr>
          <w:p>
            <w:pPr>
              <w:spacing w:after="20"/>
              <w:jc w:val="right"/>
            </w:pPr>
            <w:r>
              <w:rPr>
                <w:color w:val="1C3A36"/>
                <w:sz w:val="16"/>
              </w:rPr>
              <w:t>-1,087</w:t>
            </w:r>
          </w:p>
        </w:tc>
        <w:tc>
          <w:tcPr>
            <w:tcW w:type="dxa" w:w="1037"/>
          </w:tcPr>
          <w:p>
            <w:pPr>
              <w:spacing w:after="20"/>
              <w:jc w:val="right"/>
            </w:pPr>
            <w:r>
              <w:rPr>
                <w:color w:val="1C3A36"/>
                <w:sz w:val="16"/>
              </w:rPr>
              <w:t>-1,916</w:t>
            </w:r>
          </w:p>
        </w:tc>
        <w:tc>
          <w:tcPr>
            <w:tcW w:type="dxa" w:w="1037"/>
          </w:tcPr>
          <w:p>
            <w:pPr>
              <w:spacing w:after="20"/>
              <w:jc w:val="right"/>
            </w:pPr>
            <w:r>
              <w:rPr>
                <w:color w:val="1C3A36"/>
                <w:sz w:val="16"/>
              </w:rPr>
              <w:t>-2,885</w:t>
            </w:r>
          </w:p>
        </w:tc>
        <w:tc>
          <w:tcPr>
            <w:tcW w:type="dxa" w:w="1037"/>
          </w:tcPr>
          <w:p>
            <w:pPr>
              <w:spacing w:after="20"/>
              <w:jc w:val="right"/>
            </w:pPr>
            <w:r>
              <w:rPr>
                <w:color w:val="1C3A36"/>
                <w:sz w:val="16"/>
              </w:rPr>
              <w:t>-3,992</w:t>
            </w:r>
          </w:p>
        </w:tc>
        <w:tc>
          <w:tcPr>
            <w:tcW w:type="dxa" w:w="1037"/>
          </w:tcPr>
          <w:p>
            <w:pPr>
              <w:spacing w:after="20"/>
              <w:jc w:val="right"/>
            </w:pPr>
            <w:r>
              <w:rPr>
                <w:color w:val="1C3A36"/>
                <w:sz w:val="16"/>
              </w:rPr>
              <w:t>-5,249</w:t>
            </w:r>
          </w:p>
        </w:tc>
      </w:tr>
      <w:tr>
        <w:tc>
          <w:tcPr>
            <w:tcW w:type="dxa" w:w="2189"/>
          </w:tcPr>
          <w:p>
            <w:pPr>
              <w:spacing w:after="20"/>
            </w:pPr>
            <w:r>
              <w:rPr>
                <w:color w:val="1C3A36"/>
                <w:sz w:val="16"/>
              </w:rPr>
              <w:t>Equity attributable to owners</w:t>
            </w:r>
          </w:p>
        </w:tc>
        <w:tc>
          <w:tcPr>
            <w:tcW w:type="dxa" w:w="1037"/>
          </w:tcPr>
          <w:p>
            <w:pPr>
              <w:spacing w:after="20"/>
              <w:jc w:val="right"/>
            </w:pPr>
            <w:r>
              <w:rPr>
                <w:color w:val="1C3A36"/>
                <w:sz w:val="16"/>
              </w:rPr>
              <w:t>1,754</w:t>
            </w:r>
          </w:p>
        </w:tc>
        <w:tc>
          <w:tcPr>
            <w:tcW w:type="dxa" w:w="1037"/>
          </w:tcPr>
          <w:p>
            <w:pPr>
              <w:spacing w:after="20"/>
              <w:jc w:val="right"/>
            </w:pPr>
            <w:r>
              <w:rPr>
                <w:color w:val="1C3A36"/>
                <w:sz w:val="16"/>
              </w:rPr>
              <w:t>2,303</w:t>
            </w:r>
          </w:p>
        </w:tc>
        <w:tc>
          <w:tcPr>
            <w:tcW w:type="dxa" w:w="1037"/>
          </w:tcPr>
          <w:p>
            <w:pPr>
              <w:spacing w:after="20"/>
              <w:jc w:val="right"/>
            </w:pPr>
            <w:r>
              <w:rPr>
                <w:color w:val="1C3A36"/>
                <w:sz w:val="16"/>
              </w:rPr>
              <w:t>4,643</w:t>
            </w:r>
          </w:p>
        </w:tc>
        <w:tc>
          <w:tcPr>
            <w:tcW w:type="dxa" w:w="1037"/>
          </w:tcPr>
          <w:p>
            <w:pPr>
              <w:spacing w:after="20"/>
              <w:jc w:val="right"/>
            </w:pPr>
            <w:r>
              <w:rPr>
                <w:color w:val="1C3A36"/>
                <w:sz w:val="16"/>
              </w:rPr>
              <w:t>4,161</w:t>
            </w:r>
          </w:p>
        </w:tc>
        <w:tc>
          <w:tcPr>
            <w:tcW w:type="dxa" w:w="1037"/>
          </w:tcPr>
          <w:p>
            <w:pPr>
              <w:spacing w:after="20"/>
              <w:jc w:val="right"/>
            </w:pPr>
            <w:r>
              <w:rPr>
                <w:color w:val="1C3A36"/>
                <w:sz w:val="16"/>
              </w:rPr>
              <w:t>5,805</w:t>
            </w:r>
          </w:p>
        </w:tc>
        <w:tc>
          <w:tcPr>
            <w:tcW w:type="dxa" w:w="1037"/>
          </w:tcPr>
          <w:p>
            <w:pPr>
              <w:spacing w:after="20"/>
              <w:jc w:val="right"/>
            </w:pPr>
            <w:r>
              <w:rPr>
                <w:color w:val="1C3A36"/>
                <w:sz w:val="16"/>
              </w:rPr>
              <w:t>7,589</w:t>
            </w:r>
          </w:p>
        </w:tc>
        <w:tc>
          <w:tcPr>
            <w:tcW w:type="dxa" w:w="1037"/>
          </w:tcPr>
          <w:p>
            <w:pPr>
              <w:spacing w:after="20"/>
              <w:jc w:val="right"/>
            </w:pPr>
            <w:r>
              <w:rPr>
                <w:color w:val="1C3A36"/>
                <w:sz w:val="16"/>
              </w:rPr>
              <w:t>9,489</w:t>
            </w:r>
          </w:p>
        </w:tc>
        <w:tc>
          <w:tcPr>
            <w:tcW w:type="dxa" w:w="1037"/>
          </w:tcPr>
          <w:p>
            <w:pPr>
              <w:spacing w:after="20"/>
              <w:jc w:val="right"/>
            </w:pPr>
            <w:r>
              <w:rPr>
                <w:color w:val="1C3A36"/>
                <w:sz w:val="16"/>
              </w:rPr>
              <w:t>11,528</w:t>
            </w:r>
          </w:p>
        </w:tc>
      </w:tr>
      <w:tr>
        <w:tc>
          <w:tcPr>
            <w:tcW w:type="dxa" w:w="2189"/>
          </w:tcPr>
          <w:p>
            <w:pPr>
              <w:spacing w:after="20"/>
            </w:pPr>
            <w:r>
              <w:rPr>
                <w:color w:val="1C3A36"/>
                <w:sz w:val="16"/>
              </w:rPr>
              <w:t>Book value per share (EGP)</w:t>
            </w:r>
          </w:p>
        </w:tc>
        <w:tc>
          <w:tcPr>
            <w:tcW w:type="dxa" w:w="1037"/>
          </w:tcPr>
          <w:p>
            <w:pPr>
              <w:spacing w:after="20"/>
              <w:jc w:val="right"/>
            </w:pPr>
            <w:r>
              <w:rPr>
                <w:color w:val="1C3A36"/>
                <w:sz w:val="16"/>
              </w:rPr>
              <w:t>4.68</w:t>
            </w:r>
          </w:p>
        </w:tc>
        <w:tc>
          <w:tcPr>
            <w:tcW w:type="dxa" w:w="1037"/>
          </w:tcPr>
          <w:p>
            <w:pPr>
              <w:spacing w:after="20"/>
              <w:jc w:val="right"/>
            </w:pPr>
            <w:r>
              <w:rPr>
                <w:color w:val="1C3A36"/>
                <w:sz w:val="16"/>
              </w:rPr>
              <w:t>6.14</w:t>
            </w:r>
          </w:p>
        </w:tc>
        <w:tc>
          <w:tcPr>
            <w:tcW w:type="dxa" w:w="1037"/>
          </w:tcPr>
          <w:p>
            <w:pPr>
              <w:spacing w:after="20"/>
              <w:jc w:val="right"/>
            </w:pPr>
            <w:r>
              <w:rPr>
                <w:color w:val="1C3A36"/>
                <w:sz w:val="16"/>
              </w:rPr>
              <w:t>12.38</w:t>
            </w:r>
          </w:p>
        </w:tc>
        <w:tc>
          <w:tcPr>
            <w:tcW w:type="dxa" w:w="1037"/>
          </w:tcPr>
          <w:p>
            <w:pPr>
              <w:spacing w:after="20"/>
              <w:jc w:val="right"/>
            </w:pPr>
            <w:r>
              <w:rPr>
                <w:color w:val="1C3A36"/>
                <w:sz w:val="16"/>
              </w:rPr>
              <w:t>11.10</w:t>
            </w:r>
          </w:p>
        </w:tc>
        <w:tc>
          <w:tcPr>
            <w:tcW w:type="dxa" w:w="1037"/>
          </w:tcPr>
          <w:p>
            <w:pPr>
              <w:spacing w:after="20"/>
              <w:jc w:val="right"/>
            </w:pPr>
            <w:r>
              <w:rPr>
                <w:color w:val="1C3A36"/>
                <w:sz w:val="16"/>
              </w:rPr>
              <w:t>15.49</w:t>
            </w:r>
          </w:p>
        </w:tc>
        <w:tc>
          <w:tcPr>
            <w:tcW w:type="dxa" w:w="1037"/>
          </w:tcPr>
          <w:p>
            <w:pPr>
              <w:spacing w:after="20"/>
              <w:jc w:val="right"/>
            </w:pPr>
            <w:r>
              <w:rPr>
                <w:color w:val="1C3A36"/>
                <w:sz w:val="16"/>
              </w:rPr>
              <w:t>20.24</w:t>
            </w:r>
          </w:p>
        </w:tc>
        <w:tc>
          <w:tcPr>
            <w:tcW w:type="dxa" w:w="1037"/>
          </w:tcPr>
          <w:p>
            <w:pPr>
              <w:spacing w:after="20"/>
              <w:jc w:val="right"/>
            </w:pPr>
            <w:r>
              <w:rPr>
                <w:color w:val="1C3A36"/>
                <w:sz w:val="16"/>
              </w:rPr>
              <w:t>25.31</w:t>
            </w:r>
          </w:p>
        </w:tc>
        <w:tc>
          <w:tcPr>
            <w:tcW w:type="dxa" w:w="1037"/>
          </w:tcPr>
          <w:p>
            <w:pPr>
              <w:spacing w:after="20"/>
              <w:jc w:val="right"/>
            </w:pPr>
            <w:r>
              <w:rPr>
                <w:color w:val="1C3A36"/>
                <w:sz w:val="16"/>
              </w:rPr>
              <w:t>30.75</w:t>
            </w:r>
          </w:p>
        </w:tc>
      </w:tr>
      <w:tr>
        <w:tc>
          <w:tcPr>
            <w:tcW w:type="dxa" w:w="2189"/>
          </w:tcPr>
          <w:p>
            <w:pPr>
              <w:spacing w:after="20"/>
            </w:pPr>
            <w:r>
              <w:rPr>
                <w:color w:val="1C3A36"/>
                <w:sz w:val="16"/>
              </w:rPr>
              <w:t>Return on equity</w:t>
            </w:r>
          </w:p>
        </w:tc>
        <w:tc>
          <w:tcPr>
            <w:tcW w:type="dxa" w:w="1037"/>
          </w:tcPr>
          <w:p>
            <w:pPr>
              <w:spacing w:after="20"/>
              <w:jc w:val="right"/>
            </w:pPr>
            <w:r>
              <w:rPr>
                <w:color w:val="1C3A36"/>
                <w:sz w:val="16"/>
              </w:rPr>
              <w:t>39.8%</w:t>
            </w:r>
          </w:p>
        </w:tc>
        <w:tc>
          <w:tcPr>
            <w:tcW w:type="dxa" w:w="1037"/>
          </w:tcPr>
          <w:p>
            <w:pPr>
              <w:spacing w:after="20"/>
              <w:jc w:val="right"/>
            </w:pPr>
            <w:r>
              <w:rPr>
                <w:color w:val="1C3A36"/>
                <w:sz w:val="16"/>
              </w:rPr>
              <w:t>50.4%</w:t>
            </w:r>
          </w:p>
        </w:tc>
        <w:tc>
          <w:tcPr>
            <w:tcW w:type="dxa" w:w="1037"/>
          </w:tcPr>
          <w:p>
            <w:pPr>
              <w:spacing w:after="20"/>
              <w:jc w:val="right"/>
            </w:pPr>
            <w:r>
              <w:rPr>
                <w:color w:val="1C3A36"/>
                <w:sz w:val="16"/>
              </w:rPr>
              <w:t>77.5%</w:t>
            </w:r>
          </w:p>
        </w:tc>
        <w:tc>
          <w:tcPr>
            <w:tcW w:type="dxa" w:w="1037"/>
          </w:tcPr>
          <w:p>
            <w:pPr>
              <w:spacing w:after="20"/>
              <w:jc w:val="right"/>
            </w:pPr>
            <w:r>
              <w:rPr>
                <w:color w:val="1C3A36"/>
                <w:sz w:val="16"/>
              </w:rPr>
              <w:t>82.3%</w:t>
            </w:r>
          </w:p>
        </w:tc>
        <w:tc>
          <w:tcPr>
            <w:tcW w:type="dxa" w:w="1037"/>
          </w:tcPr>
          <w:p>
            <w:pPr>
              <w:spacing w:after="20"/>
              <w:jc w:val="right"/>
            </w:pPr>
            <w:r>
              <w:rPr>
                <w:color w:val="1C3A36"/>
                <w:sz w:val="16"/>
              </w:rPr>
              <w:t>63.8%</w:t>
            </w:r>
          </w:p>
        </w:tc>
        <w:tc>
          <w:tcPr>
            <w:tcW w:type="dxa" w:w="1037"/>
          </w:tcPr>
          <w:p>
            <w:pPr>
              <w:spacing w:after="20"/>
              <w:jc w:val="right"/>
            </w:pPr>
            <w:r>
              <w:rPr>
                <w:color w:val="1C3A36"/>
                <w:sz w:val="16"/>
              </w:rPr>
              <w:t>52.9%</w:t>
            </w:r>
          </w:p>
        </w:tc>
        <w:tc>
          <w:tcPr>
            <w:tcW w:type="dxa" w:w="1037"/>
          </w:tcPr>
          <w:p>
            <w:pPr>
              <w:spacing w:after="20"/>
              <w:jc w:val="right"/>
            </w:pPr>
            <w:r>
              <w:rPr>
                <w:color w:val="1C3A36"/>
                <w:sz w:val="16"/>
              </w:rPr>
              <w:t>45.1%</w:t>
            </w:r>
          </w:p>
        </w:tc>
        <w:tc>
          <w:tcPr>
            <w:tcW w:type="dxa" w:w="1037"/>
          </w:tcPr>
          <w:p>
            <w:pPr>
              <w:spacing w:after="20"/>
              <w:jc w:val="right"/>
            </w:pPr>
            <w:r>
              <w:rPr>
                <w:color w:val="1C3A36"/>
                <w:sz w:val="16"/>
              </w:rPr>
              <w:t>39.8%</w:t>
            </w:r>
          </w:p>
        </w:tc>
      </w:tr>
    </w:tbl>
    <w:p>
      <w:pPr>
        <w:spacing w:after="40"/>
      </w:pPr>
    </w:p>
    <w:p>
      <w:pPr>
        <w:spacing w:after="200" w:before="0"/>
      </w:pPr>
      <w:r>
        <w:rPr>
          <w:b w:val="0"/>
          <w:i/>
          <w:color w:val="6E7B77"/>
          <w:sz w:val="17"/>
        </w:rPr>
        <w:t>Table A2 — All three historical years are AUDITED. The FY2025 balance sheet closes exactly: total assets of EGP 8,784mn less total liabilities of EGP 4,141mn equals equity of EGP 4,643mn.</w:t>
      </w:r>
    </w:p>
    <w:p>
      <w:pPr>
        <w:spacing w:after="80" w:before="200"/>
      </w:pPr>
      <w:r>
        <w:rPr>
          <w:b/>
          <w:i w:val="0"/>
          <w:color w:val="1C3A36"/>
          <w:sz w:val="24"/>
        </w:rPr>
        <w:t>Cash flow</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024"/>
        <w:gridCol w:w="1325"/>
        <w:gridCol w:w="1325"/>
        <w:gridCol w:w="1325"/>
        <w:gridCol w:w="1325"/>
        <w:gridCol w:w="1325"/>
      </w:tblGrid>
      <w:tr>
        <w:tc>
          <w:tcPr>
            <w:tcW w:type="dxa" w:w="3024"/>
            <w:shd w:val="clear" w:color="auto" w:fill="EAF0EE"/>
          </w:tcPr>
          <w:p>
            <w:pPr>
              <w:spacing w:after="20"/>
            </w:pPr>
            <w:r>
              <w:rPr>
                <w:b/>
                <w:color w:val="1C3A36"/>
                <w:sz w:val="17"/>
              </w:rPr>
              <w:t>EGP mn</w:t>
            </w:r>
          </w:p>
        </w:tc>
        <w:tc>
          <w:tcPr>
            <w:tcW w:type="dxa" w:w="1325"/>
            <w:shd w:val="clear" w:color="auto" w:fill="EAF0EE"/>
          </w:tcPr>
          <w:p>
            <w:pPr>
              <w:spacing w:after="20"/>
            </w:pPr>
            <w:r>
              <w:rPr>
                <w:b/>
                <w:color w:val="1C3A36"/>
                <w:sz w:val="17"/>
              </w:rPr>
              <w:t>FY2026E</w:t>
            </w:r>
          </w:p>
        </w:tc>
        <w:tc>
          <w:tcPr>
            <w:tcW w:type="dxa" w:w="1325"/>
            <w:shd w:val="clear" w:color="auto" w:fill="EAF0EE"/>
          </w:tcPr>
          <w:p>
            <w:pPr>
              <w:spacing w:after="20"/>
            </w:pPr>
            <w:r>
              <w:rPr>
                <w:b/>
                <w:color w:val="1C3A36"/>
                <w:sz w:val="17"/>
              </w:rPr>
              <w:t>FY2027E</w:t>
            </w:r>
          </w:p>
        </w:tc>
        <w:tc>
          <w:tcPr>
            <w:tcW w:type="dxa" w:w="1325"/>
            <w:shd w:val="clear" w:color="auto" w:fill="EAF0EE"/>
          </w:tcPr>
          <w:p>
            <w:pPr>
              <w:spacing w:after="20"/>
            </w:pPr>
            <w:r>
              <w:rPr>
                <w:b/>
                <w:color w:val="1C3A36"/>
                <w:sz w:val="17"/>
              </w:rPr>
              <w:t>FY2028E</w:t>
            </w:r>
          </w:p>
        </w:tc>
        <w:tc>
          <w:tcPr>
            <w:tcW w:type="dxa" w:w="1325"/>
            <w:shd w:val="clear" w:color="auto" w:fill="EAF0EE"/>
          </w:tcPr>
          <w:p>
            <w:pPr>
              <w:spacing w:after="20"/>
            </w:pPr>
            <w:r>
              <w:rPr>
                <w:b/>
                <w:color w:val="1C3A36"/>
                <w:sz w:val="17"/>
              </w:rPr>
              <w:t>FY2029E</w:t>
            </w:r>
          </w:p>
        </w:tc>
        <w:tc>
          <w:tcPr>
            <w:tcW w:type="dxa" w:w="1325"/>
            <w:shd w:val="clear" w:color="auto" w:fill="EAF0EE"/>
          </w:tcPr>
          <w:p>
            <w:pPr>
              <w:spacing w:after="20"/>
            </w:pPr>
            <w:r>
              <w:rPr>
                <w:b/>
                <w:color w:val="1C3A36"/>
                <w:sz w:val="17"/>
              </w:rPr>
              <w:t>FY2030E</w:t>
            </w:r>
          </w:p>
        </w:tc>
      </w:tr>
      <w:tr>
        <w:tc>
          <w:tcPr>
            <w:tcW w:type="dxa" w:w="3024"/>
          </w:tcPr>
          <w:p>
            <w:pPr>
              <w:spacing w:after="20"/>
            </w:pPr>
            <w:r>
              <w:rPr>
                <w:color w:val="1C3A36"/>
                <w:sz w:val="17"/>
              </w:rPr>
              <w:t>Attributable profit</w:t>
            </w:r>
          </w:p>
        </w:tc>
        <w:tc>
          <w:tcPr>
            <w:tcW w:type="dxa" w:w="1325"/>
          </w:tcPr>
          <w:p>
            <w:pPr>
              <w:spacing w:after="20"/>
              <w:jc w:val="right"/>
            </w:pPr>
            <w:r>
              <w:rPr>
                <w:color w:val="1C3A36"/>
                <w:sz w:val="17"/>
              </w:rPr>
              <w:t>3,424</w:t>
            </w:r>
          </w:p>
        </w:tc>
        <w:tc>
          <w:tcPr>
            <w:tcW w:type="dxa" w:w="1325"/>
          </w:tcPr>
          <w:p>
            <w:pPr>
              <w:spacing w:after="20"/>
              <w:jc w:val="right"/>
            </w:pPr>
            <w:r>
              <w:rPr>
                <w:color w:val="1C3A36"/>
                <w:sz w:val="17"/>
              </w:rPr>
              <w:t>3,704</w:t>
            </w:r>
          </w:p>
        </w:tc>
        <w:tc>
          <w:tcPr>
            <w:tcW w:type="dxa" w:w="1325"/>
          </w:tcPr>
          <w:p>
            <w:pPr>
              <w:spacing w:after="20"/>
              <w:jc w:val="right"/>
            </w:pPr>
            <w:r>
              <w:rPr>
                <w:color w:val="1C3A36"/>
                <w:sz w:val="17"/>
              </w:rPr>
              <w:t>4,017</w:t>
            </w:r>
          </w:p>
        </w:tc>
        <w:tc>
          <w:tcPr>
            <w:tcW w:type="dxa" w:w="1325"/>
          </w:tcPr>
          <w:p>
            <w:pPr>
              <w:spacing w:after="20"/>
              <w:jc w:val="right"/>
            </w:pPr>
            <w:r>
              <w:rPr>
                <w:color w:val="1C3A36"/>
                <w:sz w:val="17"/>
              </w:rPr>
              <w:t>4,279</w:t>
            </w:r>
          </w:p>
        </w:tc>
        <w:tc>
          <w:tcPr>
            <w:tcW w:type="dxa" w:w="1325"/>
          </w:tcPr>
          <w:p>
            <w:pPr>
              <w:spacing w:after="20"/>
              <w:jc w:val="right"/>
            </w:pPr>
            <w:r>
              <w:rPr>
                <w:color w:val="1C3A36"/>
                <w:sz w:val="17"/>
              </w:rPr>
              <w:t>4,592</w:t>
            </w:r>
          </w:p>
        </w:tc>
      </w:tr>
      <w:tr>
        <w:tc>
          <w:tcPr>
            <w:tcW w:type="dxa" w:w="3024"/>
          </w:tcPr>
          <w:p>
            <w:pPr>
              <w:spacing w:after="20"/>
            </w:pPr>
            <w:r>
              <w:rPr>
                <w:color w:val="1C3A36"/>
                <w:sz w:val="17"/>
              </w:rPr>
              <w:t>Add back depreciation</w:t>
            </w:r>
          </w:p>
        </w:tc>
        <w:tc>
          <w:tcPr>
            <w:tcW w:type="dxa" w:w="1325"/>
          </w:tcPr>
          <w:p>
            <w:pPr>
              <w:spacing w:after="20"/>
              <w:jc w:val="right"/>
            </w:pPr>
            <w:r>
              <w:rPr>
                <w:color w:val="1C3A36"/>
                <w:sz w:val="17"/>
              </w:rPr>
              <w:t>326</w:t>
            </w:r>
          </w:p>
        </w:tc>
        <w:tc>
          <w:tcPr>
            <w:tcW w:type="dxa" w:w="1325"/>
          </w:tcPr>
          <w:p>
            <w:pPr>
              <w:spacing w:after="20"/>
              <w:jc w:val="right"/>
            </w:pPr>
            <w:r>
              <w:rPr>
                <w:color w:val="1C3A36"/>
                <w:sz w:val="17"/>
              </w:rPr>
              <w:t>382</w:t>
            </w:r>
          </w:p>
        </w:tc>
        <w:tc>
          <w:tcPr>
            <w:tcW w:type="dxa" w:w="1325"/>
          </w:tcPr>
          <w:p>
            <w:pPr>
              <w:spacing w:after="20"/>
              <w:jc w:val="right"/>
            </w:pPr>
            <w:r>
              <w:rPr>
                <w:color w:val="1C3A36"/>
                <w:sz w:val="17"/>
              </w:rPr>
              <w:t>445</w:t>
            </w:r>
          </w:p>
        </w:tc>
        <w:tc>
          <w:tcPr>
            <w:tcW w:type="dxa" w:w="1325"/>
          </w:tcPr>
          <w:p>
            <w:pPr>
              <w:spacing w:after="20"/>
              <w:jc w:val="right"/>
            </w:pPr>
            <w:r>
              <w:rPr>
                <w:color w:val="1C3A36"/>
                <w:sz w:val="17"/>
              </w:rPr>
              <w:t>510</w:t>
            </w:r>
          </w:p>
        </w:tc>
        <w:tc>
          <w:tcPr>
            <w:tcW w:type="dxa" w:w="1325"/>
          </w:tcPr>
          <w:p>
            <w:pPr>
              <w:spacing w:after="20"/>
              <w:jc w:val="right"/>
            </w:pPr>
            <w:r>
              <w:rPr>
                <w:color w:val="1C3A36"/>
                <w:sz w:val="17"/>
              </w:rPr>
              <w:t>578</w:t>
            </w:r>
          </w:p>
        </w:tc>
      </w:tr>
      <w:tr>
        <w:tc>
          <w:tcPr>
            <w:tcW w:type="dxa" w:w="3024"/>
          </w:tcPr>
          <w:p>
            <w:pPr>
              <w:spacing w:after="20"/>
            </w:pPr>
            <w:r>
              <w:rPr>
                <w:color w:val="1C3A36"/>
                <w:sz w:val="17"/>
              </w:rPr>
              <w:t>Less change in working capital</w:t>
            </w:r>
          </w:p>
        </w:tc>
        <w:tc>
          <w:tcPr>
            <w:tcW w:type="dxa" w:w="1325"/>
          </w:tcPr>
          <w:p>
            <w:pPr>
              <w:spacing w:after="20"/>
              <w:jc w:val="right"/>
            </w:pPr>
            <w:r>
              <w:rPr>
                <w:color w:val="1C3A36"/>
                <w:sz w:val="17"/>
              </w:rPr>
              <w:t>-69</w:t>
            </w:r>
          </w:p>
        </w:tc>
        <w:tc>
          <w:tcPr>
            <w:tcW w:type="dxa" w:w="1325"/>
          </w:tcPr>
          <w:p>
            <w:pPr>
              <w:spacing w:after="20"/>
              <w:jc w:val="right"/>
            </w:pPr>
            <w:r>
              <w:rPr>
                <w:color w:val="1C3A36"/>
                <w:sz w:val="17"/>
              </w:rPr>
              <w:t>-136</w:t>
            </w:r>
          </w:p>
        </w:tc>
        <w:tc>
          <w:tcPr>
            <w:tcW w:type="dxa" w:w="1325"/>
          </w:tcPr>
          <w:p>
            <w:pPr>
              <w:spacing w:after="20"/>
              <w:jc w:val="right"/>
            </w:pPr>
            <w:r>
              <w:rPr>
                <w:color w:val="1C3A36"/>
                <w:sz w:val="17"/>
              </w:rPr>
              <w:t>-143</w:t>
            </w:r>
          </w:p>
        </w:tc>
        <w:tc>
          <w:tcPr>
            <w:tcW w:type="dxa" w:w="1325"/>
          </w:tcPr>
          <w:p>
            <w:pPr>
              <w:spacing w:after="20"/>
              <w:jc w:val="right"/>
            </w:pPr>
            <w:r>
              <w:rPr>
                <w:color w:val="1C3A36"/>
                <w:sz w:val="17"/>
              </w:rPr>
              <w:t>-130</w:t>
            </w:r>
          </w:p>
        </w:tc>
        <w:tc>
          <w:tcPr>
            <w:tcW w:type="dxa" w:w="1325"/>
          </w:tcPr>
          <w:p>
            <w:pPr>
              <w:spacing w:after="20"/>
              <w:jc w:val="right"/>
            </w:pPr>
            <w:r>
              <w:rPr>
                <w:color w:val="1C3A36"/>
                <w:sz w:val="17"/>
              </w:rPr>
              <w:t>-131</w:t>
            </w:r>
          </w:p>
        </w:tc>
      </w:tr>
      <w:tr>
        <w:tc>
          <w:tcPr>
            <w:tcW w:type="dxa" w:w="3024"/>
          </w:tcPr>
          <w:p>
            <w:pPr>
              <w:spacing w:after="20"/>
            </w:pPr>
            <w:r>
              <w:rPr>
                <w:color w:val="1C3A36"/>
                <w:sz w:val="17"/>
              </w:rPr>
              <w:t>Capital expenditure</w:t>
            </w:r>
          </w:p>
        </w:tc>
        <w:tc>
          <w:tcPr>
            <w:tcW w:type="dxa" w:w="1325"/>
          </w:tcPr>
          <w:p>
            <w:pPr>
              <w:spacing w:after="20"/>
              <w:jc w:val="right"/>
            </w:pPr>
            <w:r>
              <w:rPr>
                <w:color w:val="1C3A36"/>
                <w:sz w:val="17"/>
              </w:rPr>
              <w:t>-1,012</w:t>
            </w:r>
          </w:p>
        </w:tc>
        <w:tc>
          <w:tcPr>
            <w:tcW w:type="dxa" w:w="1325"/>
          </w:tcPr>
          <w:p>
            <w:pPr>
              <w:spacing w:after="20"/>
              <w:jc w:val="right"/>
            </w:pPr>
            <w:r>
              <w:rPr>
                <w:color w:val="1C3A36"/>
                <w:sz w:val="17"/>
              </w:rPr>
              <w:t>-1,062</w:t>
            </w:r>
          </w:p>
        </w:tc>
        <w:tc>
          <w:tcPr>
            <w:tcW w:type="dxa" w:w="1325"/>
          </w:tcPr>
          <w:p>
            <w:pPr>
              <w:spacing w:after="20"/>
              <w:jc w:val="right"/>
            </w:pPr>
            <w:r>
              <w:rPr>
                <w:color w:val="1C3A36"/>
                <w:sz w:val="17"/>
              </w:rPr>
              <w:t>-1,116</w:t>
            </w:r>
          </w:p>
        </w:tc>
        <w:tc>
          <w:tcPr>
            <w:tcW w:type="dxa" w:w="1325"/>
          </w:tcPr>
          <w:p>
            <w:pPr>
              <w:spacing w:after="20"/>
              <w:jc w:val="right"/>
            </w:pPr>
            <w:r>
              <w:rPr>
                <w:color w:val="1C3A36"/>
                <w:sz w:val="17"/>
              </w:rPr>
              <w:t>-1,172</w:t>
            </w:r>
          </w:p>
        </w:tc>
        <w:tc>
          <w:tcPr>
            <w:tcW w:type="dxa" w:w="1325"/>
          </w:tcPr>
          <w:p>
            <w:pPr>
              <w:spacing w:after="20"/>
              <w:jc w:val="right"/>
            </w:pPr>
            <w:r>
              <w:rPr>
                <w:color w:val="1C3A36"/>
                <w:sz w:val="17"/>
              </w:rPr>
              <w:t>-1,230</w:t>
            </w:r>
          </w:p>
        </w:tc>
      </w:tr>
      <w:tr>
        <w:tc>
          <w:tcPr>
            <w:tcW w:type="dxa" w:w="3024"/>
          </w:tcPr>
          <w:p>
            <w:pPr>
              <w:spacing w:after="20"/>
            </w:pPr>
            <w:r>
              <w:rPr>
                <w:color w:val="1C3A36"/>
                <w:sz w:val="17"/>
              </w:rPr>
              <w:t>Dividends paid</w:t>
            </w:r>
          </w:p>
        </w:tc>
        <w:tc>
          <w:tcPr>
            <w:tcW w:type="dxa" w:w="1325"/>
          </w:tcPr>
          <w:p>
            <w:pPr>
              <w:spacing w:after="20"/>
              <w:jc w:val="right"/>
            </w:pPr>
            <w:r>
              <w:rPr>
                <w:color w:val="1C3A36"/>
                <w:sz w:val="17"/>
              </w:rPr>
              <w:t>-1,903</w:t>
            </w:r>
          </w:p>
        </w:tc>
        <w:tc>
          <w:tcPr>
            <w:tcW w:type="dxa" w:w="1325"/>
          </w:tcPr>
          <w:p>
            <w:pPr>
              <w:spacing w:after="20"/>
              <w:jc w:val="right"/>
            </w:pPr>
            <w:r>
              <w:rPr>
                <w:color w:val="1C3A36"/>
                <w:sz w:val="17"/>
              </w:rPr>
              <w:t>-2,059</w:t>
            </w:r>
          </w:p>
        </w:tc>
        <w:tc>
          <w:tcPr>
            <w:tcW w:type="dxa" w:w="1325"/>
          </w:tcPr>
          <w:p>
            <w:pPr>
              <w:spacing w:after="20"/>
              <w:jc w:val="right"/>
            </w:pPr>
            <w:r>
              <w:rPr>
                <w:color w:val="1C3A36"/>
                <w:sz w:val="17"/>
              </w:rPr>
              <w:t>-2,233</w:t>
            </w:r>
          </w:p>
        </w:tc>
        <w:tc>
          <w:tcPr>
            <w:tcW w:type="dxa" w:w="1325"/>
          </w:tcPr>
          <w:p>
            <w:pPr>
              <w:spacing w:after="20"/>
              <w:jc w:val="right"/>
            </w:pPr>
            <w:r>
              <w:rPr>
                <w:color w:val="1C3A36"/>
                <w:sz w:val="17"/>
              </w:rPr>
              <w:t>-2,379</w:t>
            </w:r>
          </w:p>
        </w:tc>
        <w:tc>
          <w:tcPr>
            <w:tcW w:type="dxa" w:w="1325"/>
          </w:tcPr>
          <w:p>
            <w:pPr>
              <w:spacing w:after="20"/>
              <w:jc w:val="right"/>
            </w:pPr>
            <w:r>
              <w:rPr>
                <w:color w:val="1C3A36"/>
                <w:sz w:val="17"/>
              </w:rPr>
              <w:t>-2,553</w:t>
            </w:r>
          </w:p>
        </w:tc>
      </w:tr>
      <w:tr>
        <w:tc>
          <w:tcPr>
            <w:tcW w:type="dxa" w:w="3024"/>
            <w:shd w:val="clear" w:color="auto" w:fill="F6F1E6"/>
          </w:tcPr>
          <w:p>
            <w:pPr>
              <w:spacing w:after="20"/>
            </w:pPr>
            <w:r>
              <w:rPr>
                <w:b/>
                <w:color w:val="1C3A36"/>
                <w:sz w:val="17"/>
              </w:rPr>
              <w:t>Closing cash</w:t>
            </w:r>
          </w:p>
        </w:tc>
        <w:tc>
          <w:tcPr>
            <w:tcW w:type="dxa" w:w="1325"/>
            <w:shd w:val="clear" w:color="auto" w:fill="F6F1E6"/>
          </w:tcPr>
          <w:p>
            <w:pPr>
              <w:spacing w:after="20"/>
              <w:jc w:val="right"/>
            </w:pPr>
            <w:r>
              <w:rPr>
                <w:b/>
                <w:color w:val="1C3A36"/>
                <w:sz w:val="17"/>
              </w:rPr>
              <w:t>2,222</w:t>
            </w:r>
          </w:p>
        </w:tc>
        <w:tc>
          <w:tcPr>
            <w:tcW w:type="dxa" w:w="1325"/>
            <w:shd w:val="clear" w:color="auto" w:fill="F6F1E6"/>
          </w:tcPr>
          <w:p>
            <w:pPr>
              <w:spacing w:after="20"/>
              <w:jc w:val="right"/>
            </w:pPr>
            <w:r>
              <w:rPr>
                <w:b/>
                <w:color w:val="1C3A36"/>
                <w:sz w:val="17"/>
              </w:rPr>
              <w:t>3,051</w:t>
            </w:r>
          </w:p>
        </w:tc>
        <w:tc>
          <w:tcPr>
            <w:tcW w:type="dxa" w:w="1325"/>
            <w:shd w:val="clear" w:color="auto" w:fill="F6F1E6"/>
          </w:tcPr>
          <w:p>
            <w:pPr>
              <w:spacing w:after="20"/>
              <w:jc w:val="right"/>
            </w:pPr>
            <w:r>
              <w:rPr>
                <w:b/>
                <w:color w:val="1C3A36"/>
                <w:sz w:val="17"/>
              </w:rPr>
              <w:t>4,020</w:t>
            </w:r>
          </w:p>
        </w:tc>
        <w:tc>
          <w:tcPr>
            <w:tcW w:type="dxa" w:w="1325"/>
            <w:shd w:val="clear" w:color="auto" w:fill="F6F1E6"/>
          </w:tcPr>
          <w:p>
            <w:pPr>
              <w:spacing w:after="20"/>
              <w:jc w:val="right"/>
            </w:pPr>
            <w:r>
              <w:rPr>
                <w:b/>
                <w:color w:val="1C3A36"/>
                <w:sz w:val="17"/>
              </w:rPr>
              <w:t>5,127</w:t>
            </w:r>
          </w:p>
        </w:tc>
        <w:tc>
          <w:tcPr>
            <w:tcW w:type="dxa" w:w="1325"/>
            <w:shd w:val="clear" w:color="auto" w:fill="F6F1E6"/>
          </w:tcPr>
          <w:p>
            <w:pPr>
              <w:spacing w:after="20"/>
              <w:jc w:val="right"/>
            </w:pPr>
            <w:r>
              <w:rPr>
                <w:b/>
                <w:color w:val="1C3A36"/>
                <w:sz w:val="17"/>
              </w:rPr>
              <w:t>6,384</w:t>
            </w:r>
          </w:p>
        </w:tc>
      </w:tr>
      <w:tr>
        <w:tc>
          <w:tcPr>
            <w:tcW w:type="dxa" w:w="3024"/>
          </w:tcPr>
          <w:p>
            <w:pPr>
              <w:spacing w:after="20"/>
            </w:pPr>
            <w:r>
              <w:rPr>
                <w:color w:val="1C3A36"/>
                <w:sz w:val="17"/>
              </w:rPr>
              <w:t>Memo: free cash flow to the firm</w:t>
            </w:r>
          </w:p>
        </w:tc>
        <w:tc>
          <w:tcPr>
            <w:tcW w:type="dxa" w:w="1325"/>
          </w:tcPr>
          <w:p>
            <w:pPr>
              <w:spacing w:after="20"/>
              <w:jc w:val="right"/>
            </w:pPr>
            <w:r>
              <w:rPr>
                <w:color w:val="1C3A36"/>
                <w:sz w:val="17"/>
              </w:rPr>
              <w:t>1,072</w:t>
            </w:r>
          </w:p>
        </w:tc>
        <w:tc>
          <w:tcPr>
            <w:tcW w:type="dxa" w:w="1325"/>
          </w:tcPr>
          <w:p>
            <w:pPr>
              <w:spacing w:after="20"/>
              <w:jc w:val="right"/>
            </w:pPr>
            <w:r>
              <w:rPr>
                <w:color w:val="1C3A36"/>
                <w:sz w:val="17"/>
              </w:rPr>
              <w:t>2,736</w:t>
            </w:r>
          </w:p>
        </w:tc>
        <w:tc>
          <w:tcPr>
            <w:tcW w:type="dxa" w:w="1325"/>
          </w:tcPr>
          <w:p>
            <w:pPr>
              <w:spacing w:after="20"/>
              <w:jc w:val="right"/>
            </w:pPr>
            <w:r>
              <w:rPr>
                <w:color w:val="1C3A36"/>
                <w:sz w:val="17"/>
              </w:rPr>
              <w:t>2,990</w:t>
            </w:r>
          </w:p>
        </w:tc>
        <w:tc>
          <w:tcPr>
            <w:tcW w:type="dxa" w:w="1325"/>
          </w:tcPr>
          <w:p>
            <w:pPr>
              <w:spacing w:after="20"/>
              <w:jc w:val="right"/>
            </w:pPr>
            <w:r>
              <w:rPr>
                <w:color w:val="1C3A36"/>
                <w:sz w:val="17"/>
              </w:rPr>
              <w:t>3,209</w:t>
            </w:r>
          </w:p>
        </w:tc>
        <w:tc>
          <w:tcPr>
            <w:tcW w:type="dxa" w:w="1325"/>
          </w:tcPr>
          <w:p>
            <w:pPr>
              <w:spacing w:after="20"/>
              <w:jc w:val="right"/>
            </w:pPr>
            <w:r>
              <w:rPr>
                <w:color w:val="1C3A36"/>
                <w:sz w:val="17"/>
              </w:rPr>
              <w:t>3,453</w:t>
            </w:r>
          </w:p>
        </w:tc>
      </w:tr>
    </w:tbl>
    <w:p>
      <w:pPr>
        <w:spacing w:after="40"/>
      </w:pPr>
    </w:p>
    <w:p>
      <w:pPr>
        <w:spacing w:after="200" w:before="0"/>
      </w:pPr>
      <w:r>
        <w:rPr>
          <w:b w:val="0"/>
          <w:i/>
          <w:color w:val="6E7B77"/>
          <w:sz w:val="17"/>
        </w:rPr>
        <w:t>Table A3 — Free cash flow to the FIRM excludes treasury income, which is handled in the equity bridge; free cash flow to equity includes it through profit.</w:t>
      </w:r>
    </w:p>
    <w:p>
      <w:r>
        <w:br w:type="page"/>
      </w:r>
    </w:p>
    <w:p>
      <w:pPr>
        <w:spacing w:after="120" w:before="280"/>
      </w:pPr>
      <w:r>
        <w:rPr>
          <w:b/>
          <w:i w:val="0"/>
          <w:color w:val="1C3A36"/>
          <w:sz w:val="30"/>
        </w:rPr>
        <w:t>Appendix B  Peer set, sector structure and risks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1656"/>
        <w:gridCol w:w="1512"/>
        <w:gridCol w:w="1728"/>
        <w:gridCol w:w="1368"/>
        <w:gridCol w:w="1224"/>
      </w:tblGrid>
      <w:tr>
        <w:tc>
          <w:tcPr>
            <w:tcW w:type="dxa" w:w="2664"/>
            <w:shd w:val="clear" w:color="auto" w:fill="EAF0EE"/>
          </w:tcPr>
          <w:p>
            <w:pPr>
              <w:spacing w:after="20"/>
            </w:pPr>
            <w:r>
              <w:rPr>
                <w:b/>
                <w:color w:val="1C3A36"/>
                <w:sz w:val="17"/>
              </w:rPr>
            </w:r>
          </w:p>
        </w:tc>
        <w:tc>
          <w:tcPr>
            <w:tcW w:type="dxa" w:w="1656"/>
            <w:shd w:val="clear" w:color="auto" w:fill="EAF0EE"/>
          </w:tcPr>
          <w:p>
            <w:pPr>
              <w:spacing w:after="20"/>
            </w:pPr>
            <w:r>
              <w:rPr>
                <w:b/>
                <w:color w:val="1C3A36"/>
                <w:sz w:val="17"/>
              </w:rPr>
              <w:t>Revenue (EGP mn)</w:t>
            </w:r>
          </w:p>
        </w:tc>
        <w:tc>
          <w:tcPr>
            <w:tcW w:type="dxa" w:w="1512"/>
            <w:shd w:val="clear" w:color="auto" w:fill="EAF0EE"/>
          </w:tcPr>
          <w:p>
            <w:pPr>
              <w:spacing w:after="20"/>
            </w:pPr>
            <w:r>
              <w:rPr>
                <w:b/>
                <w:color w:val="1C3A36"/>
                <w:sz w:val="17"/>
              </w:rPr>
              <w:t>Profit (EGP mn)</w:t>
            </w:r>
          </w:p>
        </w:tc>
        <w:tc>
          <w:tcPr>
            <w:tcW w:type="dxa" w:w="1728"/>
            <w:shd w:val="clear" w:color="auto" w:fill="EAF0EE"/>
          </w:tcPr>
          <w:p>
            <w:pPr>
              <w:spacing w:after="20"/>
            </w:pPr>
            <w:r>
              <w:rPr>
                <w:b/>
                <w:color w:val="1C3A36"/>
                <w:sz w:val="17"/>
              </w:rPr>
              <w:t>Market cap (EGP mn)</w:t>
            </w:r>
          </w:p>
        </w:tc>
        <w:tc>
          <w:tcPr>
            <w:tcW w:type="dxa" w:w="1368"/>
            <w:shd w:val="clear" w:color="auto" w:fill="EAF0EE"/>
          </w:tcPr>
          <w:p>
            <w:pPr>
              <w:spacing w:after="20"/>
            </w:pPr>
            <w:r>
              <w:rPr>
                <w:b/>
                <w:color w:val="1C3A36"/>
                <w:sz w:val="17"/>
              </w:rPr>
              <w:t>Price / earnings</w:t>
            </w:r>
          </w:p>
        </w:tc>
        <w:tc>
          <w:tcPr>
            <w:tcW w:type="dxa" w:w="1224"/>
            <w:shd w:val="clear" w:color="auto" w:fill="EAF0EE"/>
          </w:tcPr>
          <w:p>
            <w:pPr>
              <w:spacing w:after="20"/>
            </w:pPr>
            <w:r>
              <w:rPr>
                <w:b/>
                <w:color w:val="1C3A36"/>
                <w:sz w:val="17"/>
              </w:rPr>
              <w:t>Net margin</w:t>
            </w:r>
          </w:p>
        </w:tc>
      </w:tr>
      <w:tr>
        <w:tc>
          <w:tcPr>
            <w:tcW w:type="dxa" w:w="2664"/>
          </w:tcPr>
          <w:p>
            <w:pPr>
              <w:spacing w:after="20"/>
            </w:pPr>
            <w:r>
              <w:rPr>
                <w:color w:val="1C3A36"/>
                <w:sz w:val="17"/>
              </w:rPr>
              <w:t>Arabian Cement (ARCC)</w:t>
            </w:r>
          </w:p>
        </w:tc>
        <w:tc>
          <w:tcPr>
            <w:tcW w:type="dxa" w:w="1656"/>
          </w:tcPr>
          <w:p>
            <w:pPr>
              <w:spacing w:after="20"/>
              <w:jc w:val="right"/>
            </w:pPr>
            <w:r>
              <w:rPr>
                <w:color w:val="1C3A36"/>
                <w:sz w:val="17"/>
              </w:rPr>
              <w:t>12,447</w:t>
            </w:r>
          </w:p>
        </w:tc>
        <w:tc>
          <w:tcPr>
            <w:tcW w:type="dxa" w:w="1512"/>
          </w:tcPr>
          <w:p>
            <w:pPr>
              <w:spacing w:after="20"/>
              <w:jc w:val="right"/>
            </w:pPr>
            <w:r>
              <w:rPr>
                <w:color w:val="1C3A36"/>
                <w:sz w:val="17"/>
              </w:rPr>
              <w:t>3,600</w:t>
            </w:r>
          </w:p>
        </w:tc>
        <w:tc>
          <w:tcPr>
            <w:tcW w:type="dxa" w:w="1728"/>
          </w:tcPr>
          <w:p>
            <w:pPr>
              <w:spacing w:after="20"/>
              <w:jc w:val="right"/>
            </w:pPr>
            <w:r>
              <w:rPr>
                <w:color w:val="1C3A36"/>
                <w:sz w:val="17"/>
              </w:rPr>
              <w:t>22,117</w:t>
            </w:r>
          </w:p>
        </w:tc>
        <w:tc>
          <w:tcPr>
            <w:tcW w:type="dxa" w:w="1368"/>
          </w:tcPr>
          <w:p>
            <w:pPr>
              <w:spacing w:after="20"/>
              <w:jc w:val="right"/>
            </w:pPr>
            <w:r>
              <w:rPr>
                <w:color w:val="1C3A36"/>
                <w:sz w:val="17"/>
              </w:rPr>
              <w:t>6.14x</w:t>
            </w:r>
          </w:p>
        </w:tc>
        <w:tc>
          <w:tcPr>
            <w:tcW w:type="dxa" w:w="1224"/>
          </w:tcPr>
          <w:p>
            <w:pPr>
              <w:spacing w:after="20"/>
              <w:jc w:val="right"/>
            </w:pPr>
            <w:r>
              <w:rPr>
                <w:color w:val="1C3A36"/>
                <w:sz w:val="17"/>
              </w:rPr>
              <w:t>28.9%</w:t>
            </w:r>
          </w:p>
        </w:tc>
      </w:tr>
      <w:tr>
        <w:tc>
          <w:tcPr>
            <w:tcW w:type="dxa" w:w="2664"/>
          </w:tcPr>
          <w:p>
            <w:pPr>
              <w:spacing w:after="20"/>
            </w:pPr>
            <w:r>
              <w:rPr>
                <w:color w:val="1C3A36"/>
                <w:sz w:val="17"/>
              </w:rPr>
              <w:t>Sinai Cement (SCEM)</w:t>
            </w:r>
          </w:p>
        </w:tc>
        <w:tc>
          <w:tcPr>
            <w:tcW w:type="dxa" w:w="1656"/>
          </w:tcPr>
          <w:p>
            <w:pPr>
              <w:spacing w:after="20"/>
              <w:jc w:val="right"/>
            </w:pPr>
            <w:r>
              <w:rPr>
                <w:color w:val="1C3A36"/>
                <w:sz w:val="17"/>
              </w:rPr>
              <w:t>9,090</w:t>
            </w:r>
          </w:p>
        </w:tc>
        <w:tc>
          <w:tcPr>
            <w:tcW w:type="dxa" w:w="1512"/>
          </w:tcPr>
          <w:p>
            <w:pPr>
              <w:spacing w:after="20"/>
              <w:jc w:val="right"/>
            </w:pPr>
            <w:r>
              <w:rPr>
                <w:color w:val="1C3A36"/>
                <w:sz w:val="17"/>
              </w:rPr>
              <w:t>2,290</w:t>
            </w:r>
          </w:p>
        </w:tc>
        <w:tc>
          <w:tcPr>
            <w:tcW w:type="dxa" w:w="1728"/>
          </w:tcPr>
          <w:p>
            <w:pPr>
              <w:spacing w:after="20"/>
              <w:jc w:val="right"/>
            </w:pPr>
            <w:r>
              <w:rPr>
                <w:color w:val="1C3A36"/>
                <w:sz w:val="17"/>
              </w:rPr>
              <w:t>20,604</w:t>
            </w:r>
          </w:p>
        </w:tc>
        <w:tc>
          <w:tcPr>
            <w:tcW w:type="dxa" w:w="1368"/>
          </w:tcPr>
          <w:p>
            <w:pPr>
              <w:spacing w:after="20"/>
              <w:jc w:val="right"/>
            </w:pPr>
            <w:r>
              <w:rPr>
                <w:color w:val="1C3A36"/>
                <w:sz w:val="17"/>
              </w:rPr>
              <w:t>9.00x</w:t>
            </w:r>
          </w:p>
        </w:tc>
        <w:tc>
          <w:tcPr>
            <w:tcW w:type="dxa" w:w="1224"/>
          </w:tcPr>
          <w:p>
            <w:pPr>
              <w:spacing w:after="20"/>
              <w:jc w:val="right"/>
            </w:pPr>
            <w:r>
              <w:rPr>
                <w:color w:val="1C3A36"/>
                <w:sz w:val="17"/>
              </w:rPr>
              <w:t>25.2%</w:t>
            </w:r>
          </w:p>
        </w:tc>
      </w:tr>
      <w:tr>
        <w:tc>
          <w:tcPr>
            <w:tcW w:type="dxa" w:w="2664"/>
          </w:tcPr>
          <w:p>
            <w:pPr>
              <w:spacing w:after="20"/>
            </w:pPr>
            <w:r>
              <w:rPr>
                <w:color w:val="1C3A36"/>
                <w:sz w:val="17"/>
              </w:rPr>
              <w:t>Misr Beni Suef Cement (MBSC)</w:t>
            </w:r>
          </w:p>
        </w:tc>
        <w:tc>
          <w:tcPr>
            <w:tcW w:type="dxa" w:w="1656"/>
          </w:tcPr>
          <w:p>
            <w:pPr>
              <w:spacing w:after="20"/>
              <w:jc w:val="right"/>
            </w:pPr>
            <w:r>
              <w:rPr>
                <w:color w:val="1C3A36"/>
                <w:sz w:val="17"/>
              </w:rPr>
              <w:t>5,700</w:t>
            </w:r>
          </w:p>
        </w:tc>
        <w:tc>
          <w:tcPr>
            <w:tcW w:type="dxa" w:w="1512"/>
          </w:tcPr>
          <w:p>
            <w:pPr>
              <w:spacing w:after="20"/>
              <w:jc w:val="right"/>
            </w:pPr>
            <w:r>
              <w:rPr>
                <w:color w:val="1C3A36"/>
                <w:sz w:val="17"/>
              </w:rPr>
              <w:t>3,946</w:t>
            </w:r>
          </w:p>
        </w:tc>
        <w:tc>
          <w:tcPr>
            <w:tcW w:type="dxa" w:w="1728"/>
          </w:tcPr>
          <w:p>
            <w:pPr>
              <w:spacing w:after="20"/>
              <w:jc w:val="right"/>
            </w:pPr>
            <w:r>
              <w:rPr>
                <w:color w:val="1C3A36"/>
                <w:sz w:val="17"/>
              </w:rPr>
              <w:t>13,730</w:t>
            </w:r>
          </w:p>
        </w:tc>
        <w:tc>
          <w:tcPr>
            <w:tcW w:type="dxa" w:w="1368"/>
          </w:tcPr>
          <w:p>
            <w:pPr>
              <w:spacing w:after="20"/>
              <w:jc w:val="right"/>
            </w:pPr>
            <w:r>
              <w:rPr>
                <w:color w:val="1C3A36"/>
                <w:sz w:val="17"/>
              </w:rPr>
              <w:t>3.48x</w:t>
            </w:r>
          </w:p>
        </w:tc>
        <w:tc>
          <w:tcPr>
            <w:tcW w:type="dxa" w:w="1224"/>
          </w:tcPr>
          <w:p>
            <w:pPr>
              <w:spacing w:after="20"/>
              <w:jc w:val="right"/>
            </w:pPr>
            <w:r>
              <w:rPr>
                <w:color w:val="1C3A36"/>
                <w:sz w:val="17"/>
              </w:rPr>
              <w:t>69.2%</w:t>
            </w:r>
          </w:p>
        </w:tc>
      </w:tr>
    </w:tbl>
    <w:p>
      <w:pPr>
        <w:spacing w:after="40"/>
      </w:pPr>
    </w:p>
    <w:p>
      <w:pPr>
        <w:spacing w:after="200" w:before="0"/>
      </w:pPr>
      <w:r>
        <w:rPr>
          <w:b w:val="0"/>
          <w:i/>
          <w:color w:val="6E7B77"/>
          <w:sz w:val="17"/>
        </w:rPr>
        <w:t>Table B1 — Every multiple here is RECOMPUTED from revenue, profit and market capitalisation rather than quoted, because the published multiples for this peer set do not reconcile against the market capitalisations printed beside them.</w:t>
      </w:r>
    </w:p>
    <w:p>
      <w:pPr>
        <w:spacing w:after="40"/>
        <w:jc w:val="center"/>
      </w:pPr>
      <w:r>
        <w:drawing>
          <wp:inline xmlns:a="http://schemas.openxmlformats.org/drawingml/2006/main" xmlns:pic="http://schemas.openxmlformats.org/drawingml/2006/picture">
            <wp:extent cx="6035040" cy="2481072"/>
            <wp:docPr id="8" name="Picture 8"/>
            <wp:cNvGraphicFramePr>
              <a:graphicFrameLocks noChangeAspect="1"/>
            </wp:cNvGraphicFramePr>
            <a:graphic>
              <a:graphicData uri="http://schemas.openxmlformats.org/drawingml/2006/picture">
                <pic:pic>
                  <pic:nvPicPr>
                    <pic:cNvPr id="0" name="fig8_sector.png"/>
                    <pic:cNvPicPr/>
                  </pic:nvPicPr>
                  <pic:blipFill>
                    <a:blip r:embed="rId16"/>
                    <a:stretch>
                      <a:fillRect/>
                    </a:stretch>
                  </pic:blipFill>
                  <pic:spPr>
                    <a:xfrm>
                      <a:off x="0" y="0"/>
                      <a:ext cx="6035040" cy="2481072"/>
                    </a:xfrm>
                    <a:prstGeom prst="rect"/>
                  </pic:spPr>
                </pic:pic>
              </a:graphicData>
            </a:graphic>
          </wp:inline>
        </w:drawing>
      </w:r>
    </w:p>
    <w:p>
      <w:pPr>
        <w:spacing w:after="200" w:before="0"/>
      </w:pPr>
      <w:r>
        <w:rPr>
          <w:b w:val="0"/>
          <w:i/>
          <w:color w:val="6E7B77"/>
          <w:sz w:val="17"/>
        </w:rPr>
        <w:t>Figure B1 — The Egyptian cement balance. The surplus is the whole sector case.</w:t>
      </w:r>
    </w:p>
    <w:p>
      <w:pPr>
        <w:spacing w:after="120" w:before="0"/>
      </w:pPr>
      <w:r>
        <w:rPr>
          <w:b w:val="0"/>
          <w:i w:val="0"/>
          <w:color w:val="1C3A36"/>
          <w:sz w:val="21"/>
        </w:rPr>
        <w:t>Egypt carries about 76Mt of nameplate capacity against roughly 54Mt of domestic consumption and 73Mt of total sales. The balance now closes because it is taken from one disclosure rather than assembled from three: local 53.9Mt plus exports 18.6Mt equals the 72.6Mt total. Earlier editions set a cement-plus-clinker export figure against a cement-only production figure and printed a balance that was out by 7.5Mt. The correction matters beyond tidiness: 72.6Mt of sales against roughly 76Mt of nameplate is a market running near 96%, which is NOT the structurally slack market this study has described from its first edition. The oversupply risk is prospective — it lives in the 12.6Mt restart programme, not in the current balance — and the distinction is material to the price path. The abolition of the production quota in May 2025 removed the mechanism that had been supporting price into that surplus, and the 12.6Mt restart programme would add to it.</w:t>
      </w:r>
    </w:p>
    <w:p>
      <w:pPr>
        <w:pStyle w:val="ListBullet"/>
        <w:spacing w:after="60"/>
      </w:pPr>
      <w:r>
        <w:rPr>
          <w:b/>
          <w:color w:val="1C3A36"/>
          <w:sz w:val="21"/>
        </w:rPr>
        <w:t xml:space="preserve">Price risk. </w:t>
      </w:r>
      <w:r>
        <w:rPr>
          <w:color w:val="1C3A36"/>
          <w:sz w:val="21"/>
        </w:rPr>
        <w:t>This is the dominant risk, and the disclosure corrects how it should be framed. The Egyptian market is NOT currently slack: it sold 72.6Mt against roughly 76Mt of nameplate, and this company realised a 60.7% rise in its local price in FY2025. The risk is prospective and it has two legs — the 12.6Mt restart programme, and a production quota that was SUSPENDED rather than repealed and could return without legislation. Either would meet a market with little spare demand to absorb it. That is why the forecast price path grows below cost inflation in every year despite an exit rate that would support more.</w:t>
      </w:r>
    </w:p>
    <w:p>
      <w:pPr>
        <w:pStyle w:val="ListBullet"/>
        <w:spacing w:after="60"/>
      </w:pPr>
      <w:r>
        <w:rPr>
          <w:b/>
          <w:color w:val="1C3A36"/>
          <w:sz w:val="21"/>
        </w:rPr>
        <w:t xml:space="preserve">Energy and currency. </w:t>
      </w:r>
      <w:r>
        <w:rPr>
          <w:color w:val="1C3A36"/>
          <w:sz w:val="21"/>
        </w:rPr>
        <w:t>Fuel is dollar-priced and electricity tariffs are on a reform path. Both raise cost independently of what happens to price.</w:t>
      </w:r>
    </w:p>
    <w:p>
      <w:pPr>
        <w:pStyle w:val="ListBullet"/>
        <w:spacing w:after="60"/>
      </w:pPr>
      <w:r>
        <w:rPr>
          <w:b/>
          <w:color w:val="1C3A36"/>
          <w:sz w:val="21"/>
        </w:rPr>
        <w:t xml:space="preserve">Concentration. </w:t>
      </w:r>
      <w:r>
        <w:rPr>
          <w:color w:val="1C3A36"/>
          <w:sz w:val="21"/>
        </w:rPr>
        <w:t>One site, one product, one country. There is no diversification anywhere in this business to absorb a shock to Egyptian construction demand.</w:t>
      </w:r>
    </w:p>
    <w:p>
      <w:pPr>
        <w:pStyle w:val="ListBullet"/>
        <w:spacing w:after="60"/>
      </w:pPr>
      <w:r>
        <w:rPr>
          <w:b/>
          <w:color w:val="1C3A36"/>
          <w:sz w:val="21"/>
        </w:rPr>
        <w:t xml:space="preserve">Carbon. </w:t>
      </w:r>
      <w:r>
        <w:rPr>
          <w:color w:val="1C3A36"/>
          <w:sz w:val="21"/>
        </w:rPr>
        <w:t>The EU carbon border mechanism raises the landed cost of exports into Europe. At a clinker factor of 0.733 — a PRODUCTION ratio, not the ratio of two nameplate capacities the earlier edition mistook for one — this producer is better placed than most Egyptian peers, but better placed is not unaffected. It also ships 26.8% of its tonnes as raw clinker, which carries the highest embedded carbon of anything it sells.</w:t>
      </w:r>
    </w:p>
    <w:p>
      <w:pPr>
        <w:pStyle w:val="ListBullet"/>
        <w:spacing w:after="60"/>
      </w:pPr>
      <w:r>
        <w:rPr>
          <w:b/>
          <w:color w:val="1C3A36"/>
          <w:sz w:val="21"/>
        </w:rPr>
        <w:t xml:space="preserve">Disclosure. </w:t>
      </w:r>
      <w:r>
        <w:rPr>
          <w:color w:val="1C3A36"/>
          <w:sz w:val="21"/>
        </w:rPr>
        <w:t>The depth of published financial detail is thin by the standards of the other markets covered, which is why so much of this study is a triangulation shown rather than a figure asserted.</w:t>
      </w:r>
    </w:p>
    <w:p>
      <w:r>
        <w:br w:type="page"/>
      </w:r>
    </w:p>
    <w:p>
      <w:pPr>
        <w:spacing w:after="120" w:before="280"/>
      </w:pPr>
      <w:r>
        <w:rPr>
          <w:b/>
          <w:i w:val="0"/>
          <w:color w:val="1C3A36"/>
          <w:sz w:val="30"/>
        </w:rPr>
        <w:t>Appendix C  The expert valuation panel</w:t>
      </w:r>
    </w:p>
    <w:p>
      <w:pPr>
        <w:spacing w:after="120" w:before="0"/>
      </w:pPr>
      <w:r>
        <w:rPr>
          <w:b w:val="0"/>
          <w:i w:val="0"/>
          <w:color w:val="1C3A36"/>
          <w:sz w:val="21"/>
        </w:rPr>
        <w:t>Three independent valuations of the same company, each built by a different method and each stated with the specific evidence that would prove it wrong. They are not averaged: the disagreement between them is the point.</w:t>
      </w:r>
    </w:p>
    <w:p>
      <w:pPr>
        <w:spacing w:after="40"/>
        <w:jc w:val="center"/>
      </w:pPr>
      <w:r>
        <w:drawing>
          <wp:inline xmlns:a="http://schemas.openxmlformats.org/drawingml/2006/main" xmlns:pic="http://schemas.openxmlformats.org/drawingml/2006/picture">
            <wp:extent cx="6126480" cy="2346311"/>
            <wp:docPr id="9" name="Picture 9"/>
            <wp:cNvGraphicFramePr>
              <a:graphicFrameLocks noChangeAspect="1"/>
            </wp:cNvGraphicFramePr>
            <a:graphic>
              <a:graphicData uri="http://schemas.openxmlformats.org/drawingml/2006/picture">
                <pic:pic>
                  <pic:nvPicPr>
                    <pic:cNvPr id="0" name="figD1_experts.png"/>
                    <pic:cNvPicPr/>
                  </pic:nvPicPr>
                  <pic:blipFill>
                    <a:blip r:embed="rId17"/>
                    <a:stretch>
                      <a:fillRect/>
                    </a:stretch>
                  </pic:blipFill>
                  <pic:spPr>
                    <a:xfrm>
                      <a:off x="0" y="0"/>
                      <a:ext cx="6126480" cy="2346311"/>
                    </a:xfrm>
                    <a:prstGeom prst="rect"/>
                  </pic:spPr>
                </pic:pic>
              </a:graphicData>
            </a:graphic>
          </wp:inline>
        </w:drawing>
      </w:r>
    </w:p>
    <w:p>
      <w:pPr>
        <w:spacing w:after="200" w:before="0"/>
      </w:pPr>
      <w:r>
        <w:rPr>
          <w:b w:val="0"/>
          <w:i/>
          <w:color w:val="6E7B77"/>
          <w:sz w:val="17"/>
        </w:rPr>
        <w:t>Figure C1 — The three panel valuations against the market price.</w:t>
      </w:r>
    </w:p>
    <w:p>
      <w:pPr>
        <w:spacing w:after="80" w:before="200"/>
      </w:pPr>
      <w:r>
        <w:rPr>
          <w:b/>
          <w:i w:val="0"/>
          <w:color w:val="1C3A36"/>
          <w:sz w:val="24"/>
        </w:rPr>
        <w:t>Expert 1 — Replacement-cost industrialist</w:t>
      </w:r>
    </w:p>
    <w:p>
      <w:pPr>
        <w:spacing w:after="120" w:before="0"/>
      </w:pPr>
      <w:r>
        <w:rPr>
          <w:b/>
          <w:i w:val="0"/>
          <w:color w:val="1C3A36"/>
          <w:sz w:val="21"/>
        </w:rPr>
        <w:t xml:space="preserve">Valuation: </w:t>
      </w:r>
      <w:r>
        <w:rPr>
          <w:b w:val="0"/>
          <w:i w:val="0"/>
          <w:color w:val="1C3A36"/>
          <w:sz w:val="21"/>
        </w:rPr>
        <w:t>EGP 58.81 to EGP 78.94, central EGP 68.87 (+16.7% against the market price of EGP 59.00).</w:t>
      </w:r>
    </w:p>
    <w:p>
      <w:pPr>
        <w:spacing w:after="120" w:before="0"/>
      </w:pPr>
      <w:r>
        <w:rPr>
          <w:b w:val="0"/>
          <w:i w:val="0"/>
          <w:color w:val="1C3A36"/>
          <w:sz w:val="21"/>
        </w:rPr>
        <w:t>Values the plant, not the earnings stream. The audited accounts put net property, plant and equipment at EGP 2522mn and assets under construction at a further EGP 392mn, on a book carried at pre-devaluation historic cost. Five million tonnes of grey cement capacity costs about USD 130 per annual tonne to build; nobody pays that in a market carrying 76Mt of capacity against 54Mt of consumption, so the justified figure is marked to USD 95. Against that the market is paying USD 80 per annual tonne.</w:t>
      </w:r>
    </w:p>
    <w:p>
      <w:pPr>
        <w:spacing w:after="120" w:before="0"/>
      </w:pPr>
      <w:r>
        <w:rPr>
          <w:b/>
          <w:i w:val="0"/>
          <w:color w:val="896F36"/>
          <w:sz w:val="21"/>
        </w:rPr>
        <w:t xml:space="preserve">What would prove this wrong: </w:t>
      </w:r>
      <w:r>
        <w:rPr>
          <w:b w:val="0"/>
          <w:i w:val="0"/>
          <w:color w:val="1C3A36"/>
          <w:sz w:val="21"/>
        </w:rPr>
        <w:t>Find an Egyptian line built, bought or restarted below USD 95 per annual tonne. The 12.6Mt revival programme is the live test and it runs against this lens: restarting a mothballed kiln costs a fraction of building one, which is why this valuation is a ceiling and carries only 8% of the weight.</w:t>
      </w:r>
    </w:p>
    <w:p>
      <w:pPr>
        <w:spacing w:after="80" w:before="200"/>
      </w:pPr>
      <w:r>
        <w:rPr>
          <w:b/>
          <w:i w:val="0"/>
          <w:color w:val="1C3A36"/>
          <w:sz w:val="24"/>
        </w:rPr>
        <w:t>Expert 2 — Mid-cycle earnings-power analyst</w:t>
      </w:r>
    </w:p>
    <w:p>
      <w:pPr>
        <w:spacing w:after="120" w:before="0"/>
      </w:pPr>
      <w:r>
        <w:rPr>
          <w:b/>
          <w:i w:val="0"/>
          <w:color w:val="1C3A36"/>
          <w:sz w:val="21"/>
        </w:rPr>
        <w:t xml:space="preserve">Valuation: </w:t>
      </w:r>
      <w:r>
        <w:rPr>
          <w:b w:val="0"/>
          <w:i w:val="0"/>
          <w:color w:val="1C3A36"/>
          <w:sz w:val="21"/>
        </w:rPr>
        <w:t>EGP 46.12 to EGP 59.78, central EGP 52.95 (-10.3% against the market price of EGP 59.00).</w:t>
      </w:r>
    </w:p>
    <w:p>
      <w:pPr>
        <w:spacing w:after="120" w:before="0"/>
      </w:pPr>
      <w:r>
        <w:rPr>
          <w:b w:val="0"/>
          <w:i w:val="0"/>
          <w:color w:val="1C3A36"/>
          <w:sz w:val="21"/>
        </w:rPr>
        <w:t>Refuses to capitalise a peak, and refuses it on both legs. The audited EBITDA margin went 22.0% to 23.1% to 39.3% across FY2023 to FY2025 — the last of those is the best year the Egyptian industry has had in over a decade. The margin is normalised to 31.2%, the midpoint of the two most recent audited years, the revenue base is cut 6%, and what is left is capitalised at 7 times with cash added back at face.</w:t>
      </w:r>
    </w:p>
    <w:p>
      <w:pPr>
        <w:spacing w:after="120" w:before="0"/>
      </w:pPr>
      <w:r>
        <w:rPr>
          <w:b/>
          <w:i w:val="0"/>
          <w:color w:val="896F36"/>
          <w:sz w:val="21"/>
        </w:rPr>
        <w:t xml:space="preserve">What would prove this wrong: </w:t>
      </w:r>
      <w:r>
        <w:rPr>
          <w:b w:val="0"/>
          <w:i w:val="0"/>
          <w:color w:val="1C3A36"/>
          <w:sz w:val="21"/>
        </w:rPr>
        <w:t>Two consecutive years of realised prices above EGP 4,200 a tonne WITH the revival proceeding would prove the mid-cycle base too low. Equally, the first quarter of 2026 already ran a 42.9% gross margin against 40.6% for FY2025 as a whole — if that holds for the year, this lens is too cautious.</w:t>
      </w:r>
    </w:p>
    <w:p>
      <w:pPr>
        <w:spacing w:after="80" w:before="200"/>
      </w:pPr>
      <w:r>
        <w:rPr>
          <w:b/>
          <w:i w:val="0"/>
          <w:color w:val="1C3A36"/>
          <w:sz w:val="24"/>
        </w:rPr>
        <w:t>Expert 3 — Cash-return and distribution investor</w:t>
      </w:r>
    </w:p>
    <w:p>
      <w:pPr>
        <w:spacing w:after="120" w:before="0"/>
      </w:pPr>
      <w:r>
        <w:rPr>
          <w:b/>
          <w:i w:val="0"/>
          <w:color w:val="1C3A36"/>
          <w:sz w:val="21"/>
        </w:rPr>
        <w:t xml:space="preserve">Valuation: </w:t>
      </w:r>
      <w:r>
        <w:rPr>
          <w:b w:val="0"/>
          <w:i w:val="0"/>
          <w:color w:val="1C3A36"/>
          <w:sz w:val="21"/>
        </w:rPr>
        <w:t>EGP 46.45 to EGP 60.21, central EGP 52.35 (-11.3% against the market price of EGP 59.00).</w:t>
      </w:r>
    </w:p>
    <w:p>
      <w:pPr>
        <w:spacing w:after="120" w:before="0"/>
      </w:pPr>
      <w:r>
        <w:rPr>
          <w:b w:val="0"/>
          <w:i w:val="0"/>
          <w:color w:val="1C3A36"/>
          <w:sz w:val="21"/>
        </w:rPr>
        <w:t>Ignores the terminal value and asks what the cash stream is worth to someone who has to be paid in cash. Average free cash flow to the firm across FY2027-FY2030 is EGP 3097mn; required at a 17.5% cash return that is a business worth EGP 17697mn before net cash of EGP 1926mn is added back. This is not hypothetical: the company declared EGP 2002mn for FY2025 on EGP 3600mn of attributable profit, a 56% payout, and the audited cash flow shows EGP 1702mn actually paid out during 2025.</w:t>
      </w:r>
    </w:p>
    <w:p>
      <w:pPr>
        <w:spacing w:after="120" w:before="0"/>
      </w:pPr>
      <w:r>
        <w:rPr>
          <w:b/>
          <w:i w:val="0"/>
          <w:color w:val="896F36"/>
          <w:sz w:val="21"/>
        </w:rPr>
        <w:t xml:space="preserve">What would prove this wrong: </w:t>
      </w:r>
      <w:r>
        <w:rPr>
          <w:b w:val="0"/>
          <w:i w:val="0"/>
          <w:color w:val="1C3A36"/>
          <w:sz w:val="21"/>
        </w:rPr>
        <w:t>A required cash return above 20% takes this valuation to EGP 46.45. So would maintenance capital spending materially above the USD 4.00 per tonne assumed here — the audited FY2024 and FY2025 capex of EGP 912mn and EGP 796mn is the number to watch, and both years carried the alternative-fuel and silo programmes on top of maintenance.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917"/>
        <w:gridCol w:w="1469"/>
        <w:gridCol w:w="1656"/>
        <w:gridCol w:w="1469"/>
        <w:gridCol w:w="1354"/>
      </w:tblGrid>
      <w:tr>
        <w:tc>
          <w:tcPr>
            <w:tcW w:type="dxa" w:w="3917"/>
            <w:shd w:val="clear" w:color="auto" w:fill="EAF0EE"/>
          </w:tcPr>
          <w:p>
            <w:pPr>
              <w:spacing w:after="20"/>
            </w:pPr>
            <w:r>
              <w:rPr>
                <w:b/>
                <w:color w:val="1C3A36"/>
                <w:sz w:val="18"/>
              </w:rPr>
            </w:r>
          </w:p>
        </w:tc>
        <w:tc>
          <w:tcPr>
            <w:tcW w:type="dxa" w:w="1469"/>
            <w:shd w:val="clear" w:color="auto" w:fill="EAF0EE"/>
          </w:tcPr>
          <w:p>
            <w:pPr>
              <w:spacing w:after="20"/>
            </w:pPr>
            <w:r>
              <w:rPr>
                <w:b/>
                <w:color w:val="1C3A36"/>
                <w:sz w:val="18"/>
              </w:rPr>
              <w:t>Low (EGP)</w:t>
            </w:r>
          </w:p>
        </w:tc>
        <w:tc>
          <w:tcPr>
            <w:tcW w:type="dxa" w:w="1656"/>
            <w:shd w:val="clear" w:color="auto" w:fill="EAF0EE"/>
          </w:tcPr>
          <w:p>
            <w:pPr>
              <w:spacing w:after="20"/>
            </w:pPr>
            <w:r>
              <w:rPr>
                <w:b/>
                <w:color w:val="1C3A36"/>
                <w:sz w:val="18"/>
              </w:rPr>
              <w:t>Central (EGP)</w:t>
            </w:r>
          </w:p>
        </w:tc>
        <w:tc>
          <w:tcPr>
            <w:tcW w:type="dxa" w:w="1469"/>
            <w:shd w:val="clear" w:color="auto" w:fill="EAF0EE"/>
          </w:tcPr>
          <w:p>
            <w:pPr>
              <w:spacing w:after="20"/>
            </w:pPr>
            <w:r>
              <w:rPr>
                <w:b/>
                <w:color w:val="1C3A36"/>
                <w:sz w:val="18"/>
              </w:rPr>
              <w:t>High (EGP)</w:t>
            </w:r>
          </w:p>
        </w:tc>
        <w:tc>
          <w:tcPr>
            <w:tcW w:type="dxa" w:w="1354"/>
            <w:shd w:val="clear" w:color="auto" w:fill="EAF0EE"/>
          </w:tcPr>
          <w:p>
            <w:pPr>
              <w:spacing w:after="20"/>
            </w:pPr>
            <w:r>
              <w:rPr>
                <w:b/>
                <w:color w:val="1C3A36"/>
                <w:sz w:val="18"/>
              </w:rPr>
              <w:t>Versus spot</w:t>
            </w:r>
          </w:p>
        </w:tc>
      </w:tr>
      <w:tr>
        <w:tc>
          <w:tcPr>
            <w:tcW w:type="dxa" w:w="3917"/>
          </w:tcPr>
          <w:p>
            <w:pPr>
              <w:spacing w:after="20"/>
            </w:pPr>
            <w:r>
              <w:rPr>
                <w:color w:val="1C3A36"/>
                <w:sz w:val="18"/>
              </w:rPr>
              <w:t>Expert 1 — Replacement-cost industrialist</w:t>
            </w:r>
          </w:p>
        </w:tc>
        <w:tc>
          <w:tcPr>
            <w:tcW w:type="dxa" w:w="1469"/>
          </w:tcPr>
          <w:p>
            <w:pPr>
              <w:spacing w:after="20"/>
              <w:jc w:val="right"/>
            </w:pPr>
            <w:r>
              <w:rPr>
                <w:color w:val="1C3A36"/>
                <w:sz w:val="18"/>
              </w:rPr>
              <w:t>58.81</w:t>
            </w:r>
          </w:p>
        </w:tc>
        <w:tc>
          <w:tcPr>
            <w:tcW w:type="dxa" w:w="1656"/>
          </w:tcPr>
          <w:p>
            <w:pPr>
              <w:spacing w:after="20"/>
              <w:jc w:val="right"/>
            </w:pPr>
            <w:r>
              <w:rPr>
                <w:color w:val="1C3A36"/>
                <w:sz w:val="18"/>
              </w:rPr>
              <w:t>68.87</w:t>
            </w:r>
          </w:p>
        </w:tc>
        <w:tc>
          <w:tcPr>
            <w:tcW w:type="dxa" w:w="1469"/>
          </w:tcPr>
          <w:p>
            <w:pPr>
              <w:spacing w:after="20"/>
              <w:jc w:val="right"/>
            </w:pPr>
            <w:r>
              <w:rPr>
                <w:color w:val="1C3A36"/>
                <w:sz w:val="18"/>
              </w:rPr>
              <w:t>78.94</w:t>
            </w:r>
          </w:p>
        </w:tc>
        <w:tc>
          <w:tcPr>
            <w:tcW w:type="dxa" w:w="1354"/>
          </w:tcPr>
          <w:p>
            <w:pPr>
              <w:spacing w:after="20"/>
              <w:jc w:val="right"/>
            </w:pPr>
            <w:r>
              <w:rPr>
                <w:color w:val="1C3A36"/>
                <w:sz w:val="18"/>
              </w:rPr>
              <w:t>+16.7%</w:t>
            </w:r>
          </w:p>
        </w:tc>
      </w:tr>
      <w:tr>
        <w:tc>
          <w:tcPr>
            <w:tcW w:type="dxa" w:w="3917"/>
          </w:tcPr>
          <w:p>
            <w:pPr>
              <w:spacing w:after="20"/>
            </w:pPr>
            <w:r>
              <w:rPr>
                <w:color w:val="1C3A36"/>
                <w:sz w:val="18"/>
              </w:rPr>
              <w:t>Expert 2 — Mid-cycle earnings-power analyst</w:t>
            </w:r>
          </w:p>
        </w:tc>
        <w:tc>
          <w:tcPr>
            <w:tcW w:type="dxa" w:w="1469"/>
          </w:tcPr>
          <w:p>
            <w:pPr>
              <w:spacing w:after="20"/>
              <w:jc w:val="right"/>
            </w:pPr>
            <w:r>
              <w:rPr>
                <w:color w:val="1C3A36"/>
                <w:sz w:val="18"/>
              </w:rPr>
              <w:t>46.12</w:t>
            </w:r>
          </w:p>
        </w:tc>
        <w:tc>
          <w:tcPr>
            <w:tcW w:type="dxa" w:w="1656"/>
          </w:tcPr>
          <w:p>
            <w:pPr>
              <w:spacing w:after="20"/>
              <w:jc w:val="right"/>
            </w:pPr>
            <w:r>
              <w:rPr>
                <w:color w:val="1C3A36"/>
                <w:sz w:val="18"/>
              </w:rPr>
              <w:t>52.95</w:t>
            </w:r>
          </w:p>
        </w:tc>
        <w:tc>
          <w:tcPr>
            <w:tcW w:type="dxa" w:w="1469"/>
          </w:tcPr>
          <w:p>
            <w:pPr>
              <w:spacing w:after="20"/>
              <w:jc w:val="right"/>
            </w:pPr>
            <w:r>
              <w:rPr>
                <w:color w:val="1C3A36"/>
                <w:sz w:val="18"/>
              </w:rPr>
              <w:t>59.78</w:t>
            </w:r>
          </w:p>
        </w:tc>
        <w:tc>
          <w:tcPr>
            <w:tcW w:type="dxa" w:w="1354"/>
          </w:tcPr>
          <w:p>
            <w:pPr>
              <w:spacing w:after="20"/>
              <w:jc w:val="right"/>
            </w:pPr>
            <w:r>
              <w:rPr>
                <w:color w:val="1C3A36"/>
                <w:sz w:val="18"/>
              </w:rPr>
              <w:t>-10.3%</w:t>
            </w:r>
          </w:p>
        </w:tc>
      </w:tr>
      <w:tr>
        <w:tc>
          <w:tcPr>
            <w:tcW w:type="dxa" w:w="3917"/>
          </w:tcPr>
          <w:p>
            <w:pPr>
              <w:spacing w:after="20"/>
            </w:pPr>
            <w:r>
              <w:rPr>
                <w:color w:val="1C3A36"/>
                <w:sz w:val="18"/>
              </w:rPr>
              <w:t>Expert 3 — Cash-return and distribution investor</w:t>
            </w:r>
          </w:p>
        </w:tc>
        <w:tc>
          <w:tcPr>
            <w:tcW w:type="dxa" w:w="1469"/>
          </w:tcPr>
          <w:p>
            <w:pPr>
              <w:spacing w:after="20"/>
              <w:jc w:val="right"/>
            </w:pPr>
            <w:r>
              <w:rPr>
                <w:color w:val="1C3A36"/>
                <w:sz w:val="18"/>
              </w:rPr>
              <w:t>46.45</w:t>
            </w:r>
          </w:p>
        </w:tc>
        <w:tc>
          <w:tcPr>
            <w:tcW w:type="dxa" w:w="1656"/>
          </w:tcPr>
          <w:p>
            <w:pPr>
              <w:spacing w:after="20"/>
              <w:jc w:val="right"/>
            </w:pPr>
            <w:r>
              <w:rPr>
                <w:color w:val="1C3A36"/>
                <w:sz w:val="18"/>
              </w:rPr>
              <w:t>52.35</w:t>
            </w:r>
          </w:p>
        </w:tc>
        <w:tc>
          <w:tcPr>
            <w:tcW w:type="dxa" w:w="1469"/>
          </w:tcPr>
          <w:p>
            <w:pPr>
              <w:spacing w:after="20"/>
              <w:jc w:val="right"/>
            </w:pPr>
            <w:r>
              <w:rPr>
                <w:color w:val="1C3A36"/>
                <w:sz w:val="18"/>
              </w:rPr>
              <w:t>60.21</w:t>
            </w:r>
          </w:p>
        </w:tc>
        <w:tc>
          <w:tcPr>
            <w:tcW w:type="dxa" w:w="1354"/>
          </w:tcPr>
          <w:p>
            <w:pPr>
              <w:spacing w:after="20"/>
              <w:jc w:val="right"/>
            </w:pPr>
            <w:r>
              <w:rPr>
                <w:color w:val="1C3A36"/>
                <w:sz w:val="18"/>
              </w:rPr>
              <w:t>-11.3%</w:t>
            </w:r>
          </w:p>
        </w:tc>
      </w:tr>
      <w:tr>
        <w:tc>
          <w:tcPr>
            <w:tcW w:type="dxa" w:w="3917"/>
            <w:shd w:val="clear" w:color="auto" w:fill="F6F1E6"/>
          </w:tcPr>
          <w:p>
            <w:pPr>
              <w:spacing w:after="20"/>
            </w:pPr>
            <w:r>
              <w:rPr>
                <w:b/>
                <w:color w:val="1C3A36"/>
                <w:sz w:val="18"/>
              </w:rPr>
              <w:t>Panel median</w:t>
            </w:r>
          </w:p>
        </w:tc>
        <w:tc>
          <w:tcPr>
            <w:tcW w:type="dxa" w:w="1469"/>
            <w:shd w:val="clear" w:color="auto" w:fill="F6F1E6"/>
          </w:tcPr>
          <w:p>
            <w:pPr>
              <w:spacing w:after="20"/>
              <w:jc w:val="right"/>
            </w:pPr>
            <w:r>
              <w:rPr>
                <w:b/>
                <w:color w:val="1C3A36"/>
                <w:sz w:val="18"/>
              </w:rPr>
              <w:t>—</w:t>
            </w:r>
          </w:p>
        </w:tc>
        <w:tc>
          <w:tcPr>
            <w:tcW w:type="dxa" w:w="1656"/>
            <w:shd w:val="clear" w:color="auto" w:fill="F6F1E6"/>
          </w:tcPr>
          <w:p>
            <w:pPr>
              <w:spacing w:after="20"/>
              <w:jc w:val="right"/>
            </w:pPr>
            <w:r>
              <w:rPr>
                <w:b/>
                <w:color w:val="1C3A36"/>
                <w:sz w:val="18"/>
              </w:rPr>
              <w:t>52.95</w:t>
            </w:r>
          </w:p>
        </w:tc>
        <w:tc>
          <w:tcPr>
            <w:tcW w:type="dxa" w:w="1469"/>
            <w:shd w:val="clear" w:color="auto" w:fill="F6F1E6"/>
          </w:tcPr>
          <w:p>
            <w:pPr>
              <w:spacing w:after="20"/>
              <w:jc w:val="right"/>
            </w:pPr>
            <w:r>
              <w:rPr>
                <w:b/>
                <w:color w:val="1C3A36"/>
                <w:sz w:val="18"/>
              </w:rPr>
              <w:t>—</w:t>
            </w:r>
          </w:p>
        </w:tc>
        <w:tc>
          <w:tcPr>
            <w:tcW w:type="dxa" w:w="1354"/>
            <w:shd w:val="clear" w:color="auto" w:fill="F6F1E6"/>
          </w:tcPr>
          <w:p>
            <w:pPr>
              <w:spacing w:after="20"/>
              <w:jc w:val="right"/>
            </w:pPr>
            <w:r>
              <w:rPr>
                <w:b/>
                <w:color w:val="1C3A36"/>
                <w:sz w:val="18"/>
              </w:rPr>
              <w:t>-10.3%</w:t>
            </w:r>
          </w:p>
        </w:tc>
      </w:tr>
    </w:tbl>
    <w:p>
      <w:pPr>
        <w:spacing w:after="40"/>
      </w:pPr>
    </w:p>
    <w:p>
      <w:pPr>
        <w:spacing w:after="200" w:before="0"/>
      </w:pPr>
      <w:r>
        <w:rPr>
          <w:b w:val="0"/>
          <w:i/>
          <w:color w:val="6E7B77"/>
          <w:sz w:val="17"/>
        </w:rPr>
        <w:t>Table C1 — The panel. The median sits close to the weighted central of the four principal lenses, which is a coincidence of construction rather than a confirmation — both are looking at the same company through overlapping methods.</w:t>
      </w:r>
    </w:p>
    <w:p>
      <w:pPr>
        <w:spacing w:after="120" w:before="0"/>
      </w:pPr>
      <w:r>
        <w:rPr>
          <w:b w:val="0"/>
          <w:i w:val="0"/>
          <w:color w:val="1C3A36"/>
          <w:sz w:val="21"/>
        </w:rPr>
      </w:r>
    </w:p>
    <w:p>
      <w:pPr>
        <w:spacing w:after="120" w:before="0"/>
      </w:pPr>
      <w:r>
        <w:rPr>
          <w:b w:val="0"/>
          <w:i/>
          <w:color w:val="6E7B77"/>
          <w:sz w:val="17"/>
        </w:rPr>
        <w:t>Testahil · Independent valuation research · Educational analysis, not investment advice. No rating and no price target is expressed or implied.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