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18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267</w:t>
            </w:r>
          </w:p>
        </w:tc>
      </w:tr>
      <w:tr>
        <w:tc>
          <w:tcPr>
            <w:tcW w:type="dxa" w:w="6236"/>
          </w:tcPr>
          <w:p>
            <w:r/>
            <w:r>
              <w:rPr>
                <w:color w:val="1A1D21"/>
                <w:sz w:val="18"/>
              </w:rPr>
              <w:t>Bind on a class of company (CLASS)</w:t>
            </w:r>
          </w:p>
        </w:tc>
        <w:tc>
          <w:tcPr>
            <w:tcW w:type="dxa" w:w="2721"/>
          </w:tcPr>
          <w:p>
            <w:r/>
            <w:r>
              <w:rPr>
                <w:color w:val="1A1D21"/>
                <w:sz w:val="18"/>
              </w:rPr>
              <w:t>34</w:t>
            </w:r>
          </w:p>
        </w:tc>
      </w:tr>
      <w:tr>
        <w:tc>
          <w:tcPr>
            <w:tcW w:type="dxa" w:w="6236"/>
          </w:tcPr>
          <w:p>
            <w:r/>
            <w:r>
              <w:rPr>
                <w:color w:val="1A1D21"/>
                <w:sz w:val="18"/>
              </w:rPr>
              <w:t>Bind on a single company (STOCK)</w:t>
            </w:r>
          </w:p>
        </w:tc>
        <w:tc>
          <w:tcPr>
            <w:tcW w:type="dxa" w:w="2721"/>
          </w:tcPr>
          <w:p>
            <w:r/>
            <w:r>
              <w:rPr>
                <w:color w:val="1A1D21"/>
                <w:sz w:val="18"/>
              </w:rPr>
              <w:t>11</w:t>
            </w:r>
          </w:p>
        </w:tc>
      </w:tr>
      <w:tr>
        <w:tc>
          <w:tcPr>
            <w:tcW w:type="dxa" w:w="6236"/>
          </w:tcPr>
          <w:p>
            <w:r/>
            <w:r>
              <w:rPr>
                <w:color w:val="1A1D21"/>
                <w:sz w:val="18"/>
              </w:rPr>
              <w:t>Total</w:t>
            </w:r>
          </w:p>
        </w:tc>
        <w:tc>
          <w:tcPr>
            <w:tcW w:type="dxa" w:w="2721"/>
          </w:tcPr>
          <w:p>
            <w:r/>
            <w:r>
              <w:rPr>
                <w:color w:val="1A1D21"/>
                <w:sz w:val="18"/>
              </w:rPr>
              <w:t>312</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62</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28</w:t>
            </w:r>
          </w:p>
        </w:tc>
      </w:tr>
      <w:tr>
        <w:tc>
          <w:tcPr>
            <w:tcW w:type="dxa" w:w="6236"/>
          </w:tcPr>
          <w:p>
            <w:r/>
            <w:r>
              <w:rPr>
                <w:color w:val="1A1D21"/>
                <w:sz w:val="18"/>
              </w:rPr>
              <w:t>From self-audits</w:t>
            </w:r>
          </w:p>
        </w:tc>
        <w:tc>
          <w:tcPr>
            <w:tcW w:type="dxa" w:w="2721"/>
          </w:tcPr>
          <w:p>
            <w:r/>
            <w:r>
              <w:rPr>
                <w:color w:val="1A1D21"/>
                <w:sz w:val="18"/>
              </w:rPr>
              <w:t>26</w:t>
            </w:r>
          </w:p>
        </w:tc>
      </w:tr>
      <w:tr>
        <w:tc>
          <w:tcPr>
            <w:tcW w:type="dxa" w:w="6236"/>
          </w:tcPr>
          <w:p>
            <w:r/>
            <w:r>
              <w:rPr>
                <w:color w:val="1A1D21"/>
                <w:sz w:val="18"/>
              </w:rPr>
              <w:t>Found while building</w:t>
            </w:r>
          </w:p>
        </w:tc>
        <w:tc>
          <w:tcPr>
            <w:tcW w:type="dxa" w:w="2721"/>
          </w:tcPr>
          <w:p>
            <w:r/>
            <w:r>
              <w:rPr>
                <w:color w:val="1A1D21"/>
                <w:sz w:val="18"/>
              </w:rPr>
              <w:t>194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10 (AMOC, ARCC, EGCH, ELEC, GBCO, PHAR, PHDC, SCEM, SWDY,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414</w:t>
            </w:r>
          </w:p>
        </w:tc>
      </w:tr>
    </w:tbl>
    <w:p/>
    <w:p>
      <w:pPr>
        <w:spacing w:after="120"/>
      </w:pPr>
      <w:r>
        <w:rPr>
          <w:b/>
          <w:i w:val="0"/>
          <w:color w:val="1A1D21"/>
          <w:sz w:val="21"/>
        </w:rPr>
        <w:t>The price engine is well tested; the fundamental method is not. 20 names carry price-engine evidence, DU (18 forecasts) and GBCO (56) among them. The fundamental method has been through a full training run on AMOC and ARCC and EGCH and ELEC and GBCO and PHAR and PHDC and SCEM and SWDY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414 forecasts across 20 names.</w:t>
      </w:r>
    </w:p>
    <w:p>
      <w:pPr>
        <w:spacing w:after="120"/>
      </w:pPr>
      <w:r>
        <w:rPr>
          <w:b w:val="0"/>
          <w:i w:val="0"/>
          <w:color w:val="1A1D21"/>
          <w:sz w:val="21"/>
        </w:rPr>
        <w:t>Not yet acted on (64):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L-352 — The gap between a company's prices and its costs barely moves; the rate they both rise at moves enormously; L-353 — Holding a price or a cost still is the worst thing a forecast can do with it; L-354 — A range built from a handful of past errors is not the interval it looks like; L-356 — The forecasting method could not be tested on ELEC at all; L-357 — An index of filings is not an archive of filings; L-358 — A study's historicals can be unverifiable and still pass every gate; L-359 — Check that a "filed record" was filed before reasoning from it; L-360 — The accounting-policies note usually gives a range, not a life; L-361 — A borrowing rate below the sovereign is the arithmetic failing, not the company borrowing cheaply; L-362 — Operating profit forecasts run about 46% too low for GBCO; L-363 — The finance cost forecast loses to assuming no change; L-364 — The revenue bias changes direction between regimes; L-365 — Dna forecasts run about 1.6 times too high for PHAR; L-366 — Price per pack forecasts run about 42% too low for PHAR; L-367 — Cogs wages forecasts run about 27% too low for SCEM; L-368 — Revenue forecasts run about 1.8 times too low for SCEM; L-369 — The finance expense error is the company, not the currency; L-370 — D11 depreciation forecasts run about 2.5 times too low for SWDY; L-371 — D15 finance costs forecasts run about 2.4 times too low for SWDY; L-372 — D1 cable volume t forecasts run about 28% too high for SWDY; L-373 — D5 contracting revenue forecasts run about 39% too low for SWDY; L-374 — The A gross profit error is the company, not the currency; L-375 — The A cost of revenue bias changes direction between regimes.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pPr>
        <w:keepNext/>
        <w:spacing w:before="240" w:after="60"/>
      </w:pPr>
      <w:r>
        <w:rPr>
          <w:b/>
          <w:color w:val="1A1D21"/>
          <w:sz w:val="22"/>
        </w:rPr>
        <w:t>L-343  RECORDING A FAILED SEARCH IS RIGHT, AND IT TURNS THE FAILURE INTO A COMMITTED FACT UNLESS THE RECORD SEPARATES WHAT WAS TRIED FROM WHAT EXISTS</w:t>
      </w:r>
    </w:p>
    <w:p>
      <w:pPr>
        <w:keepNext/>
        <w:spacing w:after="100"/>
      </w:pPr>
      <w:r>
        <w:rPr>
          <w:b/>
          <w:color w:val="1D6FA3"/>
          <w:sz w:val="16"/>
        </w:rPr>
        <w:t>EVERY STUDY</w:t>
      </w:r>
      <w:r>
        <w:rPr>
          <w:color w:val="5B6570"/>
          <w:sz w:val="16"/>
        </w:rPr>
        <w:t xml:space="preserve">   applies to every study   ·   learned from a found while building, STC's source register, 5 September 2026</w:t>
      </w:r>
    </w:p>
    <w:p>
      <w:pPr>
        <w:spacing w:after="100"/>
      </w:pPr>
      <w:r>
        <w:rPr>
          <w:b w:val="0"/>
          <w:i w:val="0"/>
          <w:color w:val="1A1D21"/>
          <w:sz w:val="21"/>
        </w:rPr>
        <w:t>A study's source register listed four investor-relations URLs, each returning the site's own 404 page under an HTTP 200, and concluded that the investor-relations path in the delivered study no longer resolved. Every word of that was true about those four URLs. It was false about the site: the sitemap listed a whole investor section including the presentations page, carrying every earnings deck and call transcript back to 2017 — and the sitemap was ALREADY the route that had found the financial statements in the same session. Nobody pointed it at the presentations. THE DISCIPLINE THAT CAUSED THIS IS THE RIGHT ONE: writing down what was attempted and what came back is exactly what the protocol asks for, and it is why the four URLs were on the page at all. What it lacked was the distinction between the two claims — 'these four addresses returned nothing' and 'this channel is gone' — because a register is precisely the artefact a later session trusts instead of searching again, so a negative written into one becomes durable in a way a failed command never is. The cost here was a study forecasting two thirds of its revenue from an extrapolated segment rate while the subscriber counts that would let it be built as volume times price sat one sitemap away, and the correction immediately showed the growth was VOLUME with price per subscriber falling about 3%, which the extrapolated rate nets out and hides.</w:t>
      </w:r>
    </w:p>
    <w:p>
      <w:pPr>
        <w:spacing w:after="60"/>
        <w:ind w:left="283"/>
      </w:pPr>
      <w:r>
        <w:rPr>
          <w:b w:val="0"/>
          <w:i w:val="0"/>
          <w:color w:val="5B6570"/>
          <w:sz w:val="19"/>
        </w:rPr>
        <w:t>How we know.  Four URLs recorded as failing; www.stc.com.sa/sitemap.xml listed the investor section and the presentations page resolved first try, carrying decks back to 2017.</w:t>
      </w:r>
    </w:p>
    <w:p>
      <w:pPr>
        <w:spacing w:after="160"/>
        <w:ind w:left="283"/>
      </w:pPr>
      <w:r>
        <w:rPr>
          <w:b w:val="0"/>
          <w:i w:val="0"/>
          <w:color w:val="5B6570"/>
          <w:sz w:val="19"/>
        </w:rPr>
        <w:t>What would overturn it.  It is overturned where a register records only the attempts and never a conclusion about the world — then there is no false claim to inherit. What would NOT overturn it is trying harder: four careful probes is not a small effort, and the defect was in what their failure was written up as, not in how many there were.</w:t>
      </w:r>
    </w:p>
    <w:p>
      <w:pPr>
        <w:keepNext/>
        <w:spacing w:before="240" w:after="60"/>
      </w:pPr>
      <w:r>
        <w:rPr>
          <w:b/>
          <w:color w:val="1A1D21"/>
          <w:sz w:val="22"/>
        </w:rPr>
        <w:t>L-344  A BUILD READS THE LINE IT EXPECTS AND NOT THE NOTE THE LINE POINTS AT, AND EVERY GATE IN THE ROOM IS BLIND TO IT</w:t>
      </w:r>
    </w:p>
    <w:p>
      <w:pPr>
        <w:keepNext/>
        <w:spacing w:after="100"/>
      </w:pPr>
      <w:r>
        <w:rPr>
          <w:b/>
          <w:color w:val="1D6FA3"/>
          <w:sz w:val="16"/>
        </w:rPr>
        <w:t>EVERY STUDY</w:t>
      </w:r>
      <w:r>
        <w:rPr>
          <w:color w:val="5B6570"/>
          <w:sz w:val="16"/>
        </w:rPr>
        <w:t xml:space="preserve">   applies to every study   ·   learned from a found while building, STC, AMOC and SCEM, August-September 2026</w:t>
      </w:r>
    </w:p>
    <w:p>
      <w:pPr>
        <w:spacing w:after="100"/>
      </w:pPr>
      <w:r>
        <w:rPr>
          <w:b w:val="0"/>
          <w:i w:val="0"/>
          <w:color w:val="1A1D21"/>
          <w:sz w:val="21"/>
        </w:rPr>
        <w:t>Three defects of one shape landed in a single study in a single session, and all three were figures sitting in a note the build had never opened, inside documents it had already fetched and parsed cell by cell. The associates line was carried at a quarter of the filed figure because the note splitting it was not read; the reviewed half-year was downloaded and the forecast built as though it did not exist; and a claim ahead of equity — consideration owed to a regulator for licences already capitalised — sat on its own row inside "financial liabilities and others" while the bridge read the borrowings lines beside it and stopped. The same shape had already produced AMOC's unopened reviewed statements and SCEM's audited statements sitting unread on the company's own website, so it is three companies rather than one quirk. WHAT MAKES IT INVISIBLE is that nothing is wrong with the figure that WAS read: it is correctly extracted, correctly footed and correctly sourced, so provenance, arithmetic, four- field registers and recalculation are all clean. The defect is an ABSENCE, and an absence has no cell to check. Two of the three raised the value and one lowered it, which is the useful part: it is a reading habit and not a lean, and a habit is cheaper to fix than a bias. THE PRACTICAL FORM: where a line on the face of a statement carries a note reference, the note is opened before the line is used, and a bridge is built from the NOTES rather than from the face — the face aggregates, and what it aggregates is where the claims hide.</w:t>
      </w:r>
    </w:p>
    <w:p>
      <w:pPr>
        <w:spacing w:after="60"/>
        <w:ind w:left="283"/>
      </w:pPr>
      <w:r>
        <w:rPr>
          <w:b w:val="0"/>
          <w:i w:val="0"/>
          <w:color w:val="5B6570"/>
          <w:sz w:val="19"/>
        </w:rPr>
        <w:t>How we know.  Associates 4,641 carried against a filed 12,909.648; a reviewed half with an EBITDA margin 89 basis points above the forecast built without it; spectrum-licence liabilities of 3,443.044 outside borrowings and outside the bridge, worth -1.79% of the central.</w:t>
      </w:r>
    </w:p>
    <w:p>
      <w:pPr>
        <w:spacing w:after="160"/>
        <w:ind w:left="283"/>
      </w:pPr>
      <w:r>
        <w:rPr>
          <w:b w:val="0"/>
          <w:i w:val="0"/>
          <w:color w:val="5B6570"/>
          <w:sz w:val="19"/>
        </w:rPr>
        <w:t>What would overturn it.  It is overturned if a study is found where opening every referenced note changed nothing material across a whole build — which would say the face of the statements is usually sufficient and these were three unlucky names. What would NOT overturn it is a gate catching one of these: none of the existing gates can, because each defect is a figure that is absent rather than wrong.</w:t>
      </w:r>
    </w:p>
    <w:p>
      <w:pPr>
        <w:keepNext/>
        <w:spacing w:before="240" w:after="60"/>
      </w:pPr>
      <w:r>
        <w:rPr>
          <w:b/>
          <w:color w:val="1A1D21"/>
          <w:sz w:val="22"/>
        </w:rPr>
        <w:t>L-345  A RULE THAT ENUMERATES ITS SURFACES IS ONLY CHECKED ON THE SURFACES SOMEBODY WIRED UP</w:t>
      </w:r>
    </w:p>
    <w:p>
      <w:pPr>
        <w:keepNext/>
        <w:spacing w:after="100"/>
      </w:pPr>
      <w:r>
        <w:rPr>
          <w:b/>
          <w:color w:val="1D6FA3"/>
          <w:sz w:val="16"/>
        </w:rPr>
        <w:t>EVERY STUDY</w:t>
      </w:r>
      <w:r>
        <w:rPr>
          <w:color w:val="5B6570"/>
          <w:sz w:val="16"/>
        </w:rPr>
        <w:t xml:space="preserve">   applies to every study   ·   learned from a found while building, The skill-verdict sweep, 5 September 2026</w:t>
      </w:r>
    </w:p>
    <w:p>
      <w:pPr>
        <w:spacing w:after="100"/>
      </w:pPr>
      <w:r>
        <w:rPr>
          <w:b w:val="0"/>
          <w:i w:val="0"/>
          <w:color w:val="1A1D21"/>
          <w:sz w:val="21"/>
        </w:rPr>
        <w:t>The retired skill verdict may reach "no page, figure, document or deck". Its gate grew one surface at a time — the pages first, the figures' caption template next, the Word documents a fortnight later — and nobody ever pointed it at the WORKBOOK, which is delivered in the same folder, on the same day, to the same reader. Five delivered workbooks still carried the verdict, three of them the literal word in capitals, and TWO WERE BUILT THAT WEEK: those studies were swept, passed, and shipped it in the file beside the document. The missing surface was not obscure and nobody decided to leave it out; it simply was never counted. THE PRACTICAL FORM: when a rule names a set of surfaces, read the set back off the CHECKER rather than off the rule, and make the difference explicit. A gate that reads three of four named surfaces reports clean on the fourth for ever, and reports it in exactly the words a fully wired gate would use.</w:t>
      </w:r>
    </w:p>
    <w:p>
      <w:pPr>
        <w:spacing w:after="60"/>
        <w:ind w:left="283"/>
      </w:pPr>
      <w:r>
        <w:rPr>
          <w:b w:val="0"/>
          <w:i w:val="0"/>
          <w:color w:val="5B6570"/>
          <w:sz w:val="19"/>
        </w:rPr>
        <w:t>How we know.  Eight verdict hits across five delivered workbooks at their latest edition, found by a sweep and by no gate; all five fixed rather than ratcheted, so the exemplar's debt did not grow.</w:t>
      </w:r>
    </w:p>
    <w:p>
      <w:pPr>
        <w:spacing w:after="160"/>
        <w:ind w:left="283"/>
      </w:pPr>
      <w:r>
        <w:rPr>
          <w:b w:val="0"/>
          <w:i w:val="0"/>
          <w:color w:val="5B6570"/>
          <w:sz w:val="19"/>
        </w:rPr>
        <w:t>What would overturn it.  It is overturned where a rule's surfaces cannot be enumerated at all — then the gate is doing the best available thing and the gap is in the rule. What would NOT overturn it is the gate being correct on the surfaces it does read: it was, on all three, which is why nothing looked wrong.</w:t>
      </w:r>
    </w:p>
    <w:p>
      <w:pPr>
        <w:keepNext/>
        <w:spacing w:before="240" w:after="60"/>
      </w:pPr>
      <w:r>
        <w:rPr>
          <w:b/>
          <w:color w:val="1A1D21"/>
          <w:sz w:val="22"/>
        </w:rPr>
        <w:t>L-346  AN INSTRUMENT THAT MATCHES FIGURES AGAINST A MODEL CANNOT SEE A FIGURE USED IN THE WRONG PLACE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reconciliation instrument reported zero unmatched across every percentage and multiple in its delivered document, and the opening paragraph of its own valuation section was wrong in four places at once: revenue compounding at 3.0% against a committed 2.4%, a margin GLIDING UP to 32.5% where the model runs flat and slightly DOWN, a capital intensity of 16.5% fading to 15.0% which is MANAGEMENT'S GUIDANCE BAND and is the construction that study had just retired, and a tax rate of 9.7% against the 8.03% applied. THE REASON THE INSTRUMENT WAS BLIND IS STRUCTURAL AND NOT A BUG: every one of those figures exists somewhere in the committed record — a sensitivity step, a filed year, a guidance range, a forecast-year earnings figure — so a rendering set wide enough to admit the legitimate uses admits the illegitimate ones too. Being in the record is exactly what makes a misplaced figure look right. THE PRACTICAL FORM: the figure check and a CLAIM sweep are different instruments and neither is optional. The claim sweep tests assertions rather than numerals — a guidance band consumed, a glide asserted, a floor named, a lens said to sit above a price it sits below — and it is written by reading the document, which is what tells you which arithmetic to write.</w:t>
      </w:r>
    </w:p>
    <w:p>
      <w:pPr>
        <w:spacing w:after="60"/>
        <w:ind w:left="283"/>
      </w:pPr>
      <w:r>
        <w:rPr>
          <w:b w:val="0"/>
          <w:i w:val="0"/>
          <w:color w:val="5B6570"/>
          <w:sz w:val="19"/>
        </w:rPr>
        <w:t>How we know.  Eleven defects of this class in one document after the instrument reported zero unmatched, and after a page-by-page read had already found and fixed nine others. The claim sweep that caught them tests twelve shapes and is four lines of regular expressions.</w:t>
      </w:r>
    </w:p>
    <w:p>
      <w:pPr>
        <w:spacing w:after="160"/>
        <w:ind w:left="283"/>
      </w:pPr>
      <w:r>
        <w:rPr>
          <w:b w:val="0"/>
          <w:i w:val="0"/>
          <w:color w:val="5B6570"/>
          <w:sz w:val="19"/>
        </w:rPr>
        <w:t>What would overturn it.  It is overturned by a rendering set that can distinguish a figure's USE from its presence — which would mean matching each figure to the specific committed value it renders rather than to any of them. That is buildable and nobody has built it; until then the two instruments are complementary. What would NOT overturn it is a wider or narrower rendering set: narrower produces false positives on legitimate uses, wider hides more.</w:t>
      </w:r>
    </w:p>
    <w:p>
      <w:pPr>
        <w:keepNext/>
        <w:spacing w:before="240" w:after="60"/>
      </w:pPr>
      <w:r>
        <w:rPr>
          <w:b/>
          <w:color w:val="1A1D21"/>
          <w:sz w:val="22"/>
        </w:rPr>
        <w:t>L-347  FIXING A TABLE DOES NOT FIX THE SENTENCE THAT RESTATES IT</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normalisation was rebuilt after a workbook reconciliation exposed it, and an assertion now holds the rebuilt table to its own arithmetic at every build. The paragraph three inches above it went on stating the RETIRED arithmetic in words — "~SAR 14.4 bn (reported 14.8 bn less the zakat credit), or EPS ~2.89" — which is the filed profit less the NET zakat line rather than the disclosed one-off inside it, against a rebuilt 13.2 bn and 2.65. The same shape appeared three more times in one document: a cost-of-capital table rebuilt from the record while the prose sentence restating it kept the retired beta; a cover table moved onto the filed years while its introduction still framed the guidance band; a football-field figure recomputed while its caption still described the three-lever bear case that had been replaced by a one-lever one. NO ASSERTION REACHES A SENTENCE. THE PRACTICAL FORM: when a construction changes, grep the delivered text for the OLD construction by name — not for its numbers, which is what the figure check already does — because the sentence that restates a table is written once and never rebuilt.</w:t>
      </w:r>
    </w:p>
    <w:p>
      <w:pPr>
        <w:spacing w:after="60"/>
        <w:ind w:left="283"/>
      </w:pPr>
      <w:r>
        <w:rPr>
          <w:b w:val="0"/>
          <w:i w:val="0"/>
          <w:color w:val="5B6570"/>
          <w:sz w:val="19"/>
        </w:rPr>
        <w:t>How we know.  Four instances in one document, each surviving the rebuild of the exact table it described, and each invisible to a figure check because its figures were legitimate elsewhere.</w:t>
      </w:r>
    </w:p>
    <w:p>
      <w:pPr>
        <w:spacing w:after="160"/>
        <w:ind w:left="283"/>
      </w:pPr>
      <w:r>
        <w:rPr>
          <w:b w:val="0"/>
          <w:i w:val="0"/>
          <w:color w:val="5B6570"/>
          <w:sz w:val="19"/>
        </w:rPr>
        <w:t>What would overturn it.  It is overturned where prose is generated from the same record as the table it describes, which removes the possibility rather than checking for it — several of these were fixed that way and the fix is available whenever a sentence's claim is arithmetic. It does NOT apply to genuinely narrative prose, which cannot be generated and must be swept.</w:t>
      </w:r>
    </w:p>
    <w:p>
      <w:pPr>
        <w:keepNext/>
        <w:spacing w:before="240" w:after="60"/>
      </w:pPr>
      <w:r>
        <w:rPr>
          <w:b/>
          <w:color w:val="1A1D21"/>
          <w:sz w:val="22"/>
        </w:rPr>
        <w:t>L-348  A STUDY'S OWN PRICE MAP MUST REPRODUCE THE COMMITTED FIT, AND ONE THAT RE-DERIVES IT WILL DISAGREE WITH THE SITE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delivered study's probability section ran a simulation of its own rather than calling the production chain, and it was wrong in five ways at once against the fit its market actually runs: Student-t innovations hardcoded at five degrees of freedom against a fitted fifteen, NO width calibration at all against a fitted 1.056, zero drift on a market carrying an ACTIVE momentum lean, a horizon fixed at sixty sessions where the horizons are calendar, and a sixteen-factor stack of nine typed jump probabilities with typed impacts whose own printed caption conceded that none of them was calibrated. THE CONSEQUENCE WAS NOT A ROUNDING DIFFERENCE: it published a different cone from the one the site publishes for that name on that day — a three-month median of 45.06 against 45.30, a 95th percentile of 51.21 against 52.20, and a thirteen per cent chance of touching a level against twenty. A reader holding both would have found two answers to one question, and the one with the invented event probabilities was the one wearing the study's covers. THE PRACTICAL FORM: a study REPRODUCES the committed fit by calling the same function the roll-forward calls, and asserts the reproduction rather than trusting it. Re-implementing an engine to describe it grades something other than what ships.</w:t>
      </w:r>
    </w:p>
    <w:p>
      <w:pPr>
        <w:spacing w:after="60"/>
        <w:ind w:left="283"/>
      </w:pPr>
      <w:r>
        <w:rPr>
          <w:b w:val="0"/>
          <w:i w:val="0"/>
          <w:color w:val="5B6570"/>
          <w:sz w:val="19"/>
        </w:rPr>
        <w:t>How we know.  Re-pointed at the production strike, the study reproduces the published row to the cent at both horizons and the touch ladder to the point, across eight levels and two horizons. The study's own walk-forward artefact was the same defect one layer down: sixty origins from an uncleaned frame, disagreeing with the committed panel on the very first row because the data-quality gate had not been applied.</w:t>
      </w:r>
    </w:p>
    <w:p>
      <w:pPr>
        <w:spacing w:after="160"/>
        <w:ind w:left="283"/>
      </w:pPr>
      <w:r>
        <w:rPr>
          <w:b w:val="0"/>
          <w:i w:val="0"/>
          <w:color w:val="5B6570"/>
          <w:sz w:val="19"/>
        </w:rPr>
        <w:t>What would overturn it.  It is overturned where a study legitimately needs a construction the production engine does not offer — a counterfactual, an ablation, a diagnostic. Those are internal and must be LABELLED as not the published cone; what is forbidden is a study-local construction PRESENTED as the house's price map.</w:t>
      </w:r>
    </w:p>
    <w:p>
      <w:pPr>
        <w:keepNext/>
        <w:spacing w:before="240" w:after="60"/>
      </w:pPr>
      <w:r>
        <w:rPr>
          <w:b/>
          <w:color w:val="1A1D21"/>
          <w:sz w:val="22"/>
        </w:rPr>
        <w:t>L-349  A DIRECTIONAL CLAIM IS TESTABLE FROM THE RECORD, AND THE NAIVE TEST IS NOT</w:t>
      </w:r>
    </w:p>
    <w:p>
      <w:pPr>
        <w:keepNext/>
        <w:spacing w:after="100"/>
      </w:pPr>
      <w:r>
        <w:rPr>
          <w:b/>
          <w:color w:val="1D6FA3"/>
          <w:sz w:val="16"/>
        </w:rPr>
        <w:t>EVERY STUDY</w:t>
      </w:r>
      <w:r>
        <w:rPr>
          <w:color w:val="5B6570"/>
          <w:sz w:val="16"/>
        </w:rPr>
        <w:t xml:space="preserve">   applies to every study   ·   learned from a found while building, A book-wide directional sweep run while auditing STC, 5 September 2026</w:t>
      </w:r>
    </w:p>
    <w:p>
      <w:pPr>
        <w:spacing w:after="100"/>
      </w:pPr>
      <w:r>
        <w:rPr>
          <w:b w:val="0"/>
          <w:i w:val="0"/>
          <w:color w:val="1A1D21"/>
          <w:sz w:val="21"/>
        </w:rPr>
        <w:t>"X sits above the market price" is a claim a study can be held to using only its own committed values and no model at all, which makes it look like an easy gate. MEASURED ACROSS TWENTY-THREE DELIVERED STUDIES it is not: a first draft flagged 11 of 119 such sentences, a second draft — re-pointed to skip probability reads, to skip a spot compared with itself, and to take the NEAREST figure rather than the last in a window — flagged 16 of 57, WORSE at 28.1%, and inspection put almost all of it on the instrument rather than on the book. It read "30% above the market price" as a value of 3.0; it took the top of a printed range as the subject of a sentence about that range's bottom corner; it ran one table cell's figure into the next row's direction word. THE SUBJECT OF A DIRECTIONAL SENTENCE IS NOT RECOVERABLE FROM THE PAGE, which is the same residue the waterfall gate hit and has the same answer: the test moves to whoever knows, because the BUILDER knows which value the sentence is about and the page never says. WHAT THE SWEEP DID FIND, and no gate in this repository could see either, is two delivered studies whose lens-comparison prose contradicts their own committed record — every individual figure correct, the relationship between them wrong.</w:t>
      </w:r>
    </w:p>
    <w:p>
      <w:pPr>
        <w:spacing w:after="60"/>
        <w:ind w:left="283"/>
      </w:pPr>
      <w:r>
        <w:rPr>
          <w:b w:val="0"/>
          <w:i w:val="0"/>
          <w:color w:val="5B6570"/>
          <w:sz w:val="19"/>
        </w:rPr>
        <w:t>How we know.  ARCC's section 4 states "two of them sit ABOVE the market price" against a committed spot of 77.00 and committed lens values of 66.53, 65.57 and 45.65 — ALL THREE BELOW — then lists three names under "two" and quotes 49.64 and 55.21, neither of which is in its committed lens set: a sentence written for the values that study held before it was re-struck. GBCO's football-field caption reads "Central fair value ~EGP 35.7/share, 14% below spot" where its own stated spot is 31.25, so the magnitude is right and the direction inverted. False-positive rates measured at 9.2% and 28.1% on two drafts of the detector.</w:t>
      </w:r>
    </w:p>
    <w:p>
      <w:pPr>
        <w:spacing w:after="160"/>
        <w:ind w:left="283"/>
      </w:pPr>
      <w:r>
        <w:rPr>
          <w:b w:val="0"/>
          <w:i w:val="0"/>
          <w:color w:val="5B6570"/>
          <w:sz w:val="19"/>
        </w:rPr>
        <w:t>What would overturn it.  It is overturned by a detector that resolves a sentence's SUBJECT reliably from the page — the residue here is entirely that problem and not the arithmetic, which is trivial. It would also be overturned, in the direction that matters, by studies DECLARING their directional claims the way a waterfall declares its steps: the claim becomes checkable at build time and the page-side detector stops being needed. What would NOT overturn it is a wider tolerance, which is the free parameter the promotion rule forbids.</w:t>
      </w:r>
    </w:p>
    <w:p>
      <w:pPr>
        <w:keepNext/>
        <w:spacing w:before="240" w:after="60"/>
      </w:pPr>
      <w:r>
        <w:rPr>
          <w:b/>
          <w:color w:val="1A1D21"/>
          <w:sz w:val="22"/>
        </w:rPr>
        <w:t>L-350  A DELIVERED SET IS THREE FILES AND EVERY INSTRUMENT IN THE BOOK WAS POINTED AT TWO</w:t>
      </w:r>
    </w:p>
    <w:p>
      <w:pPr>
        <w:keepNext/>
        <w:spacing w:after="100"/>
      </w:pPr>
      <w:r>
        <w:rPr>
          <w:b/>
          <w:color w:val="1D6FA3"/>
          <w:sz w:val="16"/>
        </w:rPr>
        <w:t>EVERY STUDY</w:t>
      </w:r>
      <w:r>
        <w:rPr>
          <w:color w:val="5B6570"/>
          <w:sz w:val="16"/>
        </w:rPr>
        <w:t xml:space="preserve">   applies to every study   ·   learned from a found while building, STC audit item 15a, 5 September 2026</w:t>
      </w:r>
    </w:p>
    <w:p>
      <w:pPr>
        <w:spacing w:after="100"/>
      </w:pPr>
      <w:r>
        <w:rPr>
          <w:b w:val="0"/>
          <w:i w:val="0"/>
          <w:color w:val="1A1D21"/>
          <w:sz w:val="21"/>
        </w:rPr>
        <w:t>Every study declares its own document population, and every one of the twenty-four declares the same pair: the study and the bibliography. The WORKBOOK a reader also receives was scanned by nothing — not the prose-figure instrument, not the external-reader scrub, not the shape-matching vocabulary gate. It is not an oversight anybody would notice, because a population written as a list looks complete from the inside and omits whatever nobody thought of on the day it was written. The fix is one line per study and a string-cell reader in the shared module; the finding is that a rule saying EVERY DELIVERED DOCUMENT was being read as every document somebody remembered to name.</w:t>
      </w:r>
    </w:p>
    <w:p>
      <w:pPr>
        <w:spacing w:after="60"/>
        <w:ind w:left="283"/>
      </w:pPr>
      <w:r>
        <w:rPr>
          <w:b w:val="0"/>
          <w:i w:val="0"/>
          <w:color w:val="5B6570"/>
          <w:sz w:val="19"/>
        </w:rPr>
        <w:t>How we know.  Extending STC's two instruments to its own workbook found eleven defects in one pass, every one beside a cell computing the right answer: a spot of 43.58 against a delivered 43.86, a share count of 4,989.8mn against 4,993.024mn, a market capitalisation of 217,455 against 218,994, an equity weight of 90.6% against a cell computing 90.3%, a balance sheet named as the first quarter's when the bridge stands on the reviewed half, a caption promising a retired four-lens blend, a beta cell describing a nine-week daily regression on a vendor's index quotes that the model had replaced, a beta sensitivity grid WITHOUT THE ADOPTED BETA ON IT, a Monte Carlo caption reading "Zero drift" against a committed live momentum lean, a sovereign rate derived from a broker's note, and an average twelve-month target price. Four internal-vocabulary leaks came out of the same pass.</w:t>
      </w:r>
    </w:p>
    <w:p>
      <w:pPr>
        <w:spacing w:after="160"/>
        <w:ind w:left="283"/>
      </w:pPr>
      <w:r>
        <w:rPr>
          <w:b w:val="0"/>
          <w:i w:val="0"/>
          <w:color w:val="5B6570"/>
          <w:sz w:val="19"/>
        </w:rPr>
        <w:t>What would overturn it.  It is overturned by a study whose delivered set is genuinely two files, which is a fact about that study rather than about the rule. What would NOT overturn it is a study declaring the workbook and finding nothing: an instrument that comes back clean on a population it was finally pointed at is the instrument working, not evidence the population did not matter.</w:t>
      </w:r>
    </w:p>
    <w:p>
      <w:pPr>
        <w:keepNext/>
        <w:spacing w:before="240" w:after="60"/>
      </w:pPr>
      <w:r>
        <w:rPr>
          <w:b/>
          <w:color w:val="1A1D21"/>
          <w:sz w:val="22"/>
        </w:rPr>
        <w:t>L-351  A CHECK SOMEBODY HAS TO REMEMBER TO RUN IS RUN UNTIL THE DAY IT MATTERS</w:t>
      </w:r>
    </w:p>
    <w:p>
      <w:pPr>
        <w:keepNext/>
        <w:spacing w:after="100"/>
      </w:pPr>
      <w:r>
        <w:rPr>
          <w:b/>
          <w:color w:val="1D6FA3"/>
          <w:sz w:val="16"/>
        </w:rPr>
        <w:t>EVERY STUDY</w:t>
      </w:r>
      <w:r>
        <w:rPr>
          <w:color w:val="5B6570"/>
          <w:sz w:val="16"/>
        </w:rPr>
        <w:t xml:space="preserve">   applies to every study   ·   learned from a found while building, The workbook-values gate's first run, 5 September 2026</w:t>
      </w:r>
    </w:p>
    <w:p>
      <w:pPr>
        <w:spacing w:after="100"/>
      </w:pPr>
      <w:r>
        <w:rPr>
          <w:b w:val="0"/>
          <w:i w:val="0"/>
          <w:color w:val="1A1D21"/>
          <w:sz w:val="21"/>
        </w:rPr>
        <w:t>Depth-bar standard 3 has required an independent recalculation of the delivered workbook since the standard was written, every study's QC gate carries a row attesting it, and twenty-two of twenty-four studies carry the instrument to do it. Nothing outside a study directory ran any of them: every occurrence of the word was a sentence in a comment. The instruments are careful, correct and cheap — the whole book runs in under two minutes — and the moment a rebuild lands is exactly the moment nobody runs them, which is the moment the answer has just moved. WHERE A STUDY BUILDS ITS OWN CHECK, SOMETHING OUTSIDE THE STUDY HAS TO PULL THE TRIGGER.</w:t>
      </w:r>
    </w:p>
    <w:p>
      <w:pPr>
        <w:spacing w:after="60"/>
        <w:ind w:left="283"/>
      </w:pPr>
      <w:r>
        <w:rPr>
          <w:b w:val="0"/>
          <w:i w:val="0"/>
          <w:color w:val="5B6570"/>
          <w:sz w:val="19"/>
        </w:rPr>
        <w:t>How we know.  Running all twenty-two found two red. SWDY's delivered workbook publishes SAR 59.3132 where its delivered document publishes 55.4822, +6.9%, with ZERO formula errors: DCF!C25 still carries the g x IC terminal [R-TERM-01] retired, which the study's own compute.py computes and labels "published unused, feeds nothing" (-6.5% alone), and SOTP Bridge!C12 carries no line for the employees' statutory share of profit the model deducts at 12.19% (+14.4% alone) — with the builder's own expected-value map holding the RIGHT figure for both cells. Its recalc.py names all 27 disagreeing cells in under a second and had not been run since the rebuild. AMOC's refuses outright, still written for a nine-sheet workbook the study replaced with a sixteen-sheet one.</w:t>
      </w:r>
    </w:p>
    <w:p>
      <w:pPr>
        <w:spacing w:after="160"/>
        <w:ind w:left="283"/>
      </w:pPr>
      <w:r>
        <w:rPr>
          <w:b w:val="0"/>
          <w:i w:val="0"/>
          <w:color w:val="5B6570"/>
          <w:sz w:val="19"/>
        </w:rPr>
        <w:t>What would overturn it.  It is overturned by evidence that these checks are in fact run at every rebuild without a gate — which the two red studies are direct evidence against. It would be strengthened, not overturned, by a study whose check is red for a reason the gate should not fire on: that is a re-pointing question about one instrument, not about whether the trigger is pulled.</w:t>
      </w:r>
    </w:p>
    <w:p>
      <w:pPr>
        <w:keepNext/>
        <w:spacing w:before="240" w:after="60"/>
      </w:pPr>
      <w:r>
        <w:rPr>
          <w:b/>
          <w:color w:val="1A1D21"/>
          <w:sz w:val="22"/>
        </w:rPr>
        <w:t>L-352  The gap between a company's prices and its costs barely moves; the rate they both rise at moves enormously.</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It is tempting to spend the work on margins — will this line squeeze, will that one improve. On the record, the gap between what a company charges and what it pays holds almost still, while the rate at which both climb runs anywhere from sixteen to forty-six per cent a year. Get the rate right first. Getting the gap right and the rate wrong is optimising the smaller of the two by a factor of about a hundred.</w:t>
      </w:r>
    </w:p>
    <w:p>
      <w:pPr>
        <w:spacing w:after="60"/>
        <w:ind w:left="283"/>
      </w:pPr>
      <w:r>
        <w:rPr>
          <w:b w:val="0"/>
          <w:i w:val="0"/>
          <w:color w:val="5B6570"/>
          <w:sz w:val="19"/>
        </w:rPr>
        <w:t>How we know.  Realised escalation of revenue against cost, from each run's own filed accounts: TMGH 2011-2025, +16.0% a year against +15.5%, a drift of -0.37% a year; PHDC 2015-2023 per delivered unit, +22.7% against +23.5%, +0.61%; AMOC FY2021-FY2025 per tonne, +44.6% against +46.0%, +0.97%. Twenty-six name-years across two classes, drift inside one per cent a year and NOT one-signed — which is a flat spread rather than a slow trend. Over the same window AMOC's escalation rate was 44.6% a year and its model used zero, worth 0.52 log points of bias on its own.</w:t>
      </w:r>
    </w:p>
    <w:p>
      <w:pPr>
        <w:spacing w:after="160"/>
        <w:ind w:left="283"/>
      </w:pPr>
      <w:r>
        <w:rPr>
          <w:b w:val="0"/>
          <w:i w:val="0"/>
          <w:color w:val="5B6570"/>
          <w:sz w:val="19"/>
        </w:rPr>
        <w:t>What would overturn it.  A long window — five years or more — where the cost drift exceeds two per cent a year, or a systematic difference in drift between classes. Two developers here run -0.37% and +0.61% and the one refiner +0.97%, which is no separation at all on three names, so a class split would overturn the scope rather than the finding.</w:t>
      </w:r>
    </w:p>
    <w:p>
      <w:pPr>
        <w:keepNext/>
        <w:spacing w:before="240" w:after="60"/>
      </w:pPr>
      <w:r>
        <w:rPr>
          <w:b/>
          <w:color w:val="1A1D21"/>
          <w:sz w:val="22"/>
        </w:rPr>
        <w:t>L-353  Holding a price or a cost still is the worst thing a forecast can do with it.</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Where a model cannot forecast something — a commodity price, an exchange rate — the cautious-looking move is to hold it where it is. That is not caution. Standing still inside an economy that is moving is a forecast too, and on the record it is the worst of the available ones, because it is the only rule that is guaranteed to be wrong by the whole of whatever happened.</w:t>
      </w:r>
    </w:p>
    <w:p>
      <w:pPr>
        <w:spacing w:after="60"/>
        <w:ind w:left="283"/>
      </w:pPr>
      <w:r>
        <w:rPr>
          <w:b w:val="0"/>
          <w:i w:val="0"/>
          <w:color w:val="5B6570"/>
          <w:sz w:val="19"/>
        </w:rPr>
        <w:t>How we know.  Four rules a study could have followed at each origin, none of them fitted, scored against what the company then reported: freezing, the origin's last published consumer inflation, purchasing-power parity on the inflation differential, and the company's own trailing three-year escalation. Freezing was the WORST on every name that could be measured — mean absolute log error 0.346 on PHDC, 0.236 on AMOC, 0.364 on TMGH — and on the paired cells the trailing rule was 42% better, consumer inflation 27% and parity 23%. One of these models freezes its main driver by construction, and that alone is 0.52 log points of its bias.</w:t>
      </w:r>
    </w:p>
    <w:p>
      <w:pPr>
        <w:spacing w:after="160"/>
        <w:ind w:left="283"/>
      </w:pPr>
      <w:r>
        <w:rPr>
          <w:b w:val="0"/>
          <w:i w:val="0"/>
          <w:color w:val="5B6570"/>
          <w:sz w:val="19"/>
        </w:rPr>
        <w:t>What would overturn it.  A name where freezing genuinely beats every alternative over a window of four years or more — which would most plausibly be a company on a hard peg selling a contractually fixed price, where standing still is what the contract actually says.</w:t>
      </w:r>
    </w:p>
    <w:p>
      <w:pPr>
        <w:keepNext/>
        <w:spacing w:before="240" w:after="60"/>
      </w:pPr>
      <w:r>
        <w:rPr>
          <w:b/>
          <w:color w:val="1A1D21"/>
          <w:sz w:val="22"/>
        </w:rPr>
        <w:t>L-354  A range built from a handful of past errors is not the interval it looks like.</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When a method publishes its far years as a range taken from how wrong it has been before, that range is the spread of four to eight observations. The chance the next outcome lands inside such a spread is around two in three, not nine in ten — and it gets worse further out, exactly where the range is doing the work. Say the count, and say what a spread of that count can mean.</w:t>
      </w:r>
    </w:p>
    <w:p>
      <w:pPr>
        <w:spacing w:after="60"/>
        <w:ind w:left="283"/>
      </w:pPr>
      <w:r>
        <w:rPr>
          <w:b w:val="0"/>
          <w:i w:val="0"/>
          <w:color w:val="5B6570"/>
          <w:sz w:val="19"/>
        </w:rPr>
        <w:t>How we know.  Every published far-year range tested walk-forward, with the band built only from origins before the one being tested: 259 cells, 55.6% coverage against an expected 63.5% under exchangeability, p=0.010. It degrades monotonically — -1.9 points at one year to -31.7 at five, where the band catches 29% of outcomes and sixteen of its seventeen misses are on the low side. It under-covers in BOTH regimes, by more outside the devaluation years than inside them, so it is not one bad period.</w:t>
      </w:r>
    </w:p>
    <w:p>
      <w:pPr>
        <w:spacing w:after="160"/>
        <w:ind w:left="283"/>
      </w:pPr>
      <w:r>
        <w:rPr>
          <w:b w:val="0"/>
          <w:i w:val="0"/>
          <w:color w:val="5B6570"/>
          <w:sz w:val="19"/>
        </w:rPr>
        <w:t>What would overturn it.  A range built from enough observations to be an interval rather than a span, or a construction other than min-max. The finding is about the min-max span of a small sample, and a different construction is a different claim.</w:t>
      </w:r>
    </w:p>
    <w:p>
      <w:pPr>
        <w:keepNext/>
        <w:spacing w:before="240" w:after="60"/>
      </w:pPr>
      <w:r>
        <w:rPr>
          <w:b/>
          <w:color w:val="1A1D21"/>
          <w:sz w:val="22"/>
        </w:rPr>
        <w:t>L-355  A probe that guesses what something is called returns a number, not an error — which is why the guess survives.</w:t>
      </w:r>
    </w:p>
    <w:p>
      <w:pPr>
        <w:keepNext/>
        <w:spacing w:after="100"/>
      </w:pPr>
      <w:r>
        <w:rPr>
          <w:b/>
          <w:color w:val="1D6FA3"/>
          <w:sz w:val="16"/>
        </w:rPr>
        <w:t>EVERY STUDY</w:t>
      </w:r>
      <w:r>
        <w:rPr>
          <w:color w:val="5B6570"/>
          <w:sz w:val="16"/>
        </w:rPr>
        <w:t xml:space="preserve">   applies to every study   ·   learned from a found while building, ten first-attempt measurements across one working session, 07-09-2026, every one wrong the same way</w:t>
      </w:r>
    </w:p>
    <w:p>
      <w:pPr>
        <w:spacing w:after="100"/>
      </w:pPr>
      <w:r>
        <w:rPr>
          <w:b w:val="0"/>
          <w:i w:val="0"/>
          <w:color w:val="1A1D21"/>
          <w:sz w:val="21"/>
        </w:rPr>
        <w:t>Reading a record means agreeing with it about names: the key a field is under, the spelling of a label, the way a file is dated, which direction a ratio runs. Where a reader assumes one of those and the record uses another, nothing raises. The reader finds less than is there and prints the smaller figure, and that figure is indistinguishable from a measurement. Read what the record DECLARES about itself before inferring anything from its shape, and where a reader finds nothing, treat that as evidence about the reader first.</w:t>
      </w:r>
    </w:p>
    <w:p>
      <w:pPr>
        <w:spacing w:after="60"/>
        <w:ind w:left="283"/>
      </w:pPr>
      <w:r>
        <w:rPr>
          <w:b w:val="0"/>
          <w:i w:val="0"/>
          <w:color w:val="5B6570"/>
          <w:sz w:val="19"/>
        </w:rPr>
        <w:t>How we know.  Measured on the session's own working: a directory excluded by substring swallowed .github and condemned two files that were on disk; a provenance field read under one of its two spellings reported 58% of 3,862 inputs missing something none of them lacked; an artefact grepped under one of its three names reported two breaches where there is one; a ratchet walked without distinguishing debt from its opposite inflated the programme's headline count 49 against 45; a band read for its key names rather than its own declared basis field reported an acceptance criterion MET that is NOT MET; and a document picker sorting DD-MM-YYYY strings lexicographically read superseded editions. NONE raised. Every one produced a plausible figure, and three of them were reported before being corrected.</w:t>
      </w:r>
    </w:p>
    <w:p>
      <w:pPr>
        <w:spacing w:after="160"/>
        <w:ind w:left="283"/>
      </w:pPr>
      <w:r>
        <w:rPr>
          <w:b w:val="0"/>
          <w:i w:val="0"/>
          <w:color w:val="5B6570"/>
          <w:sz w:val="19"/>
        </w:rPr>
        <w:t>What would overturn it.  A session in which a first-attempt measurement is wrong for some OTHER reason — an arithmetic slip, a wrong population, a bad assumption about the world rather than about a name. The claim is about naming specifically; a different failure mode would say this one is not the dominant hazard it appeared to be.</w:t>
      </w:r>
    </w:p>
    <w:p>
      <w:pPr>
        <w:keepNext/>
        <w:spacing w:before="240" w:after="60"/>
      </w:pPr>
      <w:r>
        <w:rPr>
          <w:b/>
          <w:color w:val="1A1D21"/>
          <w:sz w:val="22"/>
        </w:rPr>
        <w:t>L-357  An index of filings is not an archive of filings.</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company can list its statements on its own website and serve none of them. The list looks like evidence the documents exist and are obtainable; only fetching each one tells you which. Record the outcome per file, not per page.</w:t>
      </w:r>
    </w:p>
    <w:p>
      <w:pPr>
        <w:spacing w:after="60"/>
        <w:ind w:left="283"/>
      </w:pPr>
      <w:r>
        <w:rPr>
          <w:b w:val="0"/>
          <w:i w:val="0"/>
          <w:color w:val="5B6570"/>
          <w:sz w:val="19"/>
        </w:rPr>
        <w:t>How we know.  61 statement files listed; 19 on the live host and 0 of those fetchable; 42 on a host whose DNS does not resolve; the index's last period is 2025-09-30 while the last statement on the basis the study models is FY2020.</w:t>
      </w:r>
    </w:p>
    <w:p>
      <w:pPr>
        <w:spacing w:after="160"/>
        <w:ind w:left="283"/>
      </w:pPr>
      <w:r>
        <w:rPr>
          <w:b w:val="0"/>
          <w:i w:val="0"/>
          <w:color w:val="5B6570"/>
          <w:sz w:val="19"/>
        </w:rPr>
        <w:t>What would overturn it.  An index whose listings are shown to be reliably fetchable, making the per-file probe redundant.</w:t>
      </w:r>
    </w:p>
    <w:p>
      <w:pPr>
        <w:keepNext/>
        <w:spacing w:before="240" w:after="60"/>
      </w:pPr>
      <w:r>
        <w:rPr>
          <w:b/>
          <w:color w:val="1A1D21"/>
          <w:sz w:val="22"/>
        </w:rPr>
        <w:t>L-358  A study's historicals can be unverifiable and still pass every gate.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Where a company stops publishing on the basis a study models, the study's history quietly becomes a vendor's account of it. Every arithmetic check still passes, because the numbers are internally consistent — they are simply nobody's filed numbers. The test is to measure the study's panel against the filings that DO exist and against the wedge between the two bases, rather than to assume the difference is the consolidation.</w:t>
      </w:r>
    </w:p>
    <w:p>
      <w:pPr>
        <w:spacing w:after="60"/>
        <w:ind w:left="283"/>
      </w:pPr>
      <w:r>
        <w:rPr>
          <w:b w:val="0"/>
          <w:i w:val="0"/>
          <w:color w:val="5B6570"/>
          <w:sz w:val="19"/>
        </w:rPr>
        <w:t>How we know.  At the one year existing on both bases the group is 1.73x the parent on revenue and 2.04x on net profit. The study's FY2023 revenue is 1.79x the parent — consistent with a consolidated figure — while its net profit is 3.09x, 1.51 times beyond what the measured wedge delivers.</w:t>
      </w:r>
    </w:p>
    <w:p>
      <w:pPr>
        <w:spacing w:after="160"/>
        <w:ind w:left="283"/>
      </w:pPr>
      <w:r>
        <w:rPr>
          <w:b w:val="0"/>
          <w:i w:val="0"/>
          <w:color w:val="5B6570"/>
          <w:sz w:val="19"/>
        </w:rPr>
        <w:t>What would overturn it.  A study whose vendor panel is later reconciled line by line to filings on the same basis, showing the check adds nothing.</w:t>
      </w:r>
    </w:p>
    <w:p>
      <w:pPr>
        <w:keepNext/>
        <w:spacing w:before="240" w:after="60"/>
      </w:pPr>
      <w:r>
        <w:rPr>
          <w:b/>
          <w:color w:val="1A1D21"/>
          <w:sz w:val="22"/>
        </w:rPr>
        <w:t>L-359  Check that a "filed record" was filed before reasoning from it.</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review can reach the right conclusion about a study and still take its benchmark from the study's own inputs. Calling a number the company's own record makes it read as external evidence when it is the thing under test, and the argument then runs in a circle nobody can see.</w:t>
      </w:r>
    </w:p>
    <w:p>
      <w:pPr>
        <w:spacing w:after="60"/>
        <w:ind w:left="283"/>
      </w:pPr>
      <w:r>
        <w:rPr>
          <w:b w:val="0"/>
          <w:i w:val="0"/>
          <w:color w:val="5B6570"/>
          <w:sz w:val="19"/>
        </w:rPr>
        <w:t>How we know.  A review described a terminal-margin range of 25.33%-30.68% as the company's own filed record; it is the study's committed hist_is, and two of its three years have no filing at all. The filed range on the basis that can be checked is 1.43%-17.49%, which puts the forecast of 12.30% INSIDE it rather than at half the lowest filed year, and puts the price's reverse read at 1.6 times the highest filed margin.</w:t>
      </w:r>
    </w:p>
    <w:p>
      <w:pPr>
        <w:spacing w:after="160"/>
        <w:ind w:left="283"/>
      </w:pPr>
      <w:r>
        <w:rPr>
          <w:b w:val="0"/>
          <w:i w:val="0"/>
          <w:color w:val="5B6570"/>
          <w:sz w:val="19"/>
        </w:rPr>
        <w:t>What would overturn it.  A house convention that tags every committed historical with whether it came from a filing, making the confusion impossible to make.</w:t>
      </w:r>
    </w:p>
    <w:p>
      <w:pPr>
        <w:keepNext/>
        <w:spacing w:before="240" w:after="60"/>
      </w:pPr>
      <w:r>
        <w:rPr>
          <w:b/>
          <w:color w:val="1A1D21"/>
          <w:sz w:val="22"/>
        </w:rPr>
        <w:t>L-360  The accounting-policies note usually gives a range, not a life.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[R-TERM-01] needs one disclosed useful life and the policy note rarely supplies one. Reading a span and picking a point inside it is the choice the rule exists to forbid, so the honest output is the derived identity and a band.</w:t>
      </w:r>
    </w:p>
    <w:p>
      <w:pPr>
        <w:spacing w:after="60"/>
        <w:ind w:left="283"/>
      </w:pPr>
      <w:r>
        <w:rPr>
          <w:b w:val="0"/>
          <w:i w:val="0"/>
          <w:color w:val="5B6570"/>
          <w:sz w:val="19"/>
        </w:rPr>
        <w:t>How we know.  Route (1) gave spans only (10-50, 4-25, 5-20, 5-20, 5, 5-10); no dominant class, no weighting. Route (2) — depreciable gross cost over the annual charge — gives 24.13 years on the full base and 17.54 excluding the 27.3% of that base the note itself discloses as fully depreciated and still in use, with a prior-year control at 24.99.</w:t>
      </w:r>
    </w:p>
    <w:p>
      <w:pPr>
        <w:spacing w:after="160"/>
        <w:ind w:left="283"/>
      </w:pPr>
      <w:r>
        <w:rPr>
          <w:b w:val="0"/>
          <w:i w:val="0"/>
          <w:color w:val="5B6570"/>
          <w:sz w:val="19"/>
        </w:rPr>
        <w:t>What would overturn it.  A run of filings that do disclose a scalar or a dominant class, making route (1) the normal case rather than the exception.</w:t>
      </w:r>
    </w:p>
    <w:p>
      <w:pPr>
        <w:keepNext/>
        <w:spacing w:before="240" w:after="60"/>
      </w:pPr>
      <w:r>
        <w:rPr>
          <w:b/>
          <w:color w:val="1A1D21"/>
          <w:sz w:val="22"/>
        </w:rPr>
        <w:t>L-361  A borrowing rate below the sovereign is the arithmetic failing, not the company borrowing cheaply.</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Dividing the finance charge by a liabilities total that includes trade payables, related-party balances, tax and provisions understates the rate. The useful part is that the error announces itself: a corporate cannot fund below its own government, so a rate under the sovereign is a denominator problem and can be caught without knowing the right answer.</w:t>
      </w:r>
    </w:p>
    <w:p>
      <w:pPr>
        <w:spacing w:after="60"/>
        <w:ind w:left="283"/>
      </w:pPr>
      <w:r>
        <w:rPr>
          <w:b w:val="0"/>
          <w:i w:val="0"/>
          <w:color w:val="5B6570"/>
          <w:sz w:val="19"/>
        </w:rPr>
        <w:t>How we know.  On the borrowings that actually bear interest the rate runs 8.49%, 8.98%, 18.25%; on total liabilities 4.48%, 5.88%, 14.10% — understated by 3.09 to 4.15 points, and below the Egyptian sovereign in 2 of 3 years.</w:t>
      </w:r>
    </w:p>
    <w:p>
      <w:pPr>
        <w:spacing w:after="160"/>
        <w:ind w:left="283"/>
      </w:pPr>
      <w:r>
        <w:rPr>
          <w:b w:val="0"/>
          <w:i w:val="0"/>
          <w:color w:val="5B6570"/>
          <w:sz w:val="19"/>
        </w:rPr>
        <w:t>What would overturn it.  A jurisdiction where a corporate genuinely funds below its sovereign, which would make the check fire on work that is right.</w:t>
      </w:r>
    </w:p>
    <w:p>
      <w:pPr>
        <w:keepNext/>
        <w:spacing w:before="240" w:after="60"/>
      </w:pPr>
      <w:r>
        <w:rPr>
          <w:b/>
          <w:color w:val="1A1D21"/>
          <w:sz w:val="22"/>
        </w:rPr>
        <w:t>L-362  Operating profit forecasts run about 46% too low for GBCO.</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-0.379 log (about 46% too low), average miss 0.436, wrong in the same direction in 89% of cases, and the sign holds across every bootstrap block tested (n=35).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L-364  The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post-float 2017-2021 +0.093; devaluation cycle 2022-2025 -0.078.</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L-365  Dna forecasts run about 1.6 times too high for PHAR.</w:t>
      </w:r>
    </w:p>
    <w:p>
      <w:pPr>
        <w:keepNext/>
        <w:spacing w:after="100"/>
      </w:pPr>
      <w:r>
        <w:rPr>
          <w:b/>
          <w:color w:val="1D6FA3"/>
          <w:sz w:val="16"/>
        </w:rPr>
        <w:t>EVERY STUDY</w:t>
      </w:r>
      <w:r>
        <w:rPr>
          <w:color w:val="5B6570"/>
          <w:sz w:val="16"/>
        </w:rPr>
        <w:t xml:space="preserve">   applies to every study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+0.499 log (about 1.6 times too high), average miss 0.499,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L-369  The finance expense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SCEM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0.794 as known, 0.794 with perfect foresight of inflation — the macro share is only 0.0%.</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L-370  D11 depreciation forecasts run about 2.5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-0.931 log (about 2.5 times too low), average miss 0.931, wrong in the same direction in 100% of cases, and the sign holds across every bootstrap block tested (n=30).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L-371  D15 finance costs forecasts run about 2.4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-0.880 log (about 2.4 times too low), average miss 0.919, wrong in the same direction in 91%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L-374  The A gross profit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0.563 as known, 0.563 with perfect foresight of inflation — the macro share is only -61.7%.</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L-375  The A cost of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pre-float +0.026; first float -0.024; second float -0.460.</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L-378  A charge conceded in a give-back table must be conceded at its own line, or the concession understates itself.</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 give-back table asks what the value would be if a contested charge were surrendered. Adding the charge back as a MARGIN improvement is not the same thing: it then flows down through tax, through the employees' profit share and through every rate struck on profit, so part of what was conceded is taken away again on the way down. Concede it where the model charges it.</w:t>
      </w:r>
    </w:p>
    <w:p>
      <w:pPr>
        <w:spacing w:after="60"/>
        <w:ind w:left="283"/>
      </w:pPr>
      <w:r>
        <w:rPr>
          <w:b w:val="0"/>
          <w:i w:val="0"/>
          <w:color w:val="5B6570"/>
          <w:sz w:val="19"/>
        </w:rPr>
        <w:t>How we know.  AMOC's adversarial.py conceded the employees' profit share as gm_shift and published EGP 11.6888. Setting the rate itself to zero and re-running the same waterfall gives 12.0632 — the published row understates the concession by EGP 0.3744, 3.3% of the central. An outside auditor reached 12.0632 independently.</w:t>
      </w:r>
    </w:p>
    <w:p>
      <w:pPr>
        <w:spacing w:after="160"/>
        <w:ind w:left="283"/>
      </w:pPr>
      <w:r>
        <w:rPr>
          <w:b w:val="0"/>
          <w:i w:val="0"/>
          <w:color w:val="5B6570"/>
          <w:sz w:val="19"/>
        </w:rPr>
        <w:t>What would overturn it.  A model where the conceded charge sits outside every rate struck below it, so the two routes coincide.</w:t>
      </w:r>
    </w:p>
    <w:p>
      <w:pPr>
        <w:keepNext/>
        <w:spacing w:before="240" w:after="60"/>
      </w:pPr>
      <w:r>
        <w:rPr>
          <w:b/>
          <w:color w:val="1A1D21"/>
          <w:sz w:val="22"/>
        </w:rPr>
        <w:t>L-379  A sensitivity row that moves the answer by exactly zero is re-running nothing.</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Every row of a give-back or sensitivity table is a claim that some input was changed and the model re-run. A row printing the base case to the last decimal is almost never a finding about the input; it is a row that never re-ran. Exact zero is the signature, and it is easy to read as reassurance.</w:t>
      </w:r>
    </w:p>
    <w:p>
      <w:pPr>
        <w:spacing w:after="60"/>
        <w:ind w:left="283"/>
      </w:pPr>
      <w:r>
        <w:rPr>
          <w:b w:val="0"/>
          <w:i w:val="0"/>
          <w:color w:val="5B6570"/>
          <w:sz w:val="19"/>
        </w:rPr>
        <w:t>How we know.  AMOC's adversarial.py line 83 reads row('effective_tax', waterfall(B)) — the row IS the base case by construction, and it is excluded from the assertion loop that would have caught it. The delivered table publishes it as a tested alternative.</w:t>
      </w:r>
    </w:p>
    <w:p>
      <w:pPr>
        <w:spacing w:after="160"/>
        <w:ind w:left="283"/>
      </w:pPr>
      <w:r>
        <w:rPr>
          <w:b w:val="0"/>
          <w:i w:val="0"/>
          <w:color w:val="5B6570"/>
          <w:sz w:val="19"/>
        </w:rPr>
        <w:t>What would overturn it.  A sensitivity genuinely insensitive to its input over the range tested, demonstrated by re-running it at a second value.</w:t>
      </w:r>
    </w:p>
    <w:p>
      <w:pPr>
        <w:keepNext/>
        <w:spacing w:before="240" w:after="60"/>
      </w:pPr>
      <w:r>
        <w:rPr>
          <w:b/>
          <w:color w:val="1A1D21"/>
          <w:sz w:val="22"/>
        </w:rPr>
        <w:t>L-380  A row labelled 'all of the above at once' that runs a subset is a defect no arithmetic check can see.</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Every figure in such a row is computed and individually correct, so recalculation, provenance and prose-figure checks all pass. What is wrong is the relationship between the label and the set — which is a claim about the table rather than about any number in it.</w:t>
      </w:r>
    </w:p>
    <w:p>
      <w:pPr>
        <w:spacing w:after="60"/>
        <w:ind w:left="283"/>
      </w:pPr>
      <w:r>
        <w:rPr>
          <w:b w:val="0"/>
          <w:i w:val="0"/>
          <w:color w:val="5B6570"/>
          <w:sz w:val="19"/>
        </w:rPr>
        <w:t>How we know.  AMOC's ALL_GIVEBACKS is case(nci=0.0, prov=0.0, divp=0.0) — three concessions — published under a table listing six, in a document that passed 6,069 formula cells with zero disagreements.</w:t>
      </w:r>
    </w:p>
    <w:p>
      <w:pPr>
        <w:spacing w:after="160"/>
        <w:ind w:left="283"/>
      </w:pPr>
      <w:r>
        <w:rPr>
          <w:b w:val="0"/>
          <w:i w:val="0"/>
          <w:color w:val="5B6570"/>
          <w:sz w:val="19"/>
        </w:rPr>
        <w:t>What would overturn it.  A label that enumerates the cases it runs, so the set and the claim cannot drift apart.</w:t>
      </w:r>
    </w:p>
    <w:p>
      <w:pPr>
        <w:keepNext/>
        <w:spacing w:before="240" w:after="60"/>
      </w:pPr>
      <w:r>
        <w:rPr>
          <w:b/>
          <w:color w:val="1A1D21"/>
          <w:sz w:val="22"/>
        </w:rPr>
        <w:t>L-381  A registered, sourced, four-field input that no arithmetic reads is a dead input, and the register cannot tell it from a live one.</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The four-field discipline proves where a number came from. It says nothing about whether the model uses it. An input can be sourced to a named document, dated, layered and described as the anchor for a driver while the driver is built another way entirely — and every provenance check passes, because provenance is not consumption.</w:t>
      </w:r>
    </w:p>
    <w:p>
      <w:pPr>
        <w:spacing w:after="60"/>
        <w:ind w:left="283"/>
      </w:pPr>
      <w:r>
        <w:rPr>
          <w:b w:val="0"/>
          <w:i w:val="0"/>
          <w:color w:val="5B6570"/>
          <w:sz w:val="19"/>
        </w:rPr>
        <w:t>How we know.  AMOC registers capex_pct at 1.45% tapering to 1.25%, sourced to the approved EGP 580.19mn capital budget and described in the bibliography as 'the anchor for the capital-expenditure driver'. waterfall() builds capex as MAINT_CAPEX0 x inflation + growth capital; capex_pct is read by nothing. TMGH carries the same shape in two sensitivity rows that move the answer by 1.00x and 0.0%.</w:t>
      </w:r>
    </w:p>
    <w:p>
      <w:pPr>
        <w:spacing w:after="160"/>
        <w:ind w:left="283"/>
      </w:pPr>
      <w:r>
        <w:rPr>
          <w:b w:val="0"/>
          <w:i w:val="0"/>
          <w:color w:val="5B6570"/>
          <w:sz w:val="19"/>
        </w:rPr>
        <w:t>What would overturn it.  A check that reads consumption rather than presence, which [R-ASSET-02] now does for the operating asset base and nothing yet does for an ordinary driver.</w:t>
      </w:r>
    </w:p>
    <w:p>
      <w:pPr>
        <w:keepNext/>
        <w:spacing w:before="240" w:after="60"/>
      </w:pPr>
      <w:r>
        <w:rPr>
          <w:b/>
          <w:color w:val="1A1D21"/>
          <w:sz w:val="22"/>
        </w:rPr>
        <w:t>L-382  A declared absence is re-searched before it is published, because a gap that is not a gap is load-bearing in the wrong direction.</w:t>
      </w:r>
    </w:p>
    <w:p>
      <w:pPr>
        <w:keepNext/>
        <w:spacing w:after="100"/>
      </w:pPr>
      <w:r>
        <w:rPr>
          <w:b/>
          <w:color w:val="1D6FA3"/>
          <w:sz w:val="16"/>
        </w:rPr>
        <w:t>EVERY STUDY</w:t>
      </w:r>
      <w:r>
        <w:rPr>
          <w:color w:val="5B6570"/>
          <w:sz w:val="16"/>
        </w:rPr>
        <w:t xml:space="preserve">   applies to every study   ·   learned from a outside critique, TMGH critique response, 18-09-2026</w:t>
      </w:r>
    </w:p>
    <w:p>
      <w:pPr>
        <w:spacing w:after="100"/>
      </w:pPr>
      <w:r>
        <w:rPr>
          <w:b w:val="0"/>
          <w:i w:val="0"/>
          <w:color w:val="1A1D21"/>
          <w:sz w:val="21"/>
        </w:rPr>
        <w:t>Saying 'the company does not disclose this' is a claim about the world, and it is the one kind of claim a study makes that nothing downstream can test — every other figure is checkable and an absence is not. It is also the most consequential, because a declared gap is what licenses a judgement in its place.</w:t>
      </w:r>
    </w:p>
    <w:p>
      <w:pPr>
        <w:spacing w:after="60"/>
        <w:ind w:left="283"/>
      </w:pPr>
      <w:r>
        <w:rPr>
          <w:b w:val="0"/>
          <w:i w:val="0"/>
          <w:color w:val="5B6570"/>
          <w:sz w:val="19"/>
        </w:rPr>
        <w:t>How we know.  TMGH declares four gaps and all four are disclosed. Its crux rests on 'one number that the company does not publish: how long its order book takes to convert' and adopts fourteen years; TMG has published 'the backlog will be delivered over the coming 4-5 years' in every earnings release since FY2018. Its cost of debt rests on 'TMG does not disclose the rate on any of its own facilities'; note 25 of the interim statements states 28.6%. Both documents were fetched from the company's own archive on the first request.</w:t>
      </w:r>
    </w:p>
    <w:p>
      <w:pPr>
        <w:spacing w:after="160"/>
        <w:ind w:left="283"/>
      </w:pPr>
      <w:r>
        <w:rPr>
          <w:b w:val="0"/>
          <w:i w:val="0"/>
          <w:color w:val="5B6570"/>
          <w:sz w:val="19"/>
        </w:rPr>
        <w:t>What would overturn it.  A study whose declared gap survives a fresh search of the company's own channel, logged with its date.</w:t>
      </w:r>
    </w:p>
    <w:p>
      <w:pPr>
        <w:keepNext/>
        <w:spacing w:before="240" w:after="60"/>
      </w:pPr>
      <w:r>
        <w:rPr>
          <w:b/>
          <w:color w:val="1A1D21"/>
          <w:sz w:val="22"/>
        </w:rPr>
        <w:t>L-383  A study's own diagnostic can be right while the page prints the sign backwards, and nothing compares the two.</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Diagnostics are generated and pages are written. Where both state the same quantity, only the generated one is checked — so a page can reverse it and every instrument still reports the study clean, because each is correct about its own half.</w:t>
      </w:r>
    </w:p>
    <w:p>
      <w:pPr>
        <w:spacing w:after="60"/>
        <w:ind w:left="283"/>
      </w:pPr>
      <w:r>
        <w:rPr>
          <w:b w:val="0"/>
          <w:i w:val="0"/>
          <w:color w:val="5B6570"/>
          <w:sz w:val="19"/>
        </w:rPr>
        <w:t>How we know.  AMOC's reverse_read.json commits shift = +0.009264 and its diagnostics.json reads it correctly in words — 'the price is 87 basis points ABOVE the study's own forecast'. The delivered page states 'a REDUCTION of -0.93%', in the headline box, and builds the direction of proof on it.</w:t>
      </w:r>
    </w:p>
    <w:p>
      <w:pPr>
        <w:spacing w:after="160"/>
        <w:ind w:left="283"/>
      </w:pPr>
      <w:r>
        <w:rPr>
          <w:b w:val="0"/>
          <w:i w:val="0"/>
          <w:color w:val="5B6570"/>
          <w:sz w:val="19"/>
        </w:rPr>
        <w:t>What would overturn it.  A page that reads its direction words from the committed sign rather than stating them, which is the prose-figure discipline applied to a direction instead of to a figure.</w:t>
      </w:r>
    </w:p>
    <w:p>
      <w:pPr>
        <w:keepNext/>
        <w:spacing w:before="240" w:after="60"/>
      </w:pPr>
      <w:r>
        <w:rPr>
          <w:b/>
          <w:color w:val="1A1D21"/>
          <w:sz w:val="22"/>
        </w:rPr>
        <w:t>L-384  A panel median computed over a set containing a figure the study has already withdrawn is not the panel's read.</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An expert panel earns its place by disagreeing. When the cross-examination concedes that one expert's number is wrong and restates it, the median must be taken over the restated set — otherwise the concession is published two pages before a headline that ignores it.</w:t>
      </w:r>
    </w:p>
    <w:p>
      <w:pPr>
        <w:spacing w:after="60"/>
        <w:ind w:left="283"/>
      </w:pPr>
      <w:r>
        <w:rPr>
          <w:b w:val="0"/>
          <w:i w:val="0"/>
          <w:color w:val="5B6570"/>
          <w:sz w:val="19"/>
        </w:rPr>
        <w:t>How we know.  AMOC's Appendix C concedes Expert 1 is an undiscounted 2028 number worth 8.10 rather than 14.50, and prints the panel median as 12.32 over the set containing 14.50. The median of the discounted set (8.10, 9.34, 12.32) is 9.34 — the panel read moves from -8.8% against the price to -30.8%.</w:t>
      </w:r>
    </w:p>
    <w:p>
      <w:pPr>
        <w:spacing w:after="160"/>
        <w:ind w:left="283"/>
      </w:pPr>
      <w:r>
        <w:rPr>
          <w:b w:val="0"/>
          <w:i w:val="0"/>
          <w:color w:val="5B6570"/>
          <w:sz w:val="19"/>
        </w:rPr>
        <w:t>What would overturn it.  A panel whose concessions are all immaterial to its own median, demonstrated rather than assumed.</w:t>
      </w:r>
    </w:p>
    <w:p>
      <w:pPr>
        <w:keepNext/>
        <w:spacing w:before="240" w:after="60"/>
      </w:pPr>
      <w:r>
        <w:rPr>
          <w:b/>
          <w:color w:val="1A1D21"/>
          <w:sz w:val="22"/>
        </w:rPr>
        <w:t>L-385  A cross-check lens struck on a different capital basis does not walk through the same bridge, and the difference is invisible until somebody walks it.</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Two lenses can be individually correct, individually reconciled and still not comparable, because the enterprise value each produces stands on a different definition of invested capital. A study that claims the lenses reconcile has made a testable claim, and the test is to put the second lens's enterprise value through the first lens's own bridge.</w:t>
      </w:r>
    </w:p>
    <w:p>
      <w:pPr>
        <w:spacing w:after="60"/>
        <w:ind w:left="283"/>
      </w:pPr>
      <w:r>
        <w:rPr>
          <w:b w:val="0"/>
          <w:i w:val="0"/>
          <w:color w:val="5B6570"/>
          <w:sz w:val="19"/>
        </w:rPr>
        <w:t>How we know.  AMOC's section 1.9 declares 'one view is now applied across the model'. Its terminal runs on GROSS capital at 30.3%, Table A.3 carries a net-book memo at 42.3%, and Expert 3 runs wholly on net book. Expert 3's enterprise value of 13,536 walked through the study's own bridge gives EGP 11.9144, against a published 12.3183 — reproduced here and independently by an outside auditor.</w:t>
      </w:r>
    </w:p>
    <w:p>
      <w:pPr>
        <w:spacing w:after="160"/>
        <w:ind w:left="283"/>
      </w:pPr>
      <w:r>
        <w:rPr>
          <w:b w:val="0"/>
          <w:i w:val="0"/>
          <w:color w:val="5B6570"/>
          <w:sz w:val="19"/>
        </w:rPr>
        <w:t>What would overturn it.  A study whose lenses genuinely share one capital basis, shown by the walk rather than by the sentence.</w:t>
      </w:r>
    </w:p>
    <w:p>
      <w:pPr>
        <w:keepNext/>
        <w:spacing w:before="240" w:after="60"/>
      </w:pPr>
      <w:r>
        <w:rPr>
          <w:b/>
          <w:color w:val="1A1D21"/>
          <w:sz w:val="22"/>
        </w:rPr>
        <w:t>L-386  A spread quoted across 'N consecutive filed periods' must name which N, because the subset chosen can exclude the period that matters.</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 range over filed history is a fact, and which periods it spans is part of the fact. Quoting a spread over a subset without naming it is not a rounding difference — the excluded period is usually the extreme one, which is why the subset was convenient.</w:t>
      </w:r>
    </w:p>
    <w:p>
      <w:pPr>
        <w:spacing w:after="60"/>
        <w:ind w:left="283"/>
      </w:pPr>
      <w:r>
        <w:rPr>
          <w:b w:val="0"/>
          <w:i w:val="0"/>
          <w:color w:val="5B6570"/>
          <w:sz w:val="19"/>
        </w:rPr>
        <w:t>How we know.  AMOC's section 5 states 'the filed record spans 514 basis points' while Table 6 and section 1.2 state 737 basis points across five periods. 514bp is the spread of the FIRST FOUR — it excludes the 12.43% half the company had just reported, which is the best period in the record and the one the margin thesis turns on. The defect was already recorded in this house's own standing digest as a worked example and shipped anyway.</w:t>
      </w:r>
    </w:p>
    <w:p>
      <w:pPr>
        <w:spacing w:after="160"/>
        <w:ind w:left="283"/>
      </w:pPr>
      <w:r>
        <w:rPr>
          <w:b w:val="0"/>
          <w:i w:val="0"/>
          <w:color w:val="5B6570"/>
          <w:sz w:val="19"/>
        </w:rPr>
        <w:t>What would overturn it.  A quoted spread that reproduces from the full filed set.</w:t>
      </w:r>
    </w:p>
    <w:p>
      <w:pPr>
        <w:keepNext/>
        <w:spacing w:before="240" w:after="60"/>
      </w:pPr>
      <w:r>
        <w:rPr>
          <w:b/>
          <w:color w:val="1A1D21"/>
          <w:sz w:val="22"/>
        </w:rPr>
        <w:t>L-387  A source claim in the delivered bibliography is read by no gate, because the source gate reads the committed input register.</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The two artefacts make the same kind of claim about where numbers came from, and only one of them is checked. A bibliography can tell a reader that an aggregator supplied figures the model in fact takes from the filings, and the study passes the source-integrity check because that check never opens the bibliography.</w:t>
      </w:r>
    </w:p>
    <w:p>
      <w:pPr>
        <w:spacing w:after="60"/>
        <w:ind w:left="283"/>
      </w:pPr>
      <w:r>
        <w:rPr>
          <w:b w:val="0"/>
          <w:i w:val="0"/>
          <w:color w:val="5B6570"/>
          <w:sz w:val="19"/>
        </w:rPr>
        <w:t>How we know.  AMOC's bibliography cites stockanalysis.com, Investing.com and TradingView for total assets, total liabilities, cash and equivalents and total debt — every one of which exists in the statements the study holds and takes them from. check_source_integrity.py reads the input register, where every AMOC source names a filing, and passes the study.</w:t>
      </w:r>
    </w:p>
    <w:p>
      <w:pPr>
        <w:spacing w:after="160"/>
        <w:ind w:left="283"/>
      </w:pPr>
      <w:r>
        <w:rPr>
          <w:b w:val="0"/>
          <w:i w:val="0"/>
          <w:color w:val="5B6570"/>
          <w:sz w:val="19"/>
        </w:rPr>
        <w:t>What would overturn it.  A source gate whose population is the delivered documents as well as the committed register.</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keepNext/>
        <w:spacing w:before="240" w:after="60"/>
      </w:pPr>
      <w:r>
        <w:rPr>
          <w:b/>
          <w:color w:val="1A1D21"/>
          <w:sz w:val="22"/>
        </w:rPr>
        <w:t>L-368  Revenue forecasts run about 1.8 times too low for SCEM.</w:t>
      </w:r>
    </w:p>
    <w:p>
      <w:pPr>
        <w:keepNext/>
        <w:spacing w:after="100"/>
      </w:pPr>
      <w:r>
        <w:rPr>
          <w:b/>
          <w:color w:val="7E4A94"/>
          <w:sz w:val="16"/>
        </w:rPr>
        <w:t>A CLASS OF COMPANY</w:t>
      </w:r>
      <w:r>
        <w:rPr>
          <w:color w:val="5B6570"/>
          <w:sz w:val="16"/>
        </w:rPr>
        <w:t xml:space="preserve">   applies to every cement and heavy industrial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-0.561 log (about 1.8 times too low), average miss 0.561,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keepNext/>
        <w:spacing w:before="240" w:after="60"/>
      </w:pPr>
      <w:r>
        <w:rPr>
          <w:b/>
          <w:color w:val="1A1D21"/>
          <w:sz w:val="22"/>
        </w:rPr>
        <w:t>L-366  Price per pack forecasts run about 42% too low for PHAR.</w:t>
      </w:r>
    </w:p>
    <w:p>
      <w:pPr>
        <w:keepNext/>
        <w:spacing w:after="100"/>
      </w:pPr>
      <w:r>
        <w:rPr>
          <w:b/>
          <w:color w:val="7E4A94"/>
          <w:sz w:val="16"/>
        </w:rPr>
        <w:t>A CLASS OF COMPANY</w:t>
      </w:r>
      <w:r>
        <w:rPr>
          <w:color w:val="5B6570"/>
          <w:sz w:val="16"/>
        </w:rPr>
        <w:t xml:space="preserve">   applies to every pharmaceutical manufacturer, generic and branded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-0.352 log (about 42% too low), average miss 0.375, wrong in the same direction in 89%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keepNext/>
        <w:spacing w:before="240" w:after="60"/>
      </w:pPr>
      <w:r>
        <w:rPr>
          <w:b/>
          <w:color w:val="1A1D21"/>
          <w:sz w:val="22"/>
        </w:rPr>
        <w:t>L-389  A partial-adjustment conversion model cannot reach the period it is labelled with, and the label is what the study sensitises.</w:t>
      </w:r>
    </w:p>
    <w:p>
      <w:pPr>
        <w:keepNext/>
        <w:spacing w:after="100"/>
      </w:pPr>
      <w:r>
        <w:rPr>
          <w:b/>
          <w:color w:val="7E4A94"/>
          <w:sz w:val="16"/>
        </w:rPr>
        <w:t>A CLASS OF COMPANY</w:t>
      </w:r>
      <w:r>
        <w:rPr>
          <w:color w:val="5B6570"/>
          <w:sz w:val="16"/>
        </w:rPr>
        <w:t xml:space="preserve">   applies to every real-estate developer, off-plan, point-in-time on handover   ·   learned from a outside critique, TMGH critique response, 18-09-2026</w:t>
      </w:r>
    </w:p>
    <w:p>
      <w:pPr>
        <w:spacing w:after="100"/>
      </w:pPr>
      <w:r>
        <w:rPr>
          <w:b w:val="0"/>
          <w:i w:val="0"/>
          <w:color w:val="1A1D21"/>
          <w:sz w:val="21"/>
        </w:rPr>
        <w:t>Where revenue moves a fraction of the way toward a target each year and the target itself compounds, realised conversion never reaches the rate the target was built from. The cell carrying the period is then a label rather than a driver — and it is the label the crux grid, the headline and the sensitivity all move.</w:t>
      </w:r>
    </w:p>
    <w:p>
      <w:pPr>
        <w:spacing w:after="60"/>
        <w:ind w:left="283"/>
      </w:pPr>
      <w:r>
        <w:rPr>
          <w:b w:val="0"/>
          <w:i w:val="0"/>
          <w:color w:val="5B6570"/>
          <w:sz w:val="19"/>
        </w:rPr>
        <w:t>How we know.  TMGH commits CAPACITY_YEARS 14 and CAPACITY_RAMP 0.25. Revenue moves a quarter of the way to (opening book + sales) / 14 each year while the book compounds at 15%, so the committed book cover runs 15.03 to 20.97 to 19.75 years and never 14. The 2027 recursion reproduces the workbook to ten decimals. The words ramp, partial adjustment and adjustment speed appear zero times in the delivered document.</w:t>
      </w:r>
    </w:p>
    <w:p>
      <w:pPr>
        <w:spacing w:after="160"/>
        <w:ind w:left="283"/>
      </w:pPr>
      <w:r>
        <w:rPr>
          <w:b w:val="0"/>
          <w:i w:val="0"/>
          <w:color w:val="5B6570"/>
          <w:sz w:val="19"/>
        </w:rPr>
        <w:t>What would overturn it.  A conversion model whose realised rate reaches its stated period within the explicit window, shown by the committed series.</w:t>
      </w:r>
    </w:p>
    <w:p>
      <w:pPr>
        <w:keepNext/>
        <w:spacing w:before="240" w:after="60"/>
      </w:pPr>
      <w:r>
        <w:rPr>
          <w:b/>
          <w:color w:val="1A1D21"/>
          <w:sz w:val="22"/>
        </w:rPr>
        <w:t>L-390  Contracted sales earned as a development fee never enter the backlog, and must not drive the collections line.</w:t>
      </w:r>
    </w:p>
    <w:p>
      <w:pPr>
        <w:keepNext/>
        <w:spacing w:after="100"/>
      </w:pPr>
      <w:r>
        <w:rPr>
          <w:b/>
          <w:color w:val="7E4A94"/>
          <w:sz w:val="16"/>
        </w:rPr>
        <w:t>A CLASS OF COMPANY</w:t>
      </w:r>
      <w:r>
        <w:rPr>
          <w:color w:val="5B6570"/>
          <w:sz w:val="16"/>
        </w:rPr>
        <w:t xml:space="preserve">   applies to every real-estate developer, off-plan, point-in-time on handover   ·   learned from a outside critique, TMGH critique response, 18-09-2026</w:t>
      </w:r>
    </w:p>
    <w:p>
      <w:pPr>
        <w:spacing w:after="100"/>
      </w:pPr>
      <w:r>
        <w:rPr>
          <w:b w:val="0"/>
          <w:i w:val="0"/>
          <w:color w:val="1A1D21"/>
          <w:sz w:val="21"/>
        </w:rPr>
        <w:t>A developer can sell on its own balance sheet and sell for somebody else on a commission. Only the first creates a deliverable obligation and only the first is collected against. Feeding total reported sales into an advances driver treats fee volume as if it were an order book, and the company usually says so in a footnote on the same page as the backlog chart.</w:t>
      </w:r>
    </w:p>
    <w:p>
      <w:pPr>
        <w:spacing w:after="60"/>
        <w:ind w:left="283"/>
      </w:pPr>
      <w:r>
        <w:rPr>
          <w:b w:val="0"/>
          <w:i w:val="0"/>
          <w:color w:val="5B6570"/>
          <w:sz w:val="19"/>
        </w:rPr>
        <w:t>How we know.  TMG discloses that SouthMed sales sit outside the backlog under an asset-light model earning a c.8% fee; SouthMed was EGP 93.9bn of the 219.1bn of 1H2026 sales, 43%. The FY2023 release separately states EGP 47.8bn of third-party commission volume, which the study's register characterises as a land transaction. TMGH's model injects EGP 300bn of new sales a year at face into the collections driver, and by 2035 that line supplies 152,135 against total free cash flow of 137,742.</w:t>
      </w:r>
    </w:p>
    <w:p>
      <w:pPr>
        <w:spacing w:after="160"/>
        <w:ind w:left="283"/>
      </w:pPr>
      <w:r>
        <w:rPr>
          <w:b w:val="0"/>
          <w:i w:val="0"/>
          <w:color w:val="5B6570"/>
          <w:sz w:val="19"/>
        </w:rPr>
        <w:t>What would overturn it.  A company of this class whose fee-based volume does create a collectable obligation, disclosed as such.</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keepNext/>
        <w:spacing w:before="240" w:after="60"/>
      </w:pPr>
      <w:r>
        <w:rPr>
          <w:b/>
          <w:color w:val="1A1D21"/>
          <w:sz w:val="22"/>
        </w:rPr>
        <w:t>L-388  Holding a dollar-linked price flat in nominal dollars while domestic costs escalate at full inflation is a real-terms price decline, not the absence of a forecast.</w:t>
      </w:r>
    </w:p>
    <w:p>
      <w:pPr>
        <w:keepNext/>
        <w:spacing w:after="100"/>
      </w:pPr>
      <w:r>
        <w:rPr>
          <w:b/>
          <w:color w:val="7E4A94"/>
          <w:sz w:val="16"/>
        </w:rPr>
        <w:t>A CLASS OF COMPANY</w:t>
      </w:r>
      <w:r>
        <w:rPr>
          <w:color w:val="5B6570"/>
          <w:sz w:val="16"/>
        </w:rPr>
        <w:t xml:space="preserve">   applies to every refiner, commodity pass-through on a thin spread   ·   learned from a outside critique, AMOC critique response, 18-09-2026</w:t>
      </w:r>
    </w:p>
    <w:p>
      <w:pPr>
        <w:spacing w:after="100"/>
      </w:pPr>
      <w:r>
        <w:rPr>
          <w:b w:val="0"/>
          <w:i w:val="0"/>
          <w:color w:val="1A1D21"/>
          <w:sz w:val="21"/>
        </w:rPr>
        <w:t>On a pass-through processor the slate is priced off a dollar benchmark and the conversion costs are domestic. Declining to forecast the benchmark is right; holding it flat in NOMINAL dollars is not the way to decline, because it forecasts the price falling in real terms at foreign inflation every year for ever, against domestic costs that do not. The neutral assumption is flat in REAL terms.</w:t>
      </w:r>
    </w:p>
    <w:p>
      <w:pPr>
        <w:spacing w:after="60"/>
        <w:ind w:left="283"/>
      </w:pPr>
      <w:r>
        <w:rPr>
          <w:b w:val="0"/>
          <w:i w:val="0"/>
          <w:color w:val="5B6570"/>
          <w:sz w:val="19"/>
        </w:rPr>
        <w:t>How we know.  AMOC derives realisation growth as (1 + Egyptian inflation) / 1.025 - 1 while operating expense and capital expenditure take the full Egyptian ladder — an undisclosed 2.5%-a-year wedge that drifts opex/revenue from 3.795% to 4.189% where parity holds it at 3.703%. Closing it, re-run through the study's own compute.py, is +17.84%: EGP 11.4012 to 13.4350. Four studies in the book carry the convention.</w:t>
      </w:r>
    </w:p>
    <w:p>
      <w:pPr>
        <w:spacing w:after="160"/>
        <w:ind w:left="283"/>
      </w:pPr>
      <w:r>
        <w:rPr>
          <w:b w:val="0"/>
          <w:i w:val="0"/>
          <w:color w:val="5B6570"/>
          <w:sz w:val="19"/>
        </w:rPr>
        <w:t>What would overturn it.  Evidence that the real dollar price of this slate has in fact declined at foreign inflation over a long enough record to measure, which would make the nominal convention the right one.</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pPr>
        <w:keepNext/>
        <w:spacing w:before="240" w:after="60"/>
      </w:pPr>
      <w:r>
        <w:rPr>
          <w:b/>
          <w:color w:val="1A1D21"/>
          <w:sz w:val="22"/>
        </w:rPr>
        <w:t>L-372  D1 cable volume t forecasts run about 28% too high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+0.250 log (about 28% too high), average miss 0.256, wrong in the same direction in 95% of cases, and the sign holds across every bootstrap block tested (n=20).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L-373  D5 contracting revenue forecasts run about 39% too low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-0.326 log (about 39% too low), average miss 0.390, wrong in the same direction in 76%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pStyle w:val="Heading2"/>
      </w:pPr>
      <w:r>
        <w:t>Automotive assembler and distributor with a captive lender</w:t>
      </w:r>
    </w:p>
    <w:p>
      <w:pPr>
        <w:keepNext/>
        <w:spacing w:before="240" w:after="60"/>
      </w:pPr>
      <w:r>
        <w:rPr>
          <w:b/>
          <w:color w:val="1A1D21"/>
          <w:sz w:val="22"/>
        </w:rPr>
        <w:t>L-376  A captive lender's own equity is not a valuation base until what that equity holds has been taken out of it.</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financing arm inside an operating group usually holds the group's investments as well as its loan book, so its reported equity funds two different things. Value the leg on that whole figure and you have paid for the investments twice — once inside the lender and once when the sum of the parts adds them back at their own mark. Take the investments out of the equity first, and take their income out of the return you measure on it.</w:t>
      </w:r>
    </w:p>
    <w:p>
      <w:pPr>
        <w:spacing w:after="60"/>
        <w:ind w:left="283"/>
      </w:pPr>
      <w:r>
        <w:rPr>
          <w:b w:val="0"/>
          <w:i w:val="0"/>
          <w:color w:val="5B6570"/>
          <w:sz w:val="19"/>
        </w:rPr>
        <w:t>How we know.  GB Capital's segment shareholders' equity before non- controlling interests was EGP 22,497.8mn at 30 June 2026 and the associates carried inside it were EGP 16,230.5mn, so the equity actually funding the lending business was 6,267.3mn — 28% of the reported figure. The company's own adjusted return on average equity implies a base near 9,046mn whose NUMERATOR carries EGP 986.4mn of associate income, and the delivered study used a typed 9,500 taken from that basis.</w:t>
      </w:r>
    </w:p>
    <w:p>
      <w:pPr>
        <w:spacing w:after="160"/>
        <w:ind w:left="283"/>
      </w:pPr>
      <w:r>
        <w:rPr>
          <w:b w:val="0"/>
          <w:i w:val="0"/>
          <w:color w:val="5B6570"/>
          <w:sz w:val="19"/>
        </w:rPr>
        <w:t>What would overturn it.  A group of this class whose financing segment carries no investments inside its own equity, so the identity returns the same base the company's own return measure implies and there is nothing to remove.</w:t>
      </w:r>
    </w:p>
    <w:p>
      <w:pPr>
        <w:keepNext/>
        <w:spacing w:before="240" w:after="60"/>
      </w:pPr>
      <w:r>
        <w:rPr>
          <w:b/>
          <w:color w:val="1A1D21"/>
          <w:sz w:val="22"/>
        </w:rPr>
        <w:t>L-377  Group earnings in this class cannot be normalised, because the associate marks move them more than the operating business does.</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normalised-earnings lens asks what the company earns in an ordinary year. Where a large minority holding is equity- accounted, the reported line swings on that holding's results and on revaluations, so an average of it is an average of something the operating business does not control. Publish the operating legs and the holding separately instead.</w:t>
      </w:r>
    </w:p>
    <w:p>
      <w:pPr>
        <w:spacing w:after="60"/>
        <w:ind w:left="283"/>
      </w:pPr>
      <w:r>
        <w:rPr>
          <w:b w:val="0"/>
          <w:i w:val="0"/>
          <w:color w:val="5B6570"/>
          <w:sz w:val="19"/>
        </w:rPr>
        <w:t>How we know.  Investment gains from associates ran EGP 451.6mn, 294.6mn and 131.6mn across three consecutive quarters to 2Q26 while GB Capital's own operating profit over the same quarters ran 156.5mn, 187.0mn and 387.4mn — the associate line was larger than the operating line in two of the three and moved in the opposite direction. The delivered study gave a normalised lens a quarter of its weight on six typed figures.</w:t>
      </w:r>
    </w:p>
    <w:p>
      <w:pPr>
        <w:spacing w:after="160"/>
        <w:ind w:left="283"/>
      </w:pPr>
      <w:r>
        <w:rPr>
          <w:b w:val="0"/>
          <w:i w:val="0"/>
          <w:color w:val="5B6570"/>
          <w:sz w:val="19"/>
        </w:rPr>
        <w:t>What would overturn it.  A company of this class whose equity-accounted holdings are small enough that the reported earnings track the operating legs, which would make a normalised read of the group meaningful again.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ELEC</w:t>
      </w:r>
    </w:p>
    <w:p>
      <w:pPr>
        <w:keepNext/>
        <w:spacing w:before="240" w:after="60"/>
      </w:pPr>
      <w:r>
        <w:rPr>
          <w:b/>
          <w:color w:val="1A1D21"/>
          <w:sz w:val="22"/>
        </w:rPr>
        <w:t>L-356  The forecasting method could not be tested on ELEC at all.</w:t>
      </w:r>
    </w:p>
    <w:p>
      <w:pPr>
        <w:keepNext/>
        <w:spacing w:after="100"/>
      </w:pPr>
      <w:r>
        <w:rPr>
          <w:b/>
          <w:color w:val="B03A2E"/>
          <w:sz w:val="16"/>
        </w:rPr>
        <w:t>ONE COMPANY ONLY</w:t>
      </w:r>
      <w:r>
        <w:rPr>
          <w:color w:val="5B6570"/>
          <w:sz w:val="16"/>
        </w:rPr>
        <w:t xml:space="preserve">   applies to ELEC only   ·   learned from a fundamental walk-forward test, ELEC walk-forward, date not recorded</w:t>
      </w:r>
      <w:r>
        <w:rPr>
          <w:b/>
          <w:color w:val="B03A2E"/>
          <w:sz w:val="16"/>
        </w:rPr>
        <w:t xml:space="preserve">   ·   STATUS: PROVISIONAL</w:t>
      </w:r>
    </w:p>
    <w:p>
      <w:pPr>
        <w:spacing w:after="100"/>
      </w:pPr>
      <w:r>
        <w:rPr>
          <w:b w:val="0"/>
          <w:i w:val="0"/>
          <w:color w:val="1A1D21"/>
          <w:sz w:val="21"/>
        </w:rPr>
        <w:t>A walk-forward needs an origin to project from and a later actual to score against. Where the archive is too short there is no test to run, and saying so is the result — not a gap to be filled by stretching the window.</w:t>
      </w:r>
    </w:p>
    <w:p>
      <w:pPr>
        <w:spacing w:after="60"/>
        <w:ind w:left="283"/>
      </w:pPr>
      <w:r>
        <w:rPr>
          <w:b w:val="0"/>
          <w:i w:val="0"/>
          <w:color w:val="5B6570"/>
          <w:sz w:val="19"/>
        </w:rPr>
        <w:t>How we know.  4 sourceable fiscal years on the best available basis against a bar of 5, and 0 scoreable origins: the last sourceable actual is FY2023, so the last possible origin is FY2022 at h=1, and FY2022 needs five years of history to it (FY2018-FY2022) which do not exist on any basis in hand.</w:t>
      </w:r>
    </w:p>
    <w:p>
      <w:pPr>
        <w:spacing w:after="160"/>
        <w:ind w:left="283"/>
      </w:pPr>
      <w:r>
        <w:rPr>
          <w:b w:val="0"/>
          <w:i w:val="0"/>
          <w:color w:val="5B6570"/>
          <w:sz w:val="19"/>
        </w:rPr>
        <w:t>What would overturn it.  A filing archive that becomes reachable, or filings supplied directly, taking the sourceable span to five years or more on one basis.</w:t>
      </w:r>
    </w:p>
    <w:p>
      <w:pPr>
        <w:pStyle w:val="Heading2"/>
      </w:pPr>
      <w:r>
        <w:t>GBCO</w:t>
      </w:r>
    </w:p>
    <w:p>
      <w:pPr>
        <w:keepNext/>
        <w:spacing w:before="240" w:after="60"/>
      </w:pPr>
      <w:r>
        <w:rPr>
          <w:b/>
          <w:color w:val="1A1D21"/>
          <w:sz w:val="22"/>
        </w:rPr>
        <w:t>L-363  The finance cost forecast loses to assuming no change.</w:t>
      </w:r>
    </w:p>
    <w:p>
      <w:pPr>
        <w:keepNext/>
        <w:spacing w:after="100"/>
      </w:pPr>
      <w:r>
        <w:rPr>
          <w:b/>
          <w:color w:val="B03A2E"/>
          <w:sz w:val="16"/>
        </w:rPr>
        <w:t>ONE COMPANY ONLY</w:t>
      </w:r>
      <w:r>
        <w:rPr>
          <w:color w:val="5B6570"/>
          <w:sz w:val="16"/>
        </w:rPr>
        <w:t xml:space="preserve">   applies to GBCO only   ·   learned from a fundamental walk-forward test, GBCO walk-forward, date not recorded</w:t>
      </w:r>
      <w:r>
        <w:rPr>
          <w:b/>
          <w:color w:val="B03A2E"/>
          <w:sz w:val="16"/>
        </w:rPr>
        <w:t xml:space="preserve">   ·   STATUS: PROVISIONAL</w:t>
      </w:r>
    </w:p>
    <w:p>
      <w:pPr>
        <w:spacing w:after="100"/>
      </w:pPr>
      <w:r>
        <w:rPr>
          <w:b w:val="0"/>
          <w:i w:val="0"/>
          <w:color w:val="1A1D21"/>
          <w:sz w:val="21"/>
        </w:rPr>
        <w:t>At 5 of 5 horizons, simply carrying last year's number forward beat the model. A method that cannot beat 'no change' has not earned the precision it displays, and should be published as a range or not at all.</w:t>
      </w:r>
    </w:p>
    <w:p>
      <w:pPr>
        <w:spacing w:after="60"/>
        <w:ind w:left="283"/>
      </w:pPr>
      <w:r>
        <w:rPr>
          <w:b w:val="0"/>
          <w:i w:val="0"/>
          <w:color w:val="5B6570"/>
          <w:sz w:val="19"/>
        </w:rPr>
        <w:t>How we know.  Negative skill against the freeze benchmark at horizons h1, h2, h3, h4, h5, worst -0.485.</w:t>
      </w:r>
    </w:p>
    <w:p>
      <w:pPr>
        <w:spacing w:after="160"/>
        <w:ind w:left="283"/>
      </w:pPr>
      <w:r>
        <w:rPr>
          <w:b w:val="0"/>
          <w:i w:val="0"/>
          <w:color w:val="5B6570"/>
          <w:sz w:val="19"/>
        </w:rPr>
        <w:t>What would overturn it.  A later run where the model beats the freeze benchmark at a majority of horizons.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pPr>
        <w:pStyle w:val="Heading2"/>
      </w:pPr>
      <w:r>
        <w:t>SCEM</w:t>
      </w:r>
    </w:p>
    <w:p>
      <w:pPr>
        <w:keepNext/>
        <w:spacing w:before="240" w:after="60"/>
      </w:pPr>
      <w:r>
        <w:rPr>
          <w:b/>
          <w:color w:val="1A1D21"/>
          <w:sz w:val="22"/>
        </w:rPr>
        <w:t>L-367  Cogs wages forecasts run about 27% too low for SCEM.</w:t>
      </w:r>
    </w:p>
    <w:p>
      <w:pPr>
        <w:keepNext/>
        <w:spacing w:after="100"/>
      </w:pPr>
      <w:r>
        <w:rPr>
          <w:b/>
          <w:color w:val="B03A2E"/>
          <w:sz w:val="16"/>
        </w:rPr>
        <w:t>ONE COMPANY ONLY</w:t>
      </w:r>
      <w:r>
        <w:rPr>
          <w:color w:val="5B6570"/>
          <w:sz w:val="16"/>
        </w:rPr>
        <w:t xml:space="preserve">   applies to SCEM only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-0.241 log (about 27% too low), average miss 0.241,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TMGH</w:t>
      </w:r>
    </w:p>
    <w:p>
      <w:pPr>
        <w:keepNext/>
        <w:spacing w:before="240" w:after="60"/>
      </w:pPr>
      <w:r>
        <w:rPr>
          <w:b/>
          <w:color w:val="1A1D21"/>
          <w:sz w:val="22"/>
        </w:rPr>
        <w:t>L-391  TMG publishes its own discount rate, projection period and terminal growth in its goodwill note, and no study here has read them.</w:t>
      </w:r>
    </w:p>
    <w:p>
      <w:pPr>
        <w:keepNext/>
        <w:spacing w:after="100"/>
      </w:pPr>
      <w:r>
        <w:rPr>
          <w:b/>
          <w:color w:val="B03A2E"/>
          <w:sz w:val="16"/>
        </w:rPr>
        <w:t>ONE COMPANY ONLY</w:t>
      </w:r>
      <w:r>
        <w:rPr>
          <w:color w:val="5B6570"/>
          <w:sz w:val="16"/>
        </w:rPr>
        <w:t xml:space="preserve">   applies to TMGH only   ·   learned from a outside critique, TMGH critique response, 18-09-2026</w:t>
      </w:r>
    </w:p>
    <w:p>
      <w:pPr>
        <w:spacing w:after="100"/>
      </w:pPr>
      <w:r>
        <w:rPr>
          <w:b w:val="0"/>
          <w:i w:val="0"/>
          <w:color w:val="1A1D21"/>
          <w:sz w:val="21"/>
        </w:rPr>
        <w:t>The goodwill impairment test is a discounted cash flow the company runs on itself and discloses annually. It is the one place a filing states what the company believes about its own cost of capital and horizon — a free cross-check on the two inputs a study argues hardest about.</w:t>
      </w:r>
    </w:p>
    <w:p>
      <w:pPr>
        <w:spacing w:after="60"/>
        <w:ind w:left="283"/>
      </w:pPr>
      <w:r>
        <w:rPr>
          <w:b w:val="0"/>
          <w:i w:val="0"/>
          <w:color w:val="5B6570"/>
          <w:sz w:val="19"/>
        </w:rPr>
        <w:t>How we know.  Note 9 of TMG's 30 June 2026 interim consolidated statements: a pre-tax discount rate of 33.9% applied to cash-flow projections, a 20-year period, and a terminal growth rate of 5%. The study runs a terminal WACC of 21.93% and terminal growth of 7%. Neither the study nor either outside audit found it.</w:t>
      </w:r>
    </w:p>
    <w:p>
      <w:pPr>
        <w:spacing w:after="160"/>
        <w:ind w:left="283"/>
      </w:pPr>
      <w:r>
        <w:rPr>
          <w:b w:val="0"/>
          <w:i w:val="0"/>
          <w:color w:val="5B6570"/>
          <w:sz w:val="19"/>
        </w:rPr>
        <w:t>What would overturn it.  A year in which the note stops disclosing the rate, or discloses one built on a basis the study's own rate cannot be compared with.</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