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shares change hands at 8.0 times that same forward EBITDA, while the cash-flow lens values them at 2.3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25.76%</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2.31</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2.31 to 2.31</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