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space="2" w:color="0F5E54"/>
        </w:pBdr>
      </w:pPr>
      <w:r>
        <w:rPr>
          <w:b/>
          <w:color w:val="0F5E54"/>
          <w:sz w:val="18"/>
        </w:rPr>
        <w:t>Testahil   ·   Independent Valuation Study — Educational Analysis</w:t>
      </w:r>
      <w:r>
        <w:rPr>
          <w:color w:val="5A5A50"/>
          <w:sz w:val="18"/>
        </w:rPr>
        <w:t xml:space="preserve">        Not investment advice</w:t>
      </w:r>
    </w:p>
    <w:p>
      <w:r>
        <w:rPr>
          <w:b/>
          <w:color w:val="1C3A36"/>
          <w:sz w:val="26"/>
        </w:rPr>
        <w:t>Independent Valuation Study — Educational Analysis</w:t>
      </w:r>
    </w:p>
    <w:p>
      <w:r>
        <w:rPr>
          <w:b/>
          <w:color w:val="0F5E54"/>
          <w:sz w:val="32"/>
        </w:rPr>
        <w:t>ADNOC Gas plc  (ADX: ADNOCGAS)</w:t>
      </w:r>
    </w:p>
    <w:p>
      <w:r>
        <w:rPr>
          <w:i/>
          <w:color w:val="5A5A50"/>
          <w:sz w:val="19"/>
        </w:rPr>
        <w:t>Fundamental analysis · Technical analysis · Monte Carlo simulation — one integrated read</w:t>
      </w:r>
    </w:p>
    <w:p>
      <w:pPr>
        <w:jc w:val="both"/>
      </w:pPr>
      <w:r>
        <w:rPr>
          <w:b/>
          <w:color w:val="1C3A36"/>
          <w:sz w:val="19"/>
        </w:rPr>
        <w:t xml:space="preserve">Anchor:  </w:t>
      </w:r>
      <w:r>
        <w:rPr>
          <w:i w:val="0"/>
          <w:color w:val="1C3A36"/>
          <w:sz w:val="19"/>
        </w:rPr>
        <w:t>AED 3.44 (3 Jul 2026 close) · ~76.74 bn shares · market cap ~AED 264 bn (~$71.9 bn) · net cash ~$4.8 bn · a world-class integrated gas-processing and sales company that supplies ~60% of the UAE's sales-gas needs and exports to 20+ countries; ~86% owned by ADNOC · reporting currency US dollars, share price AED (peg 3.6725) · prices and probabilities computed 3 Jul 2026 from the attached daily history · primary lens: discounted cash flow (FCFF), cross-checked by a dividend-discount model on the board-committed 5%-growth dividend · the swing factors are Brent-linked export pricing and the gap between enterprise cash flow and what the minority actually receives.</w:t>
      </w:r>
    </w:p>
    <w:tbl>
      <w:tblPr>
        <w:tblStyle w:val="TableGrid"/>
        <w:tblW w:type="auto" w:w="0"/>
        <w:tblLook w:firstColumn="1" w:firstRow="1" w:lastColumn="0" w:lastRow="0" w:noHBand="0" w:noVBand="1" w:val="04A0"/>
      </w:tblPr>
      <w:tblGrid>
        <w:gridCol w:w="9936"/>
      </w:tblGrid>
      <w:tr>
        <w:tc>
          <w:tcPr>
            <w:tcW w:type="dxa" w:w="9936"/>
            <w:shd w:val="clear" w:fill="EEF4F1"/>
          </w:tcPr>
          <w:p>
            <w:r>
              <w:rPr>
                <w:b/>
                <w:color w:val="0F5E54"/>
                <w:sz w:val="18"/>
              </w:rPr>
              <w:t xml:space="preserve">READ FIRST — what this document is, and is not.  </w:t>
            </w:r>
            <w:r>
              <w:rPr>
                <w:color w:val="1C3A36"/>
                <w:sz w:val="17"/>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All values are model outputs presented as ranges and distributions because no single number should be relied on. Reported financials are the company's own disclosure (FY2025 results, 9 February 2026, adjusted/proportionate basis); forward-looking inputs — the DCF and DDM assumptions, the multiples, and the Monte-Carlo factor probabilities — are the preparer's judgments and are flagged throughout. Consult a licensed financial advisor before any investment decision.  See the Disclosure &amp; Disclaimer at the end.</w:t>
            </w:r>
          </w:p>
        </w:tc>
      </w:tr>
    </w:tbl>
    <w:p/>
    <w:p>
      <w:pPr>
        <w:pBdr>
          <w:bottom w:val="single" w:sz="6" w:space="2" w:color="C0A45F"/>
        </w:pBdr>
      </w:pPr>
      <w:r>
        <w:rPr>
          <w:b/>
          <w:color w:val="0F5E54"/>
          <w:sz w:val="28"/>
        </w:rPr>
        <w:t>Headline</w:t>
      </w:r>
    </w:p>
    <w:p>
      <w:pPr>
        <w:jc w:val="both"/>
      </w:pPr>
      <w:r>
        <w:rPr>
          <w:b/>
          <w:color w:val="1C3A36"/>
          <w:sz w:val="20"/>
        </w:rPr>
        <w:t xml:space="preserve">ADNOC Gas — a dividend instrument priced as one, with gated enterprise upside.  </w:t>
      </w:r>
      <w:r>
        <w:rPr>
          <w:i w:val="0"/>
          <w:color w:val="1C3A36"/>
          <w:sz w:val="20"/>
        </w:rPr>
        <w:t>ADNOC Gas is one of the highest-quality income instruments listed in the Gulf, and the market prices it accordingly. On our central read the shares are fairly valued to modestly cheap: a weighted five-lens fair value of AED 3.79 against a spot of AED 3.44 implies roughly 10% to the midpoint — but that headline conceals the more important finding, which is a wide and instructive spread between the lenses.</w:t>
      </w:r>
    </w:p>
    <w:p>
      <w:pPr>
        <w:jc w:val="both"/>
      </w:pPr>
      <w:r>
        <w:rPr>
          <w:i w:val="0"/>
          <w:color w:val="1C3A36"/>
          <w:sz w:val="20"/>
        </w:rPr>
        <w:t>The discounted-cash-flow lens, valuing the entire enterprise cash stream at a full equity cost of capital (10.0%), returns AED 4.50 — the company generates free cash flow well above its dividend and is quietly compounding a net-cash pile. The dividend-discount lens, valuing only the board-committed 5%-growth distribution at a lower, sovereign-backed discount rate (8.25%), returns AED 3.41 — almost exactly spot. The market, in other words, is pricing ADNOC Gas as a bond-like dividend claim, and on that basis it is fair. The DCF premium is real but gated: it accrues to a controlling shareholder (ADNOC, ~86%) whose capital-allocation choices determine whether the retained cash is ever distributed. We do not treat that gap as a mispricing to arbitrage; we treat it as the central analytical fact of the name.</w:t>
      </w:r>
    </w:p>
    <w:p>
      <w:pPr>
        <w:jc w:val="both"/>
      </w:pPr>
      <w:r>
        <w:rPr>
          <w:i w:val="0"/>
          <w:color w:val="1C3A36"/>
          <w:sz w:val="20"/>
        </w:rPr>
        <w:t>The 60-session Monte Carlo — width from the YZ-HAR engine, Student-t(5) shape, drift OFF because this is an international name whose paths should diffuse from spot — puts the T+60 interquartile band at roughly AED 3.22–3.75, with a fat but modest left tail reflecting regional-security risk (a risk that materialised at the Habshan complex in mid-2025). This is a low-volatility instrument: annualised diffusion of ~17%, one of the calmest in our coverage. Our calibration backtest clears the bar — CRPS skill of +0.070 against a random-walk benchmark with a near-uniform PIT — subject to one honest constraint: ADNOC Gas IPO'd only in March 2023, so the backtest spans ~3.3 years of history, not a full five.</w:t>
      </w:r>
    </w:p>
    <w:p>
      <w:pPr>
        <w:pBdr>
          <w:bottom w:val="single" w:sz="6" w:space="2" w:color="C0A45F"/>
        </w:pBdr>
      </w:pPr>
      <w:r>
        <w:rPr>
          <w:b/>
          <w:color w:val="0F5E54"/>
          <w:sz w:val="28"/>
        </w:rPr>
        <w:t>Valuation summary — every read at a glance</w:t>
      </w:r>
    </w:p>
    <w:tbl>
      <w:tblPr>
        <w:tblStyle w:val="TableGrid"/>
        <w:tblW w:type="auto" w:w="0"/>
        <w:jc w:val="center"/>
        <w:tblLayout w:type="fixed"/>
        <w:tblLook w:firstColumn="1" w:firstRow="1" w:lastColumn="0" w:lastRow="0" w:noHBand="0" w:noVBand="1" w:val="04A0"/>
        <w:tblLayout w:type="fixed"/>
      </w:tblPr>
      <w:tblGrid>
        <w:gridCol w:w="1987"/>
        <w:gridCol w:w="1987"/>
        <w:gridCol w:w="1987"/>
        <w:gridCol w:w="1987"/>
        <w:gridCol w:w="1987"/>
      </w:tblGrid>
      <w:tr>
        <w:tc>
          <w:tcPr>
            <w:tcW w:type="dxa" w:w="3593"/>
            <w:shd w:val="clear" w:fill="0F5E54"/>
          </w:tcPr>
          <w:p>
            <w:pPr>
              <w:jc w:val="left"/>
            </w:pPr>
            <w:r>
              <w:rPr>
                <w:b/>
                <w:color w:val="FFFFFF"/>
                <w:sz w:val="17"/>
              </w:rPr>
              <w:t>Lens (AED/share)</w:t>
            </w:r>
          </w:p>
        </w:tc>
        <w:tc>
          <w:tcPr>
            <w:tcW w:type="dxa" w:w="1497"/>
            <w:shd w:val="clear" w:fill="0F5E54"/>
          </w:tcPr>
          <w:p>
            <w:pPr>
              <w:jc w:val="center"/>
            </w:pPr>
            <w:r>
              <w:rPr>
                <w:b/>
                <w:color w:val="FFFFFF"/>
                <w:sz w:val="17"/>
              </w:rPr>
              <w:t>Bear</w:t>
            </w:r>
          </w:p>
        </w:tc>
        <w:tc>
          <w:tcPr>
            <w:tcW w:type="dxa" w:w="1497"/>
            <w:shd w:val="clear" w:fill="0F5E54"/>
          </w:tcPr>
          <w:p>
            <w:pPr>
              <w:jc w:val="center"/>
            </w:pPr>
            <w:r>
              <w:rPr>
                <w:b/>
                <w:color w:val="FFFFFF"/>
                <w:sz w:val="17"/>
              </w:rPr>
              <w:t>Base</w:t>
            </w:r>
          </w:p>
        </w:tc>
        <w:tc>
          <w:tcPr>
            <w:tcW w:type="dxa" w:w="1497"/>
            <w:shd w:val="clear" w:fill="0F5E54"/>
          </w:tcPr>
          <w:p>
            <w:pPr>
              <w:jc w:val="center"/>
            </w:pPr>
            <w:r>
              <w:rPr>
                <w:b/>
                <w:color w:val="FFFFFF"/>
                <w:sz w:val="17"/>
              </w:rPr>
              <w:t>Bull</w:t>
            </w:r>
          </w:p>
        </w:tc>
        <w:tc>
          <w:tcPr>
            <w:tcW w:type="dxa" w:w="1347"/>
            <w:shd w:val="clear" w:fill="0F5E54"/>
          </w:tcPr>
          <w:p>
            <w:pPr>
              <w:jc w:val="center"/>
            </w:pPr>
            <w:r>
              <w:rPr>
                <w:b/>
                <w:color w:val="FFFFFF"/>
                <w:sz w:val="17"/>
              </w:rPr>
              <w:t>Weight</w:t>
            </w:r>
          </w:p>
        </w:tc>
      </w:tr>
      <w:tr>
        <w:tc>
          <w:tcPr>
            <w:tcW w:type="dxa" w:w="3593"/>
          </w:tcPr>
          <w:p>
            <w:pPr>
              <w:jc w:val="left"/>
            </w:pPr>
            <w:r>
              <w:rPr>
                <w:color w:val="1C3A36"/>
                <w:sz w:val="16"/>
              </w:rPr>
              <w:t>DCF (FCFF)</w:t>
            </w:r>
          </w:p>
        </w:tc>
        <w:tc>
          <w:tcPr>
            <w:tcW w:type="dxa" w:w="1497"/>
          </w:tcPr>
          <w:p>
            <w:pPr>
              <w:jc w:val="right"/>
            </w:pPr>
            <w:r>
              <w:rPr>
                <w:color w:val="1C3A36"/>
                <w:sz w:val="16"/>
              </w:rPr>
              <w:t>4.00</w:t>
            </w:r>
          </w:p>
        </w:tc>
        <w:tc>
          <w:tcPr>
            <w:tcW w:type="dxa" w:w="1497"/>
          </w:tcPr>
          <w:p>
            <w:pPr>
              <w:jc w:val="right"/>
            </w:pPr>
            <w:r>
              <w:rPr>
                <w:color w:val="1C3A36"/>
                <w:sz w:val="16"/>
              </w:rPr>
              <w:t>4.50</w:t>
            </w:r>
          </w:p>
        </w:tc>
        <w:tc>
          <w:tcPr>
            <w:tcW w:type="dxa" w:w="1497"/>
          </w:tcPr>
          <w:p>
            <w:pPr>
              <w:jc w:val="right"/>
            </w:pPr>
            <w:r>
              <w:rPr>
                <w:color w:val="1C3A36"/>
                <w:sz w:val="16"/>
              </w:rPr>
              <w:t>5.10</w:t>
            </w:r>
          </w:p>
        </w:tc>
        <w:tc>
          <w:tcPr>
            <w:tcW w:type="dxa" w:w="1347"/>
          </w:tcPr>
          <w:p>
            <w:pPr>
              <w:jc w:val="right"/>
            </w:pPr>
            <w:r>
              <w:rPr>
                <w:color w:val="1C3A36"/>
                <w:sz w:val="16"/>
              </w:rPr>
              <w:t>20%</w:t>
            </w:r>
          </w:p>
        </w:tc>
      </w:tr>
      <w:tr>
        <w:tc>
          <w:tcPr>
            <w:tcW w:type="dxa" w:w="3593"/>
            <w:shd w:val="clear" w:fill="EEF4F1"/>
          </w:tcPr>
          <w:p>
            <w:pPr>
              <w:jc w:val="left"/>
            </w:pPr>
            <w:r>
              <w:rPr>
                <w:color w:val="1C3A36"/>
                <w:sz w:val="16"/>
              </w:rPr>
              <w:t>DDM (dividend stream)</w:t>
            </w:r>
          </w:p>
        </w:tc>
        <w:tc>
          <w:tcPr>
            <w:tcW w:type="dxa" w:w="1497"/>
            <w:shd w:val="clear" w:fill="EEF4F1"/>
          </w:tcPr>
          <w:p>
            <w:pPr>
              <w:jc w:val="right"/>
            </w:pPr>
            <w:r>
              <w:rPr>
                <w:color w:val="1C3A36"/>
                <w:sz w:val="16"/>
              </w:rPr>
              <w:t>3.10</w:t>
            </w:r>
          </w:p>
        </w:tc>
        <w:tc>
          <w:tcPr>
            <w:tcW w:type="dxa" w:w="1497"/>
            <w:shd w:val="clear" w:fill="EEF4F1"/>
          </w:tcPr>
          <w:p>
            <w:pPr>
              <w:jc w:val="right"/>
            </w:pPr>
            <w:r>
              <w:rPr>
                <w:color w:val="1C3A36"/>
                <w:sz w:val="16"/>
              </w:rPr>
              <w:t>3.41</w:t>
            </w:r>
          </w:p>
        </w:tc>
        <w:tc>
          <w:tcPr>
            <w:tcW w:type="dxa" w:w="1497"/>
            <w:shd w:val="clear" w:fill="EEF4F1"/>
          </w:tcPr>
          <w:p>
            <w:pPr>
              <w:jc w:val="right"/>
            </w:pPr>
            <w:r>
              <w:rPr>
                <w:color w:val="1C3A36"/>
                <w:sz w:val="16"/>
              </w:rPr>
              <w:t>3.70</w:t>
            </w:r>
          </w:p>
        </w:tc>
        <w:tc>
          <w:tcPr>
            <w:tcW w:type="dxa" w:w="1347"/>
            <w:shd w:val="clear" w:fill="EEF4F1"/>
          </w:tcPr>
          <w:p>
            <w:pPr>
              <w:jc w:val="right"/>
            </w:pPr>
            <w:r>
              <w:rPr>
                <w:color w:val="1C3A36"/>
                <w:sz w:val="16"/>
              </w:rPr>
              <w:t>35%</w:t>
            </w:r>
          </w:p>
        </w:tc>
      </w:tr>
      <w:tr>
        <w:tc>
          <w:tcPr>
            <w:tcW w:type="dxa" w:w="3593"/>
          </w:tcPr>
          <w:p>
            <w:pPr>
              <w:jc w:val="left"/>
            </w:pPr>
            <w:r>
              <w:rPr>
                <w:color w:val="1C3A36"/>
                <w:sz w:val="16"/>
              </w:rPr>
              <w:t>Relative EV/EBITDA</w:t>
            </w:r>
          </w:p>
        </w:tc>
        <w:tc>
          <w:tcPr>
            <w:tcW w:type="dxa" w:w="1497"/>
          </w:tcPr>
          <w:p>
            <w:pPr>
              <w:jc w:val="right"/>
            </w:pPr>
            <w:r>
              <w:rPr>
                <w:color w:val="1C3A36"/>
                <w:sz w:val="16"/>
              </w:rPr>
              <w:t>3.55</w:t>
            </w:r>
          </w:p>
        </w:tc>
        <w:tc>
          <w:tcPr>
            <w:tcW w:type="dxa" w:w="1497"/>
          </w:tcPr>
          <w:p>
            <w:pPr>
              <w:jc w:val="right"/>
            </w:pPr>
            <w:r>
              <w:rPr>
                <w:color w:val="1C3A36"/>
                <w:sz w:val="16"/>
              </w:rPr>
              <w:t>3.83</w:t>
            </w:r>
          </w:p>
        </w:tc>
        <w:tc>
          <w:tcPr>
            <w:tcW w:type="dxa" w:w="1497"/>
          </w:tcPr>
          <w:p>
            <w:pPr>
              <w:jc w:val="right"/>
            </w:pPr>
            <w:r>
              <w:rPr>
                <w:color w:val="1C3A36"/>
                <w:sz w:val="16"/>
              </w:rPr>
              <w:t>4.05</w:t>
            </w:r>
          </w:p>
        </w:tc>
        <w:tc>
          <w:tcPr>
            <w:tcW w:type="dxa" w:w="1347"/>
          </w:tcPr>
          <w:p>
            <w:pPr>
              <w:jc w:val="right"/>
            </w:pPr>
            <w:r>
              <w:rPr>
                <w:color w:val="1C3A36"/>
                <w:sz w:val="16"/>
              </w:rPr>
              <w:t>15%</w:t>
            </w:r>
          </w:p>
        </w:tc>
      </w:tr>
      <w:tr>
        <w:tc>
          <w:tcPr>
            <w:tcW w:type="dxa" w:w="3593"/>
            <w:shd w:val="clear" w:fill="EEF4F1"/>
          </w:tcPr>
          <w:p>
            <w:pPr>
              <w:jc w:val="left"/>
            </w:pPr>
            <w:r>
              <w:rPr>
                <w:color w:val="1C3A36"/>
                <w:sz w:val="16"/>
              </w:rPr>
              <w:t>Justified P/E</w:t>
            </w:r>
          </w:p>
        </w:tc>
        <w:tc>
          <w:tcPr>
            <w:tcW w:type="dxa" w:w="1497"/>
            <w:shd w:val="clear" w:fill="EEF4F1"/>
          </w:tcPr>
          <w:p>
            <w:pPr>
              <w:jc w:val="right"/>
            </w:pPr>
            <w:r>
              <w:rPr>
                <w:color w:val="1C3A36"/>
                <w:sz w:val="16"/>
              </w:rPr>
              <w:t>3.30</w:t>
            </w:r>
          </w:p>
        </w:tc>
        <w:tc>
          <w:tcPr>
            <w:tcW w:type="dxa" w:w="1497"/>
            <w:shd w:val="clear" w:fill="EEF4F1"/>
          </w:tcPr>
          <w:p>
            <w:pPr>
              <w:jc w:val="right"/>
            </w:pPr>
            <w:r>
              <w:rPr>
                <w:color w:val="1C3A36"/>
                <w:sz w:val="16"/>
              </w:rPr>
              <w:t>3.62</w:t>
            </w:r>
          </w:p>
        </w:tc>
        <w:tc>
          <w:tcPr>
            <w:tcW w:type="dxa" w:w="1497"/>
            <w:shd w:val="clear" w:fill="EEF4F1"/>
          </w:tcPr>
          <w:p>
            <w:pPr>
              <w:jc w:val="right"/>
            </w:pPr>
            <w:r>
              <w:rPr>
                <w:color w:val="1C3A36"/>
                <w:sz w:val="16"/>
              </w:rPr>
              <w:t>3.95</w:t>
            </w:r>
          </w:p>
        </w:tc>
        <w:tc>
          <w:tcPr>
            <w:tcW w:type="dxa" w:w="1347"/>
            <w:shd w:val="clear" w:fill="EEF4F1"/>
          </w:tcPr>
          <w:p>
            <w:pPr>
              <w:jc w:val="right"/>
            </w:pPr>
            <w:r>
              <w:rPr>
                <w:color w:val="1C3A36"/>
                <w:sz w:val="16"/>
              </w:rPr>
              <w:t>15%</w:t>
            </w:r>
          </w:p>
        </w:tc>
      </w:tr>
      <w:tr>
        <w:tc>
          <w:tcPr>
            <w:tcW w:type="dxa" w:w="3593"/>
          </w:tcPr>
          <w:p>
            <w:pPr>
              <w:jc w:val="left"/>
            </w:pPr>
            <w:r>
              <w:rPr>
                <w:color w:val="1C3A36"/>
                <w:sz w:val="16"/>
              </w:rPr>
              <w:t>Dividend yield</w:t>
            </w:r>
          </w:p>
        </w:tc>
        <w:tc>
          <w:tcPr>
            <w:tcW w:type="dxa" w:w="1497"/>
          </w:tcPr>
          <w:p>
            <w:pPr>
              <w:jc w:val="right"/>
            </w:pPr>
            <w:r>
              <w:rPr>
                <w:color w:val="1C3A36"/>
                <w:sz w:val="16"/>
              </w:rPr>
              <w:t>3.60</w:t>
            </w:r>
          </w:p>
        </w:tc>
        <w:tc>
          <w:tcPr>
            <w:tcW w:type="dxa" w:w="1497"/>
          </w:tcPr>
          <w:p>
            <w:pPr>
              <w:jc w:val="right"/>
            </w:pPr>
            <w:r>
              <w:rPr>
                <w:color w:val="1C3A36"/>
                <w:sz w:val="16"/>
              </w:rPr>
              <w:t>3.83</w:t>
            </w:r>
          </w:p>
        </w:tc>
        <w:tc>
          <w:tcPr>
            <w:tcW w:type="dxa" w:w="1497"/>
          </w:tcPr>
          <w:p>
            <w:pPr>
              <w:jc w:val="right"/>
            </w:pPr>
            <w:r>
              <w:rPr>
                <w:color w:val="1C3A36"/>
                <w:sz w:val="16"/>
              </w:rPr>
              <w:t>4.00</w:t>
            </w:r>
          </w:p>
        </w:tc>
        <w:tc>
          <w:tcPr>
            <w:tcW w:type="dxa" w:w="1347"/>
          </w:tcPr>
          <w:p>
            <w:pPr>
              <w:jc w:val="right"/>
            </w:pPr>
            <w:r>
              <w:rPr>
                <w:color w:val="1C3A36"/>
                <w:sz w:val="16"/>
              </w:rPr>
              <w:t>15%</w:t>
            </w:r>
          </w:p>
        </w:tc>
      </w:tr>
    </w:tbl>
    <w:p>
      <w:r>
        <w:rPr>
          <w:i/>
          <w:color w:val="5A5A50"/>
          <w:sz w:val="16"/>
        </w:rPr>
        <w:t>Base values link to the model's lens sheets; bear/bull are judgment ranges. Weights sum to 100%.</w:t>
      </w:r>
    </w:p>
    <w:p/>
    <w:p>
      <w:pPr>
        <w:jc w:val="both"/>
      </w:pPr>
      <w:r>
        <w:rPr>
          <w:b/>
          <w:color w:val="1C3A36"/>
          <w:sz w:val="20"/>
        </w:rPr>
        <w:t xml:space="preserve">Read:  </w:t>
      </w:r>
      <w:r>
        <w:rPr>
          <w:i w:val="0"/>
          <w:color w:val="1C3A36"/>
          <w:sz w:val="20"/>
        </w:rPr>
        <w:t>Weighted fair value AED 3.79 · spot AED 3.44 · implied 10.0% to the midpoint · reasonable range AED 3.10–5.10 (the width is the DCF-vs-DDM spread, i.e. the distribution-policy discount). No rating, no price target — a range and a distribution.</w:t>
      </w:r>
    </w:p>
    <w:p>
      <w:pPr>
        <w:pBdr>
          <w:bottom w:val="single" w:sz="6" w:space="2" w:color="C0A45F"/>
        </w:pBdr>
      </w:pPr>
      <w:r>
        <w:rPr>
          <w:b/>
          <w:color w:val="0F5E54"/>
          <w:sz w:val="28"/>
        </w:rPr>
        <w:t>Company overview — ADNOC Gas at a glance</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3144"/>
            <w:shd w:val="clear" w:fill="0F5E54"/>
          </w:tcPr>
          <w:p>
            <w:pPr>
              <w:jc w:val="left"/>
            </w:pPr>
            <w:r>
              <w:rPr>
                <w:b/>
                <w:color w:val="FFFFFF"/>
                <w:sz w:val="17"/>
              </w:rPr>
              <w:t>Item</w:t>
            </w:r>
          </w:p>
        </w:tc>
        <w:tc>
          <w:tcPr>
            <w:tcW w:type="dxa" w:w="6288"/>
            <w:shd w:val="clear" w:fill="0F5E54"/>
          </w:tcPr>
          <w:p>
            <w:pPr>
              <w:jc w:val="center"/>
            </w:pPr>
            <w:r>
              <w:rPr>
                <w:b/>
                <w:color w:val="FFFFFF"/>
                <w:sz w:val="17"/>
              </w:rPr>
              <w:t>Value</w:t>
            </w:r>
          </w:p>
        </w:tc>
      </w:tr>
      <w:tr>
        <w:tc>
          <w:tcPr>
            <w:tcW w:type="dxa" w:w="3144"/>
          </w:tcPr>
          <w:p>
            <w:pPr>
              <w:jc w:val="left"/>
            </w:pPr>
            <w:r>
              <w:rPr>
                <w:color w:val="1C3A36"/>
                <w:sz w:val="16"/>
              </w:rPr>
              <w:t>Listing / ticker</w:t>
            </w:r>
          </w:p>
        </w:tc>
        <w:tc>
          <w:tcPr>
            <w:tcW w:type="dxa" w:w="6288"/>
          </w:tcPr>
          <w:p>
            <w:pPr>
              <w:jc w:val="right"/>
            </w:pPr>
            <w:r>
              <w:rPr>
                <w:color w:val="1C3A36"/>
                <w:sz w:val="16"/>
              </w:rPr>
              <w:t>ADX: ADNOCGAS (ISIN AEE01195A234)</w:t>
            </w:r>
          </w:p>
        </w:tc>
      </w:tr>
      <w:tr>
        <w:tc>
          <w:tcPr>
            <w:tcW w:type="dxa" w:w="3144"/>
            <w:shd w:val="clear" w:fill="EEF4F1"/>
          </w:tcPr>
          <w:p>
            <w:pPr>
              <w:jc w:val="left"/>
            </w:pPr>
            <w:r>
              <w:rPr>
                <w:color w:val="1C3A36"/>
                <w:sz w:val="16"/>
              </w:rPr>
              <w:t>Business</w:t>
            </w:r>
          </w:p>
        </w:tc>
        <w:tc>
          <w:tcPr>
            <w:tcW w:type="dxa" w:w="6288"/>
            <w:shd w:val="clear" w:fill="EEF4F1"/>
          </w:tcPr>
          <w:p>
            <w:pPr>
              <w:jc w:val="right"/>
            </w:pPr>
            <w:r>
              <w:rPr>
                <w:color w:val="1C3A36"/>
                <w:sz w:val="16"/>
              </w:rPr>
              <w:t>Integrated gas processing, fractionation &amp; sales; ~60% of UAE sales-gas; 20+ export countries</w:t>
            </w:r>
          </w:p>
        </w:tc>
      </w:tr>
      <w:tr>
        <w:tc>
          <w:tcPr>
            <w:tcW w:type="dxa" w:w="3144"/>
          </w:tcPr>
          <w:p>
            <w:pPr>
              <w:jc w:val="left"/>
            </w:pPr>
            <w:r>
              <w:rPr>
                <w:color w:val="1C3A36"/>
                <w:sz w:val="16"/>
              </w:rPr>
              <w:t>Controlling shareholder</w:t>
            </w:r>
          </w:p>
        </w:tc>
        <w:tc>
          <w:tcPr>
            <w:tcW w:type="dxa" w:w="6288"/>
          </w:tcPr>
          <w:p>
            <w:pPr>
              <w:jc w:val="right"/>
            </w:pPr>
            <w:r>
              <w:rPr>
                <w:color w:val="1C3A36"/>
                <w:sz w:val="16"/>
              </w:rPr>
              <w:t>ADNOC ~86% (free float raised via 2025 secondary; MSCI EM &amp; FTSE Emerging inclusion)</w:t>
            </w:r>
          </w:p>
        </w:tc>
      </w:tr>
      <w:tr>
        <w:tc>
          <w:tcPr>
            <w:tcW w:type="dxa" w:w="3144"/>
            <w:shd w:val="clear" w:fill="EEF4F1"/>
          </w:tcPr>
          <w:p>
            <w:pPr>
              <w:jc w:val="left"/>
            </w:pPr>
            <w:r>
              <w:rPr>
                <w:color w:val="1C3A36"/>
                <w:sz w:val="16"/>
              </w:rPr>
              <w:t>Spot / close</w:t>
            </w:r>
          </w:p>
        </w:tc>
        <w:tc>
          <w:tcPr>
            <w:tcW w:type="dxa" w:w="6288"/>
            <w:shd w:val="clear" w:fill="EEF4F1"/>
          </w:tcPr>
          <w:p>
            <w:pPr>
              <w:jc w:val="right"/>
            </w:pPr>
            <w:r>
              <w:rPr>
                <w:color w:val="1C3A36"/>
                <w:sz w:val="16"/>
              </w:rPr>
              <w:t>AED 3.44 · 3 Jul 2026</w:t>
            </w:r>
          </w:p>
        </w:tc>
      </w:tr>
      <w:tr>
        <w:tc>
          <w:tcPr>
            <w:tcW w:type="dxa" w:w="3144"/>
          </w:tcPr>
          <w:p>
            <w:pPr>
              <w:jc w:val="left"/>
            </w:pPr>
            <w:r>
              <w:rPr>
                <w:color w:val="1C3A36"/>
                <w:sz w:val="16"/>
              </w:rPr>
              <w:t>Shares · market cap</w:t>
            </w:r>
          </w:p>
        </w:tc>
        <w:tc>
          <w:tcPr>
            <w:tcW w:type="dxa" w:w="6288"/>
          </w:tcPr>
          <w:p>
            <w:pPr>
              <w:jc w:val="right"/>
            </w:pPr>
            <w:r>
              <w:rPr>
                <w:color w:val="1C3A36"/>
                <w:sz w:val="16"/>
              </w:rPr>
              <w:t>76.74 bn · ~AED 264 bn (~$71.9 bn)</w:t>
            </w:r>
          </w:p>
        </w:tc>
      </w:tr>
      <w:tr>
        <w:tc>
          <w:tcPr>
            <w:tcW w:type="dxa" w:w="3144"/>
            <w:shd w:val="clear" w:fill="EEF4F1"/>
          </w:tcPr>
          <w:p>
            <w:pPr>
              <w:jc w:val="left"/>
            </w:pPr>
            <w:r>
              <w:rPr>
                <w:color w:val="1C3A36"/>
                <w:sz w:val="16"/>
              </w:rPr>
              <w:t>Net cash · D/E</w:t>
            </w:r>
          </w:p>
        </w:tc>
        <w:tc>
          <w:tcPr>
            <w:tcW w:type="dxa" w:w="6288"/>
            <w:shd w:val="clear" w:fill="EEF4F1"/>
          </w:tcPr>
          <w:p>
            <w:pPr>
              <w:jc w:val="right"/>
            </w:pPr>
            <w:r>
              <w:rPr>
                <w:color w:val="1C3A36"/>
                <w:sz w:val="16"/>
              </w:rPr>
              <w:t>~$4.8 bn · ~0.01</w:t>
            </w:r>
          </w:p>
        </w:tc>
      </w:tr>
      <w:tr>
        <w:tc>
          <w:tcPr>
            <w:tcW w:type="dxa" w:w="3144"/>
          </w:tcPr>
          <w:p>
            <w:pPr>
              <w:jc w:val="left"/>
            </w:pPr>
            <w:r>
              <w:rPr>
                <w:color w:val="1C3A36"/>
                <w:sz w:val="16"/>
              </w:rPr>
              <w:t>FY2025 revenue / EBITDA</w:t>
            </w:r>
          </w:p>
        </w:tc>
        <w:tc>
          <w:tcPr>
            <w:tcW w:type="dxa" w:w="6288"/>
          </w:tcPr>
          <w:p>
            <w:pPr>
              <w:jc w:val="right"/>
            </w:pPr>
            <w:r>
              <w:rPr>
                <w:color w:val="1C3A36"/>
                <w:sz w:val="16"/>
              </w:rPr>
              <w:t>$23.47 bn / $8.64 bn (36.8% margin)</w:t>
            </w:r>
          </w:p>
        </w:tc>
      </w:tr>
      <w:tr>
        <w:tc>
          <w:tcPr>
            <w:tcW w:type="dxa" w:w="3144"/>
            <w:shd w:val="clear" w:fill="EEF4F1"/>
          </w:tcPr>
          <w:p>
            <w:pPr>
              <w:jc w:val="left"/>
            </w:pPr>
            <w:r>
              <w:rPr>
                <w:color w:val="1C3A36"/>
                <w:sz w:val="16"/>
              </w:rPr>
              <w:t>FY2025 net income</w:t>
            </w:r>
          </w:p>
        </w:tc>
        <w:tc>
          <w:tcPr>
            <w:tcW w:type="dxa" w:w="6288"/>
            <w:shd w:val="clear" w:fill="EEF4F1"/>
          </w:tcPr>
          <w:p>
            <w:pPr>
              <w:jc w:val="right"/>
            </w:pPr>
            <w:r>
              <w:rPr>
                <w:color w:val="1C3A36"/>
                <w:sz w:val="16"/>
              </w:rPr>
              <w:t>$5.17 bn (record; +3% YoY despite Brent −14%)</w:t>
            </w:r>
          </w:p>
        </w:tc>
      </w:tr>
      <w:tr>
        <w:tc>
          <w:tcPr>
            <w:tcW w:type="dxa" w:w="3144"/>
          </w:tcPr>
          <w:p>
            <w:pPr>
              <w:jc w:val="left"/>
            </w:pPr>
            <w:r>
              <w:rPr>
                <w:color w:val="1C3A36"/>
                <w:sz w:val="16"/>
              </w:rPr>
              <w:t>FY2025 dividend</w:t>
            </w:r>
          </w:p>
        </w:tc>
        <w:tc>
          <w:tcPr>
            <w:tcW w:type="dxa" w:w="6288"/>
          </w:tcPr>
          <w:p>
            <w:pPr>
              <w:jc w:val="right"/>
            </w:pPr>
            <w:r>
              <w:rPr>
                <w:color w:val="1C3A36"/>
                <w:sz w:val="16"/>
              </w:rPr>
              <w:t>$3.58 bn · 5%/yr policy through 2030 · $24.4 bn cumulative 2025–30 target</w:t>
            </w:r>
          </w:p>
        </w:tc>
      </w:tr>
      <w:tr>
        <w:tc>
          <w:tcPr>
            <w:tcW w:type="dxa" w:w="3144"/>
            <w:shd w:val="clear" w:fill="EEF4F1"/>
          </w:tcPr>
          <w:p>
            <w:pPr>
              <w:jc w:val="left"/>
            </w:pPr>
            <w:r>
              <w:rPr>
                <w:color w:val="1C3A36"/>
                <w:sz w:val="16"/>
              </w:rPr>
              <w:t>EPS / DPS (FY25, AED)</w:t>
            </w:r>
          </w:p>
        </w:tc>
        <w:tc>
          <w:tcPr>
            <w:tcW w:type="dxa" w:w="6288"/>
            <w:shd w:val="clear" w:fill="EEF4F1"/>
          </w:tcPr>
          <w:p>
            <w:pPr>
              <w:jc w:val="right"/>
            </w:pPr>
            <w:r>
              <w:rPr>
                <w:color w:val="1C3A36"/>
                <w:sz w:val="16"/>
              </w:rPr>
              <w:t>0.25 / 0.17</w:t>
            </w:r>
          </w:p>
        </w:tc>
      </w:tr>
      <w:tr>
        <w:tc>
          <w:tcPr>
            <w:tcW w:type="dxa" w:w="3144"/>
          </w:tcPr>
          <w:p>
            <w:pPr>
              <w:jc w:val="left"/>
            </w:pPr>
            <w:r>
              <w:rPr>
                <w:color w:val="1C3A36"/>
                <w:sz w:val="16"/>
              </w:rPr>
              <w:t>Dividend yield / P/E / EV-EBITDA</w:t>
            </w:r>
          </w:p>
        </w:tc>
        <w:tc>
          <w:tcPr>
            <w:tcW w:type="dxa" w:w="6288"/>
          </w:tcPr>
          <w:p>
            <w:pPr>
              <w:jc w:val="right"/>
            </w:pPr>
            <w:r>
              <w:rPr>
                <w:color w:val="1C3A36"/>
                <w:sz w:val="16"/>
              </w:rPr>
              <w:t>5.0% / 13.9x / 7.8x</w:t>
            </w:r>
          </w:p>
        </w:tc>
      </w:tr>
      <w:tr>
        <w:tc>
          <w:tcPr>
            <w:tcW w:type="dxa" w:w="3144"/>
            <w:shd w:val="clear" w:fill="EEF4F1"/>
          </w:tcPr>
          <w:p>
            <w:pPr>
              <w:jc w:val="left"/>
            </w:pPr>
            <w:r>
              <w:rPr>
                <w:color w:val="1C3A36"/>
                <w:sz w:val="16"/>
              </w:rPr>
              <w:t>ROE / ROIC</w:t>
            </w:r>
          </w:p>
        </w:tc>
        <w:tc>
          <w:tcPr>
            <w:tcW w:type="dxa" w:w="6288"/>
            <w:shd w:val="clear" w:fill="EEF4F1"/>
          </w:tcPr>
          <w:p>
            <w:pPr>
              <w:jc w:val="right"/>
            </w:pPr>
            <w:r>
              <w:rPr>
                <w:color w:val="1C3A36"/>
                <w:sz w:val="16"/>
              </w:rPr>
              <w:t>22.4% / 17.2%</w:t>
            </w:r>
          </w:p>
        </w:tc>
      </w:tr>
      <w:tr>
        <w:tc>
          <w:tcPr>
            <w:tcW w:type="dxa" w:w="3144"/>
          </w:tcPr>
          <w:p>
            <w:pPr>
              <w:jc w:val="left"/>
            </w:pPr>
            <w:r>
              <w:rPr>
                <w:color w:val="1C3A36"/>
                <w:sz w:val="16"/>
              </w:rPr>
              <w:t>Strategy</w:t>
            </w:r>
          </w:p>
        </w:tc>
        <w:tc>
          <w:tcPr>
            <w:tcW w:type="dxa" w:w="6288"/>
          </w:tcPr>
          <w:p>
            <w:pPr>
              <w:jc w:val="right"/>
            </w:pPr>
            <w:r>
              <w:rPr>
                <w:color w:val="1C3A36"/>
                <w:sz w:val="16"/>
              </w:rPr>
              <w:t>EBITDA +40% by 2029; capex up to $15 bn 2025–29 (incl. Ruwais LNG at cost, H2 2028); RGD +30% capacity</w:t>
            </w:r>
          </w:p>
        </w:tc>
      </w:tr>
    </w:tbl>
    <w:p>
      <w:r>
        <w:rPr>
          <w:i/>
          <w:color w:val="5A5A50"/>
          <w:sz w:val="16"/>
        </w:rPr>
        <w:t>Source: ADNOC Gas FY2025 results (9 Feb 2026) and FY2024 results (6 Feb 2025); market data 3 Jul 2026. Financials on the company's adjusted/proportionate basis.</w:t>
      </w:r>
    </w:p>
    <w:p/>
    <w:p>
      <w:pPr>
        <w:pBdr>
          <w:bottom w:val="single" w:sz="6" w:space="2" w:color="C0A45F"/>
        </w:pBdr>
      </w:pPr>
      <w:r>
        <w:rPr>
          <w:b/>
          <w:color w:val="0F5E54"/>
          <w:sz w:val="28"/>
        </w:rPr>
        <w:t>1  Fundamental valuation</w:t>
      </w:r>
    </w:p>
    <w:p>
      <w:pPr>
        <w:jc w:val="both"/>
      </w:pPr>
      <w:r>
        <w:rPr>
          <w:i w:val="0"/>
          <w:color w:val="1C3A36"/>
          <w:sz w:val="20"/>
        </w:rPr>
        <w:t>We value ADNOC Gas as an operating company with two very different revenue legs — a large, contracted, take-or-pay domestic gas business (~60% of revenue, underpinned by a 25-year gas supply and purchase agreement with ADNOC) and a smaller, commodity-priced liquids/LNG/condensate export business (~40%, oil-linked). The primary lens is a discounted cash flow on free cash flow to the firm; the decisive cross-check, given an explicit board-committed dividend, is a dividend-discount model; and we triangulate with relative multiples. Because the company reports in US dollars and the dirham is pegged at 3.6725, we build the cash-flow lenses in USD and convert the per-share output to AED.</w:t>
      </w:r>
    </w:p>
    <w:p>
      <w:r>
        <w:rPr>
          <w:b/>
          <w:color w:val="17786B"/>
          <w:sz w:val="23"/>
        </w:rPr>
        <w:t>1.1  Discounted cash flow (FCFF) — the primary lens</w:t>
      </w:r>
    </w:p>
    <w:p>
      <w:pPr>
        <w:jc w:val="both"/>
      </w:pPr>
      <w:r>
        <w:rPr>
          <w:i w:val="0"/>
          <w:color w:val="1C3A36"/>
          <w:sz w:val="20"/>
        </w:rPr>
        <w:t>We forecast five years of free cash flow to the firm, discount at a WACC equal to the cost of equity (the balance sheet is net cash, so there is effectively no debt weight), add a Gordon terminal value, and add net cash. Cost of equity is published explicitly as rf + β·ERP = 4.5% + 1.00×5.5% = 10.0%; terminal growth 2.5%; effective tax 16.0% (a blend of the 9% UAE corporate rate and the concession/royalty load that lifts the observed all-in rate — a deliberately conservative choice). Revenue is held broadly flat into 2026 on soft Brent, then grows on domestic volumes, the Rich Gas Development ramp and the Ruwais LNG consolidation from H2 2028; EBITDA margin drifts from 37.0% to 38.5% on domestic mix.</w:t>
      </w:r>
    </w:p>
    <w:tbl>
      <w:tblPr>
        <w:tblStyle w:val="TableGrid"/>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2515"/>
            <w:shd w:val="clear" w:fill="0F5E54"/>
          </w:tcPr>
          <w:p>
            <w:pPr>
              <w:jc w:val="left"/>
            </w:pPr>
            <w:r>
              <w:rPr>
                <w:b/>
                <w:color w:val="FFFFFF"/>
                <w:sz w:val="15"/>
              </w:rPr>
              <w:t>USD m</w:t>
            </w:r>
          </w:p>
        </w:tc>
        <w:tc>
          <w:tcPr>
            <w:tcW w:type="dxa" w:w="1383"/>
            <w:shd w:val="clear" w:fill="0F5E54"/>
          </w:tcPr>
          <w:p>
            <w:pPr>
              <w:jc w:val="center"/>
            </w:pPr>
            <w:r>
              <w:rPr>
                <w:b/>
                <w:color w:val="FFFFFF"/>
                <w:sz w:val="15"/>
              </w:rPr>
              <w:t>2026E</w:t>
            </w:r>
          </w:p>
        </w:tc>
        <w:tc>
          <w:tcPr>
            <w:tcW w:type="dxa" w:w="1383"/>
            <w:shd w:val="clear" w:fill="0F5E54"/>
          </w:tcPr>
          <w:p>
            <w:pPr>
              <w:jc w:val="center"/>
            </w:pPr>
            <w:r>
              <w:rPr>
                <w:b/>
                <w:color w:val="FFFFFF"/>
                <w:sz w:val="15"/>
              </w:rPr>
              <w:t>2027E</w:t>
            </w:r>
          </w:p>
        </w:tc>
        <w:tc>
          <w:tcPr>
            <w:tcW w:type="dxa" w:w="1383"/>
            <w:shd w:val="clear" w:fill="0F5E54"/>
          </w:tcPr>
          <w:p>
            <w:pPr>
              <w:jc w:val="center"/>
            </w:pPr>
            <w:r>
              <w:rPr>
                <w:b/>
                <w:color w:val="FFFFFF"/>
                <w:sz w:val="15"/>
              </w:rPr>
              <w:t>2028E</w:t>
            </w:r>
          </w:p>
        </w:tc>
        <w:tc>
          <w:tcPr>
            <w:tcW w:type="dxa" w:w="1383"/>
            <w:shd w:val="clear" w:fill="0F5E54"/>
          </w:tcPr>
          <w:p>
            <w:pPr>
              <w:jc w:val="center"/>
            </w:pPr>
            <w:r>
              <w:rPr>
                <w:b/>
                <w:color w:val="FFFFFF"/>
                <w:sz w:val="15"/>
              </w:rPr>
              <w:t>2029E</w:t>
            </w:r>
          </w:p>
        </w:tc>
        <w:tc>
          <w:tcPr>
            <w:tcW w:type="dxa" w:w="1383"/>
            <w:shd w:val="clear" w:fill="0F5E54"/>
          </w:tcPr>
          <w:p>
            <w:pPr>
              <w:jc w:val="center"/>
            </w:pPr>
            <w:r>
              <w:rPr>
                <w:b/>
                <w:color w:val="FFFFFF"/>
                <w:sz w:val="15"/>
              </w:rPr>
              <w:t>2030E</w:t>
            </w:r>
          </w:p>
        </w:tc>
      </w:tr>
      <w:tr>
        <w:tc>
          <w:tcPr>
            <w:tcW w:type="dxa" w:w="2515"/>
          </w:tcPr>
          <w:p>
            <w:pPr>
              <w:jc w:val="left"/>
            </w:pPr>
            <w:r>
              <w:rPr>
                <w:color w:val="1C3A36"/>
                <w:sz w:val="15"/>
              </w:rPr>
              <w:t>Revenue</w:t>
            </w:r>
          </w:p>
        </w:tc>
        <w:tc>
          <w:tcPr>
            <w:tcW w:type="dxa" w:w="1383"/>
          </w:tcPr>
          <w:p>
            <w:pPr>
              <w:jc w:val="right"/>
            </w:pPr>
            <w:r>
              <w:rPr>
                <w:color w:val="1C3A36"/>
                <w:sz w:val="15"/>
              </w:rPr>
              <w:t>$23,950</w:t>
            </w:r>
          </w:p>
        </w:tc>
        <w:tc>
          <w:tcPr>
            <w:tcW w:type="dxa" w:w="1383"/>
          </w:tcPr>
          <w:p>
            <w:pPr>
              <w:jc w:val="right"/>
            </w:pPr>
            <w:r>
              <w:rPr>
                <w:color w:val="1C3A36"/>
                <w:sz w:val="15"/>
              </w:rPr>
              <w:t>$25,100</w:t>
            </w:r>
          </w:p>
        </w:tc>
        <w:tc>
          <w:tcPr>
            <w:tcW w:type="dxa" w:w="1383"/>
          </w:tcPr>
          <w:p>
            <w:pPr>
              <w:jc w:val="right"/>
            </w:pPr>
            <w:r>
              <w:rPr>
                <w:color w:val="1C3A36"/>
                <w:sz w:val="15"/>
              </w:rPr>
              <w:t>$26,900</w:t>
            </w:r>
          </w:p>
        </w:tc>
        <w:tc>
          <w:tcPr>
            <w:tcW w:type="dxa" w:w="1383"/>
          </w:tcPr>
          <w:p>
            <w:pPr>
              <w:jc w:val="right"/>
            </w:pPr>
            <w:r>
              <w:rPr>
                <w:color w:val="1C3A36"/>
                <w:sz w:val="15"/>
              </w:rPr>
              <w:t>$28,400</w:t>
            </w:r>
          </w:p>
        </w:tc>
        <w:tc>
          <w:tcPr>
            <w:tcW w:type="dxa" w:w="1383"/>
          </w:tcPr>
          <w:p>
            <w:pPr>
              <w:jc w:val="right"/>
            </w:pPr>
            <w:r>
              <w:rPr>
                <w:color w:val="1C3A36"/>
                <w:sz w:val="15"/>
              </w:rPr>
              <w:t>$29,600</w:t>
            </w:r>
          </w:p>
        </w:tc>
      </w:tr>
      <w:tr>
        <w:tc>
          <w:tcPr>
            <w:tcW w:type="dxa" w:w="2515"/>
            <w:shd w:val="clear" w:fill="EEF4F1"/>
          </w:tcPr>
          <w:p>
            <w:pPr>
              <w:jc w:val="left"/>
            </w:pPr>
            <w:r>
              <w:rPr>
                <w:color w:val="1C3A36"/>
                <w:sz w:val="15"/>
              </w:rPr>
              <w:t>EBITDA</w:t>
            </w:r>
          </w:p>
        </w:tc>
        <w:tc>
          <w:tcPr>
            <w:tcW w:type="dxa" w:w="1383"/>
            <w:shd w:val="clear" w:fill="EEF4F1"/>
          </w:tcPr>
          <w:p>
            <w:pPr>
              <w:jc w:val="right"/>
            </w:pPr>
            <w:r>
              <w:rPr>
                <w:color w:val="1C3A36"/>
                <w:sz w:val="15"/>
              </w:rPr>
              <w:t>$8,862</w:t>
            </w:r>
          </w:p>
        </w:tc>
        <w:tc>
          <w:tcPr>
            <w:tcW w:type="dxa" w:w="1383"/>
            <w:shd w:val="clear" w:fill="EEF4F1"/>
          </w:tcPr>
          <w:p>
            <w:pPr>
              <w:jc w:val="right"/>
            </w:pPr>
            <w:r>
              <w:rPr>
                <w:color w:val="1C3A36"/>
                <w:sz w:val="15"/>
              </w:rPr>
              <w:t>$9,412</w:t>
            </w:r>
          </w:p>
        </w:tc>
        <w:tc>
          <w:tcPr>
            <w:tcW w:type="dxa" w:w="1383"/>
            <w:shd w:val="clear" w:fill="EEF4F1"/>
          </w:tcPr>
          <w:p>
            <w:pPr>
              <w:jc w:val="right"/>
            </w:pPr>
            <w:r>
              <w:rPr>
                <w:color w:val="1C3A36"/>
                <w:sz w:val="15"/>
              </w:rPr>
              <w:t>$10,168</w:t>
            </w:r>
          </w:p>
        </w:tc>
        <w:tc>
          <w:tcPr>
            <w:tcW w:type="dxa" w:w="1383"/>
            <w:shd w:val="clear" w:fill="EEF4F1"/>
          </w:tcPr>
          <w:p>
            <w:pPr>
              <w:jc w:val="right"/>
            </w:pPr>
            <w:r>
              <w:rPr>
                <w:color w:val="1C3A36"/>
                <w:sz w:val="15"/>
              </w:rPr>
              <w:t>$10,849</w:t>
            </w:r>
          </w:p>
        </w:tc>
        <w:tc>
          <w:tcPr>
            <w:tcW w:type="dxa" w:w="1383"/>
            <w:shd w:val="clear" w:fill="EEF4F1"/>
          </w:tcPr>
          <w:p>
            <w:pPr>
              <w:jc w:val="right"/>
            </w:pPr>
            <w:r>
              <w:rPr>
                <w:color w:val="1C3A36"/>
                <w:sz w:val="15"/>
              </w:rPr>
              <w:t>$11,396</w:t>
            </w:r>
          </w:p>
        </w:tc>
      </w:tr>
      <w:tr>
        <w:tc>
          <w:tcPr>
            <w:tcW w:type="dxa" w:w="2515"/>
          </w:tcPr>
          <w:p>
            <w:pPr>
              <w:jc w:val="left"/>
            </w:pPr>
            <w:r>
              <w:rPr>
                <w:color w:val="1C3A36"/>
                <w:sz w:val="15"/>
              </w:rPr>
              <w:t>D&amp;A</w:t>
            </w:r>
          </w:p>
        </w:tc>
        <w:tc>
          <w:tcPr>
            <w:tcW w:type="dxa" w:w="1383"/>
          </w:tcPr>
          <w:p>
            <w:pPr>
              <w:jc w:val="right"/>
            </w:pPr>
            <w:r>
              <w:rPr>
                <w:color w:val="1C3A36"/>
                <w:sz w:val="15"/>
              </w:rPr>
              <w:t>$2,000</w:t>
            </w:r>
          </w:p>
        </w:tc>
        <w:tc>
          <w:tcPr>
            <w:tcW w:type="dxa" w:w="1383"/>
          </w:tcPr>
          <w:p>
            <w:pPr>
              <w:jc w:val="right"/>
            </w:pPr>
            <w:r>
              <w:rPr>
                <w:color w:val="1C3A36"/>
                <w:sz w:val="15"/>
              </w:rPr>
              <w:t>$2,250</w:t>
            </w:r>
          </w:p>
        </w:tc>
        <w:tc>
          <w:tcPr>
            <w:tcW w:type="dxa" w:w="1383"/>
          </w:tcPr>
          <w:p>
            <w:pPr>
              <w:jc w:val="right"/>
            </w:pPr>
            <w:r>
              <w:rPr>
                <w:color w:val="1C3A36"/>
                <w:sz w:val="15"/>
              </w:rPr>
              <w:t>$2,550</w:t>
            </w:r>
          </w:p>
        </w:tc>
        <w:tc>
          <w:tcPr>
            <w:tcW w:type="dxa" w:w="1383"/>
          </w:tcPr>
          <w:p>
            <w:pPr>
              <w:jc w:val="right"/>
            </w:pPr>
            <w:r>
              <w:rPr>
                <w:color w:val="1C3A36"/>
                <w:sz w:val="15"/>
              </w:rPr>
              <w:t>$2,750</w:t>
            </w:r>
          </w:p>
        </w:tc>
        <w:tc>
          <w:tcPr>
            <w:tcW w:type="dxa" w:w="1383"/>
          </w:tcPr>
          <w:p>
            <w:pPr>
              <w:jc w:val="right"/>
            </w:pPr>
            <w:r>
              <w:rPr>
                <w:color w:val="1C3A36"/>
                <w:sz w:val="15"/>
              </w:rPr>
              <w:t>$2,900</w:t>
            </w:r>
          </w:p>
        </w:tc>
      </w:tr>
      <w:tr>
        <w:tc>
          <w:tcPr>
            <w:tcW w:type="dxa" w:w="2515"/>
            <w:shd w:val="clear" w:fill="EEF4F1"/>
          </w:tcPr>
          <w:p>
            <w:pPr>
              <w:jc w:val="left"/>
            </w:pPr>
            <w:r>
              <w:rPr>
                <w:color w:val="1C3A36"/>
                <w:sz w:val="15"/>
              </w:rPr>
              <w:t>EBIT</w:t>
            </w:r>
          </w:p>
        </w:tc>
        <w:tc>
          <w:tcPr>
            <w:tcW w:type="dxa" w:w="1383"/>
            <w:shd w:val="clear" w:fill="EEF4F1"/>
          </w:tcPr>
          <w:p>
            <w:pPr>
              <w:jc w:val="right"/>
            </w:pPr>
            <w:r>
              <w:rPr>
                <w:color w:val="1C3A36"/>
                <w:sz w:val="15"/>
              </w:rPr>
              <w:t>$6,862</w:t>
            </w:r>
          </w:p>
        </w:tc>
        <w:tc>
          <w:tcPr>
            <w:tcW w:type="dxa" w:w="1383"/>
            <w:shd w:val="clear" w:fill="EEF4F1"/>
          </w:tcPr>
          <w:p>
            <w:pPr>
              <w:jc w:val="right"/>
            </w:pPr>
            <w:r>
              <w:rPr>
                <w:color w:val="1C3A36"/>
                <w:sz w:val="15"/>
              </w:rPr>
              <w:t>$7,162</w:t>
            </w:r>
          </w:p>
        </w:tc>
        <w:tc>
          <w:tcPr>
            <w:tcW w:type="dxa" w:w="1383"/>
            <w:shd w:val="clear" w:fill="EEF4F1"/>
          </w:tcPr>
          <w:p>
            <w:pPr>
              <w:jc w:val="right"/>
            </w:pPr>
            <w:r>
              <w:rPr>
                <w:color w:val="1C3A36"/>
                <w:sz w:val="15"/>
              </w:rPr>
              <w:t>$7,618</w:t>
            </w:r>
          </w:p>
        </w:tc>
        <w:tc>
          <w:tcPr>
            <w:tcW w:type="dxa" w:w="1383"/>
            <w:shd w:val="clear" w:fill="EEF4F1"/>
          </w:tcPr>
          <w:p>
            <w:pPr>
              <w:jc w:val="right"/>
            </w:pPr>
            <w:r>
              <w:rPr>
                <w:color w:val="1C3A36"/>
                <w:sz w:val="15"/>
              </w:rPr>
              <w:t>$8,099</w:t>
            </w:r>
          </w:p>
        </w:tc>
        <w:tc>
          <w:tcPr>
            <w:tcW w:type="dxa" w:w="1383"/>
            <w:shd w:val="clear" w:fill="EEF4F1"/>
          </w:tcPr>
          <w:p>
            <w:pPr>
              <w:jc w:val="right"/>
            </w:pPr>
            <w:r>
              <w:rPr>
                <w:color w:val="1C3A36"/>
                <w:sz w:val="15"/>
              </w:rPr>
              <w:t>$8,496</w:t>
            </w:r>
          </w:p>
        </w:tc>
      </w:tr>
      <w:tr>
        <w:tc>
          <w:tcPr>
            <w:tcW w:type="dxa" w:w="2515"/>
          </w:tcPr>
          <w:p>
            <w:pPr>
              <w:jc w:val="left"/>
            </w:pPr>
            <w:r>
              <w:rPr>
                <w:color w:val="1C3A36"/>
                <w:sz w:val="15"/>
              </w:rPr>
              <w:t>NOPAT (EBIT×(1−t))</w:t>
            </w:r>
          </w:p>
        </w:tc>
        <w:tc>
          <w:tcPr>
            <w:tcW w:type="dxa" w:w="1383"/>
          </w:tcPr>
          <w:p>
            <w:pPr>
              <w:jc w:val="right"/>
            </w:pPr>
            <w:r>
              <w:rPr>
                <w:color w:val="1C3A36"/>
                <w:sz w:val="15"/>
              </w:rPr>
              <w:t>$5,764</w:t>
            </w:r>
          </w:p>
        </w:tc>
        <w:tc>
          <w:tcPr>
            <w:tcW w:type="dxa" w:w="1383"/>
          </w:tcPr>
          <w:p>
            <w:pPr>
              <w:jc w:val="right"/>
            </w:pPr>
            <w:r>
              <w:rPr>
                <w:color w:val="1C3A36"/>
                <w:sz w:val="15"/>
              </w:rPr>
              <w:t>$6,016</w:t>
            </w:r>
          </w:p>
        </w:tc>
        <w:tc>
          <w:tcPr>
            <w:tcW w:type="dxa" w:w="1383"/>
          </w:tcPr>
          <w:p>
            <w:pPr>
              <w:jc w:val="right"/>
            </w:pPr>
            <w:r>
              <w:rPr>
                <w:color w:val="1C3A36"/>
                <w:sz w:val="15"/>
              </w:rPr>
              <w:t>$6,399</w:t>
            </w:r>
          </w:p>
        </w:tc>
        <w:tc>
          <w:tcPr>
            <w:tcW w:type="dxa" w:w="1383"/>
          </w:tcPr>
          <w:p>
            <w:pPr>
              <w:jc w:val="right"/>
            </w:pPr>
            <w:r>
              <w:rPr>
                <w:color w:val="1C3A36"/>
                <w:sz w:val="15"/>
              </w:rPr>
              <w:t>$6,803</w:t>
            </w:r>
          </w:p>
        </w:tc>
        <w:tc>
          <w:tcPr>
            <w:tcW w:type="dxa" w:w="1383"/>
          </w:tcPr>
          <w:p>
            <w:pPr>
              <w:jc w:val="right"/>
            </w:pPr>
            <w:r>
              <w:rPr>
                <w:color w:val="1C3A36"/>
                <w:sz w:val="15"/>
              </w:rPr>
              <w:t>$7,137</w:t>
            </w:r>
          </w:p>
        </w:tc>
      </w:tr>
      <w:tr>
        <w:tc>
          <w:tcPr>
            <w:tcW w:type="dxa" w:w="2515"/>
            <w:shd w:val="clear" w:fill="EEF4F1"/>
          </w:tcPr>
          <w:p>
            <w:pPr>
              <w:jc w:val="left"/>
            </w:pPr>
            <w:r>
              <w:rPr>
                <w:color w:val="1C3A36"/>
                <w:sz w:val="15"/>
              </w:rPr>
              <w:t>+ D&amp;A</w:t>
            </w:r>
          </w:p>
        </w:tc>
        <w:tc>
          <w:tcPr>
            <w:tcW w:type="dxa" w:w="1383"/>
            <w:shd w:val="clear" w:fill="EEF4F1"/>
          </w:tcPr>
          <w:p>
            <w:pPr>
              <w:jc w:val="right"/>
            </w:pPr>
            <w:r>
              <w:rPr>
                <w:color w:val="1C3A36"/>
                <w:sz w:val="15"/>
              </w:rPr>
              <w:t>$2,000</w:t>
            </w:r>
          </w:p>
        </w:tc>
        <w:tc>
          <w:tcPr>
            <w:tcW w:type="dxa" w:w="1383"/>
            <w:shd w:val="clear" w:fill="EEF4F1"/>
          </w:tcPr>
          <w:p>
            <w:pPr>
              <w:jc w:val="right"/>
            </w:pPr>
            <w:r>
              <w:rPr>
                <w:color w:val="1C3A36"/>
                <w:sz w:val="15"/>
              </w:rPr>
              <w:t>$2,250</w:t>
            </w:r>
          </w:p>
        </w:tc>
        <w:tc>
          <w:tcPr>
            <w:tcW w:type="dxa" w:w="1383"/>
            <w:shd w:val="clear" w:fill="EEF4F1"/>
          </w:tcPr>
          <w:p>
            <w:pPr>
              <w:jc w:val="right"/>
            </w:pPr>
            <w:r>
              <w:rPr>
                <w:color w:val="1C3A36"/>
                <w:sz w:val="15"/>
              </w:rPr>
              <w:t>$2,550</w:t>
            </w:r>
          </w:p>
        </w:tc>
        <w:tc>
          <w:tcPr>
            <w:tcW w:type="dxa" w:w="1383"/>
            <w:shd w:val="clear" w:fill="EEF4F1"/>
          </w:tcPr>
          <w:p>
            <w:pPr>
              <w:jc w:val="right"/>
            </w:pPr>
            <w:r>
              <w:rPr>
                <w:color w:val="1C3A36"/>
                <w:sz w:val="15"/>
              </w:rPr>
              <w:t>$2,750</w:t>
            </w:r>
          </w:p>
        </w:tc>
        <w:tc>
          <w:tcPr>
            <w:tcW w:type="dxa" w:w="1383"/>
            <w:shd w:val="clear" w:fill="EEF4F1"/>
          </w:tcPr>
          <w:p>
            <w:pPr>
              <w:jc w:val="right"/>
            </w:pPr>
            <w:r>
              <w:rPr>
                <w:color w:val="1C3A36"/>
                <w:sz w:val="15"/>
              </w:rPr>
              <w:t>$2,900</w:t>
            </w:r>
          </w:p>
        </w:tc>
      </w:tr>
      <w:tr>
        <w:tc>
          <w:tcPr>
            <w:tcW w:type="dxa" w:w="2515"/>
          </w:tcPr>
          <w:p>
            <w:pPr>
              <w:jc w:val="left"/>
            </w:pPr>
            <w:r>
              <w:rPr>
                <w:color w:val="1C3A36"/>
                <w:sz w:val="15"/>
              </w:rPr>
              <w:t>− Capex</w:t>
            </w:r>
          </w:p>
        </w:tc>
        <w:tc>
          <w:tcPr>
            <w:tcW w:type="dxa" w:w="1383"/>
          </w:tcPr>
          <w:p>
            <w:pPr>
              <w:jc w:val="right"/>
            </w:pPr>
            <w:r>
              <w:rPr>
                <w:color w:val="1C3A36"/>
                <w:sz w:val="15"/>
              </w:rPr>
              <w:t>($3,300)</w:t>
            </w:r>
          </w:p>
        </w:tc>
        <w:tc>
          <w:tcPr>
            <w:tcW w:type="dxa" w:w="1383"/>
          </w:tcPr>
          <w:p>
            <w:pPr>
              <w:jc w:val="right"/>
            </w:pPr>
            <w:r>
              <w:rPr>
                <w:color w:val="1C3A36"/>
                <w:sz w:val="15"/>
              </w:rPr>
              <w:t>($3,000)</w:t>
            </w:r>
          </w:p>
        </w:tc>
        <w:tc>
          <w:tcPr>
            <w:tcW w:type="dxa" w:w="1383"/>
          </w:tcPr>
          <w:p>
            <w:pPr>
              <w:jc w:val="right"/>
            </w:pPr>
            <w:r>
              <w:rPr>
                <w:color w:val="1C3A36"/>
                <w:sz w:val="15"/>
              </w:rPr>
              <w:t>($3,400)</w:t>
            </w:r>
          </w:p>
        </w:tc>
        <w:tc>
          <w:tcPr>
            <w:tcW w:type="dxa" w:w="1383"/>
          </w:tcPr>
          <w:p>
            <w:pPr>
              <w:jc w:val="right"/>
            </w:pPr>
            <w:r>
              <w:rPr>
                <w:color w:val="1C3A36"/>
                <w:sz w:val="15"/>
              </w:rPr>
              <w:t>($1,700)</w:t>
            </w:r>
          </w:p>
        </w:tc>
        <w:tc>
          <w:tcPr>
            <w:tcW w:type="dxa" w:w="1383"/>
          </w:tcPr>
          <w:p>
            <w:pPr>
              <w:jc w:val="right"/>
            </w:pPr>
            <w:r>
              <w:rPr>
                <w:color w:val="1C3A36"/>
                <w:sz w:val="15"/>
              </w:rPr>
              <w:t>($2,000)</w:t>
            </w:r>
          </w:p>
        </w:tc>
      </w:tr>
      <w:tr>
        <w:tc>
          <w:tcPr>
            <w:tcW w:type="dxa" w:w="2515"/>
            <w:shd w:val="clear" w:fill="EEF4F1"/>
          </w:tcPr>
          <w:p>
            <w:pPr>
              <w:jc w:val="left"/>
            </w:pPr>
            <w:r>
              <w:rPr>
                <w:color w:val="1C3A36"/>
                <w:sz w:val="15"/>
              </w:rPr>
              <w:t>− Δ working capital</w:t>
            </w:r>
          </w:p>
        </w:tc>
        <w:tc>
          <w:tcPr>
            <w:tcW w:type="dxa" w:w="1383"/>
            <w:shd w:val="clear" w:fill="EEF4F1"/>
          </w:tcPr>
          <w:p>
            <w:pPr>
              <w:jc w:val="right"/>
            </w:pPr>
            <w:r>
              <w:rPr>
                <w:color w:val="1C3A36"/>
                <w:sz w:val="15"/>
              </w:rPr>
              <w:t>($150)</w:t>
            </w:r>
          </w:p>
        </w:tc>
        <w:tc>
          <w:tcPr>
            <w:tcW w:type="dxa" w:w="1383"/>
            <w:shd w:val="clear" w:fill="EEF4F1"/>
          </w:tcPr>
          <w:p>
            <w:pPr>
              <w:jc w:val="right"/>
            </w:pPr>
            <w:r>
              <w:rPr>
                <w:color w:val="1C3A36"/>
                <w:sz w:val="15"/>
              </w:rPr>
              <w:t>($150)</w:t>
            </w:r>
          </w:p>
        </w:tc>
        <w:tc>
          <w:tcPr>
            <w:tcW w:type="dxa" w:w="1383"/>
            <w:shd w:val="clear" w:fill="EEF4F1"/>
          </w:tcPr>
          <w:p>
            <w:pPr>
              <w:jc w:val="right"/>
            </w:pPr>
            <w:r>
              <w:rPr>
                <w:color w:val="1C3A36"/>
                <w:sz w:val="15"/>
              </w:rPr>
              <w:t>($200)</w:t>
            </w:r>
          </w:p>
        </w:tc>
        <w:tc>
          <w:tcPr>
            <w:tcW w:type="dxa" w:w="1383"/>
            <w:shd w:val="clear" w:fill="EEF4F1"/>
          </w:tcPr>
          <w:p>
            <w:pPr>
              <w:jc w:val="right"/>
            </w:pPr>
            <w:r>
              <w:rPr>
                <w:color w:val="1C3A36"/>
                <w:sz w:val="15"/>
              </w:rPr>
              <w:t>($150)</w:t>
            </w:r>
          </w:p>
        </w:tc>
        <w:tc>
          <w:tcPr>
            <w:tcW w:type="dxa" w:w="1383"/>
            <w:shd w:val="clear" w:fill="EEF4F1"/>
          </w:tcPr>
          <w:p>
            <w:pPr>
              <w:jc w:val="right"/>
            </w:pPr>
            <w:r>
              <w:rPr>
                <w:color w:val="1C3A36"/>
                <w:sz w:val="15"/>
              </w:rPr>
              <w:t>($150)</w:t>
            </w:r>
          </w:p>
        </w:tc>
      </w:tr>
      <w:tr>
        <w:tc>
          <w:tcPr>
            <w:tcW w:type="dxa" w:w="2515"/>
          </w:tcPr>
          <w:p>
            <w:pPr>
              <w:jc w:val="left"/>
            </w:pPr>
            <w:r>
              <w:rPr>
                <w:color w:val="1C3A36"/>
                <w:sz w:val="15"/>
              </w:rPr>
              <w:t>Free cash flow to firm</w:t>
            </w:r>
          </w:p>
        </w:tc>
        <w:tc>
          <w:tcPr>
            <w:tcW w:type="dxa" w:w="1383"/>
          </w:tcPr>
          <w:p>
            <w:pPr>
              <w:jc w:val="right"/>
            </w:pPr>
            <w:r>
              <w:rPr>
                <w:color w:val="1C3A36"/>
                <w:sz w:val="15"/>
              </w:rPr>
              <w:t>$4,314</w:t>
            </w:r>
          </w:p>
        </w:tc>
        <w:tc>
          <w:tcPr>
            <w:tcW w:type="dxa" w:w="1383"/>
          </w:tcPr>
          <w:p>
            <w:pPr>
              <w:jc w:val="right"/>
            </w:pPr>
            <w:r>
              <w:rPr>
                <w:color w:val="1C3A36"/>
                <w:sz w:val="15"/>
              </w:rPr>
              <w:t>$5,116</w:t>
            </w:r>
          </w:p>
        </w:tc>
        <w:tc>
          <w:tcPr>
            <w:tcW w:type="dxa" w:w="1383"/>
          </w:tcPr>
          <w:p>
            <w:pPr>
              <w:jc w:val="right"/>
            </w:pPr>
            <w:r>
              <w:rPr>
                <w:color w:val="1C3A36"/>
                <w:sz w:val="15"/>
              </w:rPr>
              <w:t>$5,349</w:t>
            </w:r>
          </w:p>
        </w:tc>
        <w:tc>
          <w:tcPr>
            <w:tcW w:type="dxa" w:w="1383"/>
          </w:tcPr>
          <w:p>
            <w:pPr>
              <w:jc w:val="right"/>
            </w:pPr>
            <w:r>
              <w:rPr>
                <w:color w:val="1C3A36"/>
                <w:sz w:val="15"/>
              </w:rPr>
              <w:t>$7,703</w:t>
            </w:r>
          </w:p>
        </w:tc>
        <w:tc>
          <w:tcPr>
            <w:tcW w:type="dxa" w:w="1383"/>
          </w:tcPr>
          <w:p>
            <w:pPr>
              <w:jc w:val="right"/>
            </w:pPr>
            <w:r>
              <w:rPr>
                <w:color w:val="1C3A36"/>
                <w:sz w:val="15"/>
              </w:rPr>
              <w:t>$7,887</w:t>
            </w:r>
          </w:p>
        </w:tc>
      </w:tr>
      <w:tr>
        <w:tc>
          <w:tcPr>
            <w:tcW w:type="dxa" w:w="2515"/>
            <w:shd w:val="clear" w:fill="EEF4F1"/>
          </w:tcPr>
          <w:p>
            <w:pPr>
              <w:jc w:val="left"/>
            </w:pPr>
            <w:r>
              <w:rPr>
                <w:color w:val="1C3A36"/>
                <w:sz w:val="15"/>
              </w:rPr>
              <w:t>Discount factor</w:t>
            </w:r>
          </w:p>
        </w:tc>
        <w:tc>
          <w:tcPr>
            <w:tcW w:type="dxa" w:w="1383"/>
            <w:shd w:val="clear" w:fill="EEF4F1"/>
          </w:tcPr>
          <w:p>
            <w:pPr>
              <w:jc w:val="right"/>
            </w:pPr>
            <w:r>
              <w:rPr>
                <w:color w:val="1C3A36"/>
                <w:sz w:val="15"/>
              </w:rPr>
              <w:t>0.909</w:t>
            </w:r>
          </w:p>
        </w:tc>
        <w:tc>
          <w:tcPr>
            <w:tcW w:type="dxa" w:w="1383"/>
            <w:shd w:val="clear" w:fill="EEF4F1"/>
          </w:tcPr>
          <w:p>
            <w:pPr>
              <w:jc w:val="right"/>
            </w:pPr>
            <w:r>
              <w:rPr>
                <w:color w:val="1C3A36"/>
                <w:sz w:val="15"/>
              </w:rPr>
              <w:t>0.826</w:t>
            </w:r>
          </w:p>
        </w:tc>
        <w:tc>
          <w:tcPr>
            <w:tcW w:type="dxa" w:w="1383"/>
            <w:shd w:val="clear" w:fill="EEF4F1"/>
          </w:tcPr>
          <w:p>
            <w:pPr>
              <w:jc w:val="right"/>
            </w:pPr>
            <w:r>
              <w:rPr>
                <w:color w:val="1C3A36"/>
                <w:sz w:val="15"/>
              </w:rPr>
              <w:t>0.751</w:t>
            </w:r>
          </w:p>
        </w:tc>
        <w:tc>
          <w:tcPr>
            <w:tcW w:type="dxa" w:w="1383"/>
            <w:shd w:val="clear" w:fill="EEF4F1"/>
          </w:tcPr>
          <w:p>
            <w:pPr>
              <w:jc w:val="right"/>
            </w:pPr>
            <w:r>
              <w:rPr>
                <w:color w:val="1C3A36"/>
                <w:sz w:val="15"/>
              </w:rPr>
              <w:t>0.683</w:t>
            </w:r>
          </w:p>
        </w:tc>
        <w:tc>
          <w:tcPr>
            <w:tcW w:type="dxa" w:w="1383"/>
            <w:shd w:val="clear" w:fill="EEF4F1"/>
          </w:tcPr>
          <w:p>
            <w:pPr>
              <w:jc w:val="right"/>
            </w:pPr>
            <w:r>
              <w:rPr>
                <w:color w:val="1C3A36"/>
                <w:sz w:val="15"/>
              </w:rPr>
              <w:t>0.621</w:t>
            </w:r>
          </w:p>
        </w:tc>
      </w:tr>
      <w:tr>
        <w:tc>
          <w:tcPr>
            <w:tcW w:type="dxa" w:w="2515"/>
          </w:tcPr>
          <w:p>
            <w:pPr>
              <w:jc w:val="left"/>
            </w:pPr>
            <w:r>
              <w:rPr>
                <w:color w:val="1C3A36"/>
                <w:sz w:val="15"/>
              </w:rPr>
              <w:t>PV of FCFF</w:t>
            </w:r>
          </w:p>
        </w:tc>
        <w:tc>
          <w:tcPr>
            <w:tcW w:type="dxa" w:w="1383"/>
          </w:tcPr>
          <w:p>
            <w:pPr>
              <w:jc w:val="right"/>
            </w:pPr>
            <w:r>
              <w:rPr>
                <w:color w:val="1C3A36"/>
                <w:sz w:val="15"/>
              </w:rPr>
              <w:t>$3,922</w:t>
            </w:r>
          </w:p>
        </w:tc>
        <w:tc>
          <w:tcPr>
            <w:tcW w:type="dxa" w:w="1383"/>
          </w:tcPr>
          <w:p>
            <w:pPr>
              <w:jc w:val="right"/>
            </w:pPr>
            <w:r>
              <w:rPr>
                <w:color w:val="1C3A36"/>
                <w:sz w:val="15"/>
              </w:rPr>
              <w:t>$4,228</w:t>
            </w:r>
          </w:p>
        </w:tc>
        <w:tc>
          <w:tcPr>
            <w:tcW w:type="dxa" w:w="1383"/>
          </w:tcPr>
          <w:p>
            <w:pPr>
              <w:jc w:val="right"/>
            </w:pPr>
            <w:r>
              <w:rPr>
                <w:color w:val="1C3A36"/>
                <w:sz w:val="15"/>
              </w:rPr>
              <w:t>$4,019</w:t>
            </w:r>
          </w:p>
        </w:tc>
        <w:tc>
          <w:tcPr>
            <w:tcW w:type="dxa" w:w="1383"/>
          </w:tcPr>
          <w:p>
            <w:pPr>
              <w:jc w:val="right"/>
            </w:pPr>
            <w:r>
              <w:rPr>
                <w:color w:val="1C3A36"/>
                <w:sz w:val="15"/>
              </w:rPr>
              <w:t>$5,261</w:t>
            </w:r>
          </w:p>
        </w:tc>
        <w:tc>
          <w:tcPr>
            <w:tcW w:type="dxa" w:w="1383"/>
          </w:tcPr>
          <w:p>
            <w:pPr>
              <w:jc w:val="right"/>
            </w:pPr>
            <w:r>
              <w:rPr>
                <w:color w:val="1C3A36"/>
                <w:sz w:val="15"/>
              </w:rPr>
              <w:t>$4,897</w:t>
            </w:r>
          </w:p>
        </w:tc>
      </w:tr>
    </w:tbl>
    <w:p>
      <w:r>
        <w:rPr>
          <w:i/>
          <w:color w:val="5A5A50"/>
          <w:sz w:val="16"/>
        </w:rPr>
        <w:t>Free cash flow to the firm, five-year explicit forecast. Every input links to the model's Assumptions sheet.</w:t>
      </w:r>
    </w:p>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5804"/>
            <w:shd w:val="clear" w:fill="0F5E54"/>
          </w:tcPr>
          <w:p>
            <w:pPr>
              <w:jc w:val="left"/>
            </w:pPr>
            <w:r>
              <w:rPr>
                <w:b/>
                <w:color w:val="FFFFFF"/>
                <w:sz w:val="17"/>
              </w:rPr>
              <w:t>DCF bridge</w:t>
            </w:r>
          </w:p>
        </w:tc>
        <w:tc>
          <w:tcPr>
            <w:tcW w:type="dxa" w:w="3628"/>
            <w:shd w:val="clear" w:fill="0F5E54"/>
          </w:tcPr>
          <w:p>
            <w:pPr>
              <w:jc w:val="center"/>
            </w:pPr>
            <w:r>
              <w:rPr>
                <w:b/>
                <w:color w:val="FFFFFF"/>
                <w:sz w:val="17"/>
              </w:rPr>
              <w:t>Value</w:t>
            </w:r>
          </w:p>
        </w:tc>
      </w:tr>
      <w:tr>
        <w:tc>
          <w:tcPr>
            <w:tcW w:type="dxa" w:w="5804"/>
          </w:tcPr>
          <w:p>
            <w:pPr>
              <w:jc w:val="left"/>
            </w:pPr>
            <w:r>
              <w:rPr>
                <w:color w:val="1C3A36"/>
                <w:sz w:val="16"/>
              </w:rPr>
              <w:t>Risk-free rate (rf)</w:t>
            </w:r>
          </w:p>
        </w:tc>
        <w:tc>
          <w:tcPr>
            <w:tcW w:type="dxa" w:w="3628"/>
          </w:tcPr>
          <w:p>
            <w:pPr>
              <w:jc w:val="right"/>
            </w:pPr>
            <w:r>
              <w:rPr>
                <w:color w:val="1C3A36"/>
                <w:sz w:val="16"/>
              </w:rPr>
              <w:t>4.5%</w:t>
            </w:r>
          </w:p>
        </w:tc>
      </w:tr>
      <w:tr>
        <w:tc>
          <w:tcPr>
            <w:tcW w:type="dxa" w:w="5804"/>
            <w:shd w:val="clear" w:fill="EEF4F1"/>
          </w:tcPr>
          <w:p>
            <w:pPr>
              <w:jc w:val="left"/>
            </w:pPr>
            <w:r>
              <w:rPr>
                <w:color w:val="1C3A36"/>
                <w:sz w:val="16"/>
              </w:rPr>
              <w:t>Beta (β)</w:t>
            </w:r>
          </w:p>
        </w:tc>
        <w:tc>
          <w:tcPr>
            <w:tcW w:type="dxa" w:w="3628"/>
            <w:shd w:val="clear" w:fill="EEF4F1"/>
          </w:tcPr>
          <w:p>
            <w:pPr>
              <w:jc w:val="right"/>
            </w:pPr>
            <w:r>
              <w:rPr>
                <w:color w:val="1C3A36"/>
                <w:sz w:val="16"/>
              </w:rPr>
              <w:t>1.00</w:t>
            </w:r>
          </w:p>
        </w:tc>
      </w:tr>
      <w:tr>
        <w:tc>
          <w:tcPr>
            <w:tcW w:type="dxa" w:w="5804"/>
          </w:tcPr>
          <w:p>
            <w:pPr>
              <w:jc w:val="left"/>
            </w:pPr>
            <w:r>
              <w:rPr>
                <w:color w:val="1C3A36"/>
                <w:sz w:val="16"/>
              </w:rPr>
              <w:t>Equity risk premium (ERP)</w:t>
            </w:r>
          </w:p>
        </w:tc>
        <w:tc>
          <w:tcPr>
            <w:tcW w:type="dxa" w:w="3628"/>
          </w:tcPr>
          <w:p>
            <w:pPr>
              <w:jc w:val="right"/>
            </w:pPr>
            <w:r>
              <w:rPr>
                <w:color w:val="1C3A36"/>
                <w:sz w:val="16"/>
              </w:rPr>
              <w:t>5.5%</w:t>
            </w:r>
          </w:p>
        </w:tc>
      </w:tr>
      <w:tr>
        <w:tc>
          <w:tcPr>
            <w:tcW w:type="dxa" w:w="5804"/>
            <w:shd w:val="clear" w:fill="EEF4F1"/>
          </w:tcPr>
          <w:p>
            <w:pPr>
              <w:jc w:val="left"/>
            </w:pPr>
            <w:r>
              <w:rPr>
                <w:color w:val="1C3A36"/>
                <w:sz w:val="16"/>
              </w:rPr>
              <w:t>Cost of equity  Ke = rf + β·ERP</w:t>
            </w:r>
          </w:p>
        </w:tc>
        <w:tc>
          <w:tcPr>
            <w:tcW w:type="dxa" w:w="3628"/>
            <w:shd w:val="clear" w:fill="EEF4F1"/>
          </w:tcPr>
          <w:p>
            <w:pPr>
              <w:jc w:val="right"/>
            </w:pPr>
            <w:r>
              <w:rPr>
                <w:color w:val="1C3A36"/>
                <w:sz w:val="16"/>
              </w:rPr>
              <w:t>10.0%</w:t>
            </w:r>
          </w:p>
        </w:tc>
      </w:tr>
      <w:tr>
        <w:tc>
          <w:tcPr>
            <w:tcW w:type="dxa" w:w="5804"/>
          </w:tcPr>
          <w:p>
            <w:pPr>
              <w:jc w:val="left"/>
            </w:pPr>
            <w:r>
              <w:rPr>
                <w:color w:val="1C3A36"/>
                <w:sz w:val="16"/>
              </w:rPr>
              <w:t>WACC (net cash → = Ke)</w:t>
            </w:r>
          </w:p>
        </w:tc>
        <w:tc>
          <w:tcPr>
            <w:tcW w:type="dxa" w:w="3628"/>
          </w:tcPr>
          <w:p>
            <w:pPr>
              <w:jc w:val="right"/>
            </w:pPr>
            <w:r>
              <w:rPr>
                <w:color w:val="1C3A36"/>
                <w:sz w:val="16"/>
              </w:rPr>
              <w:t>10.0%</w:t>
            </w:r>
          </w:p>
        </w:tc>
      </w:tr>
      <w:tr>
        <w:tc>
          <w:tcPr>
            <w:tcW w:type="dxa" w:w="5804"/>
            <w:shd w:val="clear" w:fill="EEF4F1"/>
          </w:tcPr>
          <w:p>
            <w:pPr>
              <w:jc w:val="left"/>
            </w:pPr>
            <w:r>
              <w:rPr>
                <w:color w:val="1C3A36"/>
                <w:sz w:val="16"/>
              </w:rPr>
              <w:t>Terminal growth  g</w:t>
            </w:r>
          </w:p>
        </w:tc>
        <w:tc>
          <w:tcPr>
            <w:tcW w:type="dxa" w:w="3628"/>
            <w:shd w:val="clear" w:fill="EEF4F1"/>
          </w:tcPr>
          <w:p>
            <w:pPr>
              <w:jc w:val="right"/>
            </w:pPr>
            <w:r>
              <w:rPr>
                <w:color w:val="1C3A36"/>
                <w:sz w:val="16"/>
              </w:rPr>
              <w:t>2.5%</w:t>
            </w:r>
          </w:p>
        </w:tc>
      </w:tr>
      <w:tr>
        <w:tc>
          <w:tcPr>
            <w:tcW w:type="dxa" w:w="5804"/>
          </w:tcPr>
          <w:p>
            <w:pPr>
              <w:jc w:val="left"/>
            </w:pPr>
            <w:r>
              <w:rPr>
                <w:color w:val="1C3A36"/>
                <w:sz w:val="16"/>
              </w:rPr>
              <w:t>Effective tax rate</w:t>
            </w:r>
          </w:p>
        </w:tc>
        <w:tc>
          <w:tcPr>
            <w:tcW w:type="dxa" w:w="3628"/>
          </w:tcPr>
          <w:p>
            <w:pPr>
              <w:jc w:val="right"/>
            </w:pPr>
            <w:r>
              <w:rPr>
                <w:color w:val="1C3A36"/>
                <w:sz w:val="16"/>
              </w:rPr>
              <w:t>16.0%</w:t>
            </w:r>
          </w:p>
        </w:tc>
      </w:tr>
      <w:tr>
        <w:tc>
          <w:tcPr>
            <w:tcW w:type="dxa" w:w="5804"/>
            <w:shd w:val="clear" w:fill="EEF4F1"/>
          </w:tcPr>
          <w:p>
            <w:pPr>
              <w:jc w:val="left"/>
            </w:pPr>
            <w:r>
              <w:rPr>
                <w:color w:val="1C3A36"/>
                <w:sz w:val="16"/>
              </w:rPr>
              <w:t>Sum PV of explicit FCFF (2026–30E)</w:t>
            </w:r>
          </w:p>
        </w:tc>
        <w:tc>
          <w:tcPr>
            <w:tcW w:type="dxa" w:w="3628"/>
            <w:shd w:val="clear" w:fill="EEF4F1"/>
          </w:tcPr>
          <w:p>
            <w:pPr>
              <w:jc w:val="right"/>
            </w:pPr>
            <w:r>
              <w:rPr>
                <w:color w:val="1C3A36"/>
                <w:sz w:val="16"/>
              </w:rPr>
              <w:t>$22,327</w:t>
            </w:r>
          </w:p>
        </w:tc>
      </w:tr>
      <w:tr>
        <w:tc>
          <w:tcPr>
            <w:tcW w:type="dxa" w:w="5804"/>
          </w:tcPr>
          <w:p>
            <w:pPr>
              <w:jc w:val="left"/>
            </w:pPr>
            <w:r>
              <w:rPr>
                <w:color w:val="1C3A36"/>
                <w:sz w:val="16"/>
              </w:rPr>
              <w:t>Terminal value (2031)</w:t>
            </w:r>
          </w:p>
        </w:tc>
        <w:tc>
          <w:tcPr>
            <w:tcW w:type="dxa" w:w="3628"/>
          </w:tcPr>
          <w:p>
            <w:pPr>
              <w:jc w:val="right"/>
            </w:pPr>
            <w:r>
              <w:rPr>
                <w:color w:val="1C3A36"/>
                <w:sz w:val="16"/>
              </w:rPr>
              <w:t>$107,789</w:t>
            </w:r>
          </w:p>
        </w:tc>
      </w:tr>
      <w:tr>
        <w:tc>
          <w:tcPr>
            <w:tcW w:type="dxa" w:w="5804"/>
            <w:shd w:val="clear" w:fill="EEF4F1"/>
          </w:tcPr>
          <w:p>
            <w:pPr>
              <w:jc w:val="left"/>
            </w:pPr>
            <w:r>
              <w:rPr>
                <w:color w:val="1C3A36"/>
                <w:sz w:val="16"/>
              </w:rPr>
              <w:t>PV of terminal value</w:t>
            </w:r>
          </w:p>
        </w:tc>
        <w:tc>
          <w:tcPr>
            <w:tcW w:type="dxa" w:w="3628"/>
            <w:shd w:val="clear" w:fill="EEF4F1"/>
          </w:tcPr>
          <w:p>
            <w:pPr>
              <w:jc w:val="right"/>
            </w:pPr>
            <w:r>
              <w:rPr>
                <w:color w:val="1C3A36"/>
                <w:sz w:val="16"/>
              </w:rPr>
              <w:t>$66,928</w:t>
            </w:r>
          </w:p>
        </w:tc>
      </w:tr>
      <w:tr>
        <w:tc>
          <w:tcPr>
            <w:tcW w:type="dxa" w:w="5804"/>
          </w:tcPr>
          <w:p>
            <w:pPr>
              <w:jc w:val="left"/>
            </w:pPr>
            <w:r>
              <w:rPr>
                <w:color w:val="1C3A36"/>
                <w:sz w:val="16"/>
              </w:rPr>
              <w:t>Enterprise value</w:t>
            </w:r>
          </w:p>
        </w:tc>
        <w:tc>
          <w:tcPr>
            <w:tcW w:type="dxa" w:w="3628"/>
          </w:tcPr>
          <w:p>
            <w:pPr>
              <w:jc w:val="right"/>
            </w:pPr>
            <w:r>
              <w:rPr>
                <w:color w:val="1C3A36"/>
                <w:sz w:val="16"/>
              </w:rPr>
              <w:t>$89,256</w:t>
            </w:r>
          </w:p>
        </w:tc>
      </w:tr>
      <w:tr>
        <w:tc>
          <w:tcPr>
            <w:tcW w:type="dxa" w:w="5804"/>
            <w:shd w:val="clear" w:fill="EEF4F1"/>
          </w:tcPr>
          <w:p>
            <w:pPr>
              <w:jc w:val="left"/>
            </w:pPr>
            <w:r>
              <w:rPr>
                <w:color w:val="1C3A36"/>
                <w:sz w:val="16"/>
              </w:rPr>
              <w:t xml:space="preserve">  Terminal value as % of EV</w:t>
            </w:r>
          </w:p>
        </w:tc>
        <w:tc>
          <w:tcPr>
            <w:tcW w:type="dxa" w:w="3628"/>
            <w:shd w:val="clear" w:fill="EEF4F1"/>
          </w:tcPr>
          <w:p>
            <w:pPr>
              <w:jc w:val="right"/>
            </w:pPr>
            <w:r>
              <w:rPr>
                <w:color w:val="1C3A36"/>
                <w:sz w:val="16"/>
              </w:rPr>
              <w:t>75.0%</w:t>
            </w:r>
          </w:p>
        </w:tc>
      </w:tr>
      <w:tr>
        <w:tc>
          <w:tcPr>
            <w:tcW w:type="dxa" w:w="5804"/>
          </w:tcPr>
          <w:p>
            <w:pPr>
              <w:jc w:val="left"/>
            </w:pPr>
            <w:r>
              <w:rPr>
                <w:color w:val="1C3A36"/>
                <w:sz w:val="16"/>
              </w:rPr>
              <w:t>+ Net cash</w:t>
            </w:r>
          </w:p>
        </w:tc>
        <w:tc>
          <w:tcPr>
            <w:tcW w:type="dxa" w:w="3628"/>
          </w:tcPr>
          <w:p>
            <w:pPr>
              <w:jc w:val="right"/>
            </w:pPr>
            <w:r>
              <w:rPr>
                <w:color w:val="1C3A36"/>
                <w:sz w:val="16"/>
              </w:rPr>
              <w:t>$4,780</w:t>
            </w:r>
          </w:p>
        </w:tc>
      </w:tr>
      <w:tr>
        <w:tc>
          <w:tcPr>
            <w:tcW w:type="dxa" w:w="5804"/>
            <w:shd w:val="clear" w:fill="EEF4F1"/>
          </w:tcPr>
          <w:p>
            <w:pPr>
              <w:jc w:val="left"/>
            </w:pPr>
            <w:r>
              <w:rPr>
                <w:color w:val="1C3A36"/>
                <w:sz w:val="16"/>
              </w:rPr>
              <w:t>Equity value</w:t>
            </w:r>
          </w:p>
        </w:tc>
        <w:tc>
          <w:tcPr>
            <w:tcW w:type="dxa" w:w="3628"/>
            <w:shd w:val="clear" w:fill="EEF4F1"/>
          </w:tcPr>
          <w:p>
            <w:pPr>
              <w:jc w:val="right"/>
            </w:pPr>
            <w:r>
              <w:rPr>
                <w:color w:val="1C3A36"/>
                <w:sz w:val="16"/>
              </w:rPr>
              <w:t>$94,036</w:t>
            </w:r>
          </w:p>
        </w:tc>
      </w:tr>
      <w:tr>
        <w:tc>
          <w:tcPr>
            <w:tcW w:type="dxa" w:w="5804"/>
          </w:tcPr>
          <w:p>
            <w:pPr>
              <w:jc w:val="left"/>
            </w:pPr>
            <w:r>
              <w:rPr>
                <w:color w:val="1C3A36"/>
                <w:sz w:val="16"/>
              </w:rPr>
              <w:t>Value per share (USD)</w:t>
            </w:r>
          </w:p>
        </w:tc>
        <w:tc>
          <w:tcPr>
            <w:tcW w:type="dxa" w:w="3628"/>
          </w:tcPr>
          <w:p>
            <w:pPr>
              <w:jc w:val="right"/>
            </w:pPr>
            <w:r>
              <w:rPr>
                <w:color w:val="1C3A36"/>
                <w:sz w:val="16"/>
              </w:rPr>
              <w:t>$1.225</w:t>
            </w:r>
          </w:p>
        </w:tc>
      </w:tr>
      <w:tr>
        <w:tc>
          <w:tcPr>
            <w:tcW w:type="dxa" w:w="5804"/>
            <w:shd w:val="clear" w:fill="EEF4F1"/>
          </w:tcPr>
          <w:p>
            <w:pPr>
              <w:jc w:val="left"/>
            </w:pPr>
            <w:r>
              <w:rPr>
                <w:color w:val="1C3A36"/>
                <w:sz w:val="16"/>
              </w:rPr>
              <w:t>Value per share (AED)</w:t>
            </w:r>
          </w:p>
        </w:tc>
        <w:tc>
          <w:tcPr>
            <w:tcW w:type="dxa" w:w="3628"/>
            <w:shd w:val="clear" w:fill="EEF4F1"/>
          </w:tcPr>
          <w:p>
            <w:pPr>
              <w:jc w:val="right"/>
            </w:pPr>
            <w:r>
              <w:rPr>
                <w:color w:val="1C3A36"/>
                <w:sz w:val="16"/>
              </w:rPr>
              <w:t>4.50</w:t>
            </w:r>
          </w:p>
        </w:tc>
      </w:tr>
    </w:tbl>
    <w:p>
      <w:r>
        <w:rPr>
          <w:i/>
          <w:color w:val="5A5A50"/>
          <w:sz w:val="16"/>
        </w:rPr>
        <w:t>Terminal value is 75% of EV — high, as it is for any low-WACC long-life infrastructure DCF. We disclose it (device A-7) and sensitise it in §1.9 rather than presenting the point as precise.</w:t>
      </w:r>
    </w:p>
    <w:p/>
    <w:p>
      <w:pPr>
        <w:jc w:val="both"/>
      </w:pPr>
      <w:r>
        <w:rPr>
          <w:i w:val="0"/>
          <w:color w:val="1C3A36"/>
          <w:sz w:val="20"/>
        </w:rPr>
        <w:t>The DCF returns AED 4.50. The single most important disclosure is that the terminal value is 75.0% of enterprise value: this number is a bet on (WACC − g), and it moves materially across a defensible grid (§1.9). It should be read as a soft upper anchor — what the whole enterprise cash stream is worth to an owner who captures all of it — not as a target.</w:t>
      </w:r>
    </w:p>
    <w:p>
      <w:r>
        <w:rPr>
          <w:b/>
          <w:color w:val="17786B"/>
          <w:sz w:val="23"/>
        </w:rPr>
        <w:t>1.2  Dividend discount model — the cash-flow cross-check</w:t>
      </w:r>
    </w:p>
    <w:p>
      <w:pPr>
        <w:jc w:val="both"/>
      </w:pPr>
      <w:r>
        <w:rPr>
          <w:i w:val="0"/>
          <w:color w:val="1C3A36"/>
          <w:sz w:val="20"/>
        </w:rPr>
        <w:t>For a name whose distribution policy is explicit, board-endorsed and framed as a multi-year commitment ($24.4 bn cumulative 2025–30, growing 5% a year), the dividend-discount model is not a footnote — it is the lens that most closely matches what a minority shareholder actually receives. We apply a split cost of equity: the committed dividend is a lower-risk, sovereign-backed, contractually-supported claim than the volatile total-enterprise cash stream, so it is discounted at 8.2% (a Gulf-USD credit-like rate) rather than the full 10.0% equity WACC used in the DCF. This split-Ke discipline follows the house rule (blend segment costs of capital to the exposure being valued).</w:t>
      </w:r>
    </w:p>
    <w:tbl>
      <w:tblPr>
        <w:tblStyle w:val="TableGrid"/>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2515"/>
            <w:shd w:val="clear" w:fill="0F5E54"/>
          </w:tcPr>
          <w:p>
            <w:pPr>
              <w:jc w:val="left"/>
            </w:pPr>
            <w:r>
              <w:rPr>
                <w:b/>
                <w:color w:val="FFFFFF"/>
                <w:sz w:val="15"/>
              </w:rPr>
              <w:t>Dividend stream</w:t>
            </w:r>
          </w:p>
        </w:tc>
        <w:tc>
          <w:tcPr>
            <w:tcW w:type="dxa" w:w="1383"/>
            <w:shd w:val="clear" w:fill="0F5E54"/>
          </w:tcPr>
          <w:p>
            <w:pPr>
              <w:jc w:val="center"/>
            </w:pPr>
            <w:r>
              <w:rPr>
                <w:b/>
                <w:color w:val="FFFFFF"/>
                <w:sz w:val="15"/>
              </w:rPr>
              <w:t>2026E</w:t>
            </w:r>
          </w:p>
        </w:tc>
        <w:tc>
          <w:tcPr>
            <w:tcW w:type="dxa" w:w="1383"/>
            <w:shd w:val="clear" w:fill="0F5E54"/>
          </w:tcPr>
          <w:p>
            <w:pPr>
              <w:jc w:val="center"/>
            </w:pPr>
            <w:r>
              <w:rPr>
                <w:b/>
                <w:color w:val="FFFFFF"/>
                <w:sz w:val="15"/>
              </w:rPr>
              <w:t>2027E</w:t>
            </w:r>
          </w:p>
        </w:tc>
        <w:tc>
          <w:tcPr>
            <w:tcW w:type="dxa" w:w="1383"/>
            <w:shd w:val="clear" w:fill="0F5E54"/>
          </w:tcPr>
          <w:p>
            <w:pPr>
              <w:jc w:val="center"/>
            </w:pPr>
            <w:r>
              <w:rPr>
                <w:b/>
                <w:color w:val="FFFFFF"/>
                <w:sz w:val="15"/>
              </w:rPr>
              <w:t>2028E</w:t>
            </w:r>
          </w:p>
        </w:tc>
        <w:tc>
          <w:tcPr>
            <w:tcW w:type="dxa" w:w="1383"/>
            <w:shd w:val="clear" w:fill="0F5E54"/>
          </w:tcPr>
          <w:p>
            <w:pPr>
              <w:jc w:val="center"/>
            </w:pPr>
            <w:r>
              <w:rPr>
                <w:b/>
                <w:color w:val="FFFFFF"/>
                <w:sz w:val="15"/>
              </w:rPr>
              <w:t>2029E</w:t>
            </w:r>
          </w:p>
        </w:tc>
        <w:tc>
          <w:tcPr>
            <w:tcW w:type="dxa" w:w="1383"/>
            <w:shd w:val="clear" w:fill="0F5E54"/>
          </w:tcPr>
          <w:p>
            <w:pPr>
              <w:jc w:val="center"/>
            </w:pPr>
            <w:r>
              <w:rPr>
                <w:b/>
                <w:color w:val="FFFFFF"/>
                <w:sz w:val="15"/>
              </w:rPr>
              <w:t>2030E</w:t>
            </w:r>
          </w:p>
        </w:tc>
      </w:tr>
      <w:tr>
        <w:tc>
          <w:tcPr>
            <w:tcW w:type="dxa" w:w="2515"/>
          </w:tcPr>
          <w:p>
            <w:pPr>
              <w:jc w:val="left"/>
            </w:pPr>
            <w:r>
              <w:rPr>
                <w:color w:val="1C3A36"/>
                <w:sz w:val="15"/>
              </w:rPr>
              <w:t>DPS (USD)</w:t>
            </w:r>
          </w:p>
        </w:tc>
        <w:tc>
          <w:tcPr>
            <w:tcW w:type="dxa" w:w="1383"/>
          </w:tcPr>
          <w:p>
            <w:pPr>
              <w:jc w:val="right"/>
            </w:pPr>
            <w:r>
              <w:rPr>
                <w:color w:val="1C3A36"/>
                <w:sz w:val="15"/>
              </w:rPr>
              <w:t>$0.0490</w:t>
            </w:r>
          </w:p>
        </w:tc>
        <w:tc>
          <w:tcPr>
            <w:tcW w:type="dxa" w:w="1383"/>
          </w:tcPr>
          <w:p>
            <w:pPr>
              <w:jc w:val="right"/>
            </w:pPr>
            <w:r>
              <w:rPr>
                <w:color w:val="1C3A36"/>
                <w:sz w:val="15"/>
              </w:rPr>
              <w:t>$0.0515</w:t>
            </w:r>
          </w:p>
        </w:tc>
        <w:tc>
          <w:tcPr>
            <w:tcW w:type="dxa" w:w="1383"/>
          </w:tcPr>
          <w:p>
            <w:pPr>
              <w:jc w:val="right"/>
            </w:pPr>
            <w:r>
              <w:rPr>
                <w:color w:val="1C3A36"/>
                <w:sz w:val="15"/>
              </w:rPr>
              <w:t>$0.0541</w:t>
            </w:r>
          </w:p>
        </w:tc>
        <w:tc>
          <w:tcPr>
            <w:tcW w:type="dxa" w:w="1383"/>
          </w:tcPr>
          <w:p>
            <w:pPr>
              <w:jc w:val="right"/>
            </w:pPr>
            <w:r>
              <w:rPr>
                <w:color w:val="1C3A36"/>
                <w:sz w:val="15"/>
              </w:rPr>
              <w:t>$0.0568</w:t>
            </w:r>
          </w:p>
        </w:tc>
        <w:tc>
          <w:tcPr>
            <w:tcW w:type="dxa" w:w="1383"/>
          </w:tcPr>
          <w:p>
            <w:pPr>
              <w:jc w:val="right"/>
            </w:pPr>
            <w:r>
              <w:rPr>
                <w:color w:val="1C3A36"/>
                <w:sz w:val="15"/>
              </w:rPr>
              <w:t>$0.0596</w:t>
            </w:r>
          </w:p>
        </w:tc>
      </w:tr>
      <w:tr>
        <w:tc>
          <w:tcPr>
            <w:tcW w:type="dxa" w:w="2515"/>
            <w:shd w:val="clear" w:fill="EEF4F1"/>
          </w:tcPr>
          <w:p>
            <w:pPr>
              <w:jc w:val="left"/>
            </w:pPr>
            <w:r>
              <w:rPr>
                <w:color w:val="1C3A36"/>
                <w:sz w:val="15"/>
              </w:rPr>
              <w:t>Discount factor</w:t>
            </w:r>
          </w:p>
        </w:tc>
        <w:tc>
          <w:tcPr>
            <w:tcW w:type="dxa" w:w="1383"/>
            <w:shd w:val="clear" w:fill="EEF4F1"/>
          </w:tcPr>
          <w:p>
            <w:pPr>
              <w:jc w:val="right"/>
            </w:pPr>
            <w:r>
              <w:rPr>
                <w:color w:val="1C3A36"/>
                <w:sz w:val="15"/>
              </w:rPr>
              <w:t>0.924</w:t>
            </w:r>
          </w:p>
        </w:tc>
        <w:tc>
          <w:tcPr>
            <w:tcW w:type="dxa" w:w="1383"/>
            <w:shd w:val="clear" w:fill="EEF4F1"/>
          </w:tcPr>
          <w:p>
            <w:pPr>
              <w:jc w:val="right"/>
            </w:pPr>
            <w:r>
              <w:rPr>
                <w:color w:val="1C3A36"/>
                <w:sz w:val="15"/>
              </w:rPr>
              <w:t>0.853</w:t>
            </w:r>
          </w:p>
        </w:tc>
        <w:tc>
          <w:tcPr>
            <w:tcW w:type="dxa" w:w="1383"/>
            <w:shd w:val="clear" w:fill="EEF4F1"/>
          </w:tcPr>
          <w:p>
            <w:pPr>
              <w:jc w:val="right"/>
            </w:pPr>
            <w:r>
              <w:rPr>
                <w:color w:val="1C3A36"/>
                <w:sz w:val="15"/>
              </w:rPr>
              <w:t>0.788</w:t>
            </w:r>
          </w:p>
        </w:tc>
        <w:tc>
          <w:tcPr>
            <w:tcW w:type="dxa" w:w="1383"/>
            <w:shd w:val="clear" w:fill="EEF4F1"/>
          </w:tcPr>
          <w:p>
            <w:pPr>
              <w:jc w:val="right"/>
            </w:pPr>
            <w:r>
              <w:rPr>
                <w:color w:val="1C3A36"/>
                <w:sz w:val="15"/>
              </w:rPr>
              <w:t>0.728</w:t>
            </w:r>
          </w:p>
        </w:tc>
        <w:tc>
          <w:tcPr>
            <w:tcW w:type="dxa" w:w="1383"/>
            <w:shd w:val="clear" w:fill="EEF4F1"/>
          </w:tcPr>
          <w:p>
            <w:pPr>
              <w:jc w:val="right"/>
            </w:pPr>
            <w:r>
              <w:rPr>
                <w:color w:val="1C3A36"/>
                <w:sz w:val="15"/>
              </w:rPr>
              <w:t>0.673</w:t>
            </w:r>
          </w:p>
        </w:tc>
      </w:tr>
      <w:tr>
        <w:tc>
          <w:tcPr>
            <w:tcW w:type="dxa" w:w="2515"/>
          </w:tcPr>
          <w:p>
            <w:pPr>
              <w:jc w:val="left"/>
            </w:pPr>
            <w:r>
              <w:rPr>
                <w:color w:val="1C3A36"/>
                <w:sz w:val="15"/>
              </w:rPr>
              <w:t>PV of DPS (USD)</w:t>
            </w:r>
          </w:p>
        </w:tc>
        <w:tc>
          <w:tcPr>
            <w:tcW w:type="dxa" w:w="1383"/>
          </w:tcPr>
          <w:p>
            <w:pPr>
              <w:jc w:val="right"/>
            </w:pPr>
            <w:r>
              <w:rPr>
                <w:color w:val="1C3A36"/>
                <w:sz w:val="15"/>
              </w:rPr>
              <w:t>$0.0453</w:t>
            </w:r>
          </w:p>
        </w:tc>
        <w:tc>
          <w:tcPr>
            <w:tcW w:type="dxa" w:w="1383"/>
          </w:tcPr>
          <w:p>
            <w:pPr>
              <w:jc w:val="right"/>
            </w:pPr>
            <w:r>
              <w:rPr>
                <w:color w:val="1C3A36"/>
                <w:sz w:val="15"/>
              </w:rPr>
              <w:t>$0.0439</w:t>
            </w:r>
          </w:p>
        </w:tc>
        <w:tc>
          <w:tcPr>
            <w:tcW w:type="dxa" w:w="1383"/>
          </w:tcPr>
          <w:p>
            <w:pPr>
              <w:jc w:val="right"/>
            </w:pPr>
            <w:r>
              <w:rPr>
                <w:color w:val="1C3A36"/>
                <w:sz w:val="15"/>
              </w:rPr>
              <w:t>$0.0426</w:t>
            </w:r>
          </w:p>
        </w:tc>
        <w:tc>
          <w:tcPr>
            <w:tcW w:type="dxa" w:w="1383"/>
          </w:tcPr>
          <w:p>
            <w:pPr>
              <w:jc w:val="right"/>
            </w:pPr>
            <w:r>
              <w:rPr>
                <w:color w:val="1C3A36"/>
                <w:sz w:val="15"/>
              </w:rPr>
              <w:t>$0.0413</w:t>
            </w:r>
          </w:p>
        </w:tc>
        <w:tc>
          <w:tcPr>
            <w:tcW w:type="dxa" w:w="1383"/>
          </w:tcPr>
          <w:p>
            <w:pPr>
              <w:jc w:val="right"/>
            </w:pPr>
            <w:r>
              <w:rPr>
                <w:color w:val="1C3A36"/>
                <w:sz w:val="15"/>
              </w:rPr>
              <w:t>$0.0401</w:t>
            </w:r>
          </w:p>
        </w:tc>
      </w:tr>
    </w:tbl>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5804"/>
            <w:shd w:val="clear" w:fill="0F5E54"/>
          </w:tcPr>
          <w:p>
            <w:pPr>
              <w:jc w:val="left"/>
            </w:pPr>
            <w:r>
              <w:rPr>
                <w:b/>
                <w:color w:val="FFFFFF"/>
                <w:sz w:val="17"/>
              </w:rPr>
              <w:t>DDM bridge</w:t>
            </w:r>
          </w:p>
        </w:tc>
        <w:tc>
          <w:tcPr>
            <w:tcW w:type="dxa" w:w="3628"/>
            <w:shd w:val="clear" w:fill="0F5E54"/>
          </w:tcPr>
          <w:p>
            <w:pPr>
              <w:jc w:val="center"/>
            </w:pPr>
            <w:r>
              <w:rPr>
                <w:b/>
                <w:color w:val="FFFFFF"/>
                <w:sz w:val="17"/>
              </w:rPr>
              <w:t>Value</w:t>
            </w:r>
          </w:p>
        </w:tc>
      </w:tr>
      <w:tr>
        <w:tc>
          <w:tcPr>
            <w:tcW w:type="dxa" w:w="5804"/>
          </w:tcPr>
          <w:p>
            <w:pPr>
              <w:jc w:val="left"/>
            </w:pPr>
            <w:r>
              <w:rPr>
                <w:color w:val="1C3A36"/>
                <w:sz w:val="16"/>
              </w:rPr>
              <w:t>Sum PV of explicit DPS (USD)</w:t>
            </w:r>
          </w:p>
        </w:tc>
        <w:tc>
          <w:tcPr>
            <w:tcW w:type="dxa" w:w="3628"/>
          </w:tcPr>
          <w:p>
            <w:pPr>
              <w:jc w:val="right"/>
            </w:pPr>
            <w:r>
              <w:rPr>
                <w:color w:val="1C3A36"/>
                <w:sz w:val="16"/>
              </w:rPr>
              <w:t>$0.2132</w:t>
            </w:r>
          </w:p>
        </w:tc>
      </w:tr>
      <w:tr>
        <w:tc>
          <w:tcPr>
            <w:tcW w:type="dxa" w:w="5804"/>
            <w:shd w:val="clear" w:fill="EEF4F1"/>
          </w:tcPr>
          <w:p>
            <w:pPr>
              <w:jc w:val="left"/>
            </w:pPr>
            <w:r>
              <w:rPr>
                <w:color w:val="1C3A36"/>
                <w:sz w:val="16"/>
              </w:rPr>
              <w:t>Terminal value, PV (USD)</w:t>
            </w:r>
          </w:p>
        </w:tc>
        <w:tc>
          <w:tcPr>
            <w:tcW w:type="dxa" w:w="3628"/>
            <w:shd w:val="clear" w:fill="EEF4F1"/>
          </w:tcPr>
          <w:p>
            <w:pPr>
              <w:jc w:val="right"/>
            </w:pPr>
            <w:r>
              <w:rPr>
                <w:color w:val="1C3A36"/>
                <w:sz w:val="16"/>
              </w:rPr>
              <w:t>$0.7148</w:t>
            </w:r>
          </w:p>
        </w:tc>
      </w:tr>
      <w:tr>
        <w:tc>
          <w:tcPr>
            <w:tcW w:type="dxa" w:w="5804"/>
          </w:tcPr>
          <w:p>
            <w:pPr>
              <w:jc w:val="left"/>
            </w:pPr>
            <w:r>
              <w:rPr>
                <w:color w:val="1C3A36"/>
                <w:sz w:val="16"/>
              </w:rPr>
              <w:t>Value per share (USD)</w:t>
            </w:r>
          </w:p>
        </w:tc>
        <w:tc>
          <w:tcPr>
            <w:tcW w:type="dxa" w:w="3628"/>
          </w:tcPr>
          <w:p>
            <w:pPr>
              <w:jc w:val="right"/>
            </w:pPr>
            <w:r>
              <w:rPr>
                <w:color w:val="1C3A36"/>
                <w:sz w:val="16"/>
              </w:rPr>
              <w:t>$0.928</w:t>
            </w:r>
          </w:p>
        </w:tc>
      </w:tr>
      <w:tr>
        <w:tc>
          <w:tcPr>
            <w:tcW w:type="dxa" w:w="5804"/>
            <w:shd w:val="clear" w:fill="EEF4F1"/>
          </w:tcPr>
          <w:p>
            <w:pPr>
              <w:jc w:val="left"/>
            </w:pPr>
            <w:r>
              <w:rPr>
                <w:color w:val="1C3A36"/>
                <w:sz w:val="16"/>
              </w:rPr>
              <w:t>Value per share (AED)</w:t>
            </w:r>
          </w:p>
        </w:tc>
        <w:tc>
          <w:tcPr>
            <w:tcW w:type="dxa" w:w="3628"/>
            <w:shd w:val="clear" w:fill="EEF4F1"/>
          </w:tcPr>
          <w:p>
            <w:pPr>
              <w:jc w:val="right"/>
            </w:pPr>
            <w:r>
              <w:rPr>
                <w:color w:val="1C3A36"/>
                <w:sz w:val="16"/>
              </w:rPr>
              <w:t>3.41</w:t>
            </w:r>
          </w:p>
        </w:tc>
      </w:tr>
      <w:tr>
        <w:tc>
          <w:tcPr>
            <w:tcW w:type="dxa" w:w="5804"/>
          </w:tcPr>
          <w:p>
            <w:pPr>
              <w:jc w:val="left"/>
            </w:pPr>
            <w:r>
              <w:rPr>
                <w:color w:val="1C3A36"/>
                <w:sz w:val="16"/>
              </w:rPr>
              <w:t>— for reference, spot</w:t>
            </w:r>
          </w:p>
        </w:tc>
        <w:tc>
          <w:tcPr>
            <w:tcW w:type="dxa" w:w="3628"/>
          </w:tcPr>
          <w:p>
            <w:pPr>
              <w:jc w:val="right"/>
            </w:pPr>
            <w:r>
              <w:rPr>
                <w:color w:val="1C3A36"/>
                <w:sz w:val="16"/>
              </w:rPr>
              <w:t>3.44</w:t>
            </w:r>
          </w:p>
        </w:tc>
      </w:tr>
    </w:tbl>
    <w:p>
      <w:r>
        <w:rPr>
          <w:i/>
          <w:color w:val="5A5A50"/>
          <w:sz w:val="16"/>
        </w:rPr>
        <w:t>At an 8.25% cost of equity the committed dividend is worth ~AED 3.41 — essentially spot. The market is pricing ADNOC Gas as a dividend bond.</w:t>
      </w:r>
    </w:p>
    <w:p/>
    <w:p>
      <w:pPr>
        <w:jc w:val="both"/>
      </w:pPr>
      <w:r>
        <w:rPr>
          <w:i w:val="0"/>
          <w:color w:val="1C3A36"/>
          <w:sz w:val="20"/>
        </w:rPr>
        <w:t>The DDM returns AED 3.41, within a rounding error of spot. Read together, the two cash-flow lenses tell the whole story: the enterprise is worth more than the market pays (DCF AED 4.50), but the shareholder is paid as a bondholder (DDM ≈ spot). The AED ~1.1 gap between them is the value of retained, undistributed cash whose fate rests with the controlling owner — the distribution gate.</w:t>
      </w:r>
    </w:p>
    <w:p>
      <w:r>
        <w:rPr>
          <w:b/>
          <w:color w:val="17786B"/>
          <w:sz w:val="23"/>
        </w:rPr>
        <w:t>1.3  Relative multiples</w:t>
      </w:r>
    </w:p>
    <w:p>
      <w:pPr>
        <w:jc w:val="both"/>
      </w:pPr>
      <w:r>
        <w:rPr>
          <w:i w:val="0"/>
          <w:color w:val="1C3A36"/>
          <w:sz w:val="20"/>
        </w:rPr>
        <w:t>On FY2026E figures ADNOC Gas trades at ~7.8x trailing EV/EBITDA and ~13.9x trailing earnings, with a ~5.0% dividend yield. Global gas-infrastructure and midstream peers (Cheniere, Williams, ONEOK, Enbridge, Snam) sit at ~9–12x EV/EBITDA and mid-single-digit yields; Gulf/ADX energy peers (ADNOC Drilling, ADNOC Distribution, Saudi Aramco) at ~7–9x. A contracted, utility-like earnings base with a defined growth pipeline justifies the middle of that range; a small free float, single-customer concentration on the parent, and commodity exposure on the export leg justify a discount to the Western midstream cohort.</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6737"/>
            <w:shd w:val="clear" w:fill="0F5E54"/>
          </w:tcPr>
          <w:p>
            <w:pPr>
              <w:jc w:val="left"/>
            </w:pPr>
            <w:r>
              <w:rPr>
                <w:b/>
                <w:color w:val="FFFFFF"/>
                <w:sz w:val="17"/>
              </w:rPr>
              <w:t>Multiple lens</w:t>
            </w:r>
          </w:p>
        </w:tc>
        <w:tc>
          <w:tcPr>
            <w:tcW w:type="dxa" w:w="2695"/>
            <w:shd w:val="clear" w:fill="0F5E54"/>
          </w:tcPr>
          <w:p>
            <w:pPr>
              <w:jc w:val="center"/>
            </w:pPr>
            <w:r>
              <w:rPr>
                <w:b/>
                <w:color w:val="FFFFFF"/>
                <w:sz w:val="17"/>
              </w:rPr>
              <w:t>AED/share</w:t>
            </w:r>
          </w:p>
        </w:tc>
      </w:tr>
      <w:tr>
        <w:tc>
          <w:tcPr>
            <w:tcW w:type="dxa" w:w="6737"/>
          </w:tcPr>
          <w:p>
            <w:pPr>
              <w:jc w:val="left"/>
            </w:pPr>
            <w:r>
              <w:rPr>
                <w:color w:val="1C3A36"/>
                <w:sz w:val="16"/>
              </w:rPr>
              <w:t>Relative EV/EBITDA (8.5x FY26 EBITDA)</w:t>
            </w:r>
          </w:p>
        </w:tc>
        <w:tc>
          <w:tcPr>
            <w:tcW w:type="dxa" w:w="2695"/>
          </w:tcPr>
          <w:p>
            <w:pPr>
              <w:jc w:val="right"/>
            </w:pPr>
            <w:r>
              <w:rPr>
                <w:color w:val="1C3A36"/>
                <w:sz w:val="16"/>
              </w:rPr>
              <w:t>3.83</w:t>
            </w:r>
          </w:p>
        </w:tc>
      </w:tr>
      <w:tr>
        <w:tc>
          <w:tcPr>
            <w:tcW w:type="dxa" w:w="6737"/>
            <w:shd w:val="clear" w:fill="EEF4F1"/>
          </w:tcPr>
          <w:p>
            <w:pPr>
              <w:jc w:val="left"/>
            </w:pPr>
            <w:r>
              <w:rPr>
                <w:color w:val="1C3A36"/>
                <w:sz w:val="16"/>
              </w:rPr>
              <w:t>Justified P/E (13.5x FY26 EPS)</w:t>
            </w:r>
          </w:p>
        </w:tc>
        <w:tc>
          <w:tcPr>
            <w:tcW w:type="dxa" w:w="2695"/>
            <w:shd w:val="clear" w:fill="EEF4F1"/>
          </w:tcPr>
          <w:p>
            <w:pPr>
              <w:jc w:val="right"/>
            </w:pPr>
            <w:r>
              <w:rPr>
                <w:color w:val="1C3A36"/>
                <w:sz w:val="16"/>
              </w:rPr>
              <w:t>3.62</w:t>
            </w:r>
          </w:p>
        </w:tc>
      </w:tr>
      <w:tr>
        <w:tc>
          <w:tcPr>
            <w:tcW w:type="dxa" w:w="6737"/>
          </w:tcPr>
          <w:p>
            <w:pPr>
              <w:jc w:val="left"/>
            </w:pPr>
            <w:r>
              <w:rPr>
                <w:color w:val="1C3A36"/>
                <w:sz w:val="16"/>
              </w:rPr>
              <w:t>Dividend yield (4.7% fair yield on FY26 DPS)</w:t>
            </w:r>
          </w:p>
        </w:tc>
        <w:tc>
          <w:tcPr>
            <w:tcW w:type="dxa" w:w="2695"/>
          </w:tcPr>
          <w:p>
            <w:pPr>
              <w:jc w:val="right"/>
            </w:pPr>
            <w:r>
              <w:rPr>
                <w:color w:val="1C3A36"/>
                <w:sz w:val="16"/>
              </w:rPr>
              <w:t>3.83</w:t>
            </w:r>
          </w:p>
        </w:tc>
      </w:tr>
    </w:tbl>
    <w:p>
      <w:r>
        <w:rPr>
          <w:i/>
          <w:color w:val="5A5A50"/>
          <w:sz w:val="16"/>
        </w:rPr>
        <w:t>Three relative reads cluster AED 3.6–3.8, close to spot — corroborating the DDM's 'fairly valued' verdict, not the DCF's.</w:t>
      </w:r>
    </w:p>
    <w:p/>
    <w:p>
      <w:r>
        <w:rPr>
          <w:b/>
          <w:color w:val="17786B"/>
          <w:sz w:val="23"/>
        </w:rPr>
        <w:t>1.4  Peak / mid-cycle earnings framing</w:t>
      </w:r>
    </w:p>
    <w:p>
      <w:pPr>
        <w:jc w:val="both"/>
      </w:pPr>
      <w:r>
        <w:rPr>
          <w:i w:val="0"/>
          <w:color w:val="1C3A36"/>
          <w:sz w:val="20"/>
        </w:rPr>
        <w:t>For an energy name, 'normalized earnings power' is better expressed as cycle position, because the export leg's margin is a function of where the oil-and-gas price sits. FY2025 earnings were a record ($5.17 bn) achieved despite an average Brent of $69, down 14% year-on-year — a strong signal that the domestic take-or-pay leg is carrying the group and that current earnings are not a cyclical peak. On the export leg we judge the cycle to be mid-to-low: Brent in the high-$60s is below the 2022–23 average, so liquids/condensate realisations have room to recover but are not depressed. The base case therefore assumes no windfall — flat-to-soft export pricing — and leans on domestic volume growth (UAE industrial demand grew with 4.8% GDP in 2025) and the RGD/Ruwais capacity additions for EBITDA growth. Where current earnings sit in the cycle: domestic, structurally growing; export, mid-cycle.</w:t>
      </w:r>
    </w:p>
    <w:p>
      <w:r>
        <w:rPr>
          <w:b/>
          <w:color w:val="17786B"/>
          <w:sz w:val="23"/>
        </w:rPr>
        <w:t>1.5  Synthesis — five lenses</w:t>
      </w:r>
    </w:p>
    <w:p>
      <w:pPr>
        <w:jc w:val="both"/>
      </w:pPr>
      <w:r>
        <w:rPr>
          <w:i w:val="0"/>
          <w:color w:val="1C3A36"/>
          <w:sz w:val="20"/>
        </w:rPr>
        <w:t>We weight the five lenses to the confidence each deserves for this instrument. The DDM carries the most weight (0.35) because it matches what the minority is actually paid and because the market is visibly pricing off it. The DCF is down-weighted (0.20) despite its higher value, precisely because it is terminal-value-dominated and captures cash the minority may not receive. The three relative reads share the balance.</w:t>
      </w:r>
    </w:p>
    <w:tbl>
      <w:tblPr>
        <w:tblStyle w:val="TableGrid"/>
        <w:tblW w:type="auto" w:w="0"/>
        <w:jc w:val="center"/>
        <w:tblLayout w:type="fixed"/>
        <w:tblLook w:firstColumn="1" w:firstRow="1" w:lastColumn="0" w:lastRow="0" w:noHBand="0" w:noVBand="1" w:val="04A0"/>
        <w:tblLayout w:type="fixed"/>
      </w:tblPr>
      <w:tblGrid>
        <w:gridCol w:w="2484"/>
        <w:gridCol w:w="2484"/>
        <w:gridCol w:w="2484"/>
        <w:gridCol w:w="2484"/>
      </w:tblGrid>
      <w:tr>
        <w:tc>
          <w:tcPr>
            <w:tcW w:type="dxa" w:w="4087"/>
            <w:shd w:val="clear" w:fill="0F5E54"/>
          </w:tcPr>
          <w:p>
            <w:pPr>
              <w:jc w:val="left"/>
            </w:pPr>
            <w:r>
              <w:rPr>
                <w:b/>
                <w:color w:val="FFFFFF"/>
                <w:sz w:val="17"/>
              </w:rPr>
              <w:t>Lens</w:t>
            </w:r>
          </w:p>
        </w:tc>
        <w:tc>
          <w:tcPr>
            <w:tcW w:type="dxa" w:w="1886"/>
            <w:shd w:val="clear" w:fill="0F5E54"/>
          </w:tcPr>
          <w:p>
            <w:pPr>
              <w:jc w:val="center"/>
            </w:pPr>
            <w:r>
              <w:rPr>
                <w:b/>
                <w:color w:val="FFFFFF"/>
                <w:sz w:val="17"/>
              </w:rPr>
              <w:t>Base (AED)</w:t>
            </w:r>
          </w:p>
        </w:tc>
        <w:tc>
          <w:tcPr>
            <w:tcW w:type="dxa" w:w="1572"/>
            <w:shd w:val="clear" w:fill="0F5E54"/>
          </w:tcPr>
          <w:p>
            <w:pPr>
              <w:jc w:val="center"/>
            </w:pPr>
            <w:r>
              <w:rPr>
                <w:b/>
                <w:color w:val="FFFFFF"/>
                <w:sz w:val="17"/>
              </w:rPr>
              <w:t>Weight</w:t>
            </w:r>
          </w:p>
        </w:tc>
        <w:tc>
          <w:tcPr>
            <w:tcW w:type="dxa" w:w="1886"/>
            <w:shd w:val="clear" w:fill="0F5E54"/>
          </w:tcPr>
          <w:p>
            <w:pPr>
              <w:jc w:val="center"/>
            </w:pPr>
            <w:r>
              <w:rPr>
                <w:b/>
                <w:color w:val="FFFFFF"/>
                <w:sz w:val="17"/>
              </w:rPr>
              <w:t>Contribution</w:t>
            </w:r>
          </w:p>
        </w:tc>
      </w:tr>
      <w:tr>
        <w:tc>
          <w:tcPr>
            <w:tcW w:type="dxa" w:w="4087"/>
          </w:tcPr>
          <w:p>
            <w:pPr>
              <w:jc w:val="left"/>
            </w:pPr>
            <w:r>
              <w:rPr>
                <w:color w:val="1C3A36"/>
                <w:sz w:val="16"/>
              </w:rPr>
              <w:t>DCF (FCFF)</w:t>
            </w:r>
          </w:p>
        </w:tc>
        <w:tc>
          <w:tcPr>
            <w:tcW w:type="dxa" w:w="1886"/>
          </w:tcPr>
          <w:p>
            <w:pPr>
              <w:jc w:val="right"/>
            </w:pPr>
            <w:r>
              <w:rPr>
                <w:color w:val="1C3A36"/>
                <w:sz w:val="16"/>
              </w:rPr>
              <w:t>4.50</w:t>
            </w:r>
          </w:p>
        </w:tc>
        <w:tc>
          <w:tcPr>
            <w:tcW w:type="dxa" w:w="1572"/>
          </w:tcPr>
          <w:p>
            <w:pPr>
              <w:jc w:val="right"/>
            </w:pPr>
            <w:r>
              <w:rPr>
                <w:color w:val="1C3A36"/>
                <w:sz w:val="16"/>
              </w:rPr>
              <w:t>20%</w:t>
            </w:r>
          </w:p>
        </w:tc>
        <w:tc>
          <w:tcPr>
            <w:tcW w:type="dxa" w:w="1886"/>
          </w:tcPr>
          <w:p>
            <w:pPr>
              <w:jc w:val="right"/>
            </w:pPr>
            <w:r>
              <w:rPr>
                <w:color w:val="1C3A36"/>
                <w:sz w:val="16"/>
              </w:rPr>
              <w:t>0.90</w:t>
            </w:r>
          </w:p>
        </w:tc>
      </w:tr>
      <w:tr>
        <w:tc>
          <w:tcPr>
            <w:tcW w:type="dxa" w:w="4087"/>
            <w:shd w:val="clear" w:fill="EEF4F1"/>
          </w:tcPr>
          <w:p>
            <w:pPr>
              <w:jc w:val="left"/>
            </w:pPr>
            <w:r>
              <w:rPr>
                <w:color w:val="1C3A36"/>
                <w:sz w:val="16"/>
              </w:rPr>
              <w:t>DDM (dividend stream)</w:t>
            </w:r>
          </w:p>
        </w:tc>
        <w:tc>
          <w:tcPr>
            <w:tcW w:type="dxa" w:w="1886"/>
            <w:shd w:val="clear" w:fill="EEF4F1"/>
          </w:tcPr>
          <w:p>
            <w:pPr>
              <w:jc w:val="right"/>
            </w:pPr>
            <w:r>
              <w:rPr>
                <w:color w:val="1C3A36"/>
                <w:sz w:val="16"/>
              </w:rPr>
              <w:t>3.41</w:t>
            </w:r>
          </w:p>
        </w:tc>
        <w:tc>
          <w:tcPr>
            <w:tcW w:type="dxa" w:w="1572"/>
            <w:shd w:val="clear" w:fill="EEF4F1"/>
          </w:tcPr>
          <w:p>
            <w:pPr>
              <w:jc w:val="right"/>
            </w:pPr>
            <w:r>
              <w:rPr>
                <w:color w:val="1C3A36"/>
                <w:sz w:val="16"/>
              </w:rPr>
              <w:t>35%</w:t>
            </w:r>
          </w:p>
        </w:tc>
        <w:tc>
          <w:tcPr>
            <w:tcW w:type="dxa" w:w="1886"/>
            <w:shd w:val="clear" w:fill="EEF4F1"/>
          </w:tcPr>
          <w:p>
            <w:pPr>
              <w:jc w:val="right"/>
            </w:pPr>
            <w:r>
              <w:rPr>
                <w:color w:val="1C3A36"/>
                <w:sz w:val="16"/>
              </w:rPr>
              <w:t>1.19</w:t>
            </w:r>
          </w:p>
        </w:tc>
      </w:tr>
      <w:tr>
        <w:tc>
          <w:tcPr>
            <w:tcW w:type="dxa" w:w="4087"/>
          </w:tcPr>
          <w:p>
            <w:pPr>
              <w:jc w:val="left"/>
            </w:pPr>
            <w:r>
              <w:rPr>
                <w:color w:val="1C3A36"/>
                <w:sz w:val="16"/>
              </w:rPr>
              <w:t>Relative EV/EBITDA</w:t>
            </w:r>
          </w:p>
        </w:tc>
        <w:tc>
          <w:tcPr>
            <w:tcW w:type="dxa" w:w="1886"/>
          </w:tcPr>
          <w:p>
            <w:pPr>
              <w:jc w:val="right"/>
            </w:pPr>
            <w:r>
              <w:rPr>
                <w:color w:val="1C3A36"/>
                <w:sz w:val="16"/>
              </w:rPr>
              <w:t>3.83</w:t>
            </w:r>
          </w:p>
        </w:tc>
        <w:tc>
          <w:tcPr>
            <w:tcW w:type="dxa" w:w="1572"/>
          </w:tcPr>
          <w:p>
            <w:pPr>
              <w:jc w:val="right"/>
            </w:pPr>
            <w:r>
              <w:rPr>
                <w:color w:val="1C3A36"/>
                <w:sz w:val="16"/>
              </w:rPr>
              <w:t>15%</w:t>
            </w:r>
          </w:p>
        </w:tc>
        <w:tc>
          <w:tcPr>
            <w:tcW w:type="dxa" w:w="1886"/>
          </w:tcPr>
          <w:p>
            <w:pPr>
              <w:jc w:val="right"/>
            </w:pPr>
            <w:r>
              <w:rPr>
                <w:color w:val="1C3A36"/>
                <w:sz w:val="16"/>
              </w:rPr>
              <w:t>0.57</w:t>
            </w:r>
          </w:p>
        </w:tc>
      </w:tr>
      <w:tr>
        <w:tc>
          <w:tcPr>
            <w:tcW w:type="dxa" w:w="4087"/>
            <w:shd w:val="clear" w:fill="EEF4F1"/>
          </w:tcPr>
          <w:p>
            <w:pPr>
              <w:jc w:val="left"/>
            </w:pPr>
            <w:r>
              <w:rPr>
                <w:color w:val="1C3A36"/>
                <w:sz w:val="16"/>
              </w:rPr>
              <w:t>Justified P/E</w:t>
            </w:r>
          </w:p>
        </w:tc>
        <w:tc>
          <w:tcPr>
            <w:tcW w:type="dxa" w:w="1886"/>
            <w:shd w:val="clear" w:fill="EEF4F1"/>
          </w:tcPr>
          <w:p>
            <w:pPr>
              <w:jc w:val="right"/>
            </w:pPr>
            <w:r>
              <w:rPr>
                <w:color w:val="1C3A36"/>
                <w:sz w:val="16"/>
              </w:rPr>
              <w:t>3.62</w:t>
            </w:r>
          </w:p>
        </w:tc>
        <w:tc>
          <w:tcPr>
            <w:tcW w:type="dxa" w:w="1572"/>
            <w:shd w:val="clear" w:fill="EEF4F1"/>
          </w:tcPr>
          <w:p>
            <w:pPr>
              <w:jc w:val="right"/>
            </w:pPr>
            <w:r>
              <w:rPr>
                <w:color w:val="1C3A36"/>
                <w:sz w:val="16"/>
              </w:rPr>
              <w:t>15%</w:t>
            </w:r>
          </w:p>
        </w:tc>
        <w:tc>
          <w:tcPr>
            <w:tcW w:type="dxa" w:w="1886"/>
            <w:shd w:val="clear" w:fill="EEF4F1"/>
          </w:tcPr>
          <w:p>
            <w:pPr>
              <w:jc w:val="right"/>
            </w:pPr>
            <w:r>
              <w:rPr>
                <w:color w:val="1C3A36"/>
                <w:sz w:val="16"/>
              </w:rPr>
              <w:t>0.54</w:t>
            </w:r>
          </w:p>
        </w:tc>
      </w:tr>
      <w:tr>
        <w:tc>
          <w:tcPr>
            <w:tcW w:type="dxa" w:w="4087"/>
          </w:tcPr>
          <w:p>
            <w:pPr>
              <w:jc w:val="left"/>
            </w:pPr>
            <w:r>
              <w:rPr>
                <w:color w:val="1C3A36"/>
                <w:sz w:val="16"/>
              </w:rPr>
              <w:t>Dividend yield</w:t>
            </w:r>
          </w:p>
        </w:tc>
        <w:tc>
          <w:tcPr>
            <w:tcW w:type="dxa" w:w="1886"/>
          </w:tcPr>
          <w:p>
            <w:pPr>
              <w:jc w:val="right"/>
            </w:pPr>
            <w:r>
              <w:rPr>
                <w:color w:val="1C3A36"/>
                <w:sz w:val="16"/>
              </w:rPr>
              <w:t>3.83</w:t>
            </w:r>
          </w:p>
        </w:tc>
        <w:tc>
          <w:tcPr>
            <w:tcW w:type="dxa" w:w="1572"/>
          </w:tcPr>
          <w:p>
            <w:pPr>
              <w:jc w:val="right"/>
            </w:pPr>
            <w:r>
              <w:rPr>
                <w:color w:val="1C3A36"/>
                <w:sz w:val="16"/>
              </w:rPr>
              <w:t>15%</w:t>
            </w:r>
          </w:p>
        </w:tc>
        <w:tc>
          <w:tcPr>
            <w:tcW w:type="dxa" w:w="1886"/>
          </w:tcPr>
          <w:p>
            <w:pPr>
              <w:jc w:val="right"/>
            </w:pPr>
            <w:r>
              <w:rPr>
                <w:color w:val="1C3A36"/>
                <w:sz w:val="16"/>
              </w:rPr>
              <w:t>0.57</w:t>
            </w:r>
          </w:p>
        </w:tc>
      </w:tr>
      <w:tr>
        <w:tc>
          <w:tcPr>
            <w:tcW w:type="dxa" w:w="4087"/>
            <w:shd w:val="clear" w:fill="EEF4F1"/>
          </w:tcPr>
          <w:p>
            <w:pPr>
              <w:jc w:val="left"/>
            </w:pPr>
            <w:r>
              <w:rPr>
                <w:color w:val="1C3A36"/>
                <w:sz w:val="16"/>
              </w:rPr>
              <w:t>Weighted fair value</w:t>
            </w:r>
          </w:p>
        </w:tc>
        <w:tc>
          <w:tcPr>
            <w:tcW w:type="dxa" w:w="1886"/>
            <w:shd w:val="clear" w:fill="EEF4F1"/>
          </w:tcPr>
          <w:p>
            <w:pPr>
              <w:jc w:val="right"/>
            </w:pPr>
            <w:r>
              <w:rPr>
                <w:color w:val="1C3A36"/>
                <w:sz w:val="16"/>
              </w:rPr>
            </w:r>
          </w:p>
        </w:tc>
        <w:tc>
          <w:tcPr>
            <w:tcW w:type="dxa" w:w="1572"/>
            <w:shd w:val="clear" w:fill="EEF4F1"/>
          </w:tcPr>
          <w:p>
            <w:pPr>
              <w:jc w:val="right"/>
            </w:pPr>
            <w:r>
              <w:rPr>
                <w:color w:val="1C3A36"/>
                <w:sz w:val="16"/>
              </w:rPr>
            </w:r>
          </w:p>
        </w:tc>
        <w:tc>
          <w:tcPr>
            <w:tcW w:type="dxa" w:w="1886"/>
            <w:shd w:val="clear" w:fill="EEF4F1"/>
          </w:tcPr>
          <w:p>
            <w:pPr>
              <w:jc w:val="right"/>
            </w:pPr>
            <w:r>
              <w:rPr>
                <w:color w:val="1C3A36"/>
                <w:sz w:val="16"/>
              </w:rPr>
              <w:t>3.79</w:t>
            </w:r>
          </w:p>
        </w:tc>
      </w:tr>
    </w:tbl>
    <w:p>
      <w:r>
        <w:rPr>
          <w:i/>
          <w:color w:val="5A5A50"/>
          <w:sz w:val="16"/>
        </w:rPr>
        <w:t>Football field below. The spread — not the point — is the message.</w:t>
      </w:r>
    </w:p>
    <w:p/>
    <w:p>
      <w:pPr>
        <w:jc w:val="center"/>
      </w:pPr>
      <w:r>
        <w:drawing>
          <wp:inline xmlns:a="http://schemas.openxmlformats.org/drawingml/2006/main" xmlns:pic="http://schemas.openxmlformats.org/drawingml/2006/picture">
            <wp:extent cx="5120640" cy="2633472"/>
            <wp:docPr id="1" name="Picture 1"/>
            <wp:cNvGraphicFramePr>
              <a:graphicFrameLocks noChangeAspect="1"/>
            </wp:cNvGraphicFramePr>
            <a:graphic>
              <a:graphicData uri="http://schemas.openxmlformats.org/drawingml/2006/picture">
                <pic:pic>
                  <pic:nvPicPr>
                    <pic:cNvPr id="0" name="football_field.png"/>
                    <pic:cNvPicPr/>
                  </pic:nvPicPr>
                  <pic:blipFill>
                    <a:blip r:embed="rId9"/>
                    <a:stretch>
                      <a:fillRect/>
                    </a:stretch>
                  </pic:blipFill>
                  <pic:spPr>
                    <a:xfrm>
                      <a:off x="0" y="0"/>
                      <a:ext cx="5120640" cy="2633472"/>
                    </a:xfrm>
                    <a:prstGeom prst="rect"/>
                  </pic:spPr>
                </pic:pic>
              </a:graphicData>
            </a:graphic>
          </wp:inline>
        </w:drawing>
      </w:r>
    </w:p>
    <w:p>
      <w:r>
        <w:rPr>
          <w:i/>
          <w:color w:val="5A5A50"/>
          <w:sz w:val="16"/>
        </w:rPr>
        <w:t>Figure 1. Valuation football field. Bars span bear–bull per lens; dots mark the base. Spot (red) sits between the DDM and the multiples; the DCF (gold dashed weighted-fair line at AED 3.79) is the outlier that pulls the mean up.</w:t>
      </w:r>
    </w:p>
    <w:p>
      <w:r>
        <w:rPr>
          <w:b/>
          <w:color w:val="17786B"/>
          <w:sz w:val="23"/>
        </w:rPr>
        <w:t>1.6  The two revenue legs — a deeper look</w:t>
      </w:r>
    </w:p>
    <w:p>
      <w:pPr>
        <w:jc w:val="both"/>
      </w:pPr>
      <w:r>
        <w:rPr>
          <w:i w:val="0"/>
          <w:color w:val="1C3A36"/>
          <w:sz w:val="20"/>
        </w:rPr>
        <w:t>ADNOC Gas does not disclose per-segment volume × price in the granularity a full bottom-up build would require, so — per the data-discipline gate — we forecast top-down on disclosed margins and split the revenue illustratively 60/40. What we can anchor in observable units is the crux driver (below): the export leg is oil-linked, so Brent is the market quote we sensitise on, not an abstract margin.</w:t>
      </w:r>
    </w:p>
    <w:tbl>
      <w:tblPr>
        <w:tblStyle w:val="TableGrid"/>
        <w:tblW w:type="auto" w:w="0"/>
        <w:jc w:val="center"/>
        <w:tblLayout w:type="fixed"/>
        <w:tblLook w:firstColumn="1" w:firstRow="1" w:lastColumn="0" w:lastRow="0" w:noHBand="0" w:noVBand="1" w:val="04A0"/>
        <w:tblLayout w:type="fixed"/>
      </w:tblPr>
      <w:tblGrid>
        <w:gridCol w:w="3312"/>
        <w:gridCol w:w="3312"/>
        <w:gridCol w:w="3312"/>
      </w:tblGrid>
      <w:tr>
        <w:tc>
          <w:tcPr>
            <w:tcW w:type="dxa" w:w="3059"/>
            <w:shd w:val="clear" w:fill="0F5E54"/>
          </w:tcPr>
          <w:p>
            <w:pPr>
              <w:jc w:val="left"/>
            </w:pPr>
            <w:r>
              <w:rPr>
                <w:b/>
                <w:color w:val="FFFFFF"/>
                <w:sz w:val="17"/>
              </w:rPr>
              <w:t>Leg</w:t>
            </w:r>
          </w:p>
        </w:tc>
        <w:tc>
          <w:tcPr>
            <w:tcW w:type="dxa" w:w="3314"/>
            <w:shd w:val="clear" w:fill="0F5E54"/>
          </w:tcPr>
          <w:p>
            <w:pPr>
              <w:jc w:val="center"/>
            </w:pPr>
            <w:r>
              <w:rPr>
                <w:b/>
                <w:color w:val="FFFFFF"/>
                <w:sz w:val="17"/>
              </w:rPr>
              <w:t>Character</w:t>
            </w:r>
          </w:p>
        </w:tc>
        <w:tc>
          <w:tcPr>
            <w:tcW w:type="dxa" w:w="3059"/>
            <w:shd w:val="clear" w:fill="0F5E54"/>
          </w:tcPr>
          <w:p>
            <w:pPr>
              <w:jc w:val="center"/>
            </w:pPr>
            <w:r>
              <w:rPr>
                <w:b/>
                <w:color w:val="FFFFFF"/>
                <w:sz w:val="17"/>
              </w:rPr>
              <w:t>Sensitivity</w:t>
            </w:r>
          </w:p>
        </w:tc>
      </w:tr>
      <w:tr>
        <w:tc>
          <w:tcPr>
            <w:tcW w:type="dxa" w:w="3059"/>
          </w:tcPr>
          <w:p>
            <w:pPr>
              <w:jc w:val="left"/>
            </w:pPr>
            <w:r>
              <w:rPr>
                <w:color w:val="1C3A36"/>
                <w:sz w:val="16"/>
              </w:rPr>
              <w:t>Domestic gas (~60%, take-or-pay)</w:t>
            </w:r>
          </w:p>
        </w:tc>
        <w:tc>
          <w:tcPr>
            <w:tcW w:type="dxa" w:w="3314"/>
          </w:tcPr>
          <w:p>
            <w:pPr>
              <w:jc w:val="right"/>
            </w:pPr>
            <w:r>
              <w:rPr>
                <w:color w:val="1C3A36"/>
                <w:sz w:val="16"/>
              </w:rPr>
              <w:t>Contracted 25-yr SPA; volume-led; resilient</w:t>
            </w:r>
          </w:p>
        </w:tc>
        <w:tc>
          <w:tcPr>
            <w:tcW w:type="dxa" w:w="3059"/>
          </w:tcPr>
          <w:p>
            <w:pPr>
              <w:jc w:val="right"/>
            </w:pPr>
            <w:r>
              <w:rPr>
                <w:color w:val="1C3A36"/>
                <w:sz w:val="16"/>
              </w:rPr>
              <w:t>Low — pricing contractual, volumes grow with UAE industry</w:t>
            </w:r>
          </w:p>
        </w:tc>
      </w:tr>
      <w:tr>
        <w:tc>
          <w:tcPr>
            <w:tcW w:type="dxa" w:w="3059"/>
            <w:shd w:val="clear" w:fill="EEF4F1"/>
          </w:tcPr>
          <w:p>
            <w:pPr>
              <w:jc w:val="left"/>
            </w:pPr>
            <w:r>
              <w:rPr>
                <w:color w:val="1C3A36"/>
                <w:sz w:val="16"/>
              </w:rPr>
              <w:t>Liquids / LNG / condensate (~40%)</w:t>
            </w:r>
          </w:p>
        </w:tc>
        <w:tc>
          <w:tcPr>
            <w:tcW w:type="dxa" w:w="3314"/>
            <w:shd w:val="clear" w:fill="EEF4F1"/>
          </w:tcPr>
          <w:p>
            <w:pPr>
              <w:jc w:val="right"/>
            </w:pPr>
            <w:r>
              <w:rPr>
                <w:color w:val="1C3A36"/>
                <w:sz w:val="16"/>
              </w:rPr>
              <w:t>Oil-linked realisations; export markets</w:t>
            </w:r>
          </w:p>
        </w:tc>
        <w:tc>
          <w:tcPr>
            <w:tcW w:type="dxa" w:w="3059"/>
            <w:shd w:val="clear" w:fill="EEF4F1"/>
          </w:tcPr>
          <w:p>
            <w:pPr>
              <w:jc w:val="right"/>
            </w:pPr>
            <w:r>
              <w:rPr>
                <w:color w:val="1C3A36"/>
                <w:sz w:val="16"/>
              </w:rPr>
              <w:t>High — Brent/gas price; the earnings swing sits here</w:t>
            </w:r>
          </w:p>
        </w:tc>
      </w:tr>
      <w:tr>
        <w:tc>
          <w:tcPr>
            <w:tcW w:type="dxa" w:w="3059"/>
          </w:tcPr>
          <w:p>
            <w:pPr>
              <w:jc w:val="left"/>
            </w:pPr>
            <w:r>
              <w:rPr>
                <w:color w:val="1C3A36"/>
                <w:sz w:val="16"/>
              </w:rPr>
              <w:t>Group EBITDA margin</w:t>
            </w:r>
          </w:p>
        </w:tc>
        <w:tc>
          <w:tcPr>
            <w:tcW w:type="dxa" w:w="3314"/>
          </w:tcPr>
          <w:p>
            <w:pPr>
              <w:jc w:val="right"/>
            </w:pPr>
            <w:r>
              <w:rPr>
                <w:color w:val="1C3A36"/>
                <w:sz w:val="16"/>
              </w:rPr>
              <w:t>36.8% FY25 → ~38.5% by 2030E</w:t>
            </w:r>
          </w:p>
        </w:tc>
        <w:tc>
          <w:tcPr>
            <w:tcW w:type="dxa" w:w="3059"/>
          </w:tcPr>
          <w:p>
            <w:pPr>
              <w:jc w:val="right"/>
            </w:pPr>
            <w:r>
              <w:rPr>
                <w:color w:val="1C3A36"/>
                <w:sz w:val="16"/>
              </w:rPr>
              <w:t>Domestic mix expansion the tailwind</w:t>
            </w:r>
          </w:p>
        </w:tc>
      </w:tr>
    </w:tbl>
    <w:p>
      <w:r>
        <w:rPr>
          <w:i/>
          <w:color w:val="5A5A50"/>
          <w:sz w:val="16"/>
        </w:rPr>
        <w:t>Illustrative split; the domestic leg is the ballast, the export leg the variance.</w:t>
      </w:r>
    </w:p>
    <w:p/>
    <w:tbl>
      <w:tblPr>
        <w:tblStyle w:val="TableGrid"/>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2515"/>
            <w:shd w:val="clear" w:fill="0F5E54"/>
          </w:tcPr>
          <w:p>
            <w:pPr>
              <w:jc w:val="left"/>
            </w:pPr>
            <w:r>
              <w:rPr>
                <w:b/>
                <w:color w:val="FFFFFF"/>
                <w:sz w:val="15"/>
              </w:rPr>
              <w:t>Segment scorecard</w:t>
            </w:r>
          </w:p>
        </w:tc>
        <w:tc>
          <w:tcPr>
            <w:tcW w:type="dxa" w:w="1383"/>
            <w:shd w:val="clear" w:fill="0F5E54"/>
          </w:tcPr>
          <w:p>
            <w:pPr>
              <w:jc w:val="center"/>
            </w:pPr>
            <w:r>
              <w:rPr>
                <w:b/>
                <w:color w:val="FFFFFF"/>
                <w:sz w:val="15"/>
              </w:rPr>
              <w:t>2026E</w:t>
            </w:r>
          </w:p>
        </w:tc>
        <w:tc>
          <w:tcPr>
            <w:tcW w:type="dxa" w:w="1383"/>
            <w:shd w:val="clear" w:fill="0F5E54"/>
          </w:tcPr>
          <w:p>
            <w:pPr>
              <w:jc w:val="center"/>
            </w:pPr>
            <w:r>
              <w:rPr>
                <w:b/>
                <w:color w:val="FFFFFF"/>
                <w:sz w:val="15"/>
              </w:rPr>
              <w:t>2027E</w:t>
            </w:r>
          </w:p>
        </w:tc>
        <w:tc>
          <w:tcPr>
            <w:tcW w:type="dxa" w:w="1383"/>
            <w:shd w:val="clear" w:fill="0F5E54"/>
          </w:tcPr>
          <w:p>
            <w:pPr>
              <w:jc w:val="center"/>
            </w:pPr>
            <w:r>
              <w:rPr>
                <w:b/>
                <w:color w:val="FFFFFF"/>
                <w:sz w:val="15"/>
              </w:rPr>
              <w:t>2028E</w:t>
            </w:r>
          </w:p>
        </w:tc>
        <w:tc>
          <w:tcPr>
            <w:tcW w:type="dxa" w:w="1383"/>
            <w:shd w:val="clear" w:fill="0F5E54"/>
          </w:tcPr>
          <w:p>
            <w:pPr>
              <w:jc w:val="center"/>
            </w:pPr>
            <w:r>
              <w:rPr>
                <w:b/>
                <w:color w:val="FFFFFF"/>
                <w:sz w:val="15"/>
              </w:rPr>
              <w:t>2029E</w:t>
            </w:r>
          </w:p>
        </w:tc>
        <w:tc>
          <w:tcPr>
            <w:tcW w:type="dxa" w:w="1383"/>
            <w:shd w:val="clear" w:fill="0F5E54"/>
          </w:tcPr>
          <w:p>
            <w:pPr>
              <w:jc w:val="center"/>
            </w:pPr>
            <w:r>
              <w:rPr>
                <w:b/>
                <w:color w:val="FFFFFF"/>
                <w:sz w:val="15"/>
              </w:rPr>
              <w:t>2030E</w:t>
            </w:r>
          </w:p>
        </w:tc>
      </w:tr>
      <w:tr>
        <w:tc>
          <w:tcPr>
            <w:tcW w:type="dxa" w:w="2515"/>
          </w:tcPr>
          <w:p>
            <w:pPr>
              <w:jc w:val="left"/>
            </w:pPr>
            <w:r>
              <w:rPr>
                <w:color w:val="1C3A36"/>
                <w:sz w:val="15"/>
              </w:rPr>
              <w:t>Revenue (USD m)</w:t>
            </w:r>
          </w:p>
        </w:tc>
        <w:tc>
          <w:tcPr>
            <w:tcW w:type="dxa" w:w="1383"/>
          </w:tcPr>
          <w:p>
            <w:pPr>
              <w:jc w:val="right"/>
            </w:pPr>
            <w:r>
              <w:rPr>
                <w:color w:val="1C3A36"/>
                <w:sz w:val="15"/>
              </w:rPr>
              <w:t>$23,950</w:t>
            </w:r>
          </w:p>
        </w:tc>
        <w:tc>
          <w:tcPr>
            <w:tcW w:type="dxa" w:w="1383"/>
          </w:tcPr>
          <w:p>
            <w:pPr>
              <w:jc w:val="right"/>
            </w:pPr>
            <w:r>
              <w:rPr>
                <w:color w:val="1C3A36"/>
                <w:sz w:val="15"/>
              </w:rPr>
              <w:t>$25,100</w:t>
            </w:r>
          </w:p>
        </w:tc>
        <w:tc>
          <w:tcPr>
            <w:tcW w:type="dxa" w:w="1383"/>
          </w:tcPr>
          <w:p>
            <w:pPr>
              <w:jc w:val="right"/>
            </w:pPr>
            <w:r>
              <w:rPr>
                <w:color w:val="1C3A36"/>
                <w:sz w:val="15"/>
              </w:rPr>
              <w:t>$26,900</w:t>
            </w:r>
          </w:p>
        </w:tc>
        <w:tc>
          <w:tcPr>
            <w:tcW w:type="dxa" w:w="1383"/>
          </w:tcPr>
          <w:p>
            <w:pPr>
              <w:jc w:val="right"/>
            </w:pPr>
            <w:r>
              <w:rPr>
                <w:color w:val="1C3A36"/>
                <w:sz w:val="15"/>
              </w:rPr>
              <w:t>$28,400</w:t>
            </w:r>
          </w:p>
        </w:tc>
        <w:tc>
          <w:tcPr>
            <w:tcW w:type="dxa" w:w="1383"/>
          </w:tcPr>
          <w:p>
            <w:pPr>
              <w:jc w:val="right"/>
            </w:pPr>
            <w:r>
              <w:rPr>
                <w:color w:val="1C3A36"/>
                <w:sz w:val="15"/>
              </w:rPr>
              <w:t>$29,600</w:t>
            </w:r>
          </w:p>
        </w:tc>
      </w:tr>
      <w:tr>
        <w:tc>
          <w:tcPr>
            <w:tcW w:type="dxa" w:w="2515"/>
            <w:shd w:val="clear" w:fill="EEF4F1"/>
          </w:tcPr>
          <w:p>
            <w:pPr>
              <w:jc w:val="left"/>
            </w:pPr>
            <w:r>
              <w:rPr>
                <w:color w:val="1C3A36"/>
                <w:sz w:val="15"/>
              </w:rPr>
              <w:t>EBITDA (USD m)</w:t>
            </w:r>
          </w:p>
        </w:tc>
        <w:tc>
          <w:tcPr>
            <w:tcW w:type="dxa" w:w="1383"/>
            <w:shd w:val="clear" w:fill="EEF4F1"/>
          </w:tcPr>
          <w:p>
            <w:pPr>
              <w:jc w:val="right"/>
            </w:pPr>
            <w:r>
              <w:rPr>
                <w:color w:val="1C3A36"/>
                <w:sz w:val="15"/>
              </w:rPr>
              <w:t>$8,862</w:t>
            </w:r>
          </w:p>
        </w:tc>
        <w:tc>
          <w:tcPr>
            <w:tcW w:type="dxa" w:w="1383"/>
            <w:shd w:val="clear" w:fill="EEF4F1"/>
          </w:tcPr>
          <w:p>
            <w:pPr>
              <w:jc w:val="right"/>
            </w:pPr>
            <w:r>
              <w:rPr>
                <w:color w:val="1C3A36"/>
                <w:sz w:val="15"/>
              </w:rPr>
              <w:t>$9,412</w:t>
            </w:r>
          </w:p>
        </w:tc>
        <w:tc>
          <w:tcPr>
            <w:tcW w:type="dxa" w:w="1383"/>
            <w:shd w:val="clear" w:fill="EEF4F1"/>
          </w:tcPr>
          <w:p>
            <w:pPr>
              <w:jc w:val="right"/>
            </w:pPr>
            <w:r>
              <w:rPr>
                <w:color w:val="1C3A36"/>
                <w:sz w:val="15"/>
              </w:rPr>
              <w:t>$10,168</w:t>
            </w:r>
          </w:p>
        </w:tc>
        <w:tc>
          <w:tcPr>
            <w:tcW w:type="dxa" w:w="1383"/>
            <w:shd w:val="clear" w:fill="EEF4F1"/>
          </w:tcPr>
          <w:p>
            <w:pPr>
              <w:jc w:val="right"/>
            </w:pPr>
            <w:r>
              <w:rPr>
                <w:color w:val="1C3A36"/>
                <w:sz w:val="15"/>
              </w:rPr>
              <w:t>$10,849</w:t>
            </w:r>
          </w:p>
        </w:tc>
        <w:tc>
          <w:tcPr>
            <w:tcW w:type="dxa" w:w="1383"/>
            <w:shd w:val="clear" w:fill="EEF4F1"/>
          </w:tcPr>
          <w:p>
            <w:pPr>
              <w:jc w:val="right"/>
            </w:pPr>
            <w:r>
              <w:rPr>
                <w:color w:val="1C3A36"/>
                <w:sz w:val="15"/>
              </w:rPr>
              <w:t>$11,396</w:t>
            </w:r>
          </w:p>
        </w:tc>
      </w:tr>
      <w:tr>
        <w:tc>
          <w:tcPr>
            <w:tcW w:type="dxa" w:w="2515"/>
          </w:tcPr>
          <w:p>
            <w:pPr>
              <w:jc w:val="left"/>
            </w:pPr>
            <w:r>
              <w:rPr>
                <w:color w:val="1C3A36"/>
                <w:sz w:val="15"/>
              </w:rPr>
              <w:t>EBITDA margin</w:t>
            </w:r>
          </w:p>
        </w:tc>
        <w:tc>
          <w:tcPr>
            <w:tcW w:type="dxa" w:w="1383"/>
          </w:tcPr>
          <w:p>
            <w:pPr>
              <w:jc w:val="right"/>
            </w:pPr>
            <w:r>
              <w:rPr>
                <w:color w:val="1C3A36"/>
                <w:sz w:val="15"/>
              </w:rPr>
              <w:t>37.0%</w:t>
            </w:r>
          </w:p>
        </w:tc>
        <w:tc>
          <w:tcPr>
            <w:tcW w:type="dxa" w:w="1383"/>
          </w:tcPr>
          <w:p>
            <w:pPr>
              <w:jc w:val="right"/>
            </w:pPr>
            <w:r>
              <w:rPr>
                <w:color w:val="1C3A36"/>
                <w:sz w:val="15"/>
              </w:rPr>
              <w:t>37.5%</w:t>
            </w:r>
          </w:p>
        </w:tc>
        <w:tc>
          <w:tcPr>
            <w:tcW w:type="dxa" w:w="1383"/>
          </w:tcPr>
          <w:p>
            <w:pPr>
              <w:jc w:val="right"/>
            </w:pPr>
            <w:r>
              <w:rPr>
                <w:color w:val="1C3A36"/>
                <w:sz w:val="15"/>
              </w:rPr>
              <w:t>37.8%</w:t>
            </w:r>
          </w:p>
        </w:tc>
        <w:tc>
          <w:tcPr>
            <w:tcW w:type="dxa" w:w="1383"/>
          </w:tcPr>
          <w:p>
            <w:pPr>
              <w:jc w:val="right"/>
            </w:pPr>
            <w:r>
              <w:rPr>
                <w:color w:val="1C3A36"/>
                <w:sz w:val="15"/>
              </w:rPr>
              <w:t>38.2%</w:t>
            </w:r>
          </w:p>
        </w:tc>
        <w:tc>
          <w:tcPr>
            <w:tcW w:type="dxa" w:w="1383"/>
          </w:tcPr>
          <w:p>
            <w:pPr>
              <w:jc w:val="right"/>
            </w:pPr>
            <w:r>
              <w:rPr>
                <w:color w:val="1C3A36"/>
                <w:sz w:val="15"/>
              </w:rPr>
              <w:t>38.5%</w:t>
            </w:r>
          </w:p>
        </w:tc>
      </w:tr>
      <w:tr>
        <w:tc>
          <w:tcPr>
            <w:tcW w:type="dxa" w:w="2515"/>
            <w:shd w:val="clear" w:fill="EEF4F1"/>
          </w:tcPr>
          <w:p>
            <w:pPr>
              <w:jc w:val="left"/>
            </w:pPr>
            <w:r>
              <w:rPr>
                <w:color w:val="1C3A36"/>
                <w:sz w:val="15"/>
              </w:rPr>
              <w:t>Net income (USD m)</w:t>
            </w:r>
          </w:p>
        </w:tc>
        <w:tc>
          <w:tcPr>
            <w:tcW w:type="dxa" w:w="1383"/>
            <w:shd w:val="clear" w:fill="EEF4F1"/>
          </w:tcPr>
          <w:p>
            <w:pPr>
              <w:jc w:val="right"/>
            </w:pPr>
            <w:r>
              <w:rPr>
                <w:color w:val="1C3A36"/>
                <w:sz w:val="15"/>
              </w:rPr>
              <w:t>$5,596</w:t>
            </w:r>
          </w:p>
        </w:tc>
        <w:tc>
          <w:tcPr>
            <w:tcW w:type="dxa" w:w="1383"/>
            <w:shd w:val="clear" w:fill="EEF4F1"/>
          </w:tcPr>
          <w:p>
            <w:pPr>
              <w:jc w:val="right"/>
            </w:pPr>
            <w:r>
              <w:rPr>
                <w:color w:val="1C3A36"/>
                <w:sz w:val="15"/>
              </w:rPr>
              <w:t>$5,890</w:t>
            </w:r>
          </w:p>
        </w:tc>
        <w:tc>
          <w:tcPr>
            <w:tcW w:type="dxa" w:w="1383"/>
            <w:shd w:val="clear" w:fill="EEF4F1"/>
          </w:tcPr>
          <w:p>
            <w:pPr>
              <w:jc w:val="right"/>
            </w:pPr>
            <w:r>
              <w:rPr>
                <w:color w:val="1C3A36"/>
                <w:sz w:val="15"/>
              </w:rPr>
              <w:t>$6,273</w:t>
            </w:r>
          </w:p>
        </w:tc>
        <w:tc>
          <w:tcPr>
            <w:tcW w:type="dxa" w:w="1383"/>
            <w:shd w:val="clear" w:fill="EEF4F1"/>
          </w:tcPr>
          <w:p>
            <w:pPr>
              <w:jc w:val="right"/>
            </w:pPr>
            <w:r>
              <w:rPr>
                <w:color w:val="1C3A36"/>
                <w:sz w:val="15"/>
              </w:rPr>
              <w:t>$6,719</w:t>
            </w:r>
          </w:p>
        </w:tc>
        <w:tc>
          <w:tcPr>
            <w:tcW w:type="dxa" w:w="1383"/>
            <w:shd w:val="clear" w:fill="EEF4F1"/>
          </w:tcPr>
          <w:p>
            <w:pPr>
              <w:jc w:val="right"/>
            </w:pPr>
            <w:r>
              <w:rPr>
                <w:color w:val="1C3A36"/>
                <w:sz w:val="15"/>
              </w:rPr>
              <w:t>$7,053</w:t>
            </w:r>
          </w:p>
        </w:tc>
      </w:tr>
      <w:tr>
        <w:tc>
          <w:tcPr>
            <w:tcW w:type="dxa" w:w="2515"/>
          </w:tcPr>
          <w:p>
            <w:pPr>
              <w:jc w:val="left"/>
            </w:pPr>
            <w:r>
              <w:rPr>
                <w:color w:val="1C3A36"/>
                <w:sz w:val="15"/>
              </w:rPr>
              <w:t>Dividend (USD m)</w:t>
            </w:r>
          </w:p>
        </w:tc>
        <w:tc>
          <w:tcPr>
            <w:tcW w:type="dxa" w:w="1383"/>
          </w:tcPr>
          <w:p>
            <w:pPr>
              <w:jc w:val="right"/>
            </w:pPr>
            <w:r>
              <w:rPr>
                <w:color w:val="1C3A36"/>
                <w:sz w:val="15"/>
              </w:rPr>
              <w:t>$3,763</w:t>
            </w:r>
          </w:p>
        </w:tc>
        <w:tc>
          <w:tcPr>
            <w:tcW w:type="dxa" w:w="1383"/>
          </w:tcPr>
          <w:p>
            <w:pPr>
              <w:jc w:val="right"/>
            </w:pPr>
            <w:r>
              <w:rPr>
                <w:color w:val="1C3A36"/>
                <w:sz w:val="15"/>
              </w:rPr>
              <w:t>$3,951</w:t>
            </w:r>
          </w:p>
        </w:tc>
        <w:tc>
          <w:tcPr>
            <w:tcW w:type="dxa" w:w="1383"/>
          </w:tcPr>
          <w:p>
            <w:pPr>
              <w:jc w:val="right"/>
            </w:pPr>
            <w:r>
              <w:rPr>
                <w:color w:val="1C3A36"/>
                <w:sz w:val="15"/>
              </w:rPr>
              <w:t>$4,149</w:t>
            </w:r>
          </w:p>
        </w:tc>
        <w:tc>
          <w:tcPr>
            <w:tcW w:type="dxa" w:w="1383"/>
          </w:tcPr>
          <w:p>
            <w:pPr>
              <w:jc w:val="right"/>
            </w:pPr>
            <w:r>
              <w:rPr>
                <w:color w:val="1C3A36"/>
                <w:sz w:val="15"/>
              </w:rPr>
              <w:t>$4,356</w:t>
            </w:r>
          </w:p>
        </w:tc>
        <w:tc>
          <w:tcPr>
            <w:tcW w:type="dxa" w:w="1383"/>
          </w:tcPr>
          <w:p>
            <w:pPr>
              <w:jc w:val="right"/>
            </w:pPr>
            <w:r>
              <w:rPr>
                <w:color w:val="1C3A36"/>
                <w:sz w:val="15"/>
              </w:rPr>
              <w:t>$4,574</w:t>
            </w:r>
          </w:p>
        </w:tc>
      </w:tr>
    </w:tbl>
    <w:p>
      <w:r>
        <w:rPr>
          <w:i/>
          <w:color w:val="5A5A50"/>
          <w:sz w:val="16"/>
        </w:rPr>
        <w:t>The forecast the two legs must jointly deliver. Dividend grows at the committed 5%; EBITDA growth is deliberately below management's '+40% by 2029' (we adopt the machinery, not the optimism).</w:t>
      </w:r>
    </w:p>
    <w:p/>
    <w:p>
      <w:r>
        <w:rPr>
          <w:b/>
          <w:color w:val="17786B"/>
          <w:sz w:val="23"/>
        </w:rPr>
        <w:t>1.7  The crux — oil-linkage and the distribution gate</w:t>
      </w:r>
    </w:p>
    <w:p>
      <w:pPr>
        <w:jc w:val="both"/>
      </w:pPr>
      <w:r>
        <w:rPr>
          <w:i w:val="0"/>
          <w:color w:val="1C3A36"/>
          <w:sz w:val="20"/>
        </w:rPr>
        <w:t>Two things swing this valuation, and only one of them is about the business. First, the export leg's oil-linkage. We sensitise it in the observable unit — Brent $/bbl — rather than a margin percentage. A sustained $10/bbl move in Brent flows through the ~40% export leg to roughly ±$0.6–0.9 bn of EBITDA, or about ±AED 0.25–0.35 per share through the DCF; the domestic take-or-pay leg is insulated, which is exactly why the stock's realised volatility is so low. Second, and larger, the distribution gate: the AED 1.1 gap between the DCF (AED 4.50) and the DDM (AED 3.41) is the value of free cash the company generates above its dividend and retains as net cash. Whether that gap ever closes for the minority depends on capital allocation by an ~86% owner — special dividends, buybacks, or value-accretive deployment (Ruwais LNG) versus cash accumulation.</w:t>
      </w:r>
    </w:p>
    <w:p>
      <w:pPr>
        <w:jc w:val="both"/>
      </w:pPr>
      <w:r>
        <w:rPr>
          <w:b/>
          <w:color w:val="1C3A36"/>
          <w:sz w:val="20"/>
        </w:rPr>
        <w:t xml:space="preserve">Binary event:  </w:t>
      </w:r>
      <w:r>
        <w:rPr>
          <w:i w:val="0"/>
          <w:color w:val="1C3A36"/>
          <w:sz w:val="20"/>
        </w:rPr>
        <w:t>A binary-event scenario belongs in the crux for this name because a single class of event can hit it hard: regional security. In June 2025 falling debris from an air-defence interception struck the Habshan complex, killing a contractor; supply was maintained through other facilities, but the episode is a concrete reminder that a Strait-of-Hormuz or facility-strike event is not tail-fiction here. We model this as the dominant left-tail driver in the Monte Carlo (a ~30% one-window probability of a ~−9% security shock), and note that a severe, sustained disruption to a major facility is the scenario that would break the thesis.</w:t>
      </w:r>
    </w:p>
    <w:p>
      <w:r>
        <w:rPr>
          <w:b/>
          <w:color w:val="17786B"/>
          <w:sz w:val="23"/>
        </w:rPr>
        <w:t>1.8  Macro and country — the UAE, the peg, Brent and Middle-East security</w:t>
      </w:r>
    </w:p>
    <w:p>
      <w:pPr>
        <w:jc w:val="both"/>
      </w:pPr>
      <w:r>
        <w:rPr>
          <w:i w:val="0"/>
          <w:color w:val="1C3A36"/>
          <w:sz w:val="20"/>
        </w:rPr>
        <w:t>ADNOC Gas is a US-dollar business in all but listing currency: the dirham's peg at 3.6725 removes translation risk and lets us discount in USD. The macro variables that matter are (i) Brent and global gas/LNG prices, which set the export leg's realisations; (ii) US real rates, which set the discount rate for what is, functionally, a long-duration bond-proxy; (iii) UAE industrial demand, which drives domestic volumes (self-sufficiency policy, RGD, the Estidama pipeline to the Northern Emirates); and (iv) Middle-East security, the dominant risk premium. The sovereign backdrop is strong — a AA-rated sovereign, a parent (ADNOC) with vast reserves, and a government policy of gas self-sufficiency — which is why the dividend can credibly be discounted at a near-credit rate. Energy transition is a long-dated risk to terminal value rather than a near-term one: Gulf gas has decades of domestic power, industry and desalination demand plus an LNG export runway.</w:t>
      </w:r>
    </w:p>
    <w:p>
      <w:r>
        <w:rPr>
          <w:b/>
          <w:color w:val="17786B"/>
          <w:sz w:val="23"/>
        </w:rPr>
        <w:t>1.9  DCF sensitivity — WACC × terminal growth</w:t>
      </w:r>
    </w:p>
    <w:p>
      <w:pPr>
        <w:jc w:val="both"/>
      </w:pPr>
      <w:r>
        <w:rPr>
          <w:i w:val="0"/>
          <w:color w:val="1C3A36"/>
          <w:sz w:val="20"/>
        </w:rPr>
        <w:t>Because 75% of the DCF is terminal value, the honest presentation is the grid, not the point. Fair value per share ranges from ~AED 3.66 (WACC 11.0%, g 1.5%) to ~AED 5.94 (WACC 9.0%, g 3.5%). Our base cell (WACC 10.0%, g 2.5%) sits at AED 4.50. The grid makes the dependency explicit and is why the DCF is weighted at only 0.20 in the synthesis.</w:t>
      </w:r>
    </w:p>
    <w:p>
      <w:pPr>
        <w:jc w:val="center"/>
      </w:pPr>
      <w:r>
        <w:drawing>
          <wp:inline xmlns:a="http://schemas.openxmlformats.org/drawingml/2006/main" xmlns:pic="http://schemas.openxmlformats.org/drawingml/2006/picture">
            <wp:extent cx="4846320" cy="3084022"/>
            <wp:docPr id="2" name="Picture 2"/>
            <wp:cNvGraphicFramePr>
              <a:graphicFrameLocks noChangeAspect="1"/>
            </wp:cNvGraphicFramePr>
            <a:graphic>
              <a:graphicData uri="http://schemas.openxmlformats.org/drawingml/2006/picture">
                <pic:pic>
                  <pic:nvPicPr>
                    <pic:cNvPr id="0" name="sensitivity.png"/>
                    <pic:cNvPicPr/>
                  </pic:nvPicPr>
                  <pic:blipFill>
                    <a:blip r:embed="rId10"/>
                    <a:stretch>
                      <a:fillRect/>
                    </a:stretch>
                  </pic:blipFill>
                  <pic:spPr>
                    <a:xfrm>
                      <a:off x="0" y="0"/>
                      <a:ext cx="4846320" cy="3084022"/>
                    </a:xfrm>
                    <a:prstGeom prst="rect"/>
                  </pic:spPr>
                </pic:pic>
              </a:graphicData>
            </a:graphic>
          </wp:inline>
        </w:drawing>
      </w:r>
    </w:p>
    <w:p>
      <w:r>
        <w:rPr>
          <w:i/>
          <w:color w:val="5A5A50"/>
          <w:sz w:val="16"/>
        </w:rPr>
        <w:t>Figure 2. DCF fair value (AED/share), WACC × terminal g. The spread across a defensible grid is wide — the terminal-value dependency device (A-7) in one picture.</w:t>
      </w:r>
    </w:p>
    <w:p>
      <w:pPr>
        <w:pBdr>
          <w:bottom w:val="single" w:sz="6" w:space="2" w:color="C0A45F"/>
        </w:pBdr>
      </w:pPr>
      <w:r>
        <w:rPr>
          <w:b/>
          <w:color w:val="0F5E54"/>
          <w:sz w:val="28"/>
        </w:rPr>
        <w:t>2  Technical and price structure</w:t>
      </w:r>
    </w:p>
    <w:p>
      <w:pPr>
        <w:jc w:val="both"/>
      </w:pPr>
      <w:r>
        <w:rPr>
          <w:i w:val="0"/>
          <w:color w:val="1C3A36"/>
          <w:sz w:val="20"/>
        </w:rPr>
        <w:t>The tape is quiet and range-bound, consistent with a low-beta income name. The close (AED 3.44) sits almost exactly on its 20-day and 200-day moving averages (AED 3.42 and AED 3.42) and just above the 50-day (AED 3.34) — a flat, coiled structure with no trend to speak of. RSI(14) at 56 is neutral; MACD is marginally positive on the line (0.029) but with the histogram just below zero (-0.004), i.e. momentum flat-to-fading. The 52-week range is narrow (AED 3.14–3.72).</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4379"/>
            <w:shd w:val="clear" w:fill="0F5E54"/>
          </w:tcPr>
          <w:p>
            <w:pPr>
              <w:jc w:val="left"/>
            </w:pPr>
            <w:r>
              <w:rPr>
                <w:b/>
                <w:color w:val="FFFFFF"/>
                <w:sz w:val="17"/>
              </w:rPr>
              <w:t>Indicator</w:t>
            </w:r>
          </w:p>
        </w:tc>
        <w:tc>
          <w:tcPr>
            <w:tcW w:type="dxa" w:w="5053"/>
            <w:shd w:val="clear" w:fill="0F5E54"/>
          </w:tcPr>
          <w:p>
            <w:pPr>
              <w:jc w:val="center"/>
            </w:pPr>
            <w:r>
              <w:rPr>
                <w:b/>
                <w:color w:val="FFFFFF"/>
                <w:sz w:val="17"/>
              </w:rPr>
              <w:t>Reading</w:t>
            </w:r>
          </w:p>
        </w:tc>
      </w:tr>
      <w:tr>
        <w:tc>
          <w:tcPr>
            <w:tcW w:type="dxa" w:w="4379"/>
          </w:tcPr>
          <w:p>
            <w:pPr>
              <w:jc w:val="left"/>
            </w:pPr>
            <w:r>
              <w:rPr>
                <w:color w:val="1C3A36"/>
                <w:sz w:val="16"/>
              </w:rPr>
              <w:t>Close</w:t>
            </w:r>
          </w:p>
        </w:tc>
        <w:tc>
          <w:tcPr>
            <w:tcW w:type="dxa" w:w="5053"/>
          </w:tcPr>
          <w:p>
            <w:pPr>
              <w:jc w:val="right"/>
            </w:pPr>
            <w:r>
              <w:rPr>
                <w:color w:val="1C3A36"/>
                <w:sz w:val="16"/>
              </w:rPr>
              <w:t>3.44</w:t>
            </w:r>
          </w:p>
        </w:tc>
      </w:tr>
      <w:tr>
        <w:tc>
          <w:tcPr>
            <w:tcW w:type="dxa" w:w="4379"/>
            <w:shd w:val="clear" w:fill="EEF4F1"/>
          </w:tcPr>
          <w:p>
            <w:pPr>
              <w:jc w:val="left"/>
            </w:pPr>
            <w:r>
              <w:rPr>
                <w:color w:val="1C3A36"/>
                <w:sz w:val="16"/>
              </w:rPr>
              <w:t>SMA 20 / 50 / 200</w:t>
            </w:r>
          </w:p>
        </w:tc>
        <w:tc>
          <w:tcPr>
            <w:tcW w:type="dxa" w:w="5053"/>
            <w:shd w:val="clear" w:fill="EEF4F1"/>
          </w:tcPr>
          <w:p>
            <w:pPr>
              <w:jc w:val="right"/>
            </w:pPr>
            <w:r>
              <w:rPr>
                <w:color w:val="1C3A36"/>
                <w:sz w:val="16"/>
              </w:rPr>
              <w:t>3.42 / 3.34 / 3.42</w:t>
            </w:r>
          </w:p>
        </w:tc>
      </w:tr>
      <w:tr>
        <w:tc>
          <w:tcPr>
            <w:tcW w:type="dxa" w:w="4379"/>
          </w:tcPr>
          <w:p>
            <w:pPr>
              <w:jc w:val="left"/>
            </w:pPr>
            <w:r>
              <w:rPr>
                <w:color w:val="1C3A36"/>
                <w:sz w:val="16"/>
              </w:rPr>
              <w:t>RSI(14)</w:t>
            </w:r>
          </w:p>
        </w:tc>
        <w:tc>
          <w:tcPr>
            <w:tcW w:type="dxa" w:w="5053"/>
          </w:tcPr>
          <w:p>
            <w:pPr>
              <w:jc w:val="right"/>
            </w:pPr>
            <w:r>
              <w:rPr>
                <w:color w:val="1C3A36"/>
                <w:sz w:val="16"/>
              </w:rPr>
              <w:t>56.5 (neutral)</w:t>
            </w:r>
          </w:p>
        </w:tc>
      </w:tr>
      <w:tr>
        <w:tc>
          <w:tcPr>
            <w:tcW w:type="dxa" w:w="4379"/>
            <w:shd w:val="clear" w:fill="EEF4F1"/>
          </w:tcPr>
          <w:p>
            <w:pPr>
              <w:jc w:val="left"/>
            </w:pPr>
            <w:r>
              <w:rPr>
                <w:color w:val="1C3A36"/>
                <w:sz w:val="16"/>
              </w:rPr>
              <w:t>MACD / signal / hist</w:t>
            </w:r>
          </w:p>
        </w:tc>
        <w:tc>
          <w:tcPr>
            <w:tcW w:type="dxa" w:w="5053"/>
            <w:shd w:val="clear" w:fill="EEF4F1"/>
          </w:tcPr>
          <w:p>
            <w:pPr>
              <w:jc w:val="right"/>
            </w:pPr>
            <w:r>
              <w:rPr>
                <w:color w:val="1C3A36"/>
                <w:sz w:val="16"/>
              </w:rPr>
              <w:t>0.029 / 0.033 / -0.004</w:t>
            </w:r>
          </w:p>
        </w:tc>
      </w:tr>
      <w:tr>
        <w:tc>
          <w:tcPr>
            <w:tcW w:type="dxa" w:w="4379"/>
          </w:tcPr>
          <w:p>
            <w:pPr>
              <w:jc w:val="left"/>
            </w:pPr>
            <w:r>
              <w:rPr>
                <w:color w:val="1C3A36"/>
                <w:sz w:val="16"/>
              </w:rPr>
              <w:t>52-week low / high</w:t>
            </w:r>
          </w:p>
        </w:tc>
        <w:tc>
          <w:tcPr>
            <w:tcW w:type="dxa" w:w="5053"/>
          </w:tcPr>
          <w:p>
            <w:pPr>
              <w:jc w:val="right"/>
            </w:pPr>
            <w:r>
              <w:rPr>
                <w:color w:val="1C3A36"/>
                <w:sz w:val="16"/>
              </w:rPr>
              <w:t>3.14 / 3.72</w:t>
            </w:r>
          </w:p>
        </w:tc>
      </w:tr>
    </w:tbl>
    <w:p>
      <w:r>
        <w:rPr>
          <w:i/>
          <w:color w:val="5A5A50"/>
          <w:sz w:val="16"/>
        </w:rPr>
        <w:t>Prices AED. Computed 3 Jul 2026 from the attached history.</w:t>
      </w:r>
    </w:p>
    <w:p/>
    <w:p>
      <w:pPr>
        <w:jc w:val="center"/>
      </w:pPr>
      <w:r>
        <w:drawing>
          <wp:inline xmlns:a="http://schemas.openxmlformats.org/drawingml/2006/main" xmlns:pic="http://schemas.openxmlformats.org/drawingml/2006/picture">
            <wp:extent cx="5303520" cy="2799080"/>
            <wp:docPr id="3" name="Picture 3"/>
            <wp:cNvGraphicFramePr>
              <a:graphicFrameLocks noChangeAspect="1"/>
            </wp:cNvGraphicFramePr>
            <a:graphic>
              <a:graphicData uri="http://schemas.openxmlformats.org/drawingml/2006/picture">
                <pic:pic>
                  <pic:nvPicPr>
                    <pic:cNvPr id="0" name="ma_stack.png"/>
                    <pic:cNvPicPr/>
                  </pic:nvPicPr>
                  <pic:blipFill>
                    <a:blip r:embed="rId11"/>
                    <a:stretch>
                      <a:fillRect/>
                    </a:stretch>
                  </pic:blipFill>
                  <pic:spPr>
                    <a:xfrm>
                      <a:off x="0" y="0"/>
                      <a:ext cx="5303520" cy="2799080"/>
                    </a:xfrm>
                    <a:prstGeom prst="rect"/>
                  </pic:spPr>
                </pic:pic>
              </a:graphicData>
            </a:graphic>
          </wp:inline>
        </w:drawing>
      </w:r>
    </w:p>
    <w:p>
      <w:r>
        <w:rPr>
          <w:i/>
          <w:color w:val="5A5A50"/>
          <w:sz w:val="16"/>
        </w:rPr>
        <w:t>Figure 3. Price and 20/50/200-day moving-average stack (last ~12 months). A flat, mean-reverting structure.</w:t>
      </w:r>
    </w:p>
    <w:p>
      <w:pPr>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rsi_macd.png"/>
                    <pic:cNvPicPr/>
                  </pic:nvPicPr>
                  <pic:blipFill>
                    <a:blip r:embed="rId12"/>
                    <a:stretch>
                      <a:fillRect/>
                    </a:stretch>
                  </pic:blipFill>
                  <pic:spPr>
                    <a:xfrm>
                      <a:off x="0" y="0"/>
                      <a:ext cx="5303520" cy="3241040"/>
                    </a:xfrm>
                    <a:prstGeom prst="rect"/>
                  </pic:spPr>
                </pic:pic>
              </a:graphicData>
            </a:graphic>
          </wp:inline>
        </w:drawing>
      </w:r>
    </w:p>
    <w:p>
      <w:r>
        <w:rPr>
          <w:i/>
          <w:color w:val="5A5A50"/>
          <w:sz w:val="16"/>
        </w:rPr>
        <w:t>Figure 4. Momentum — RSI(14) and MACD(12,26,9). Neutral RSI; MACD histogram just negative.</w:t>
      </w:r>
    </w:p>
    <w:p>
      <w:pPr>
        <w:jc w:val="both"/>
      </w:pPr>
      <w:r>
        <w:rPr>
          <w:i w:val="0"/>
          <w:color w:val="1C3A36"/>
          <w:sz w:val="20"/>
        </w:rPr>
        <w:t>The technical read adds no directional signal and, importantly, no drift to the Monte Carlo: for an international name a moving-average or momentum trend is exactly the kind of in-sample crutch that breaks at a regime turn, so drift is set to zero and the paths diffuse from spot.</w:t>
      </w:r>
    </w:p>
    <w:p>
      <w:pPr>
        <w:pBdr>
          <w:bottom w:val="single" w:sz="6" w:space="2" w:color="C0A45F"/>
        </w:pBdr>
      </w:pPr>
      <w:r>
        <w:rPr>
          <w:b/>
          <w:color w:val="0F5E54"/>
          <w:sz w:val="28"/>
        </w:rPr>
        <w:t>3  Monte Carlo — a probabilistic price map</w:t>
      </w:r>
    </w:p>
    <w:p>
      <w:pPr>
        <w:jc w:val="both"/>
      </w:pPr>
      <w:r>
        <w:rPr>
          <w:i w:val="0"/>
          <w:color w:val="1C3A36"/>
          <w:sz w:val="20"/>
        </w:rPr>
        <w:t>Volatility width is sized by the YZ-HAR engine — a pooled log-HAR cascade (variance lags 1/5/22) on a gap-aware Yang-Zhang variance proxy (overnight-return² + Rogers-Satchell), projecting the average daily variance over the next 60 sessions — not trailing close-to-close vol. Innovations are unit-variance Student-t(5), implemented as a per-path chi-square mixture so the 60-day aggregate keeps honest tails without a fat body. Drift is asset-class-conditional and here set OFF (international name). Sixteen factors — seven continuous, nine discrete — layer on top; the §1 value gap is deliberately kept out of the drift, so the fundamental and probabilistic lenses stay independent. 50,000 paths, seed 42.</w:t>
      </w:r>
    </w:p>
    <w:p>
      <w:pPr>
        <w:jc w:val="both"/>
      </w:pPr>
      <w:r>
        <w:rPr>
          <w:b/>
          <w:color w:val="1C3A36"/>
          <w:sz w:val="20"/>
        </w:rPr>
        <w:t xml:space="preserve">Read the 50% band first.  </w:t>
      </w:r>
      <w:r>
        <w:rPr>
          <w:i w:val="0"/>
          <w:color w:val="1C3A36"/>
          <w:sz w:val="20"/>
        </w:rPr>
        <w:t>The engine's annualised width is 17.3% and the net 3-month factor contribution is a near-flat 1.7% — the paths diffuse from spot with a mild positive tilt (structural gas demand, dividend support) and a fat left tail (regional security). Lead with the interquartile band: at T+60 the middle 50% of outcomes spans roughly AED 3.22–3.75; the 5–95% cone spans AED 2.83–4.21.</w:t>
      </w:r>
    </w:p>
    <w:tbl>
      <w:tblPr>
        <w:tblStyle w:val="TableGrid"/>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2882"/>
            <w:shd w:val="clear" w:fill="0F5E54"/>
          </w:tcPr>
          <w:p>
            <w:pPr>
              <w:jc w:val="left"/>
            </w:pPr>
            <w:r>
              <w:rPr>
                <w:b/>
                <w:color w:val="FFFFFF"/>
                <w:sz w:val="15"/>
              </w:rPr>
              <w:t>Horizon (AED)</w:t>
            </w:r>
          </w:p>
        </w:tc>
        <w:tc>
          <w:tcPr>
            <w:tcW w:type="dxa" w:w="1310"/>
            <w:shd w:val="clear" w:fill="0F5E54"/>
          </w:tcPr>
          <w:p>
            <w:pPr>
              <w:jc w:val="center"/>
            </w:pPr>
            <w:r>
              <w:rPr>
                <w:b/>
                <w:color w:val="FFFFFF"/>
                <w:sz w:val="15"/>
              </w:rPr>
              <w:t>p5</w:t>
            </w:r>
          </w:p>
        </w:tc>
        <w:tc>
          <w:tcPr>
            <w:tcW w:type="dxa" w:w="1310"/>
            <w:shd w:val="clear" w:fill="0F5E54"/>
          </w:tcPr>
          <w:p>
            <w:pPr>
              <w:jc w:val="center"/>
            </w:pPr>
            <w:r>
              <w:rPr>
                <w:b/>
                <w:color w:val="FFFFFF"/>
                <w:sz w:val="15"/>
              </w:rPr>
              <w:t>p25</w:t>
            </w:r>
          </w:p>
        </w:tc>
        <w:tc>
          <w:tcPr>
            <w:tcW w:type="dxa" w:w="1310"/>
            <w:shd w:val="clear" w:fill="0F5E54"/>
          </w:tcPr>
          <w:p>
            <w:pPr>
              <w:jc w:val="center"/>
            </w:pPr>
            <w:r>
              <w:rPr>
                <w:b/>
                <w:color w:val="FFFFFF"/>
                <w:sz w:val="15"/>
              </w:rPr>
              <w:t>p50</w:t>
            </w:r>
          </w:p>
        </w:tc>
        <w:tc>
          <w:tcPr>
            <w:tcW w:type="dxa" w:w="1310"/>
            <w:shd w:val="clear" w:fill="0F5E54"/>
          </w:tcPr>
          <w:p>
            <w:pPr>
              <w:jc w:val="center"/>
            </w:pPr>
            <w:r>
              <w:rPr>
                <w:b/>
                <w:color w:val="FFFFFF"/>
                <w:sz w:val="15"/>
              </w:rPr>
              <w:t>p75</w:t>
            </w:r>
          </w:p>
        </w:tc>
        <w:tc>
          <w:tcPr>
            <w:tcW w:type="dxa" w:w="1310"/>
            <w:shd w:val="clear" w:fill="0F5E54"/>
          </w:tcPr>
          <w:p>
            <w:pPr>
              <w:jc w:val="center"/>
            </w:pPr>
            <w:r>
              <w:rPr>
                <w:b/>
                <w:color w:val="FFFFFF"/>
                <w:sz w:val="15"/>
              </w:rPr>
              <w:t>p95</w:t>
            </w:r>
          </w:p>
        </w:tc>
      </w:tr>
      <w:tr>
        <w:tc>
          <w:tcPr>
            <w:tcW w:type="dxa" w:w="2882"/>
          </w:tcPr>
          <w:p>
            <w:pPr>
              <w:jc w:val="left"/>
            </w:pPr>
            <w:r>
              <w:rPr>
                <w:color w:val="1C3A36"/>
                <w:sz w:val="15"/>
              </w:rPr>
              <w:t>T+20 sessions</w:t>
            </w:r>
          </w:p>
        </w:tc>
        <w:tc>
          <w:tcPr>
            <w:tcW w:type="dxa" w:w="1310"/>
          </w:tcPr>
          <w:p>
            <w:pPr>
              <w:jc w:val="right"/>
            </w:pPr>
            <w:r>
              <w:rPr>
                <w:color w:val="1C3A36"/>
                <w:sz w:val="15"/>
              </w:rPr>
              <w:t>3.05</w:t>
            </w:r>
          </w:p>
        </w:tc>
        <w:tc>
          <w:tcPr>
            <w:tcW w:type="dxa" w:w="1310"/>
          </w:tcPr>
          <w:p>
            <w:pPr>
              <w:jc w:val="right"/>
            </w:pPr>
            <w:r>
              <w:rPr>
                <w:color w:val="1C3A36"/>
                <w:sz w:val="15"/>
              </w:rPr>
              <w:t>3.32</w:t>
            </w:r>
          </w:p>
        </w:tc>
        <w:tc>
          <w:tcPr>
            <w:tcW w:type="dxa" w:w="1310"/>
          </w:tcPr>
          <w:p>
            <w:pPr>
              <w:jc w:val="right"/>
            </w:pPr>
            <w:r>
              <w:rPr>
                <w:color w:val="1C3A36"/>
                <w:sz w:val="15"/>
              </w:rPr>
              <w:t>3.45</w:t>
            </w:r>
          </w:p>
        </w:tc>
        <w:tc>
          <w:tcPr>
            <w:tcW w:type="dxa" w:w="1310"/>
          </w:tcPr>
          <w:p>
            <w:pPr>
              <w:jc w:val="right"/>
            </w:pPr>
            <w:r>
              <w:rPr>
                <w:color w:val="1C3A36"/>
                <w:sz w:val="15"/>
              </w:rPr>
              <w:t>3.59</w:t>
            </w:r>
          </w:p>
        </w:tc>
        <w:tc>
          <w:tcPr>
            <w:tcW w:type="dxa" w:w="1310"/>
          </w:tcPr>
          <w:p>
            <w:pPr>
              <w:jc w:val="right"/>
            </w:pPr>
            <w:r>
              <w:rPr>
                <w:color w:val="1C3A36"/>
                <w:sz w:val="15"/>
              </w:rPr>
              <w:t>3.86</w:t>
            </w:r>
          </w:p>
        </w:tc>
      </w:tr>
      <w:tr>
        <w:tc>
          <w:tcPr>
            <w:tcW w:type="dxa" w:w="2882"/>
            <w:shd w:val="clear" w:fill="EEF4F1"/>
          </w:tcPr>
          <w:p>
            <w:pPr>
              <w:jc w:val="left"/>
            </w:pPr>
            <w:r>
              <w:rPr>
                <w:color w:val="1C3A36"/>
                <w:sz w:val="15"/>
              </w:rPr>
              <w:t>T+60 sessions</w:t>
            </w:r>
          </w:p>
        </w:tc>
        <w:tc>
          <w:tcPr>
            <w:tcW w:type="dxa" w:w="1310"/>
            <w:shd w:val="clear" w:fill="EEF4F1"/>
          </w:tcPr>
          <w:p>
            <w:pPr>
              <w:jc w:val="right"/>
            </w:pPr>
            <w:r>
              <w:rPr>
                <w:color w:val="1C3A36"/>
                <w:sz w:val="15"/>
              </w:rPr>
              <w:t>2.83</w:t>
            </w:r>
          </w:p>
        </w:tc>
        <w:tc>
          <w:tcPr>
            <w:tcW w:type="dxa" w:w="1310"/>
            <w:shd w:val="clear" w:fill="EEF4F1"/>
          </w:tcPr>
          <w:p>
            <w:pPr>
              <w:jc w:val="right"/>
            </w:pPr>
            <w:r>
              <w:rPr>
                <w:color w:val="1C3A36"/>
                <w:sz w:val="15"/>
              </w:rPr>
              <w:t>3.22</w:t>
            </w:r>
          </w:p>
        </w:tc>
        <w:tc>
          <w:tcPr>
            <w:tcW w:type="dxa" w:w="1310"/>
            <w:shd w:val="clear" w:fill="EEF4F1"/>
          </w:tcPr>
          <w:p>
            <w:pPr>
              <w:jc w:val="right"/>
            </w:pPr>
            <w:r>
              <w:rPr>
                <w:color w:val="1C3A36"/>
                <w:sz w:val="15"/>
              </w:rPr>
              <w:t>3.48</w:t>
            </w:r>
          </w:p>
        </w:tc>
        <w:tc>
          <w:tcPr>
            <w:tcW w:type="dxa" w:w="1310"/>
            <w:shd w:val="clear" w:fill="EEF4F1"/>
          </w:tcPr>
          <w:p>
            <w:pPr>
              <w:jc w:val="right"/>
            </w:pPr>
            <w:r>
              <w:rPr>
                <w:color w:val="1C3A36"/>
                <w:sz w:val="15"/>
              </w:rPr>
              <w:t>3.75</w:t>
            </w:r>
          </w:p>
        </w:tc>
        <w:tc>
          <w:tcPr>
            <w:tcW w:type="dxa" w:w="1310"/>
            <w:shd w:val="clear" w:fill="EEF4F1"/>
          </w:tcPr>
          <w:p>
            <w:pPr>
              <w:jc w:val="right"/>
            </w:pPr>
            <w:r>
              <w:rPr>
                <w:color w:val="1C3A36"/>
                <w:sz w:val="15"/>
              </w:rPr>
              <w:t>4.21</w:t>
            </w:r>
          </w:p>
        </w:tc>
      </w:tr>
    </w:tbl>
    <w:p>
      <w:r>
        <w:rPr>
          <w:i/>
          <w:color w:val="5A5A50"/>
          <w:sz w:val="16"/>
        </w:rPr>
        <w:t>Percentile map. At T+20 the band width is ≈ the T+60 width ÷ √3.</w:t>
      </w:r>
    </w:p>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fan_chart.png"/>
                    <pic:cNvPicPr/>
                  </pic:nvPicPr>
                  <pic:blipFill>
                    <a:blip r:embed="rId13"/>
                    <a:stretch>
                      <a:fillRect/>
                    </a:stretch>
                  </pic:blipFill>
                  <pic:spPr>
                    <a:xfrm>
                      <a:off x="0" y="0"/>
                      <a:ext cx="5303520" cy="3030583"/>
                    </a:xfrm>
                    <a:prstGeom prst="rect"/>
                  </pic:spPr>
                </pic:pic>
              </a:graphicData>
            </a:graphic>
          </wp:inline>
        </w:drawing>
      </w:r>
    </w:p>
    <w:p>
      <w:r>
        <w:rPr>
          <w:i/>
          <w:color w:val="5A5A50"/>
          <w:sz w:val="16"/>
        </w:rPr>
        <w:t>Figure 5. 60-session forward cone (50k paths, drift OFF). Median (dark) barely rises from spot; the fan widens symmetrically with a slightly heavier downside.</w:t>
      </w:r>
    </w:p>
    <w:p>
      <w:pPr>
        <w:jc w:val="center"/>
      </w:pPr>
      <w:r>
        <w:drawing>
          <wp:inline xmlns:a="http://schemas.openxmlformats.org/drawingml/2006/main" xmlns:pic="http://schemas.openxmlformats.org/drawingml/2006/picture">
            <wp:extent cx="4206240" cy="2497455"/>
            <wp:docPr id="6" name="Picture 6"/>
            <wp:cNvGraphicFramePr>
              <a:graphicFrameLocks noChangeAspect="1"/>
            </wp:cNvGraphicFramePr>
            <a:graphic>
              <a:graphicData uri="http://schemas.openxmlformats.org/drawingml/2006/picture">
                <pic:pic>
                  <pic:nvPicPr>
                    <pic:cNvPr id="0" name="dist_t60.png"/>
                    <pic:cNvPicPr/>
                  </pic:nvPicPr>
                  <pic:blipFill>
                    <a:blip r:embed="rId14"/>
                    <a:stretch>
                      <a:fillRect/>
                    </a:stretch>
                  </pic:blipFill>
                  <pic:spPr>
                    <a:xfrm>
                      <a:off x="0" y="0"/>
                      <a:ext cx="4206240" cy="2497455"/>
                    </a:xfrm>
                    <a:prstGeom prst="rect"/>
                  </pic:spPr>
                </pic:pic>
              </a:graphicData>
            </a:graphic>
          </wp:inline>
        </w:drawing>
      </w:r>
    </w:p>
    <w:p>
      <w:r>
        <w:rPr>
          <w:i/>
          <w:color w:val="5A5A50"/>
          <w:sz w:val="16"/>
        </w:rPr>
        <w:t>Figure 6. Terminal price distribution at T+60. Student-t(5) tails; median near spot.</w:t>
      </w:r>
    </w:p>
    <w:p>
      <w:pPr>
        <w:jc w:val="center"/>
      </w:pPr>
      <w:r>
        <w:drawing>
          <wp:inline xmlns:a="http://schemas.openxmlformats.org/drawingml/2006/main" xmlns:pic="http://schemas.openxmlformats.org/drawingml/2006/picture">
            <wp:extent cx="4206240" cy="2497455"/>
            <wp:docPr id="7" name="Picture 7"/>
            <wp:cNvGraphicFramePr>
              <a:graphicFrameLocks noChangeAspect="1"/>
            </wp:cNvGraphicFramePr>
            <a:graphic>
              <a:graphicData uri="http://schemas.openxmlformats.org/drawingml/2006/picture">
                <pic:pic>
                  <pic:nvPicPr>
                    <pic:cNvPr id="0" name="dist_t20.png"/>
                    <pic:cNvPicPr/>
                  </pic:nvPicPr>
                  <pic:blipFill>
                    <a:blip r:embed="rId15"/>
                    <a:stretch>
                      <a:fillRect/>
                    </a:stretch>
                  </pic:blipFill>
                  <pic:spPr>
                    <a:xfrm>
                      <a:off x="0" y="0"/>
                      <a:ext cx="4206240" cy="2497455"/>
                    </a:xfrm>
                    <a:prstGeom prst="rect"/>
                  </pic:spPr>
                </pic:pic>
              </a:graphicData>
            </a:graphic>
          </wp:inline>
        </w:drawing>
      </w:r>
    </w:p>
    <w:p>
      <w:r>
        <w:rPr>
          <w:i/>
          <w:color w:val="5A5A50"/>
          <w:sz w:val="16"/>
        </w:rPr>
        <w:t>Figure 7. Terminal price distribution at T+20 — a tighter version of the same shape.</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6151"/>
            <w:shd w:val="clear" w:fill="0F5E54"/>
          </w:tcPr>
          <w:p>
            <w:pPr>
              <w:jc w:val="left"/>
            </w:pPr>
            <w:r>
              <w:rPr>
                <w:b/>
                <w:color w:val="FFFFFF"/>
                <w:sz w:val="17"/>
              </w:rPr>
              <w:t>T+60 zone (vs spot)</w:t>
            </w:r>
          </w:p>
        </w:tc>
        <w:tc>
          <w:tcPr>
            <w:tcW w:type="dxa" w:w="3281"/>
            <w:shd w:val="clear" w:fill="0F5E54"/>
          </w:tcPr>
          <w:p>
            <w:pPr>
              <w:jc w:val="center"/>
            </w:pPr>
            <w:r>
              <w:rPr>
                <w:b/>
                <w:color w:val="FFFFFF"/>
                <w:sz w:val="17"/>
              </w:rPr>
              <w:t>Probability</w:t>
            </w:r>
          </w:p>
        </w:tc>
      </w:tr>
      <w:tr>
        <w:tc>
          <w:tcPr>
            <w:tcW w:type="dxa" w:w="6151"/>
          </w:tcPr>
          <w:p>
            <w:pPr>
              <w:jc w:val="left"/>
            </w:pPr>
            <w:r>
              <w:rPr>
                <w:color w:val="1C3A36"/>
                <w:sz w:val="16"/>
              </w:rPr>
              <w:t>&lt; -10%</w:t>
            </w:r>
          </w:p>
        </w:tc>
        <w:tc>
          <w:tcPr>
            <w:tcW w:type="dxa" w:w="3281"/>
          </w:tcPr>
          <w:p>
            <w:pPr>
              <w:jc w:val="right"/>
            </w:pPr>
            <w:r>
              <w:rPr>
                <w:color w:val="1C3A36"/>
                <w:sz w:val="16"/>
              </w:rPr>
              <w:t>16.0%</w:t>
            </w:r>
          </w:p>
        </w:tc>
      </w:tr>
      <w:tr>
        <w:tc>
          <w:tcPr>
            <w:tcW w:type="dxa" w:w="6151"/>
            <w:shd w:val="clear" w:fill="EEF4F1"/>
          </w:tcPr>
          <w:p>
            <w:pPr>
              <w:jc w:val="left"/>
            </w:pPr>
            <w:r>
              <w:rPr>
                <w:color w:val="1C3A36"/>
                <w:sz w:val="16"/>
              </w:rPr>
              <w:t>-10..-5%</w:t>
            </w:r>
          </w:p>
        </w:tc>
        <w:tc>
          <w:tcPr>
            <w:tcW w:type="dxa" w:w="3281"/>
            <w:shd w:val="clear" w:fill="EEF4F1"/>
          </w:tcPr>
          <w:p>
            <w:pPr>
              <w:jc w:val="right"/>
            </w:pPr>
            <w:r>
              <w:rPr>
                <w:color w:val="1C3A36"/>
                <w:sz w:val="16"/>
              </w:rPr>
              <w:t>12.8%</w:t>
            </w:r>
          </w:p>
        </w:tc>
      </w:tr>
      <w:tr>
        <w:tc>
          <w:tcPr>
            <w:tcW w:type="dxa" w:w="6151"/>
          </w:tcPr>
          <w:p>
            <w:pPr>
              <w:jc w:val="left"/>
            </w:pPr>
            <w:r>
              <w:rPr>
                <w:color w:val="1C3A36"/>
                <w:sz w:val="16"/>
              </w:rPr>
              <w:t>-5..+5%</w:t>
            </w:r>
          </w:p>
        </w:tc>
        <w:tc>
          <w:tcPr>
            <w:tcW w:type="dxa" w:w="3281"/>
          </w:tcPr>
          <w:p>
            <w:pPr>
              <w:jc w:val="right"/>
            </w:pPr>
            <w:r>
              <w:rPr>
                <w:color w:val="1C3A36"/>
                <w:sz w:val="16"/>
              </w:rPr>
              <w:t>34.8%</w:t>
            </w:r>
          </w:p>
        </w:tc>
      </w:tr>
      <w:tr>
        <w:tc>
          <w:tcPr>
            <w:tcW w:type="dxa" w:w="6151"/>
            <w:shd w:val="clear" w:fill="EEF4F1"/>
          </w:tcPr>
          <w:p>
            <w:pPr>
              <w:jc w:val="left"/>
            </w:pPr>
            <w:r>
              <w:rPr>
                <w:color w:val="1C3A36"/>
                <w:sz w:val="16"/>
              </w:rPr>
              <w:t>+5..+10%</w:t>
            </w:r>
          </w:p>
        </w:tc>
        <w:tc>
          <w:tcPr>
            <w:tcW w:type="dxa" w:w="3281"/>
            <w:shd w:val="clear" w:fill="EEF4F1"/>
          </w:tcPr>
          <w:p>
            <w:pPr>
              <w:jc w:val="right"/>
            </w:pPr>
            <w:r>
              <w:rPr>
                <w:color w:val="1C3A36"/>
                <w:sz w:val="16"/>
              </w:rPr>
              <w:t>14.1%</w:t>
            </w:r>
          </w:p>
        </w:tc>
      </w:tr>
      <w:tr>
        <w:tc>
          <w:tcPr>
            <w:tcW w:type="dxa" w:w="6151"/>
          </w:tcPr>
          <w:p>
            <w:pPr>
              <w:jc w:val="left"/>
            </w:pPr>
            <w:r>
              <w:rPr>
                <w:color w:val="1C3A36"/>
                <w:sz w:val="16"/>
              </w:rPr>
              <w:t>&gt;+10%</w:t>
            </w:r>
          </w:p>
        </w:tc>
        <w:tc>
          <w:tcPr>
            <w:tcW w:type="dxa" w:w="3281"/>
          </w:tcPr>
          <w:p>
            <w:pPr>
              <w:jc w:val="right"/>
            </w:pPr>
            <w:r>
              <w:rPr>
                <w:color w:val="1C3A36"/>
                <w:sz w:val="16"/>
              </w:rPr>
              <w:t>22.2%</w:t>
            </w:r>
          </w:p>
        </w:tc>
      </w:tr>
    </w:tbl>
    <w:p>
      <w:r>
        <w:rPr>
          <w:i/>
          <w:color w:val="5A5A50"/>
          <w:sz w:val="16"/>
        </w:rPr>
        <w:t>The modal outcome is 'within ±5% of spot' — a low-volatility, range-bound instrument.</w:t>
      </w:r>
    </w:p>
    <w:p/>
    <w:tbl>
      <w:tblPr>
        <w:tblStyle w:val="TableGrid"/>
        <w:tblW w:type="auto" w:w="0"/>
        <w:jc w:val="center"/>
        <w:tblLayout w:type="fixed"/>
        <w:tblLook w:firstColumn="1" w:firstRow="1" w:lastColumn="0" w:lastRow="0" w:noHBand="0" w:noVBand="1" w:val="04A0"/>
        <w:tblLayout w:type="fixed"/>
      </w:tblPr>
      <w:tblGrid>
        <w:gridCol w:w="3312"/>
        <w:gridCol w:w="3312"/>
        <w:gridCol w:w="3312"/>
      </w:tblGrid>
      <w:tr>
        <w:tc>
          <w:tcPr>
            <w:tcW w:type="dxa" w:w="2927"/>
            <w:shd w:val="clear" w:fill="0F5E54"/>
          </w:tcPr>
          <w:p>
            <w:pPr>
              <w:jc w:val="left"/>
            </w:pPr>
            <w:r>
              <w:rPr>
                <w:b/>
                <w:color w:val="FFFFFF"/>
                <w:sz w:val="17"/>
              </w:rPr>
              <w:t>Level (AED)</w:t>
            </w:r>
          </w:p>
        </w:tc>
        <w:tc>
          <w:tcPr>
            <w:tcW w:type="dxa" w:w="3252"/>
            <w:shd w:val="clear" w:fill="0F5E54"/>
          </w:tcPr>
          <w:p>
            <w:pPr>
              <w:jc w:val="center"/>
            </w:pPr>
            <w:r>
              <w:rPr>
                <w:b/>
                <w:color w:val="FFFFFF"/>
                <w:sz w:val="17"/>
              </w:rPr>
              <w:t>Touch by T+20</w:t>
            </w:r>
          </w:p>
        </w:tc>
        <w:tc>
          <w:tcPr>
            <w:tcW w:type="dxa" w:w="3252"/>
            <w:shd w:val="clear" w:fill="0F5E54"/>
          </w:tcPr>
          <w:p>
            <w:pPr>
              <w:jc w:val="center"/>
            </w:pPr>
            <w:r>
              <w:rPr>
                <w:b/>
                <w:color w:val="FFFFFF"/>
                <w:sz w:val="17"/>
              </w:rPr>
              <w:t>Touch by T+60</w:t>
            </w:r>
          </w:p>
        </w:tc>
      </w:tr>
      <w:tr>
        <w:tc>
          <w:tcPr>
            <w:tcW w:type="dxa" w:w="2927"/>
          </w:tcPr>
          <w:p>
            <w:pPr>
              <w:jc w:val="left"/>
            </w:pPr>
            <w:r>
              <w:rPr>
                <w:color w:val="1C3A36"/>
                <w:sz w:val="16"/>
              </w:rPr>
              <w:t>3.90</w:t>
            </w:r>
          </w:p>
        </w:tc>
        <w:tc>
          <w:tcPr>
            <w:tcW w:type="dxa" w:w="3252"/>
          </w:tcPr>
          <w:p>
            <w:pPr>
              <w:jc w:val="right"/>
            </w:pPr>
            <w:r>
              <w:rPr>
                <w:color w:val="1C3A36"/>
                <w:sz w:val="16"/>
              </w:rPr>
              <w:t>5.5%</w:t>
            </w:r>
          </w:p>
        </w:tc>
        <w:tc>
          <w:tcPr>
            <w:tcW w:type="dxa" w:w="3252"/>
          </w:tcPr>
          <w:p>
            <w:pPr>
              <w:jc w:val="right"/>
            </w:pPr>
            <w:r>
              <w:rPr>
                <w:color w:val="1C3A36"/>
                <w:sz w:val="16"/>
              </w:rPr>
              <w:t>24.7%</w:t>
            </w:r>
          </w:p>
        </w:tc>
      </w:tr>
      <w:tr>
        <w:tc>
          <w:tcPr>
            <w:tcW w:type="dxa" w:w="2927"/>
            <w:shd w:val="clear" w:fill="EEF4F1"/>
          </w:tcPr>
          <w:p>
            <w:pPr>
              <w:jc w:val="left"/>
            </w:pPr>
            <w:r>
              <w:rPr>
                <w:color w:val="1C3A36"/>
                <w:sz w:val="16"/>
              </w:rPr>
              <w:t>3.75</w:t>
            </w:r>
          </w:p>
        </w:tc>
        <w:tc>
          <w:tcPr>
            <w:tcW w:type="dxa" w:w="3252"/>
            <w:shd w:val="clear" w:fill="EEF4F1"/>
          </w:tcPr>
          <w:p>
            <w:pPr>
              <w:jc w:val="right"/>
            </w:pPr>
            <w:r>
              <w:rPr>
                <w:color w:val="1C3A36"/>
                <w:sz w:val="16"/>
              </w:rPr>
              <w:t>14.4%</w:t>
            </w:r>
          </w:p>
        </w:tc>
        <w:tc>
          <w:tcPr>
            <w:tcW w:type="dxa" w:w="3252"/>
            <w:shd w:val="clear" w:fill="EEF4F1"/>
          </w:tcPr>
          <w:p>
            <w:pPr>
              <w:jc w:val="right"/>
            </w:pPr>
            <w:r>
              <w:rPr>
                <w:color w:val="1C3A36"/>
                <w:sz w:val="16"/>
              </w:rPr>
              <w:t>40.4%</w:t>
            </w:r>
          </w:p>
        </w:tc>
      </w:tr>
      <w:tr>
        <w:tc>
          <w:tcPr>
            <w:tcW w:type="dxa" w:w="2927"/>
          </w:tcPr>
          <w:p>
            <w:pPr>
              <w:jc w:val="left"/>
            </w:pPr>
            <w:r>
              <w:rPr>
                <w:color w:val="1C3A36"/>
                <w:sz w:val="16"/>
              </w:rPr>
              <w:t>3.65</w:t>
            </w:r>
          </w:p>
        </w:tc>
        <w:tc>
          <w:tcPr>
            <w:tcW w:type="dxa" w:w="3252"/>
          </w:tcPr>
          <w:p>
            <w:pPr>
              <w:jc w:val="right"/>
            </w:pPr>
            <w:r>
              <w:rPr>
                <w:color w:val="1C3A36"/>
                <w:sz w:val="16"/>
              </w:rPr>
              <w:t>27.1%</w:t>
            </w:r>
          </w:p>
        </w:tc>
        <w:tc>
          <w:tcPr>
            <w:tcW w:type="dxa" w:w="3252"/>
          </w:tcPr>
          <w:p>
            <w:pPr>
              <w:jc w:val="right"/>
            </w:pPr>
            <w:r>
              <w:rPr>
                <w:color w:val="1C3A36"/>
                <w:sz w:val="16"/>
              </w:rPr>
              <w:t>54.6%</w:t>
            </w:r>
          </w:p>
        </w:tc>
      </w:tr>
      <w:tr>
        <w:tc>
          <w:tcPr>
            <w:tcW w:type="dxa" w:w="2927"/>
            <w:shd w:val="clear" w:fill="EEF4F1"/>
          </w:tcPr>
          <w:p>
            <w:pPr>
              <w:jc w:val="left"/>
            </w:pPr>
            <w:r>
              <w:rPr>
                <w:color w:val="1C3A36"/>
                <w:sz w:val="16"/>
              </w:rPr>
              <w:t>3.55</w:t>
            </w:r>
          </w:p>
        </w:tc>
        <w:tc>
          <w:tcPr>
            <w:tcW w:type="dxa" w:w="3252"/>
            <w:shd w:val="clear" w:fill="EEF4F1"/>
          </w:tcPr>
          <w:p>
            <w:pPr>
              <w:jc w:val="right"/>
            </w:pPr>
            <w:r>
              <w:rPr>
                <w:color w:val="1C3A36"/>
                <w:sz w:val="16"/>
              </w:rPr>
              <w:t>48.8%</w:t>
            </w:r>
          </w:p>
        </w:tc>
        <w:tc>
          <w:tcPr>
            <w:tcW w:type="dxa" w:w="3252"/>
            <w:shd w:val="clear" w:fill="EEF4F1"/>
          </w:tcPr>
          <w:p>
            <w:pPr>
              <w:jc w:val="right"/>
            </w:pPr>
            <w:r>
              <w:rPr>
                <w:color w:val="1C3A36"/>
                <w:sz w:val="16"/>
              </w:rPr>
              <w:t>71.5%</w:t>
            </w:r>
          </w:p>
        </w:tc>
      </w:tr>
      <w:tr>
        <w:tc>
          <w:tcPr>
            <w:tcW w:type="dxa" w:w="2927"/>
          </w:tcPr>
          <w:p>
            <w:pPr>
              <w:jc w:val="left"/>
            </w:pPr>
            <w:r>
              <w:rPr>
                <w:color w:val="1C3A36"/>
                <w:sz w:val="16"/>
              </w:rPr>
              <w:t>3.35</w:t>
            </w:r>
          </w:p>
        </w:tc>
        <w:tc>
          <w:tcPr>
            <w:tcW w:type="dxa" w:w="3252"/>
          </w:tcPr>
          <w:p>
            <w:pPr>
              <w:jc w:val="right"/>
            </w:pPr>
            <w:r>
              <w:rPr>
                <w:color w:val="1C3A36"/>
                <w:sz w:val="16"/>
              </w:rPr>
              <w:t>48.5%</w:t>
            </w:r>
          </w:p>
        </w:tc>
        <w:tc>
          <w:tcPr>
            <w:tcW w:type="dxa" w:w="3252"/>
          </w:tcPr>
          <w:p>
            <w:pPr>
              <w:jc w:val="right"/>
            </w:pPr>
            <w:r>
              <w:rPr>
                <w:color w:val="1C3A36"/>
                <w:sz w:val="16"/>
              </w:rPr>
              <w:t>68.2%</w:t>
            </w:r>
          </w:p>
        </w:tc>
      </w:tr>
      <w:tr>
        <w:tc>
          <w:tcPr>
            <w:tcW w:type="dxa" w:w="2927"/>
            <w:shd w:val="clear" w:fill="EEF4F1"/>
          </w:tcPr>
          <w:p>
            <w:pPr>
              <w:jc w:val="left"/>
            </w:pPr>
            <w:r>
              <w:rPr>
                <w:color w:val="1C3A36"/>
                <w:sz w:val="16"/>
              </w:rPr>
              <w:t>3.25</w:t>
            </w:r>
          </w:p>
        </w:tc>
        <w:tc>
          <w:tcPr>
            <w:tcW w:type="dxa" w:w="3252"/>
            <w:shd w:val="clear" w:fill="EEF4F1"/>
          </w:tcPr>
          <w:p>
            <w:pPr>
              <w:jc w:val="right"/>
            </w:pPr>
            <w:r>
              <w:rPr>
                <w:color w:val="1C3A36"/>
                <w:sz w:val="16"/>
              </w:rPr>
              <w:t>24.6%</w:t>
            </w:r>
          </w:p>
        </w:tc>
        <w:tc>
          <w:tcPr>
            <w:tcW w:type="dxa" w:w="3252"/>
            <w:shd w:val="clear" w:fill="EEF4F1"/>
          </w:tcPr>
          <w:p>
            <w:pPr>
              <w:jc w:val="right"/>
            </w:pPr>
            <w:r>
              <w:rPr>
                <w:color w:val="1C3A36"/>
                <w:sz w:val="16"/>
              </w:rPr>
              <w:t>48.6%</w:t>
            </w:r>
          </w:p>
        </w:tc>
      </w:tr>
      <w:tr>
        <w:tc>
          <w:tcPr>
            <w:tcW w:type="dxa" w:w="2927"/>
          </w:tcPr>
          <w:p>
            <w:pPr>
              <w:jc w:val="left"/>
            </w:pPr>
            <w:r>
              <w:rPr>
                <w:color w:val="1C3A36"/>
                <w:sz w:val="16"/>
              </w:rPr>
              <w:t>3.15</w:t>
            </w:r>
          </w:p>
        </w:tc>
        <w:tc>
          <w:tcPr>
            <w:tcW w:type="dxa" w:w="3252"/>
          </w:tcPr>
          <w:p>
            <w:pPr>
              <w:jc w:val="right"/>
            </w:pPr>
            <w:r>
              <w:rPr>
                <w:color w:val="1C3A36"/>
                <w:sz w:val="16"/>
              </w:rPr>
              <w:t>13.1%</w:t>
            </w:r>
          </w:p>
        </w:tc>
        <w:tc>
          <w:tcPr>
            <w:tcW w:type="dxa" w:w="3252"/>
          </w:tcPr>
          <w:p>
            <w:pPr>
              <w:jc w:val="right"/>
            </w:pPr>
            <w:r>
              <w:rPr>
                <w:color w:val="1C3A36"/>
                <w:sz w:val="16"/>
              </w:rPr>
              <w:t>34.2%</w:t>
            </w:r>
          </w:p>
        </w:tc>
      </w:tr>
      <w:tr>
        <w:tc>
          <w:tcPr>
            <w:tcW w:type="dxa" w:w="2927"/>
            <w:shd w:val="clear" w:fill="EEF4F1"/>
          </w:tcPr>
          <w:p>
            <w:pPr>
              <w:jc w:val="left"/>
            </w:pPr>
            <w:r>
              <w:rPr>
                <w:color w:val="1C3A36"/>
                <w:sz w:val="16"/>
              </w:rPr>
              <w:t>3.05</w:t>
            </w:r>
          </w:p>
        </w:tc>
        <w:tc>
          <w:tcPr>
            <w:tcW w:type="dxa" w:w="3252"/>
            <w:shd w:val="clear" w:fill="EEF4F1"/>
          </w:tcPr>
          <w:p>
            <w:pPr>
              <w:jc w:val="right"/>
            </w:pPr>
            <w:r>
              <w:rPr>
                <w:color w:val="1C3A36"/>
                <w:sz w:val="16"/>
              </w:rPr>
              <w:t>7.1%</w:t>
            </w:r>
          </w:p>
        </w:tc>
        <w:tc>
          <w:tcPr>
            <w:tcW w:type="dxa" w:w="3252"/>
            <w:shd w:val="clear" w:fill="EEF4F1"/>
          </w:tcPr>
          <w:p>
            <w:pPr>
              <w:jc w:val="right"/>
            </w:pPr>
            <w:r>
              <w:rPr>
                <w:color w:val="1C3A36"/>
                <w:sz w:val="16"/>
              </w:rPr>
              <w:t>23.3%</w:t>
            </w:r>
          </w:p>
        </w:tc>
      </w:tr>
    </w:tbl>
    <w:p>
      <w:r>
        <w:rPr>
          <w:i/>
          <w:color w:val="5A5A50"/>
          <w:sz w:val="16"/>
        </w:rPr>
        <w:t>Probability the path touches each level at least once within the window (running max for upside, running min for downside).</w:t>
      </w:r>
    </w:p>
    <w:p/>
    <w:p>
      <w:pPr>
        <w:pBdr>
          <w:bottom w:val="single" w:sz="6" w:space="2" w:color="C0A45F"/>
        </w:pBdr>
      </w:pPr>
      <w:r>
        <w:rPr>
          <w:b/>
          <w:color w:val="0F5E54"/>
          <w:sz w:val="28"/>
        </w:rPr>
        <w:t>4  Comparison of the lenses, and a verdict</w:t>
      </w:r>
    </w:p>
    <w:p>
      <w:pPr>
        <w:jc w:val="both"/>
      </w:pPr>
      <w:r>
        <w:rPr>
          <w:i w:val="0"/>
          <w:color w:val="1C3A36"/>
          <w:sz w:val="20"/>
        </w:rPr>
        <w:t>The three reads do not converge, and that is the finding. The DCF (AED 4.50) says the enterprise is worth ~30% more than spot. The DDM (AED 3.41) and the relative multiples (AED 3.6–3.8) say the shareholder is paid roughly fair. The Monte Carlo, independent of all of them, centres on spot with a modest positive tilt. We resolve this not by averaging to false precision but by naming what the spread measures: the distribution gate. ADNOC Gas is a high-quality, low-volatility, ~5%-yielding income instrument trading at a fair price for the cash it distributes, with additional enterprise value that is real but controlled by ADNOC's capital-allocation choices.</w:t>
      </w:r>
    </w:p>
    <w:p>
      <w:pPr>
        <w:jc w:val="both"/>
      </w:pPr>
      <w:r>
        <w:rPr>
          <w:b/>
          <w:color w:val="1C3A36"/>
          <w:sz w:val="20"/>
        </w:rPr>
        <w:t xml:space="preserve">Verdict:  </w:t>
      </w:r>
      <w:r>
        <w:rPr>
          <w:i w:val="0"/>
          <w:color w:val="1C3A36"/>
          <w:sz w:val="20"/>
        </w:rPr>
        <w:t>Fairly valued to modestly cheap. The weighted fair value (AED 3.79) implies ~10% to the midpoint, but most of that upside is gated behind the payout policy and is terminal-value-dependent. This is a name to own for a defensible, growing 5% yield and optionality on capital returns — not for a re-rating thesis. The 50% band (AED 3.22–3.75 at T+60) frames the near-term risk symmetrically; the left tail is regional security.</w:t>
      </w:r>
    </w:p>
    <w:p>
      <w:pPr>
        <w:pBdr>
          <w:bottom w:val="single" w:sz="6" w:space="2" w:color="C0A45F"/>
        </w:pBdr>
      </w:pPr>
      <w:r>
        <w:rPr>
          <w:b/>
          <w:color w:val="0F5E54"/>
          <w:sz w:val="28"/>
        </w:rPr>
        <w:t>5  Catalysts to watch</w:t>
      </w:r>
    </w:p>
    <w:tbl>
      <w:tblPr>
        <w:tblStyle w:val="TableGrid"/>
        <w:tblW w:type="auto" w:w="0"/>
        <w:jc w:val="center"/>
        <w:tblLayout w:type="fixed"/>
        <w:tblLook w:firstColumn="1" w:firstRow="1" w:lastColumn="0" w:lastRow="0" w:noHBand="0" w:noVBand="1" w:val="04A0"/>
        <w:tblLayout w:type="fixed"/>
      </w:tblPr>
      <w:tblGrid>
        <w:gridCol w:w="3312"/>
        <w:gridCol w:w="3312"/>
        <w:gridCol w:w="3312"/>
      </w:tblGrid>
      <w:tr>
        <w:tc>
          <w:tcPr>
            <w:tcW w:type="dxa" w:w="3638"/>
            <w:shd w:val="clear" w:fill="0F5E54"/>
          </w:tcPr>
          <w:p>
            <w:pPr>
              <w:jc w:val="left"/>
            </w:pPr>
            <w:r>
              <w:rPr>
                <w:b/>
                <w:color w:val="FFFFFF"/>
                <w:sz w:val="17"/>
              </w:rPr>
              <w:t>Catalyst</w:t>
            </w:r>
          </w:p>
        </w:tc>
        <w:tc>
          <w:tcPr>
            <w:tcW w:type="dxa" w:w="1213"/>
            <w:shd w:val="clear" w:fill="0F5E54"/>
          </w:tcPr>
          <w:p>
            <w:pPr>
              <w:jc w:val="center"/>
            </w:pPr>
            <w:r>
              <w:rPr>
                <w:b/>
                <w:color w:val="FFFFFF"/>
                <w:sz w:val="17"/>
              </w:rPr>
              <w:t>Sign</w:t>
            </w:r>
          </w:p>
        </w:tc>
        <w:tc>
          <w:tcPr>
            <w:tcW w:type="dxa" w:w="4581"/>
            <w:shd w:val="clear" w:fill="0F5E54"/>
          </w:tcPr>
          <w:p>
            <w:pPr>
              <w:jc w:val="center"/>
            </w:pPr>
            <w:r>
              <w:rPr>
                <w:b/>
                <w:color w:val="FFFFFF"/>
                <w:sz w:val="17"/>
              </w:rPr>
              <w:t>Why it matters</w:t>
            </w:r>
          </w:p>
        </w:tc>
      </w:tr>
      <w:tr>
        <w:tc>
          <w:tcPr>
            <w:tcW w:type="dxa" w:w="3638"/>
          </w:tcPr>
          <w:p>
            <w:pPr>
              <w:jc w:val="left"/>
            </w:pPr>
            <w:r>
              <w:rPr>
                <w:color w:val="1C3A36"/>
                <w:sz w:val="16"/>
              </w:rPr>
              <w:t>RGD phases 2 &amp; 3 FID (targeted Q1 2026)</w:t>
            </w:r>
          </w:p>
        </w:tc>
        <w:tc>
          <w:tcPr>
            <w:tcW w:type="dxa" w:w="1213"/>
          </w:tcPr>
          <w:p>
            <w:pPr>
              <w:jc w:val="right"/>
            </w:pPr>
            <w:r>
              <w:rPr>
                <w:color w:val="1C3A36"/>
                <w:sz w:val="16"/>
              </w:rPr>
              <w:t>+</w:t>
            </w:r>
          </w:p>
        </w:tc>
        <w:tc>
          <w:tcPr>
            <w:tcW w:type="dxa" w:w="4581"/>
          </w:tcPr>
          <w:p>
            <w:pPr>
              <w:jc w:val="right"/>
            </w:pPr>
            <w:r>
              <w:rPr>
                <w:color w:val="1C3A36"/>
                <w:sz w:val="16"/>
              </w:rPr>
              <w:t>Confirms the +30% capacity / +40% EBITDA-by-2029 pathway</w:t>
            </w:r>
          </w:p>
        </w:tc>
      </w:tr>
      <w:tr>
        <w:tc>
          <w:tcPr>
            <w:tcW w:type="dxa" w:w="3638"/>
            <w:shd w:val="clear" w:fill="EEF4F1"/>
          </w:tcPr>
          <w:p>
            <w:pPr>
              <w:jc w:val="left"/>
            </w:pPr>
            <w:r>
              <w:rPr>
                <w:color w:val="1C3A36"/>
                <w:sz w:val="16"/>
              </w:rPr>
              <w:t>Ruwais LNG consolidation (H2 2028, at cost)</w:t>
            </w:r>
          </w:p>
        </w:tc>
        <w:tc>
          <w:tcPr>
            <w:tcW w:type="dxa" w:w="1213"/>
            <w:shd w:val="clear" w:fill="EEF4F1"/>
          </w:tcPr>
          <w:p>
            <w:pPr>
              <w:jc w:val="right"/>
            </w:pPr>
            <w:r>
              <w:rPr>
                <w:color w:val="1C3A36"/>
                <w:sz w:val="16"/>
              </w:rPr>
              <w:t>+ / mixed</w:t>
            </w:r>
          </w:p>
        </w:tc>
        <w:tc>
          <w:tcPr>
            <w:tcW w:type="dxa" w:w="4581"/>
            <w:shd w:val="clear" w:fill="EEF4F1"/>
          </w:tcPr>
          <w:p>
            <w:pPr>
              <w:jc w:val="right"/>
            </w:pPr>
            <w:r>
              <w:rPr>
                <w:color w:val="1C3A36"/>
                <w:sz w:val="16"/>
              </w:rPr>
              <w:t>Doubles LNG capacity; accretive but capital-heavy and related-party</w:t>
            </w:r>
          </w:p>
        </w:tc>
      </w:tr>
      <w:tr>
        <w:tc>
          <w:tcPr>
            <w:tcW w:type="dxa" w:w="3638"/>
          </w:tcPr>
          <w:p>
            <w:pPr>
              <w:jc w:val="left"/>
            </w:pPr>
            <w:r>
              <w:rPr>
                <w:color w:val="1C3A36"/>
                <w:sz w:val="16"/>
              </w:rPr>
              <w:t>Dividend re-affirmation / step-up beyond 5%</w:t>
            </w:r>
          </w:p>
        </w:tc>
        <w:tc>
          <w:tcPr>
            <w:tcW w:type="dxa" w:w="1213"/>
          </w:tcPr>
          <w:p>
            <w:pPr>
              <w:jc w:val="right"/>
            </w:pPr>
            <w:r>
              <w:rPr>
                <w:color w:val="1C3A36"/>
                <w:sz w:val="16"/>
              </w:rPr>
              <w:t>+</w:t>
            </w:r>
          </w:p>
        </w:tc>
        <w:tc>
          <w:tcPr>
            <w:tcW w:type="dxa" w:w="4581"/>
          </w:tcPr>
          <w:p>
            <w:pPr>
              <w:jc w:val="right"/>
            </w:pPr>
            <w:r>
              <w:rPr>
                <w:color w:val="1C3A36"/>
                <w:sz w:val="16"/>
              </w:rPr>
              <w:t>Would narrow the DCF-vs-DDM gate directly</w:t>
            </w:r>
          </w:p>
        </w:tc>
      </w:tr>
      <w:tr>
        <w:tc>
          <w:tcPr>
            <w:tcW w:type="dxa" w:w="3638"/>
            <w:shd w:val="clear" w:fill="EEF4F1"/>
          </w:tcPr>
          <w:p>
            <w:pPr>
              <w:jc w:val="left"/>
            </w:pPr>
            <w:r>
              <w:rPr>
                <w:color w:val="1C3A36"/>
                <w:sz w:val="16"/>
              </w:rPr>
              <w:t>Brent / global gas price path</w:t>
            </w:r>
          </w:p>
        </w:tc>
        <w:tc>
          <w:tcPr>
            <w:tcW w:type="dxa" w:w="1213"/>
            <w:shd w:val="clear" w:fill="EEF4F1"/>
          </w:tcPr>
          <w:p>
            <w:pPr>
              <w:jc w:val="right"/>
            </w:pPr>
            <w:r>
              <w:rPr>
                <w:color w:val="1C3A36"/>
                <w:sz w:val="16"/>
              </w:rPr>
              <w:t>mixed</w:t>
            </w:r>
          </w:p>
        </w:tc>
        <w:tc>
          <w:tcPr>
            <w:tcW w:type="dxa" w:w="4581"/>
            <w:shd w:val="clear" w:fill="EEF4F1"/>
          </w:tcPr>
          <w:p>
            <w:pPr>
              <w:jc w:val="right"/>
            </w:pPr>
            <w:r>
              <w:rPr>
                <w:color w:val="1C3A36"/>
                <w:sz w:val="16"/>
              </w:rPr>
              <w:t>Sets export-leg realisations; the earnings swing</w:t>
            </w:r>
          </w:p>
        </w:tc>
      </w:tr>
      <w:tr>
        <w:tc>
          <w:tcPr>
            <w:tcW w:type="dxa" w:w="3638"/>
          </w:tcPr>
          <w:p>
            <w:pPr>
              <w:jc w:val="left"/>
            </w:pPr>
            <w:r>
              <w:rPr>
                <w:color w:val="1C3A36"/>
                <w:sz w:val="16"/>
              </w:rPr>
              <w:t>New long-term LNG SPAs (GAIL/JERA-type)</w:t>
            </w:r>
          </w:p>
        </w:tc>
        <w:tc>
          <w:tcPr>
            <w:tcW w:type="dxa" w:w="1213"/>
          </w:tcPr>
          <w:p>
            <w:pPr>
              <w:jc w:val="right"/>
            </w:pPr>
            <w:r>
              <w:rPr>
                <w:color w:val="1C3A36"/>
                <w:sz w:val="16"/>
              </w:rPr>
              <w:t>+</w:t>
            </w:r>
          </w:p>
        </w:tc>
        <w:tc>
          <w:tcPr>
            <w:tcW w:type="dxa" w:w="4581"/>
          </w:tcPr>
          <w:p>
            <w:pPr>
              <w:jc w:val="right"/>
            </w:pPr>
            <w:r>
              <w:rPr>
                <w:color w:val="1C3A36"/>
                <w:sz w:val="16"/>
              </w:rPr>
              <w:t>Locks export volumes and visibility</w:t>
            </w:r>
          </w:p>
        </w:tc>
      </w:tr>
      <w:tr>
        <w:tc>
          <w:tcPr>
            <w:tcW w:type="dxa" w:w="3638"/>
            <w:shd w:val="clear" w:fill="EEF4F1"/>
          </w:tcPr>
          <w:p>
            <w:pPr>
              <w:jc w:val="left"/>
            </w:pPr>
            <w:r>
              <w:rPr>
                <w:color w:val="1C3A36"/>
                <w:sz w:val="16"/>
              </w:rPr>
              <w:t>Regional security event (Hormuz / facility strike)</w:t>
            </w:r>
          </w:p>
        </w:tc>
        <w:tc>
          <w:tcPr>
            <w:tcW w:type="dxa" w:w="1213"/>
            <w:shd w:val="clear" w:fill="EEF4F1"/>
          </w:tcPr>
          <w:p>
            <w:pPr>
              <w:jc w:val="right"/>
            </w:pPr>
            <w:r>
              <w:rPr>
                <w:color w:val="1C3A36"/>
                <w:sz w:val="16"/>
              </w:rPr>
              <w:t>−</w:t>
            </w:r>
          </w:p>
        </w:tc>
        <w:tc>
          <w:tcPr>
            <w:tcW w:type="dxa" w:w="4581"/>
            <w:shd w:val="clear" w:fill="EEF4F1"/>
          </w:tcPr>
          <w:p>
            <w:pPr>
              <w:jc w:val="right"/>
            </w:pPr>
            <w:r>
              <w:rPr>
                <w:color w:val="1C3A36"/>
                <w:sz w:val="16"/>
              </w:rPr>
              <w:t>The dominant left-tail; Habshan 2025 is the precedent</w:t>
            </w:r>
          </w:p>
        </w:tc>
      </w:tr>
      <w:tr>
        <w:tc>
          <w:tcPr>
            <w:tcW w:type="dxa" w:w="3638"/>
          </w:tcPr>
          <w:p>
            <w:pPr>
              <w:jc w:val="left"/>
            </w:pPr>
            <w:r>
              <w:rPr>
                <w:color w:val="1C3A36"/>
                <w:sz w:val="16"/>
              </w:rPr>
              <w:t>Further ADNOC secondary placement / index weight</w:t>
            </w:r>
          </w:p>
        </w:tc>
        <w:tc>
          <w:tcPr>
            <w:tcW w:type="dxa" w:w="1213"/>
          </w:tcPr>
          <w:p>
            <w:pPr>
              <w:jc w:val="right"/>
            </w:pPr>
            <w:r>
              <w:rPr>
                <w:color w:val="1C3A36"/>
                <w:sz w:val="16"/>
              </w:rPr>
              <w:t>mixed</w:t>
            </w:r>
          </w:p>
        </w:tc>
        <w:tc>
          <w:tcPr>
            <w:tcW w:type="dxa" w:w="4581"/>
          </w:tcPr>
          <w:p>
            <w:pPr>
              <w:jc w:val="right"/>
            </w:pPr>
            <w:r>
              <w:rPr>
                <w:color w:val="1C3A36"/>
                <w:sz w:val="16"/>
              </w:rPr>
              <w:t>More float and liquidity vs near-term supply overhang</w:t>
            </w:r>
          </w:p>
        </w:tc>
      </w:tr>
      <w:tr>
        <w:tc>
          <w:tcPr>
            <w:tcW w:type="dxa" w:w="3638"/>
            <w:shd w:val="clear" w:fill="EEF4F1"/>
          </w:tcPr>
          <w:p>
            <w:pPr>
              <w:jc w:val="left"/>
            </w:pPr>
            <w:r>
              <w:rPr>
                <w:color w:val="1C3A36"/>
                <w:sz w:val="16"/>
              </w:rPr>
              <w:t>UAE gas-allocation / tax change</w:t>
            </w:r>
          </w:p>
        </w:tc>
        <w:tc>
          <w:tcPr>
            <w:tcW w:type="dxa" w:w="1213"/>
            <w:shd w:val="clear" w:fill="EEF4F1"/>
          </w:tcPr>
          <w:p>
            <w:pPr>
              <w:jc w:val="right"/>
            </w:pPr>
            <w:r>
              <w:rPr>
                <w:color w:val="1C3A36"/>
                <w:sz w:val="16"/>
              </w:rPr>
              <w:t>−</w:t>
            </w:r>
          </w:p>
        </w:tc>
        <w:tc>
          <w:tcPr>
            <w:tcW w:type="dxa" w:w="4581"/>
            <w:shd w:val="clear" w:fill="EEF4F1"/>
          </w:tcPr>
          <w:p>
            <w:pPr>
              <w:jc w:val="right"/>
            </w:pPr>
            <w:r>
              <w:rPr>
                <w:color w:val="1C3A36"/>
                <w:sz w:val="16"/>
              </w:rPr>
              <w:t>Domestic pricing or CIT/royalty shifts hit margin</w:t>
            </w:r>
          </w:p>
        </w:tc>
      </w:tr>
    </w:tbl>
    <w:p/>
    <w:p>
      <w:pPr>
        <w:pBdr>
          <w:bottom w:val="single" w:sz="6" w:space="2" w:color="C0A45F"/>
        </w:pBdr>
      </w:pPr>
      <w:r>
        <w:rPr>
          <w:b/>
          <w:color w:val="0F5E54"/>
          <w:sz w:val="28"/>
        </w:rPr>
        <w:t>6  Reading the probability zones</w:t>
      </w:r>
    </w:p>
    <w:p>
      <w:pPr>
        <w:jc w:val="both"/>
      </w:pPr>
      <w:r>
        <w:rPr>
          <w:i w:val="0"/>
          <w:color w:val="1C3A36"/>
          <w:sz w:val="20"/>
        </w:rPr>
        <w:t>The distribution is deliberately centred near spot (drift OFF) with a mild upward tilt from the factor overlay. The probabilities below are the model's, not forecasts of fact: they say the modal 60-session outcome is a move of less than ±5% (34.8%), with the tails roughly balanced but the downside a touch heavier — the signature of a low-vol income name carrying a security-risk premium. Read the interquartile band (AED 3.22–3.75) as the genuine quarter-ahead uncertainty; the 90% cone is context, not the headline.</w:t>
      </w:r>
    </w:p>
    <w:p>
      <w:pPr>
        <w:pBdr>
          <w:bottom w:val="single" w:sz="6" w:space="2" w:color="C0A45F"/>
        </w:pBdr>
      </w:pPr>
      <w:r>
        <w:rPr>
          <w:b/>
          <w:color w:val="0F5E54"/>
          <w:sz w:val="28"/>
        </w:rPr>
        <w:t>7  Caveats and what would change our mind</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3556"/>
            <w:shd w:val="clear" w:fill="0F5E54"/>
          </w:tcPr>
          <w:p>
            <w:pPr>
              <w:jc w:val="left"/>
            </w:pPr>
            <w:r>
              <w:rPr>
                <w:b/>
                <w:color w:val="FFFFFF"/>
                <w:sz w:val="17"/>
              </w:rPr>
              <w:t>Caveat</w:t>
            </w:r>
          </w:p>
        </w:tc>
        <w:tc>
          <w:tcPr>
            <w:tcW w:type="dxa" w:w="5876"/>
            <w:shd w:val="clear" w:fill="0F5E54"/>
          </w:tcPr>
          <w:p>
            <w:pPr>
              <w:jc w:val="center"/>
            </w:pPr>
            <w:r>
              <w:rPr>
                <w:b/>
                <w:color w:val="FFFFFF"/>
                <w:sz w:val="17"/>
              </w:rPr>
              <w:t>Detail</w:t>
            </w:r>
          </w:p>
        </w:tc>
      </w:tr>
      <w:tr>
        <w:tc>
          <w:tcPr>
            <w:tcW w:type="dxa" w:w="3556"/>
          </w:tcPr>
          <w:p>
            <w:pPr>
              <w:jc w:val="left"/>
            </w:pPr>
            <w:r>
              <w:rPr>
                <w:color w:val="1C3A36"/>
                <w:sz w:val="16"/>
              </w:rPr>
              <w:t>Backtest history is short</w:t>
            </w:r>
          </w:p>
        </w:tc>
        <w:tc>
          <w:tcPr>
            <w:tcW w:type="dxa" w:w="5876"/>
          </w:tcPr>
          <w:p>
            <w:pPr>
              <w:jc w:val="right"/>
            </w:pPr>
            <w:r>
              <w:rPr>
                <w:color w:val="1C3A36"/>
                <w:sz w:val="16"/>
              </w:rPr>
              <w:t>Step 0 spans ~3.3 yrs (IPO Mar-2023), not a full 5; calibration is on all available data and passes, but the sample is thin</w:t>
            </w:r>
          </w:p>
        </w:tc>
      </w:tr>
      <w:tr>
        <w:tc>
          <w:tcPr>
            <w:tcW w:type="dxa" w:w="3556"/>
            <w:shd w:val="clear" w:fill="EEF4F1"/>
          </w:tcPr>
          <w:p>
            <w:pPr>
              <w:jc w:val="left"/>
            </w:pPr>
            <w:r>
              <w:rPr>
                <w:color w:val="1C3A36"/>
                <w:sz w:val="16"/>
              </w:rPr>
              <w:t>Terminal-value dependence</w:t>
            </w:r>
          </w:p>
        </w:tc>
        <w:tc>
          <w:tcPr>
            <w:tcW w:type="dxa" w:w="5876"/>
            <w:shd w:val="clear" w:fill="EEF4F1"/>
          </w:tcPr>
          <w:p>
            <w:pPr>
              <w:jc w:val="right"/>
            </w:pPr>
            <w:r>
              <w:rPr>
                <w:color w:val="1C3A36"/>
                <w:sz w:val="16"/>
              </w:rPr>
              <w:t>75% of the DCF is terminal value; the point moves widely on (WACC−g) — hence the 0.20 weight and the grid in §1.9</w:t>
            </w:r>
          </w:p>
        </w:tc>
      </w:tr>
      <w:tr>
        <w:tc>
          <w:tcPr>
            <w:tcW w:type="dxa" w:w="3556"/>
          </w:tcPr>
          <w:p>
            <w:pPr>
              <w:jc w:val="left"/>
            </w:pPr>
            <w:r>
              <w:rPr>
                <w:color w:val="1C3A36"/>
                <w:sz w:val="16"/>
              </w:rPr>
              <w:t>Distribution gate is a governance call</w:t>
            </w:r>
          </w:p>
        </w:tc>
        <w:tc>
          <w:tcPr>
            <w:tcW w:type="dxa" w:w="5876"/>
          </w:tcPr>
          <w:p>
            <w:pPr>
              <w:jc w:val="right"/>
            </w:pPr>
            <w:r>
              <w:rPr>
                <w:color w:val="1C3A36"/>
                <w:sz w:val="16"/>
              </w:rPr>
              <w:t>The DCF premium accrues only if ADNOC distributes or deploys the retained cash; a minority cannot force it</w:t>
            </w:r>
          </w:p>
        </w:tc>
      </w:tr>
      <w:tr>
        <w:tc>
          <w:tcPr>
            <w:tcW w:type="dxa" w:w="3556"/>
            <w:shd w:val="clear" w:fill="EEF4F1"/>
          </w:tcPr>
          <w:p>
            <w:pPr>
              <w:jc w:val="left"/>
            </w:pPr>
            <w:r>
              <w:rPr>
                <w:color w:val="1C3A36"/>
                <w:sz w:val="16"/>
              </w:rPr>
              <w:t>Segment split is illustrative</w:t>
            </w:r>
          </w:p>
        </w:tc>
        <w:tc>
          <w:tcPr>
            <w:tcW w:type="dxa" w:w="5876"/>
            <w:shd w:val="clear" w:fill="EEF4F1"/>
          </w:tcPr>
          <w:p>
            <w:pPr>
              <w:jc w:val="right"/>
            </w:pPr>
            <w:r>
              <w:rPr>
                <w:color w:val="1C3A36"/>
                <w:sz w:val="16"/>
              </w:rPr>
              <w:t>No per-segment volume×price disclosure; we forecast top-down and sensitise Brent in real units rather than manufacture splits</w:t>
            </w:r>
          </w:p>
        </w:tc>
      </w:tr>
      <w:tr>
        <w:tc>
          <w:tcPr>
            <w:tcW w:type="dxa" w:w="3556"/>
          </w:tcPr>
          <w:p>
            <w:pPr>
              <w:jc w:val="left"/>
            </w:pPr>
            <w:r>
              <w:rPr>
                <w:color w:val="1C3A36"/>
                <w:sz w:val="16"/>
              </w:rPr>
              <w:t>Effective tax is a blend</w:t>
            </w:r>
          </w:p>
        </w:tc>
        <w:tc>
          <w:tcPr>
            <w:tcW w:type="dxa" w:w="5876"/>
          </w:tcPr>
          <w:p>
            <w:pPr>
              <w:jc w:val="right"/>
            </w:pPr>
            <w:r>
              <w:rPr>
                <w:color w:val="1C3A36"/>
                <w:sz w:val="16"/>
              </w:rPr>
              <w:t>16% reconciles the 9% UAE CIT with the observed all-in rate; a lower true rate would raise the DCF, a higher one lower it</w:t>
            </w:r>
          </w:p>
        </w:tc>
      </w:tr>
      <w:tr>
        <w:tc>
          <w:tcPr>
            <w:tcW w:type="dxa" w:w="3556"/>
            <w:shd w:val="clear" w:fill="EEF4F1"/>
          </w:tcPr>
          <w:p>
            <w:pPr>
              <w:jc w:val="left"/>
            </w:pPr>
            <w:r>
              <w:rPr>
                <w:color w:val="1C3A36"/>
                <w:sz w:val="16"/>
              </w:rPr>
              <w:t>Balance-sheet detail is estimated</w:t>
            </w:r>
          </w:p>
        </w:tc>
        <w:tc>
          <w:tcPr>
            <w:tcW w:type="dxa" w:w="5876"/>
            <w:shd w:val="clear" w:fill="EEF4F1"/>
          </w:tcPr>
          <w:p>
            <w:pPr>
              <w:jc w:val="right"/>
            </w:pPr>
            <w:r>
              <w:rPr>
                <w:color w:val="1C3A36"/>
                <w:sz w:val="16"/>
              </w:rPr>
              <w:t>Anchored to disclosed equity, cash, net cash and debt; line items below those anchors are estimated</w:t>
            </w:r>
          </w:p>
        </w:tc>
      </w:tr>
      <w:tr>
        <w:tc>
          <w:tcPr>
            <w:tcW w:type="dxa" w:w="3556"/>
          </w:tcPr>
          <w:p>
            <w:pPr>
              <w:jc w:val="left"/>
            </w:pPr>
            <w:r>
              <w:rPr>
                <w:color w:val="1C3A36"/>
                <w:sz w:val="16"/>
              </w:rPr>
              <w:t>Model assumes the stated policy only</w:t>
            </w:r>
          </w:p>
        </w:tc>
        <w:tc>
          <w:tcPr>
            <w:tcW w:type="dxa" w:w="5876"/>
          </w:tcPr>
          <w:p>
            <w:pPr>
              <w:jc w:val="right"/>
            </w:pPr>
            <w:r>
              <w:rPr>
                <w:color w:val="1C3A36"/>
                <w:sz w:val="16"/>
              </w:rPr>
              <w:t>No incremental buybacks/specials are modelled, so cash accumulates — conservative for equity value, and the point of the gate discussion</w:t>
            </w:r>
          </w:p>
        </w:tc>
      </w:tr>
    </w:tbl>
    <w:p/>
    <w:p>
      <w:r>
        <w:br w:type="page"/>
      </w:r>
    </w:p>
    <w:p>
      <w:pPr>
        <w:pBdr>
          <w:bottom w:val="single" w:sz="6" w:space="2" w:color="C0A45F"/>
        </w:pBdr>
      </w:pPr>
      <w:r>
        <w:rPr>
          <w:b/>
          <w:color w:val="0F5E54"/>
          <w:sz w:val="28"/>
        </w:rPr>
        <w:t>Appendix A  Financial statements</w:t>
      </w:r>
    </w:p>
    <w:p>
      <w:pPr>
        <w:jc w:val="both"/>
      </w:pPr>
      <w:r>
        <w:rPr>
          <w:i w:val="0"/>
          <w:color w:val="1C3A36"/>
          <w:sz w:val="20"/>
        </w:rPr>
        <w:t>Adjusted/proportionate basis, USD m. FY2023–25 anchored to disclosed results; FY2026E–30E from the model (every cell links to the Assumptions sheet). These tables are identical to the companion Excel.</w:t>
      </w:r>
    </w:p>
    <w:p>
      <w:r>
        <w:rPr>
          <w:b/>
          <w:color w:val="17786B"/>
          <w:sz w:val="23"/>
        </w:rPr>
        <w:t>A.1  Income statement</w:t>
      </w:r>
    </w:p>
    <w:tbl>
      <w:tblPr>
        <w:tblStyle w:val="TableGrid"/>
        <w:tblW w:type="auto" w:w="0"/>
        <w:jc w:val="center"/>
        <w:tblLayout w:type="fixed"/>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389"/>
            <w:shd w:val="clear" w:fill="0F5E54"/>
          </w:tcPr>
          <w:p>
            <w:pPr>
              <w:jc w:val="left"/>
            </w:pPr>
            <w:r>
              <w:rPr>
                <w:b/>
                <w:color w:val="FFFFFF"/>
                <w:sz w:val="14"/>
              </w:rPr>
              <w:t>USD m unless noted</w:t>
            </w:r>
          </w:p>
        </w:tc>
        <w:tc>
          <w:tcPr>
            <w:tcW w:type="dxa" w:w="880"/>
            <w:shd w:val="clear" w:fill="0F5E54"/>
          </w:tcPr>
          <w:p>
            <w:pPr>
              <w:jc w:val="center"/>
            </w:pPr>
            <w:r>
              <w:rPr>
                <w:b/>
                <w:color w:val="FFFFFF"/>
                <w:sz w:val="14"/>
              </w:rPr>
              <w:t>2023</w:t>
            </w:r>
          </w:p>
        </w:tc>
        <w:tc>
          <w:tcPr>
            <w:tcW w:type="dxa" w:w="880"/>
            <w:shd w:val="clear" w:fill="0F5E54"/>
          </w:tcPr>
          <w:p>
            <w:pPr>
              <w:jc w:val="center"/>
            </w:pPr>
            <w:r>
              <w:rPr>
                <w:b/>
                <w:color w:val="FFFFFF"/>
                <w:sz w:val="14"/>
              </w:rPr>
              <w:t>2024</w:t>
            </w:r>
          </w:p>
        </w:tc>
        <w:tc>
          <w:tcPr>
            <w:tcW w:type="dxa" w:w="880"/>
            <w:shd w:val="clear" w:fill="0F5E54"/>
          </w:tcPr>
          <w:p>
            <w:pPr>
              <w:jc w:val="center"/>
            </w:pPr>
            <w:r>
              <w:rPr>
                <w:b/>
                <w:color w:val="FFFFFF"/>
                <w:sz w:val="14"/>
              </w:rPr>
              <w:t>2025</w:t>
            </w:r>
          </w:p>
        </w:tc>
        <w:tc>
          <w:tcPr>
            <w:tcW w:type="dxa" w:w="880"/>
            <w:shd w:val="clear" w:fill="0F5E54"/>
          </w:tcPr>
          <w:p>
            <w:pPr>
              <w:jc w:val="center"/>
            </w:pPr>
            <w:r>
              <w:rPr>
                <w:b/>
                <w:color w:val="FFFFFF"/>
                <w:sz w:val="14"/>
              </w:rPr>
              <w:t>2026E</w:t>
            </w:r>
          </w:p>
        </w:tc>
        <w:tc>
          <w:tcPr>
            <w:tcW w:type="dxa" w:w="880"/>
            <w:shd w:val="clear" w:fill="0F5E54"/>
          </w:tcPr>
          <w:p>
            <w:pPr>
              <w:jc w:val="center"/>
            </w:pPr>
            <w:r>
              <w:rPr>
                <w:b/>
                <w:color w:val="FFFFFF"/>
                <w:sz w:val="14"/>
              </w:rPr>
              <w:t>2027E</w:t>
            </w:r>
          </w:p>
        </w:tc>
        <w:tc>
          <w:tcPr>
            <w:tcW w:type="dxa" w:w="880"/>
            <w:shd w:val="clear" w:fill="0F5E54"/>
          </w:tcPr>
          <w:p>
            <w:pPr>
              <w:jc w:val="center"/>
            </w:pPr>
            <w:r>
              <w:rPr>
                <w:b/>
                <w:color w:val="FFFFFF"/>
                <w:sz w:val="14"/>
              </w:rPr>
              <w:t>2028E</w:t>
            </w:r>
          </w:p>
        </w:tc>
        <w:tc>
          <w:tcPr>
            <w:tcW w:type="dxa" w:w="880"/>
            <w:shd w:val="clear" w:fill="0F5E54"/>
          </w:tcPr>
          <w:p>
            <w:pPr>
              <w:jc w:val="center"/>
            </w:pPr>
            <w:r>
              <w:rPr>
                <w:b/>
                <w:color w:val="FFFFFF"/>
                <w:sz w:val="14"/>
              </w:rPr>
              <w:t>2029E</w:t>
            </w:r>
          </w:p>
        </w:tc>
        <w:tc>
          <w:tcPr>
            <w:tcW w:type="dxa" w:w="880"/>
            <w:shd w:val="clear" w:fill="0F5E54"/>
          </w:tcPr>
          <w:p>
            <w:pPr>
              <w:jc w:val="center"/>
            </w:pPr>
            <w:r>
              <w:rPr>
                <w:b/>
                <w:color w:val="FFFFFF"/>
                <w:sz w:val="14"/>
              </w:rPr>
              <w:t>2030E</w:t>
            </w:r>
          </w:p>
        </w:tc>
      </w:tr>
      <w:tr>
        <w:tc>
          <w:tcPr>
            <w:tcW w:type="dxa" w:w="2389"/>
          </w:tcPr>
          <w:p>
            <w:pPr>
              <w:jc w:val="left"/>
            </w:pPr>
            <w:r>
              <w:rPr>
                <w:color w:val="1C3A36"/>
                <w:sz w:val="14"/>
              </w:rPr>
              <w:t>Revenue</w:t>
            </w:r>
          </w:p>
        </w:tc>
        <w:tc>
          <w:tcPr>
            <w:tcW w:type="dxa" w:w="880"/>
          </w:tcPr>
          <w:p>
            <w:pPr>
              <w:jc w:val="right"/>
            </w:pPr>
            <w:r>
              <w:rPr>
                <w:color w:val="1C3A36"/>
                <w:sz w:val="14"/>
              </w:rPr>
              <w:t>$22,830</w:t>
            </w:r>
          </w:p>
        </w:tc>
        <w:tc>
          <w:tcPr>
            <w:tcW w:type="dxa" w:w="880"/>
          </w:tcPr>
          <w:p>
            <w:pPr>
              <w:jc w:val="right"/>
            </w:pPr>
            <w:r>
              <w:rPr>
                <w:color w:val="1C3A36"/>
                <w:sz w:val="14"/>
              </w:rPr>
              <w:t>$24,428</w:t>
            </w:r>
          </w:p>
        </w:tc>
        <w:tc>
          <w:tcPr>
            <w:tcW w:type="dxa" w:w="880"/>
          </w:tcPr>
          <w:p>
            <w:pPr>
              <w:jc w:val="right"/>
            </w:pPr>
            <w:r>
              <w:rPr>
                <w:color w:val="1C3A36"/>
                <w:sz w:val="14"/>
              </w:rPr>
              <w:t>$23,473</w:t>
            </w:r>
          </w:p>
        </w:tc>
        <w:tc>
          <w:tcPr>
            <w:tcW w:type="dxa" w:w="880"/>
          </w:tcPr>
          <w:p>
            <w:pPr>
              <w:jc w:val="right"/>
            </w:pPr>
            <w:r>
              <w:rPr>
                <w:color w:val="1C3A36"/>
                <w:sz w:val="14"/>
              </w:rPr>
              <w:t>$23,950</w:t>
            </w:r>
          </w:p>
        </w:tc>
        <w:tc>
          <w:tcPr>
            <w:tcW w:type="dxa" w:w="880"/>
          </w:tcPr>
          <w:p>
            <w:pPr>
              <w:jc w:val="right"/>
            </w:pPr>
            <w:r>
              <w:rPr>
                <w:color w:val="1C3A36"/>
                <w:sz w:val="14"/>
              </w:rPr>
              <w:t>$25,100</w:t>
            </w:r>
          </w:p>
        </w:tc>
        <w:tc>
          <w:tcPr>
            <w:tcW w:type="dxa" w:w="880"/>
          </w:tcPr>
          <w:p>
            <w:pPr>
              <w:jc w:val="right"/>
            </w:pPr>
            <w:r>
              <w:rPr>
                <w:color w:val="1C3A36"/>
                <w:sz w:val="14"/>
              </w:rPr>
              <w:t>$26,900</w:t>
            </w:r>
          </w:p>
        </w:tc>
        <w:tc>
          <w:tcPr>
            <w:tcW w:type="dxa" w:w="880"/>
          </w:tcPr>
          <w:p>
            <w:pPr>
              <w:jc w:val="right"/>
            </w:pPr>
            <w:r>
              <w:rPr>
                <w:color w:val="1C3A36"/>
                <w:sz w:val="14"/>
              </w:rPr>
              <w:t>$28,400</w:t>
            </w:r>
          </w:p>
        </w:tc>
        <w:tc>
          <w:tcPr>
            <w:tcW w:type="dxa" w:w="880"/>
          </w:tcPr>
          <w:p>
            <w:pPr>
              <w:jc w:val="right"/>
            </w:pPr>
            <w:r>
              <w:rPr>
                <w:color w:val="1C3A36"/>
                <w:sz w:val="14"/>
              </w:rPr>
              <w:t>$29,600</w:t>
            </w:r>
          </w:p>
        </w:tc>
      </w:tr>
      <w:tr>
        <w:tc>
          <w:tcPr>
            <w:tcW w:type="dxa" w:w="2389"/>
            <w:shd w:val="clear" w:fill="EEF4F1"/>
          </w:tcPr>
          <w:p>
            <w:pPr>
              <w:jc w:val="left"/>
            </w:pPr>
            <w:r>
              <w:rPr>
                <w:color w:val="1C3A36"/>
                <w:sz w:val="14"/>
              </w:rPr>
              <w:t>EBITDA</w:t>
            </w:r>
          </w:p>
        </w:tc>
        <w:tc>
          <w:tcPr>
            <w:tcW w:type="dxa" w:w="880"/>
            <w:shd w:val="clear" w:fill="EEF4F1"/>
          </w:tcPr>
          <w:p>
            <w:pPr>
              <w:jc w:val="right"/>
            </w:pPr>
            <w:r>
              <w:rPr>
                <w:color w:val="1C3A36"/>
                <w:sz w:val="14"/>
              </w:rPr>
              <w:t>$7,586</w:t>
            </w:r>
          </w:p>
        </w:tc>
        <w:tc>
          <w:tcPr>
            <w:tcW w:type="dxa" w:w="880"/>
            <w:shd w:val="clear" w:fill="EEF4F1"/>
          </w:tcPr>
          <w:p>
            <w:pPr>
              <w:jc w:val="right"/>
            </w:pPr>
            <w:r>
              <w:rPr>
                <w:color w:val="1C3A36"/>
                <w:sz w:val="14"/>
              </w:rPr>
              <w:t>$8,648</w:t>
            </w:r>
          </w:p>
        </w:tc>
        <w:tc>
          <w:tcPr>
            <w:tcW w:type="dxa" w:w="880"/>
            <w:shd w:val="clear" w:fill="EEF4F1"/>
          </w:tcPr>
          <w:p>
            <w:pPr>
              <w:jc w:val="right"/>
            </w:pPr>
            <w:r>
              <w:rPr>
                <w:color w:val="1C3A36"/>
                <w:sz w:val="14"/>
              </w:rPr>
              <w:t>$8,636</w:t>
            </w:r>
          </w:p>
        </w:tc>
        <w:tc>
          <w:tcPr>
            <w:tcW w:type="dxa" w:w="880"/>
            <w:shd w:val="clear" w:fill="EEF4F1"/>
          </w:tcPr>
          <w:p>
            <w:pPr>
              <w:jc w:val="right"/>
            </w:pPr>
            <w:r>
              <w:rPr>
                <w:color w:val="1C3A36"/>
                <w:sz w:val="14"/>
              </w:rPr>
              <w:t>$8,862</w:t>
            </w:r>
          </w:p>
        </w:tc>
        <w:tc>
          <w:tcPr>
            <w:tcW w:type="dxa" w:w="880"/>
            <w:shd w:val="clear" w:fill="EEF4F1"/>
          </w:tcPr>
          <w:p>
            <w:pPr>
              <w:jc w:val="right"/>
            </w:pPr>
            <w:r>
              <w:rPr>
                <w:color w:val="1C3A36"/>
                <w:sz w:val="14"/>
              </w:rPr>
              <w:t>$9,412</w:t>
            </w:r>
          </w:p>
        </w:tc>
        <w:tc>
          <w:tcPr>
            <w:tcW w:type="dxa" w:w="880"/>
            <w:shd w:val="clear" w:fill="EEF4F1"/>
          </w:tcPr>
          <w:p>
            <w:pPr>
              <w:jc w:val="right"/>
            </w:pPr>
            <w:r>
              <w:rPr>
                <w:color w:val="1C3A36"/>
                <w:sz w:val="14"/>
              </w:rPr>
              <w:t>$10,168</w:t>
            </w:r>
          </w:p>
        </w:tc>
        <w:tc>
          <w:tcPr>
            <w:tcW w:type="dxa" w:w="880"/>
            <w:shd w:val="clear" w:fill="EEF4F1"/>
          </w:tcPr>
          <w:p>
            <w:pPr>
              <w:jc w:val="right"/>
            </w:pPr>
            <w:r>
              <w:rPr>
                <w:color w:val="1C3A36"/>
                <w:sz w:val="14"/>
              </w:rPr>
              <w:t>$10,849</w:t>
            </w:r>
          </w:p>
        </w:tc>
        <w:tc>
          <w:tcPr>
            <w:tcW w:type="dxa" w:w="880"/>
            <w:shd w:val="clear" w:fill="EEF4F1"/>
          </w:tcPr>
          <w:p>
            <w:pPr>
              <w:jc w:val="right"/>
            </w:pPr>
            <w:r>
              <w:rPr>
                <w:color w:val="1C3A36"/>
                <w:sz w:val="14"/>
              </w:rPr>
              <w:t>$11,396</w:t>
            </w:r>
          </w:p>
        </w:tc>
      </w:tr>
      <w:tr>
        <w:tc>
          <w:tcPr>
            <w:tcW w:type="dxa" w:w="2389"/>
          </w:tcPr>
          <w:p>
            <w:pPr>
              <w:jc w:val="left"/>
            </w:pPr>
            <w:r>
              <w:rPr>
                <w:color w:val="1C3A36"/>
                <w:sz w:val="14"/>
              </w:rPr>
              <w:t>EBITDA margin</w:t>
            </w:r>
          </w:p>
        </w:tc>
        <w:tc>
          <w:tcPr>
            <w:tcW w:type="dxa" w:w="880"/>
          </w:tcPr>
          <w:p>
            <w:pPr>
              <w:jc w:val="right"/>
            </w:pPr>
            <w:r>
              <w:rPr>
                <w:color w:val="1C3A36"/>
                <w:sz w:val="14"/>
              </w:rPr>
              <w:t>33.2%</w:t>
            </w:r>
          </w:p>
        </w:tc>
        <w:tc>
          <w:tcPr>
            <w:tcW w:type="dxa" w:w="880"/>
          </w:tcPr>
          <w:p>
            <w:pPr>
              <w:jc w:val="right"/>
            </w:pPr>
            <w:r>
              <w:rPr>
                <w:color w:val="1C3A36"/>
                <w:sz w:val="14"/>
              </w:rPr>
              <w:t>35.4%</w:t>
            </w:r>
          </w:p>
        </w:tc>
        <w:tc>
          <w:tcPr>
            <w:tcW w:type="dxa" w:w="880"/>
          </w:tcPr>
          <w:p>
            <w:pPr>
              <w:jc w:val="right"/>
            </w:pPr>
            <w:r>
              <w:rPr>
                <w:color w:val="1C3A36"/>
                <w:sz w:val="14"/>
              </w:rPr>
              <w:t>36.8%</w:t>
            </w:r>
          </w:p>
        </w:tc>
        <w:tc>
          <w:tcPr>
            <w:tcW w:type="dxa" w:w="880"/>
          </w:tcPr>
          <w:p>
            <w:pPr>
              <w:jc w:val="right"/>
            </w:pPr>
            <w:r>
              <w:rPr>
                <w:color w:val="1C3A36"/>
                <w:sz w:val="14"/>
              </w:rPr>
              <w:t>37.0%</w:t>
            </w:r>
          </w:p>
        </w:tc>
        <w:tc>
          <w:tcPr>
            <w:tcW w:type="dxa" w:w="880"/>
          </w:tcPr>
          <w:p>
            <w:pPr>
              <w:jc w:val="right"/>
            </w:pPr>
            <w:r>
              <w:rPr>
                <w:color w:val="1C3A36"/>
                <w:sz w:val="14"/>
              </w:rPr>
              <w:t>37.5%</w:t>
            </w:r>
          </w:p>
        </w:tc>
        <w:tc>
          <w:tcPr>
            <w:tcW w:type="dxa" w:w="880"/>
          </w:tcPr>
          <w:p>
            <w:pPr>
              <w:jc w:val="right"/>
            </w:pPr>
            <w:r>
              <w:rPr>
                <w:color w:val="1C3A36"/>
                <w:sz w:val="14"/>
              </w:rPr>
              <w:t>37.8%</w:t>
            </w:r>
          </w:p>
        </w:tc>
        <w:tc>
          <w:tcPr>
            <w:tcW w:type="dxa" w:w="880"/>
          </w:tcPr>
          <w:p>
            <w:pPr>
              <w:jc w:val="right"/>
            </w:pPr>
            <w:r>
              <w:rPr>
                <w:color w:val="1C3A36"/>
                <w:sz w:val="14"/>
              </w:rPr>
              <w:t>38.2%</w:t>
            </w:r>
          </w:p>
        </w:tc>
        <w:tc>
          <w:tcPr>
            <w:tcW w:type="dxa" w:w="880"/>
          </w:tcPr>
          <w:p>
            <w:pPr>
              <w:jc w:val="right"/>
            </w:pPr>
            <w:r>
              <w:rPr>
                <w:color w:val="1C3A36"/>
                <w:sz w:val="14"/>
              </w:rPr>
              <w:t>38.5%</w:t>
            </w:r>
          </w:p>
        </w:tc>
      </w:tr>
      <w:tr>
        <w:tc>
          <w:tcPr>
            <w:tcW w:type="dxa" w:w="2389"/>
            <w:shd w:val="clear" w:fill="EEF4F1"/>
          </w:tcPr>
          <w:p>
            <w:pPr>
              <w:jc w:val="left"/>
            </w:pPr>
            <w:r>
              <w:rPr>
                <w:color w:val="1C3A36"/>
                <w:sz w:val="14"/>
              </w:rPr>
              <w:t>D&amp;A</w:t>
            </w:r>
          </w:p>
        </w:tc>
        <w:tc>
          <w:tcPr>
            <w:tcW w:type="dxa" w:w="880"/>
            <w:shd w:val="clear" w:fill="EEF4F1"/>
          </w:tcPr>
          <w:p>
            <w:pPr>
              <w:jc w:val="right"/>
            </w:pPr>
            <w:r>
              <w:rPr>
                <w:color w:val="1C3A36"/>
                <w:sz w:val="14"/>
              </w:rPr>
              <w:t>$1,300</w:t>
            </w:r>
          </w:p>
        </w:tc>
        <w:tc>
          <w:tcPr>
            <w:tcW w:type="dxa" w:w="880"/>
            <w:shd w:val="clear" w:fill="EEF4F1"/>
          </w:tcPr>
          <w:p>
            <w:pPr>
              <w:jc w:val="right"/>
            </w:pPr>
            <w:r>
              <w:rPr>
                <w:color w:val="1C3A36"/>
                <w:sz w:val="14"/>
              </w:rPr>
              <w:t>$1,600</w:t>
            </w:r>
          </w:p>
        </w:tc>
        <w:tc>
          <w:tcPr>
            <w:tcW w:type="dxa" w:w="880"/>
            <w:shd w:val="clear" w:fill="EEF4F1"/>
          </w:tcPr>
          <w:p>
            <w:pPr>
              <w:jc w:val="right"/>
            </w:pPr>
            <w:r>
              <w:rPr>
                <w:color w:val="1C3A36"/>
                <w:sz w:val="14"/>
              </w:rPr>
              <w:t>$1,900</w:t>
            </w:r>
          </w:p>
        </w:tc>
        <w:tc>
          <w:tcPr>
            <w:tcW w:type="dxa" w:w="880"/>
            <w:shd w:val="clear" w:fill="EEF4F1"/>
          </w:tcPr>
          <w:p>
            <w:pPr>
              <w:jc w:val="right"/>
            </w:pPr>
            <w:r>
              <w:rPr>
                <w:color w:val="1C3A36"/>
                <w:sz w:val="14"/>
              </w:rPr>
              <w:t>$2,000</w:t>
            </w:r>
          </w:p>
        </w:tc>
        <w:tc>
          <w:tcPr>
            <w:tcW w:type="dxa" w:w="880"/>
            <w:shd w:val="clear" w:fill="EEF4F1"/>
          </w:tcPr>
          <w:p>
            <w:pPr>
              <w:jc w:val="right"/>
            </w:pPr>
            <w:r>
              <w:rPr>
                <w:color w:val="1C3A36"/>
                <w:sz w:val="14"/>
              </w:rPr>
              <w:t>$2,250</w:t>
            </w:r>
          </w:p>
        </w:tc>
        <w:tc>
          <w:tcPr>
            <w:tcW w:type="dxa" w:w="880"/>
            <w:shd w:val="clear" w:fill="EEF4F1"/>
          </w:tcPr>
          <w:p>
            <w:pPr>
              <w:jc w:val="right"/>
            </w:pPr>
            <w:r>
              <w:rPr>
                <w:color w:val="1C3A36"/>
                <w:sz w:val="14"/>
              </w:rPr>
              <w:t>$2,550</w:t>
            </w:r>
          </w:p>
        </w:tc>
        <w:tc>
          <w:tcPr>
            <w:tcW w:type="dxa" w:w="880"/>
            <w:shd w:val="clear" w:fill="EEF4F1"/>
          </w:tcPr>
          <w:p>
            <w:pPr>
              <w:jc w:val="right"/>
            </w:pPr>
            <w:r>
              <w:rPr>
                <w:color w:val="1C3A36"/>
                <w:sz w:val="14"/>
              </w:rPr>
              <w:t>$2,750</w:t>
            </w:r>
          </w:p>
        </w:tc>
        <w:tc>
          <w:tcPr>
            <w:tcW w:type="dxa" w:w="880"/>
            <w:shd w:val="clear" w:fill="EEF4F1"/>
          </w:tcPr>
          <w:p>
            <w:pPr>
              <w:jc w:val="right"/>
            </w:pPr>
            <w:r>
              <w:rPr>
                <w:color w:val="1C3A36"/>
                <w:sz w:val="14"/>
              </w:rPr>
              <w:t>$2,900</w:t>
            </w:r>
          </w:p>
        </w:tc>
      </w:tr>
      <w:tr>
        <w:tc>
          <w:tcPr>
            <w:tcW w:type="dxa" w:w="2389"/>
          </w:tcPr>
          <w:p>
            <w:pPr>
              <w:jc w:val="left"/>
            </w:pPr>
            <w:r>
              <w:rPr>
                <w:color w:val="1C3A36"/>
                <w:sz w:val="14"/>
              </w:rPr>
              <w:t>EBIT</w:t>
            </w:r>
          </w:p>
        </w:tc>
        <w:tc>
          <w:tcPr>
            <w:tcW w:type="dxa" w:w="880"/>
          </w:tcPr>
          <w:p>
            <w:pPr>
              <w:jc w:val="right"/>
            </w:pPr>
            <w:r>
              <w:rPr>
                <w:color w:val="1C3A36"/>
                <w:sz w:val="14"/>
              </w:rPr>
              <w:t>$6,286</w:t>
            </w:r>
          </w:p>
        </w:tc>
        <w:tc>
          <w:tcPr>
            <w:tcW w:type="dxa" w:w="880"/>
          </w:tcPr>
          <w:p>
            <w:pPr>
              <w:jc w:val="right"/>
            </w:pPr>
            <w:r>
              <w:rPr>
                <w:color w:val="1C3A36"/>
                <w:sz w:val="14"/>
              </w:rPr>
              <w:t>$7,048</w:t>
            </w:r>
          </w:p>
        </w:tc>
        <w:tc>
          <w:tcPr>
            <w:tcW w:type="dxa" w:w="880"/>
          </w:tcPr>
          <w:p>
            <w:pPr>
              <w:jc w:val="right"/>
            </w:pPr>
            <w:r>
              <w:rPr>
                <w:color w:val="1C3A36"/>
                <w:sz w:val="14"/>
              </w:rPr>
              <w:t>$6,736</w:t>
            </w:r>
          </w:p>
        </w:tc>
        <w:tc>
          <w:tcPr>
            <w:tcW w:type="dxa" w:w="880"/>
          </w:tcPr>
          <w:p>
            <w:pPr>
              <w:jc w:val="right"/>
            </w:pPr>
            <w:r>
              <w:rPr>
                <w:color w:val="1C3A36"/>
                <w:sz w:val="14"/>
              </w:rPr>
              <w:t>$6,862</w:t>
            </w:r>
          </w:p>
        </w:tc>
        <w:tc>
          <w:tcPr>
            <w:tcW w:type="dxa" w:w="880"/>
          </w:tcPr>
          <w:p>
            <w:pPr>
              <w:jc w:val="right"/>
            </w:pPr>
            <w:r>
              <w:rPr>
                <w:color w:val="1C3A36"/>
                <w:sz w:val="14"/>
              </w:rPr>
              <w:t>$7,162</w:t>
            </w:r>
          </w:p>
        </w:tc>
        <w:tc>
          <w:tcPr>
            <w:tcW w:type="dxa" w:w="880"/>
          </w:tcPr>
          <w:p>
            <w:pPr>
              <w:jc w:val="right"/>
            </w:pPr>
            <w:r>
              <w:rPr>
                <w:color w:val="1C3A36"/>
                <w:sz w:val="14"/>
              </w:rPr>
              <w:t>$7,618</w:t>
            </w:r>
          </w:p>
        </w:tc>
        <w:tc>
          <w:tcPr>
            <w:tcW w:type="dxa" w:w="880"/>
          </w:tcPr>
          <w:p>
            <w:pPr>
              <w:jc w:val="right"/>
            </w:pPr>
            <w:r>
              <w:rPr>
                <w:color w:val="1C3A36"/>
                <w:sz w:val="14"/>
              </w:rPr>
              <w:t>$8,099</w:t>
            </w:r>
          </w:p>
        </w:tc>
        <w:tc>
          <w:tcPr>
            <w:tcW w:type="dxa" w:w="880"/>
          </w:tcPr>
          <w:p>
            <w:pPr>
              <w:jc w:val="right"/>
            </w:pPr>
            <w:r>
              <w:rPr>
                <w:color w:val="1C3A36"/>
                <w:sz w:val="14"/>
              </w:rPr>
              <w:t>$8,496</w:t>
            </w:r>
          </w:p>
        </w:tc>
      </w:tr>
      <w:tr>
        <w:tc>
          <w:tcPr>
            <w:tcW w:type="dxa" w:w="2389"/>
            <w:shd w:val="clear" w:fill="EEF4F1"/>
          </w:tcPr>
          <w:p>
            <w:pPr>
              <w:jc w:val="left"/>
            </w:pPr>
            <w:r>
              <w:rPr>
                <w:color w:val="1C3A36"/>
                <w:sz w:val="14"/>
              </w:rPr>
              <w:t>Net finance cost</w:t>
            </w:r>
          </w:p>
        </w:tc>
        <w:tc>
          <w:tcPr>
            <w:tcW w:type="dxa" w:w="880"/>
            <w:shd w:val="clear" w:fill="EEF4F1"/>
          </w:tcPr>
          <w:p>
            <w:pPr>
              <w:jc w:val="right"/>
            </w:pPr>
            <w:r>
              <w:rPr>
                <w:color w:val="1C3A36"/>
                <w:sz w:val="14"/>
              </w:rPr>
              <w:t>$1,017</w:t>
            </w:r>
          </w:p>
        </w:tc>
        <w:tc>
          <w:tcPr>
            <w:tcW w:type="dxa" w:w="880"/>
            <w:shd w:val="clear" w:fill="EEF4F1"/>
          </w:tcPr>
          <w:p>
            <w:pPr>
              <w:jc w:val="right"/>
            </w:pPr>
            <w:r>
              <w:rPr>
                <w:color w:val="1C3A36"/>
                <w:sz w:val="14"/>
              </w:rPr>
              <w:t>$1,094</w:t>
            </w:r>
          </w:p>
        </w:tc>
        <w:tc>
          <w:tcPr>
            <w:tcW w:type="dxa" w:w="880"/>
            <w:shd w:val="clear" w:fill="EEF4F1"/>
          </w:tcPr>
          <w:p>
            <w:pPr>
              <w:jc w:val="right"/>
            </w:pPr>
            <w:r>
              <w:rPr>
                <w:color w:val="1C3A36"/>
                <w:sz w:val="14"/>
              </w:rPr>
              <w:t>$586</w:t>
            </w:r>
          </w:p>
        </w:tc>
        <w:tc>
          <w:tcPr>
            <w:tcW w:type="dxa" w:w="880"/>
            <w:shd w:val="clear" w:fill="EEF4F1"/>
          </w:tcPr>
          <w:p>
            <w:pPr>
              <w:jc w:val="right"/>
            </w:pPr>
            <w:r>
              <w:rPr>
                <w:color w:val="1C3A36"/>
                <w:sz w:val="14"/>
              </w:rPr>
              <w:t>$200</w:t>
            </w:r>
          </w:p>
        </w:tc>
        <w:tc>
          <w:tcPr>
            <w:tcW w:type="dxa" w:w="880"/>
            <w:shd w:val="clear" w:fill="EEF4F1"/>
          </w:tcPr>
          <w:p>
            <w:pPr>
              <w:jc w:val="right"/>
            </w:pPr>
            <w:r>
              <w:rPr>
                <w:color w:val="1C3A36"/>
                <w:sz w:val="14"/>
              </w:rPr>
              <w:t>$150</w:t>
            </w:r>
          </w:p>
        </w:tc>
        <w:tc>
          <w:tcPr>
            <w:tcW w:type="dxa" w:w="880"/>
            <w:shd w:val="clear" w:fill="EEF4F1"/>
          </w:tcPr>
          <w:p>
            <w:pPr>
              <w:jc w:val="right"/>
            </w:pPr>
            <w:r>
              <w:rPr>
                <w:color w:val="1C3A36"/>
                <w:sz w:val="14"/>
              </w:rPr>
              <w:t>$150</w:t>
            </w:r>
          </w:p>
        </w:tc>
        <w:tc>
          <w:tcPr>
            <w:tcW w:type="dxa" w:w="880"/>
            <w:shd w:val="clear" w:fill="EEF4F1"/>
          </w:tcPr>
          <w:p>
            <w:pPr>
              <w:jc w:val="right"/>
            </w:pPr>
            <w:r>
              <w:rPr>
                <w:color w:val="1C3A36"/>
                <w:sz w:val="14"/>
              </w:rPr>
              <w:t>$100</w:t>
            </w:r>
          </w:p>
        </w:tc>
        <w:tc>
          <w:tcPr>
            <w:tcW w:type="dxa" w:w="880"/>
            <w:shd w:val="clear" w:fill="EEF4F1"/>
          </w:tcPr>
          <w:p>
            <w:pPr>
              <w:jc w:val="right"/>
            </w:pPr>
            <w:r>
              <w:rPr>
                <w:color w:val="1C3A36"/>
                <w:sz w:val="14"/>
              </w:rPr>
              <w:t>$100</w:t>
            </w:r>
          </w:p>
        </w:tc>
      </w:tr>
      <w:tr>
        <w:tc>
          <w:tcPr>
            <w:tcW w:type="dxa" w:w="2389"/>
          </w:tcPr>
          <w:p>
            <w:pPr>
              <w:jc w:val="left"/>
            </w:pPr>
            <w:r>
              <w:rPr>
                <w:color w:val="1C3A36"/>
                <w:sz w:val="14"/>
              </w:rPr>
              <w:t>Profit before tax</w:t>
            </w:r>
          </w:p>
        </w:tc>
        <w:tc>
          <w:tcPr>
            <w:tcW w:type="dxa" w:w="880"/>
          </w:tcPr>
          <w:p>
            <w:pPr>
              <w:jc w:val="right"/>
            </w:pPr>
            <w:r>
              <w:rPr>
                <w:color w:val="1C3A36"/>
                <w:sz w:val="14"/>
              </w:rPr>
              <w:t>$5,269</w:t>
            </w:r>
          </w:p>
        </w:tc>
        <w:tc>
          <w:tcPr>
            <w:tcW w:type="dxa" w:w="880"/>
          </w:tcPr>
          <w:p>
            <w:pPr>
              <w:jc w:val="right"/>
            </w:pPr>
            <w:r>
              <w:rPr>
                <w:color w:val="1C3A36"/>
                <w:sz w:val="14"/>
              </w:rPr>
              <w:t>$5,954</w:t>
            </w:r>
          </w:p>
        </w:tc>
        <w:tc>
          <w:tcPr>
            <w:tcW w:type="dxa" w:w="880"/>
          </w:tcPr>
          <w:p>
            <w:pPr>
              <w:jc w:val="right"/>
            </w:pPr>
            <w:r>
              <w:rPr>
                <w:color w:val="1C3A36"/>
                <w:sz w:val="14"/>
              </w:rPr>
              <w:t>$6,150</w:t>
            </w:r>
          </w:p>
        </w:tc>
        <w:tc>
          <w:tcPr>
            <w:tcW w:type="dxa" w:w="880"/>
          </w:tcPr>
          <w:p>
            <w:pPr>
              <w:jc w:val="right"/>
            </w:pPr>
            <w:r>
              <w:rPr>
                <w:color w:val="1C3A36"/>
                <w:sz w:val="14"/>
              </w:rPr>
              <w:t>$6,662</w:t>
            </w:r>
          </w:p>
        </w:tc>
        <w:tc>
          <w:tcPr>
            <w:tcW w:type="dxa" w:w="880"/>
          </w:tcPr>
          <w:p>
            <w:pPr>
              <w:jc w:val="right"/>
            </w:pPr>
            <w:r>
              <w:rPr>
                <w:color w:val="1C3A36"/>
                <w:sz w:val="14"/>
              </w:rPr>
              <w:t>$7,012</w:t>
            </w:r>
          </w:p>
        </w:tc>
        <w:tc>
          <w:tcPr>
            <w:tcW w:type="dxa" w:w="880"/>
          </w:tcPr>
          <w:p>
            <w:pPr>
              <w:jc w:val="right"/>
            </w:pPr>
            <w:r>
              <w:rPr>
                <w:color w:val="1C3A36"/>
                <w:sz w:val="14"/>
              </w:rPr>
              <w:t>$7,468</w:t>
            </w:r>
          </w:p>
        </w:tc>
        <w:tc>
          <w:tcPr>
            <w:tcW w:type="dxa" w:w="880"/>
          </w:tcPr>
          <w:p>
            <w:pPr>
              <w:jc w:val="right"/>
            </w:pPr>
            <w:r>
              <w:rPr>
                <w:color w:val="1C3A36"/>
                <w:sz w:val="14"/>
              </w:rPr>
              <w:t>$7,999</w:t>
            </w:r>
          </w:p>
        </w:tc>
        <w:tc>
          <w:tcPr>
            <w:tcW w:type="dxa" w:w="880"/>
          </w:tcPr>
          <w:p>
            <w:pPr>
              <w:jc w:val="right"/>
            </w:pPr>
            <w:r>
              <w:rPr>
                <w:color w:val="1C3A36"/>
                <w:sz w:val="14"/>
              </w:rPr>
              <w:t>$8,396</w:t>
            </w:r>
          </w:p>
        </w:tc>
      </w:tr>
      <w:tr>
        <w:tc>
          <w:tcPr>
            <w:tcW w:type="dxa" w:w="2389"/>
            <w:shd w:val="clear" w:fill="EEF4F1"/>
          </w:tcPr>
          <w:p>
            <w:pPr>
              <w:jc w:val="left"/>
            </w:pPr>
            <w:r>
              <w:rPr>
                <w:color w:val="1C3A36"/>
                <w:sz w:val="14"/>
              </w:rPr>
              <w:t>Tax</w:t>
            </w:r>
          </w:p>
        </w:tc>
        <w:tc>
          <w:tcPr>
            <w:tcW w:type="dxa" w:w="880"/>
            <w:shd w:val="clear" w:fill="EEF4F1"/>
          </w:tcPr>
          <w:p>
            <w:pPr>
              <w:jc w:val="right"/>
            </w:pPr>
            <w:r>
              <w:rPr>
                <w:color w:val="1C3A36"/>
                <w:sz w:val="14"/>
              </w:rPr>
              <w:t>$843</w:t>
            </w:r>
          </w:p>
        </w:tc>
        <w:tc>
          <w:tcPr>
            <w:tcW w:type="dxa" w:w="880"/>
            <w:shd w:val="clear" w:fill="EEF4F1"/>
          </w:tcPr>
          <w:p>
            <w:pPr>
              <w:jc w:val="right"/>
            </w:pPr>
            <w:r>
              <w:rPr>
                <w:color w:val="1C3A36"/>
                <w:sz w:val="14"/>
              </w:rPr>
              <w:t>$953</w:t>
            </w:r>
          </w:p>
        </w:tc>
        <w:tc>
          <w:tcPr>
            <w:tcW w:type="dxa" w:w="880"/>
            <w:shd w:val="clear" w:fill="EEF4F1"/>
          </w:tcPr>
          <w:p>
            <w:pPr>
              <w:jc w:val="right"/>
            </w:pPr>
            <w:r>
              <w:rPr>
                <w:color w:val="1C3A36"/>
                <w:sz w:val="14"/>
              </w:rPr>
              <w:t>$984</w:t>
            </w:r>
          </w:p>
        </w:tc>
        <w:tc>
          <w:tcPr>
            <w:tcW w:type="dxa" w:w="880"/>
            <w:shd w:val="clear" w:fill="EEF4F1"/>
          </w:tcPr>
          <w:p>
            <w:pPr>
              <w:jc w:val="right"/>
            </w:pPr>
            <w:r>
              <w:rPr>
                <w:color w:val="1C3A36"/>
                <w:sz w:val="14"/>
              </w:rPr>
              <w:t>$1,066</w:t>
            </w:r>
          </w:p>
        </w:tc>
        <w:tc>
          <w:tcPr>
            <w:tcW w:type="dxa" w:w="880"/>
            <w:shd w:val="clear" w:fill="EEF4F1"/>
          </w:tcPr>
          <w:p>
            <w:pPr>
              <w:jc w:val="right"/>
            </w:pPr>
            <w:r>
              <w:rPr>
                <w:color w:val="1C3A36"/>
                <w:sz w:val="14"/>
              </w:rPr>
              <w:t>$1,122</w:t>
            </w:r>
          </w:p>
        </w:tc>
        <w:tc>
          <w:tcPr>
            <w:tcW w:type="dxa" w:w="880"/>
            <w:shd w:val="clear" w:fill="EEF4F1"/>
          </w:tcPr>
          <w:p>
            <w:pPr>
              <w:jc w:val="right"/>
            </w:pPr>
            <w:r>
              <w:rPr>
                <w:color w:val="1C3A36"/>
                <w:sz w:val="14"/>
              </w:rPr>
              <w:t>$1,195</w:t>
            </w:r>
          </w:p>
        </w:tc>
        <w:tc>
          <w:tcPr>
            <w:tcW w:type="dxa" w:w="880"/>
            <w:shd w:val="clear" w:fill="EEF4F1"/>
          </w:tcPr>
          <w:p>
            <w:pPr>
              <w:jc w:val="right"/>
            </w:pPr>
            <w:r>
              <w:rPr>
                <w:color w:val="1C3A36"/>
                <w:sz w:val="14"/>
              </w:rPr>
              <w:t>$1,280</w:t>
            </w:r>
          </w:p>
        </w:tc>
        <w:tc>
          <w:tcPr>
            <w:tcW w:type="dxa" w:w="880"/>
            <w:shd w:val="clear" w:fill="EEF4F1"/>
          </w:tcPr>
          <w:p>
            <w:pPr>
              <w:jc w:val="right"/>
            </w:pPr>
            <w:r>
              <w:rPr>
                <w:color w:val="1C3A36"/>
                <w:sz w:val="14"/>
              </w:rPr>
              <w:t>$1,343</w:t>
            </w:r>
          </w:p>
        </w:tc>
      </w:tr>
      <w:tr>
        <w:tc>
          <w:tcPr>
            <w:tcW w:type="dxa" w:w="2389"/>
          </w:tcPr>
          <w:p>
            <w:pPr>
              <w:jc w:val="left"/>
            </w:pPr>
            <w:r>
              <w:rPr>
                <w:color w:val="1C3A36"/>
                <w:sz w:val="14"/>
              </w:rPr>
              <w:t>Net income</w:t>
            </w:r>
          </w:p>
        </w:tc>
        <w:tc>
          <w:tcPr>
            <w:tcW w:type="dxa" w:w="880"/>
          </w:tcPr>
          <w:p>
            <w:pPr>
              <w:jc w:val="right"/>
            </w:pPr>
            <w:r>
              <w:rPr>
                <w:color w:val="1C3A36"/>
                <w:sz w:val="14"/>
              </w:rPr>
              <w:t>$4,426</w:t>
            </w:r>
          </w:p>
        </w:tc>
        <w:tc>
          <w:tcPr>
            <w:tcW w:type="dxa" w:w="880"/>
          </w:tcPr>
          <w:p>
            <w:pPr>
              <w:jc w:val="right"/>
            </w:pPr>
            <w:r>
              <w:rPr>
                <w:color w:val="1C3A36"/>
                <w:sz w:val="14"/>
              </w:rPr>
              <w:t>$5,001</w:t>
            </w:r>
          </w:p>
        </w:tc>
        <w:tc>
          <w:tcPr>
            <w:tcW w:type="dxa" w:w="880"/>
          </w:tcPr>
          <w:p>
            <w:pPr>
              <w:jc w:val="right"/>
            </w:pPr>
            <w:r>
              <w:rPr>
                <w:color w:val="1C3A36"/>
                <w:sz w:val="14"/>
              </w:rPr>
              <w:t>$5,166</w:t>
            </w:r>
          </w:p>
        </w:tc>
        <w:tc>
          <w:tcPr>
            <w:tcW w:type="dxa" w:w="880"/>
          </w:tcPr>
          <w:p>
            <w:pPr>
              <w:jc w:val="right"/>
            </w:pPr>
            <w:r>
              <w:rPr>
                <w:color w:val="1C3A36"/>
                <w:sz w:val="14"/>
              </w:rPr>
              <w:t>$5,596</w:t>
            </w:r>
          </w:p>
        </w:tc>
        <w:tc>
          <w:tcPr>
            <w:tcW w:type="dxa" w:w="880"/>
          </w:tcPr>
          <w:p>
            <w:pPr>
              <w:jc w:val="right"/>
            </w:pPr>
            <w:r>
              <w:rPr>
                <w:color w:val="1C3A36"/>
                <w:sz w:val="14"/>
              </w:rPr>
              <w:t>$5,890</w:t>
            </w:r>
          </w:p>
        </w:tc>
        <w:tc>
          <w:tcPr>
            <w:tcW w:type="dxa" w:w="880"/>
          </w:tcPr>
          <w:p>
            <w:pPr>
              <w:jc w:val="right"/>
            </w:pPr>
            <w:r>
              <w:rPr>
                <w:color w:val="1C3A36"/>
                <w:sz w:val="14"/>
              </w:rPr>
              <w:t>$6,273</w:t>
            </w:r>
          </w:p>
        </w:tc>
        <w:tc>
          <w:tcPr>
            <w:tcW w:type="dxa" w:w="880"/>
          </w:tcPr>
          <w:p>
            <w:pPr>
              <w:jc w:val="right"/>
            </w:pPr>
            <w:r>
              <w:rPr>
                <w:color w:val="1C3A36"/>
                <w:sz w:val="14"/>
              </w:rPr>
              <w:t>$6,719</w:t>
            </w:r>
          </w:p>
        </w:tc>
        <w:tc>
          <w:tcPr>
            <w:tcW w:type="dxa" w:w="880"/>
          </w:tcPr>
          <w:p>
            <w:pPr>
              <w:jc w:val="right"/>
            </w:pPr>
            <w:r>
              <w:rPr>
                <w:color w:val="1C3A36"/>
                <w:sz w:val="14"/>
              </w:rPr>
              <w:t>$7,053</w:t>
            </w:r>
          </w:p>
        </w:tc>
      </w:tr>
      <w:tr>
        <w:tc>
          <w:tcPr>
            <w:tcW w:type="dxa" w:w="2389"/>
            <w:shd w:val="clear" w:fill="EEF4F1"/>
          </w:tcPr>
          <w:p>
            <w:pPr>
              <w:jc w:val="left"/>
            </w:pPr>
            <w:r>
              <w:rPr>
                <w:color w:val="1C3A36"/>
                <w:sz w:val="14"/>
              </w:rPr>
              <w:t>EPS (AED)</w:t>
            </w:r>
          </w:p>
        </w:tc>
        <w:tc>
          <w:tcPr>
            <w:tcW w:type="dxa" w:w="880"/>
            <w:shd w:val="clear" w:fill="EEF4F1"/>
          </w:tcPr>
          <w:p>
            <w:pPr>
              <w:jc w:val="right"/>
            </w:pPr>
            <w:r>
              <w:rPr>
                <w:color w:val="1C3A36"/>
                <w:sz w:val="14"/>
              </w:rPr>
              <w:t>0.21</w:t>
            </w:r>
          </w:p>
        </w:tc>
        <w:tc>
          <w:tcPr>
            <w:tcW w:type="dxa" w:w="880"/>
            <w:shd w:val="clear" w:fill="EEF4F1"/>
          </w:tcPr>
          <w:p>
            <w:pPr>
              <w:jc w:val="right"/>
            </w:pPr>
            <w:r>
              <w:rPr>
                <w:color w:val="1C3A36"/>
                <w:sz w:val="14"/>
              </w:rPr>
              <w:t>0.24</w:t>
            </w:r>
          </w:p>
        </w:tc>
        <w:tc>
          <w:tcPr>
            <w:tcW w:type="dxa" w:w="880"/>
            <w:shd w:val="clear" w:fill="EEF4F1"/>
          </w:tcPr>
          <w:p>
            <w:pPr>
              <w:jc w:val="right"/>
            </w:pPr>
            <w:r>
              <w:rPr>
                <w:color w:val="1C3A36"/>
                <w:sz w:val="14"/>
              </w:rPr>
              <w:t>0.25</w:t>
            </w:r>
          </w:p>
        </w:tc>
        <w:tc>
          <w:tcPr>
            <w:tcW w:type="dxa" w:w="880"/>
            <w:shd w:val="clear" w:fill="EEF4F1"/>
          </w:tcPr>
          <w:p>
            <w:pPr>
              <w:jc w:val="right"/>
            </w:pPr>
            <w:r>
              <w:rPr>
                <w:color w:val="1C3A36"/>
                <w:sz w:val="14"/>
              </w:rPr>
              <w:t>0.27</w:t>
            </w:r>
          </w:p>
        </w:tc>
        <w:tc>
          <w:tcPr>
            <w:tcW w:type="dxa" w:w="880"/>
            <w:shd w:val="clear" w:fill="EEF4F1"/>
          </w:tcPr>
          <w:p>
            <w:pPr>
              <w:jc w:val="right"/>
            </w:pPr>
            <w:r>
              <w:rPr>
                <w:color w:val="1C3A36"/>
                <w:sz w:val="14"/>
              </w:rPr>
              <w:t>0.28</w:t>
            </w:r>
          </w:p>
        </w:tc>
        <w:tc>
          <w:tcPr>
            <w:tcW w:type="dxa" w:w="880"/>
            <w:shd w:val="clear" w:fill="EEF4F1"/>
          </w:tcPr>
          <w:p>
            <w:pPr>
              <w:jc w:val="right"/>
            </w:pPr>
            <w:r>
              <w:rPr>
                <w:color w:val="1C3A36"/>
                <w:sz w:val="14"/>
              </w:rPr>
              <w:t>0.30</w:t>
            </w:r>
          </w:p>
        </w:tc>
        <w:tc>
          <w:tcPr>
            <w:tcW w:type="dxa" w:w="880"/>
            <w:shd w:val="clear" w:fill="EEF4F1"/>
          </w:tcPr>
          <w:p>
            <w:pPr>
              <w:jc w:val="right"/>
            </w:pPr>
            <w:r>
              <w:rPr>
                <w:color w:val="1C3A36"/>
                <w:sz w:val="14"/>
              </w:rPr>
              <w:t>0.32</w:t>
            </w:r>
          </w:p>
        </w:tc>
        <w:tc>
          <w:tcPr>
            <w:tcW w:type="dxa" w:w="880"/>
            <w:shd w:val="clear" w:fill="EEF4F1"/>
          </w:tcPr>
          <w:p>
            <w:pPr>
              <w:jc w:val="right"/>
            </w:pPr>
            <w:r>
              <w:rPr>
                <w:color w:val="1C3A36"/>
                <w:sz w:val="14"/>
              </w:rPr>
              <w:t>0.34</w:t>
            </w:r>
          </w:p>
        </w:tc>
      </w:tr>
      <w:tr>
        <w:tc>
          <w:tcPr>
            <w:tcW w:type="dxa" w:w="2389"/>
          </w:tcPr>
          <w:p>
            <w:pPr>
              <w:jc w:val="left"/>
            </w:pPr>
            <w:r>
              <w:rPr>
                <w:color w:val="1C3A36"/>
                <w:sz w:val="14"/>
              </w:rPr>
              <w:t>Dividend</w:t>
            </w:r>
          </w:p>
        </w:tc>
        <w:tc>
          <w:tcPr>
            <w:tcW w:type="dxa" w:w="880"/>
          </w:tcPr>
          <w:p>
            <w:pPr>
              <w:jc w:val="right"/>
            </w:pPr>
            <w:r>
              <w:rPr>
                <w:color w:val="1C3A36"/>
                <w:sz w:val="14"/>
              </w:rPr>
              <w:t>$3,250</w:t>
            </w:r>
          </w:p>
        </w:tc>
        <w:tc>
          <w:tcPr>
            <w:tcW w:type="dxa" w:w="880"/>
          </w:tcPr>
          <w:p>
            <w:pPr>
              <w:jc w:val="right"/>
            </w:pPr>
            <w:r>
              <w:rPr>
                <w:color w:val="1C3A36"/>
                <w:sz w:val="14"/>
              </w:rPr>
              <w:t>$3,412</w:t>
            </w:r>
          </w:p>
        </w:tc>
        <w:tc>
          <w:tcPr>
            <w:tcW w:type="dxa" w:w="880"/>
          </w:tcPr>
          <w:p>
            <w:pPr>
              <w:jc w:val="right"/>
            </w:pPr>
            <w:r>
              <w:rPr>
                <w:color w:val="1C3A36"/>
                <w:sz w:val="14"/>
              </w:rPr>
              <w:t>$3,584</w:t>
            </w:r>
          </w:p>
        </w:tc>
        <w:tc>
          <w:tcPr>
            <w:tcW w:type="dxa" w:w="880"/>
          </w:tcPr>
          <w:p>
            <w:pPr>
              <w:jc w:val="right"/>
            </w:pPr>
            <w:r>
              <w:rPr>
                <w:color w:val="1C3A36"/>
                <w:sz w:val="14"/>
              </w:rPr>
              <w:t>$3,763</w:t>
            </w:r>
          </w:p>
        </w:tc>
        <w:tc>
          <w:tcPr>
            <w:tcW w:type="dxa" w:w="880"/>
          </w:tcPr>
          <w:p>
            <w:pPr>
              <w:jc w:val="right"/>
            </w:pPr>
            <w:r>
              <w:rPr>
                <w:color w:val="1C3A36"/>
                <w:sz w:val="14"/>
              </w:rPr>
              <w:t>$3,951</w:t>
            </w:r>
          </w:p>
        </w:tc>
        <w:tc>
          <w:tcPr>
            <w:tcW w:type="dxa" w:w="880"/>
          </w:tcPr>
          <w:p>
            <w:pPr>
              <w:jc w:val="right"/>
            </w:pPr>
            <w:r>
              <w:rPr>
                <w:color w:val="1C3A36"/>
                <w:sz w:val="14"/>
              </w:rPr>
              <w:t>$4,149</w:t>
            </w:r>
          </w:p>
        </w:tc>
        <w:tc>
          <w:tcPr>
            <w:tcW w:type="dxa" w:w="880"/>
          </w:tcPr>
          <w:p>
            <w:pPr>
              <w:jc w:val="right"/>
            </w:pPr>
            <w:r>
              <w:rPr>
                <w:color w:val="1C3A36"/>
                <w:sz w:val="14"/>
              </w:rPr>
              <w:t>$4,356</w:t>
            </w:r>
          </w:p>
        </w:tc>
        <w:tc>
          <w:tcPr>
            <w:tcW w:type="dxa" w:w="880"/>
          </w:tcPr>
          <w:p>
            <w:pPr>
              <w:jc w:val="right"/>
            </w:pPr>
            <w:r>
              <w:rPr>
                <w:color w:val="1C3A36"/>
                <w:sz w:val="14"/>
              </w:rPr>
              <w:t>$4,574</w:t>
            </w:r>
          </w:p>
        </w:tc>
      </w:tr>
      <w:tr>
        <w:tc>
          <w:tcPr>
            <w:tcW w:type="dxa" w:w="2389"/>
            <w:shd w:val="clear" w:fill="EEF4F1"/>
          </w:tcPr>
          <w:p>
            <w:pPr>
              <w:jc w:val="left"/>
            </w:pPr>
            <w:r>
              <w:rPr>
                <w:color w:val="1C3A36"/>
                <w:sz w:val="14"/>
              </w:rPr>
              <w:t>DPS (AED)</w:t>
            </w:r>
          </w:p>
        </w:tc>
        <w:tc>
          <w:tcPr>
            <w:tcW w:type="dxa" w:w="880"/>
            <w:shd w:val="clear" w:fill="EEF4F1"/>
          </w:tcPr>
          <w:p>
            <w:pPr>
              <w:jc w:val="right"/>
            </w:pPr>
            <w:r>
              <w:rPr>
                <w:color w:val="1C3A36"/>
                <w:sz w:val="14"/>
              </w:rPr>
              <w:t>0.16</w:t>
            </w:r>
          </w:p>
        </w:tc>
        <w:tc>
          <w:tcPr>
            <w:tcW w:type="dxa" w:w="880"/>
            <w:shd w:val="clear" w:fill="EEF4F1"/>
          </w:tcPr>
          <w:p>
            <w:pPr>
              <w:jc w:val="right"/>
            </w:pPr>
            <w:r>
              <w:rPr>
                <w:color w:val="1C3A36"/>
                <w:sz w:val="14"/>
              </w:rPr>
              <w:t>0.16</w:t>
            </w:r>
          </w:p>
        </w:tc>
        <w:tc>
          <w:tcPr>
            <w:tcW w:type="dxa" w:w="880"/>
            <w:shd w:val="clear" w:fill="EEF4F1"/>
          </w:tcPr>
          <w:p>
            <w:pPr>
              <w:jc w:val="right"/>
            </w:pPr>
            <w:r>
              <w:rPr>
                <w:color w:val="1C3A36"/>
                <w:sz w:val="14"/>
              </w:rPr>
              <w:t>0.17</w:t>
            </w:r>
          </w:p>
        </w:tc>
        <w:tc>
          <w:tcPr>
            <w:tcW w:type="dxa" w:w="880"/>
            <w:shd w:val="clear" w:fill="EEF4F1"/>
          </w:tcPr>
          <w:p>
            <w:pPr>
              <w:jc w:val="right"/>
            </w:pPr>
            <w:r>
              <w:rPr>
                <w:color w:val="1C3A36"/>
                <w:sz w:val="14"/>
              </w:rPr>
              <w:t>0.18</w:t>
            </w:r>
          </w:p>
        </w:tc>
        <w:tc>
          <w:tcPr>
            <w:tcW w:type="dxa" w:w="880"/>
            <w:shd w:val="clear" w:fill="EEF4F1"/>
          </w:tcPr>
          <w:p>
            <w:pPr>
              <w:jc w:val="right"/>
            </w:pPr>
            <w:r>
              <w:rPr>
                <w:color w:val="1C3A36"/>
                <w:sz w:val="14"/>
              </w:rPr>
              <w:t>0.19</w:t>
            </w:r>
          </w:p>
        </w:tc>
        <w:tc>
          <w:tcPr>
            <w:tcW w:type="dxa" w:w="880"/>
            <w:shd w:val="clear" w:fill="EEF4F1"/>
          </w:tcPr>
          <w:p>
            <w:pPr>
              <w:jc w:val="right"/>
            </w:pPr>
            <w:r>
              <w:rPr>
                <w:color w:val="1C3A36"/>
                <w:sz w:val="14"/>
              </w:rPr>
              <w:t>0.20</w:t>
            </w:r>
          </w:p>
        </w:tc>
        <w:tc>
          <w:tcPr>
            <w:tcW w:type="dxa" w:w="880"/>
            <w:shd w:val="clear" w:fill="EEF4F1"/>
          </w:tcPr>
          <w:p>
            <w:pPr>
              <w:jc w:val="right"/>
            </w:pPr>
            <w:r>
              <w:rPr>
                <w:color w:val="1C3A36"/>
                <w:sz w:val="14"/>
              </w:rPr>
              <w:t>0.21</w:t>
            </w:r>
          </w:p>
        </w:tc>
        <w:tc>
          <w:tcPr>
            <w:tcW w:type="dxa" w:w="880"/>
            <w:shd w:val="clear" w:fill="EEF4F1"/>
          </w:tcPr>
          <w:p>
            <w:pPr>
              <w:jc w:val="right"/>
            </w:pPr>
            <w:r>
              <w:rPr>
                <w:color w:val="1C3A36"/>
                <w:sz w:val="14"/>
              </w:rPr>
              <w:t>0.22</w:t>
            </w:r>
          </w:p>
        </w:tc>
      </w:tr>
      <w:tr>
        <w:tc>
          <w:tcPr>
            <w:tcW w:type="dxa" w:w="2389"/>
          </w:tcPr>
          <w:p>
            <w:pPr>
              <w:jc w:val="left"/>
            </w:pPr>
            <w:r>
              <w:rPr>
                <w:color w:val="1C3A36"/>
                <w:sz w:val="14"/>
              </w:rPr>
              <w:t>Payout ratio</w:t>
            </w:r>
          </w:p>
        </w:tc>
        <w:tc>
          <w:tcPr>
            <w:tcW w:type="dxa" w:w="880"/>
          </w:tcPr>
          <w:p>
            <w:pPr>
              <w:jc w:val="right"/>
            </w:pPr>
            <w:r>
              <w:rPr>
                <w:color w:val="1C3A36"/>
                <w:sz w:val="14"/>
              </w:rPr>
              <w:t>73.4%</w:t>
            </w:r>
          </w:p>
        </w:tc>
        <w:tc>
          <w:tcPr>
            <w:tcW w:type="dxa" w:w="880"/>
          </w:tcPr>
          <w:p>
            <w:pPr>
              <w:jc w:val="right"/>
            </w:pPr>
            <w:r>
              <w:rPr>
                <w:color w:val="1C3A36"/>
                <w:sz w:val="14"/>
              </w:rPr>
              <w:t>68.2%</w:t>
            </w:r>
          </w:p>
        </w:tc>
        <w:tc>
          <w:tcPr>
            <w:tcW w:type="dxa" w:w="880"/>
          </w:tcPr>
          <w:p>
            <w:pPr>
              <w:jc w:val="right"/>
            </w:pPr>
            <w:r>
              <w:rPr>
                <w:color w:val="1C3A36"/>
                <w:sz w:val="14"/>
              </w:rPr>
              <w:t>69.4%</w:t>
            </w:r>
          </w:p>
        </w:tc>
        <w:tc>
          <w:tcPr>
            <w:tcW w:type="dxa" w:w="880"/>
          </w:tcPr>
          <w:p>
            <w:pPr>
              <w:jc w:val="right"/>
            </w:pPr>
            <w:r>
              <w:rPr>
                <w:color w:val="1C3A36"/>
                <w:sz w:val="14"/>
              </w:rPr>
              <w:t>67.3%</w:t>
            </w:r>
          </w:p>
        </w:tc>
        <w:tc>
          <w:tcPr>
            <w:tcW w:type="dxa" w:w="880"/>
          </w:tcPr>
          <w:p>
            <w:pPr>
              <w:jc w:val="right"/>
            </w:pPr>
            <w:r>
              <w:rPr>
                <w:color w:val="1C3A36"/>
                <w:sz w:val="14"/>
              </w:rPr>
              <w:t>67.1%</w:t>
            </w:r>
          </w:p>
        </w:tc>
        <w:tc>
          <w:tcPr>
            <w:tcW w:type="dxa" w:w="880"/>
          </w:tcPr>
          <w:p>
            <w:pPr>
              <w:jc w:val="right"/>
            </w:pPr>
            <w:r>
              <w:rPr>
                <w:color w:val="1C3A36"/>
                <w:sz w:val="14"/>
              </w:rPr>
              <w:t>66.1%</w:t>
            </w:r>
          </w:p>
        </w:tc>
        <w:tc>
          <w:tcPr>
            <w:tcW w:type="dxa" w:w="880"/>
          </w:tcPr>
          <w:p>
            <w:pPr>
              <w:jc w:val="right"/>
            </w:pPr>
            <w:r>
              <w:rPr>
                <w:color w:val="1C3A36"/>
                <w:sz w:val="14"/>
              </w:rPr>
              <w:t>64.8%</w:t>
            </w:r>
          </w:p>
        </w:tc>
        <w:tc>
          <w:tcPr>
            <w:tcW w:type="dxa" w:w="880"/>
          </w:tcPr>
          <w:p>
            <w:pPr>
              <w:jc w:val="right"/>
            </w:pPr>
            <w:r>
              <w:rPr>
                <w:color w:val="1C3A36"/>
                <w:sz w:val="14"/>
              </w:rPr>
              <w:t>64.9%</w:t>
            </w:r>
          </w:p>
        </w:tc>
      </w:tr>
    </w:tbl>
    <w:p>
      <w:r>
        <w:rPr>
          <w:i/>
          <w:color w:val="5A5A50"/>
          <w:sz w:val="16"/>
        </w:rPr>
        <w:t>Source: ADNOC Gas FY2024/FY2025 results; forecast per model.</w:t>
      </w:r>
    </w:p>
    <w:p/>
    <w:p>
      <w:r>
        <w:rPr>
          <w:b/>
          <w:color w:val="17786B"/>
          <w:sz w:val="23"/>
        </w:rPr>
        <w:t>A.2  Balance sheet</w:t>
      </w:r>
    </w:p>
    <w:tbl>
      <w:tblPr>
        <w:tblStyle w:val="TableGrid"/>
        <w:tblW w:type="auto" w:w="0"/>
        <w:jc w:val="center"/>
        <w:tblLayout w:type="fixed"/>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389"/>
            <w:shd w:val="clear" w:fill="0F5E54"/>
          </w:tcPr>
          <w:p>
            <w:pPr>
              <w:jc w:val="left"/>
            </w:pPr>
            <w:r>
              <w:rPr>
                <w:b/>
                <w:color w:val="FFFFFF"/>
                <w:sz w:val="14"/>
              </w:rPr>
              <w:t>USD m</w:t>
            </w:r>
          </w:p>
        </w:tc>
        <w:tc>
          <w:tcPr>
            <w:tcW w:type="dxa" w:w="880"/>
            <w:shd w:val="clear" w:fill="0F5E54"/>
          </w:tcPr>
          <w:p>
            <w:pPr>
              <w:jc w:val="center"/>
            </w:pPr>
            <w:r>
              <w:rPr>
                <w:b/>
                <w:color w:val="FFFFFF"/>
                <w:sz w:val="14"/>
              </w:rPr>
              <w:t>2023</w:t>
            </w:r>
          </w:p>
        </w:tc>
        <w:tc>
          <w:tcPr>
            <w:tcW w:type="dxa" w:w="880"/>
            <w:shd w:val="clear" w:fill="0F5E54"/>
          </w:tcPr>
          <w:p>
            <w:pPr>
              <w:jc w:val="center"/>
            </w:pPr>
            <w:r>
              <w:rPr>
                <w:b/>
                <w:color w:val="FFFFFF"/>
                <w:sz w:val="14"/>
              </w:rPr>
              <w:t>2024</w:t>
            </w:r>
          </w:p>
        </w:tc>
        <w:tc>
          <w:tcPr>
            <w:tcW w:type="dxa" w:w="880"/>
            <w:shd w:val="clear" w:fill="0F5E54"/>
          </w:tcPr>
          <w:p>
            <w:pPr>
              <w:jc w:val="center"/>
            </w:pPr>
            <w:r>
              <w:rPr>
                <w:b/>
                <w:color w:val="FFFFFF"/>
                <w:sz w:val="14"/>
              </w:rPr>
              <w:t>2025</w:t>
            </w:r>
          </w:p>
        </w:tc>
        <w:tc>
          <w:tcPr>
            <w:tcW w:type="dxa" w:w="880"/>
            <w:shd w:val="clear" w:fill="0F5E54"/>
          </w:tcPr>
          <w:p>
            <w:pPr>
              <w:jc w:val="center"/>
            </w:pPr>
            <w:r>
              <w:rPr>
                <w:b/>
                <w:color w:val="FFFFFF"/>
                <w:sz w:val="14"/>
              </w:rPr>
              <w:t>2026E</w:t>
            </w:r>
          </w:p>
        </w:tc>
        <w:tc>
          <w:tcPr>
            <w:tcW w:type="dxa" w:w="880"/>
            <w:shd w:val="clear" w:fill="0F5E54"/>
          </w:tcPr>
          <w:p>
            <w:pPr>
              <w:jc w:val="center"/>
            </w:pPr>
            <w:r>
              <w:rPr>
                <w:b/>
                <w:color w:val="FFFFFF"/>
                <w:sz w:val="14"/>
              </w:rPr>
              <w:t>2027E</w:t>
            </w:r>
          </w:p>
        </w:tc>
        <w:tc>
          <w:tcPr>
            <w:tcW w:type="dxa" w:w="880"/>
            <w:shd w:val="clear" w:fill="0F5E54"/>
          </w:tcPr>
          <w:p>
            <w:pPr>
              <w:jc w:val="center"/>
            </w:pPr>
            <w:r>
              <w:rPr>
                <w:b/>
                <w:color w:val="FFFFFF"/>
                <w:sz w:val="14"/>
              </w:rPr>
              <w:t>2028E</w:t>
            </w:r>
          </w:p>
        </w:tc>
        <w:tc>
          <w:tcPr>
            <w:tcW w:type="dxa" w:w="880"/>
            <w:shd w:val="clear" w:fill="0F5E54"/>
          </w:tcPr>
          <w:p>
            <w:pPr>
              <w:jc w:val="center"/>
            </w:pPr>
            <w:r>
              <w:rPr>
                <w:b/>
                <w:color w:val="FFFFFF"/>
                <w:sz w:val="14"/>
              </w:rPr>
              <w:t>2029E</w:t>
            </w:r>
          </w:p>
        </w:tc>
        <w:tc>
          <w:tcPr>
            <w:tcW w:type="dxa" w:w="880"/>
            <w:shd w:val="clear" w:fill="0F5E54"/>
          </w:tcPr>
          <w:p>
            <w:pPr>
              <w:jc w:val="center"/>
            </w:pPr>
            <w:r>
              <w:rPr>
                <w:b/>
                <w:color w:val="FFFFFF"/>
                <w:sz w:val="14"/>
              </w:rPr>
              <w:t>2030E</w:t>
            </w:r>
          </w:p>
        </w:tc>
      </w:tr>
      <w:tr>
        <w:tc>
          <w:tcPr>
            <w:tcW w:type="dxa" w:w="2389"/>
          </w:tcPr>
          <w:p>
            <w:pPr>
              <w:jc w:val="left"/>
            </w:pPr>
            <w:r>
              <w:rPr>
                <w:color w:val="1C3A36"/>
                <w:sz w:val="14"/>
              </w:rPr>
              <w:t>Cash &amp; equivalents</w:t>
            </w:r>
          </w:p>
        </w:tc>
        <w:tc>
          <w:tcPr>
            <w:tcW w:type="dxa" w:w="880"/>
          </w:tcPr>
          <w:p>
            <w:pPr>
              <w:jc w:val="right"/>
            </w:pPr>
            <w:r>
              <w:rPr>
                <w:color w:val="1C3A36"/>
                <w:sz w:val="14"/>
              </w:rPr>
              <w:t>$3,500</w:t>
            </w:r>
          </w:p>
        </w:tc>
        <w:tc>
          <w:tcPr>
            <w:tcW w:type="dxa" w:w="880"/>
          </w:tcPr>
          <w:p>
            <w:pPr>
              <w:jc w:val="right"/>
            </w:pPr>
            <w:r>
              <w:rPr>
                <w:color w:val="1C3A36"/>
                <w:sz w:val="14"/>
              </w:rPr>
              <w:t>$4,200</w:t>
            </w:r>
          </w:p>
        </w:tc>
        <w:tc>
          <w:tcPr>
            <w:tcW w:type="dxa" w:w="880"/>
          </w:tcPr>
          <w:p>
            <w:pPr>
              <w:jc w:val="right"/>
            </w:pPr>
            <w:r>
              <w:rPr>
                <w:color w:val="1C3A36"/>
                <w:sz w:val="14"/>
              </w:rPr>
              <w:t>$5,060</w:t>
            </w:r>
          </w:p>
        </w:tc>
        <w:tc>
          <w:tcPr>
            <w:tcW w:type="dxa" w:w="880"/>
          </w:tcPr>
          <w:p>
            <w:pPr>
              <w:jc w:val="right"/>
            </w:pPr>
            <w:r>
              <w:rPr>
                <w:color w:val="1C3A36"/>
                <w:sz w:val="14"/>
              </w:rPr>
              <w:t>$5,442</w:t>
            </w:r>
          </w:p>
        </w:tc>
        <w:tc>
          <w:tcPr>
            <w:tcW w:type="dxa" w:w="880"/>
          </w:tcPr>
          <w:p>
            <w:pPr>
              <w:jc w:val="right"/>
            </w:pPr>
            <w:r>
              <w:rPr>
                <w:color w:val="1C3A36"/>
                <w:sz w:val="14"/>
              </w:rPr>
              <w:t>$6,482</w:t>
            </w:r>
          </w:p>
        </w:tc>
        <w:tc>
          <w:tcPr>
            <w:tcW w:type="dxa" w:w="880"/>
          </w:tcPr>
          <w:p>
            <w:pPr>
              <w:jc w:val="right"/>
            </w:pPr>
            <w:r>
              <w:rPr>
                <w:color w:val="1C3A36"/>
                <w:sz w:val="14"/>
              </w:rPr>
              <w:t>$7,556</w:t>
            </w:r>
          </w:p>
        </w:tc>
        <w:tc>
          <w:tcPr>
            <w:tcW w:type="dxa" w:w="880"/>
          </w:tcPr>
          <w:p>
            <w:pPr>
              <w:jc w:val="right"/>
            </w:pPr>
            <w:r>
              <w:rPr>
                <w:color w:val="1C3A36"/>
                <w:sz w:val="14"/>
              </w:rPr>
              <w:t>$10,819</w:t>
            </w:r>
          </w:p>
        </w:tc>
        <w:tc>
          <w:tcPr>
            <w:tcW w:type="dxa" w:w="880"/>
          </w:tcPr>
          <w:p>
            <w:pPr>
              <w:jc w:val="right"/>
            </w:pPr>
            <w:r>
              <w:rPr>
                <w:color w:val="1C3A36"/>
                <w:sz w:val="14"/>
              </w:rPr>
              <w:t>$14,047</w:t>
            </w:r>
          </w:p>
        </w:tc>
      </w:tr>
      <w:tr>
        <w:tc>
          <w:tcPr>
            <w:tcW w:type="dxa" w:w="2389"/>
            <w:shd w:val="clear" w:fill="EEF4F1"/>
          </w:tcPr>
          <w:p>
            <w:pPr>
              <w:jc w:val="left"/>
            </w:pPr>
            <w:r>
              <w:rPr>
                <w:color w:val="1C3A36"/>
                <w:sz w:val="14"/>
              </w:rPr>
              <w:t>Trade &amp; other receivables</w:t>
            </w:r>
          </w:p>
        </w:tc>
        <w:tc>
          <w:tcPr>
            <w:tcW w:type="dxa" w:w="880"/>
            <w:shd w:val="clear" w:fill="EEF4F1"/>
          </w:tcPr>
          <w:p>
            <w:pPr>
              <w:jc w:val="right"/>
            </w:pPr>
            <w:r>
              <w:rPr>
                <w:color w:val="1C3A36"/>
                <w:sz w:val="14"/>
              </w:rPr>
              <w:t>$2,500</w:t>
            </w:r>
          </w:p>
        </w:tc>
        <w:tc>
          <w:tcPr>
            <w:tcW w:type="dxa" w:w="880"/>
            <w:shd w:val="clear" w:fill="EEF4F1"/>
          </w:tcPr>
          <w:p>
            <w:pPr>
              <w:jc w:val="right"/>
            </w:pPr>
            <w:r>
              <w:rPr>
                <w:color w:val="1C3A36"/>
                <w:sz w:val="14"/>
              </w:rPr>
              <w:t>$2,700</w:t>
            </w:r>
          </w:p>
        </w:tc>
        <w:tc>
          <w:tcPr>
            <w:tcW w:type="dxa" w:w="880"/>
            <w:shd w:val="clear" w:fill="EEF4F1"/>
          </w:tcPr>
          <w:p>
            <w:pPr>
              <w:jc w:val="right"/>
            </w:pPr>
            <w:r>
              <w:rPr>
                <w:color w:val="1C3A36"/>
                <w:sz w:val="14"/>
              </w:rPr>
              <w:t>$2,600</w:t>
            </w:r>
          </w:p>
        </w:tc>
        <w:tc>
          <w:tcPr>
            <w:tcW w:type="dxa" w:w="880"/>
            <w:shd w:val="clear" w:fill="EEF4F1"/>
          </w:tcPr>
          <w:p>
            <w:pPr>
              <w:jc w:val="right"/>
            </w:pPr>
            <w:r>
              <w:rPr>
                <w:color w:val="1C3A36"/>
                <w:sz w:val="14"/>
              </w:rPr>
              <w:t>$2,653</w:t>
            </w:r>
          </w:p>
        </w:tc>
        <w:tc>
          <w:tcPr>
            <w:tcW w:type="dxa" w:w="880"/>
            <w:shd w:val="clear" w:fill="EEF4F1"/>
          </w:tcPr>
          <w:p>
            <w:pPr>
              <w:jc w:val="right"/>
            </w:pPr>
            <w:r>
              <w:rPr>
                <w:color w:val="1C3A36"/>
                <w:sz w:val="14"/>
              </w:rPr>
              <w:t>$2,780</w:t>
            </w:r>
          </w:p>
        </w:tc>
        <w:tc>
          <w:tcPr>
            <w:tcW w:type="dxa" w:w="880"/>
            <w:shd w:val="clear" w:fill="EEF4F1"/>
          </w:tcPr>
          <w:p>
            <w:pPr>
              <w:jc w:val="right"/>
            </w:pPr>
            <w:r>
              <w:rPr>
                <w:color w:val="1C3A36"/>
                <w:sz w:val="14"/>
              </w:rPr>
              <w:t>$2,980</w:t>
            </w:r>
          </w:p>
        </w:tc>
        <w:tc>
          <w:tcPr>
            <w:tcW w:type="dxa" w:w="880"/>
            <w:shd w:val="clear" w:fill="EEF4F1"/>
          </w:tcPr>
          <w:p>
            <w:pPr>
              <w:jc w:val="right"/>
            </w:pPr>
            <w:r>
              <w:rPr>
                <w:color w:val="1C3A36"/>
                <w:sz w:val="14"/>
              </w:rPr>
              <w:t>$3,146</w:t>
            </w:r>
          </w:p>
        </w:tc>
        <w:tc>
          <w:tcPr>
            <w:tcW w:type="dxa" w:w="880"/>
            <w:shd w:val="clear" w:fill="EEF4F1"/>
          </w:tcPr>
          <w:p>
            <w:pPr>
              <w:jc w:val="right"/>
            </w:pPr>
            <w:r>
              <w:rPr>
                <w:color w:val="1C3A36"/>
                <w:sz w:val="14"/>
              </w:rPr>
              <w:t>$3,279</w:t>
            </w:r>
          </w:p>
        </w:tc>
      </w:tr>
      <w:tr>
        <w:tc>
          <w:tcPr>
            <w:tcW w:type="dxa" w:w="2389"/>
          </w:tcPr>
          <w:p>
            <w:pPr>
              <w:jc w:val="left"/>
            </w:pPr>
            <w:r>
              <w:rPr>
                <w:color w:val="1C3A36"/>
                <w:sz w:val="14"/>
              </w:rPr>
              <w:t>Inventory</w:t>
            </w:r>
          </w:p>
        </w:tc>
        <w:tc>
          <w:tcPr>
            <w:tcW w:type="dxa" w:w="880"/>
          </w:tcPr>
          <w:p>
            <w:pPr>
              <w:jc w:val="right"/>
            </w:pPr>
            <w:r>
              <w:rPr>
                <w:color w:val="1C3A36"/>
                <w:sz w:val="14"/>
              </w:rPr>
              <w:t>$300</w:t>
            </w:r>
          </w:p>
        </w:tc>
        <w:tc>
          <w:tcPr>
            <w:tcW w:type="dxa" w:w="880"/>
          </w:tcPr>
          <w:p>
            <w:pPr>
              <w:jc w:val="right"/>
            </w:pPr>
            <w:r>
              <w:rPr>
                <w:color w:val="1C3A36"/>
                <w:sz w:val="14"/>
              </w:rPr>
              <w:t>$320</w:t>
            </w:r>
          </w:p>
        </w:tc>
        <w:tc>
          <w:tcPr>
            <w:tcW w:type="dxa" w:w="880"/>
          </w:tcPr>
          <w:p>
            <w:pPr>
              <w:jc w:val="right"/>
            </w:pPr>
            <w:r>
              <w:rPr>
                <w:color w:val="1C3A36"/>
                <w:sz w:val="14"/>
              </w:rPr>
              <w:t>$300</w:t>
            </w:r>
          </w:p>
        </w:tc>
        <w:tc>
          <w:tcPr>
            <w:tcW w:type="dxa" w:w="880"/>
          </w:tcPr>
          <w:p>
            <w:pPr>
              <w:jc w:val="right"/>
            </w:pPr>
            <w:r>
              <w:rPr>
                <w:color w:val="1C3A36"/>
                <w:sz w:val="14"/>
              </w:rPr>
              <w:t>$306</w:t>
            </w:r>
          </w:p>
        </w:tc>
        <w:tc>
          <w:tcPr>
            <w:tcW w:type="dxa" w:w="880"/>
          </w:tcPr>
          <w:p>
            <w:pPr>
              <w:jc w:val="right"/>
            </w:pPr>
            <w:r>
              <w:rPr>
                <w:color w:val="1C3A36"/>
                <w:sz w:val="14"/>
              </w:rPr>
              <w:t>$321</w:t>
            </w:r>
          </w:p>
        </w:tc>
        <w:tc>
          <w:tcPr>
            <w:tcW w:type="dxa" w:w="880"/>
          </w:tcPr>
          <w:p>
            <w:pPr>
              <w:jc w:val="right"/>
            </w:pPr>
            <w:r>
              <w:rPr>
                <w:color w:val="1C3A36"/>
                <w:sz w:val="14"/>
              </w:rPr>
              <w:t>$344</w:t>
            </w:r>
          </w:p>
        </w:tc>
        <w:tc>
          <w:tcPr>
            <w:tcW w:type="dxa" w:w="880"/>
          </w:tcPr>
          <w:p>
            <w:pPr>
              <w:jc w:val="right"/>
            </w:pPr>
            <w:r>
              <w:rPr>
                <w:color w:val="1C3A36"/>
                <w:sz w:val="14"/>
              </w:rPr>
              <w:t>$363</w:t>
            </w:r>
          </w:p>
        </w:tc>
        <w:tc>
          <w:tcPr>
            <w:tcW w:type="dxa" w:w="880"/>
          </w:tcPr>
          <w:p>
            <w:pPr>
              <w:jc w:val="right"/>
            </w:pPr>
            <w:r>
              <w:rPr>
                <w:color w:val="1C3A36"/>
                <w:sz w:val="14"/>
              </w:rPr>
              <w:t>$378</w:t>
            </w:r>
          </w:p>
        </w:tc>
      </w:tr>
      <w:tr>
        <w:tc>
          <w:tcPr>
            <w:tcW w:type="dxa" w:w="2389"/>
            <w:shd w:val="clear" w:fill="EEF4F1"/>
          </w:tcPr>
          <w:p>
            <w:pPr>
              <w:jc w:val="left"/>
            </w:pPr>
            <w:r>
              <w:rPr>
                <w:color w:val="1C3A36"/>
                <w:sz w:val="14"/>
              </w:rPr>
              <w:t>Investments in JV/assoc.</w:t>
            </w:r>
          </w:p>
        </w:tc>
        <w:tc>
          <w:tcPr>
            <w:tcW w:type="dxa" w:w="880"/>
            <w:shd w:val="clear" w:fill="EEF4F1"/>
          </w:tcPr>
          <w:p>
            <w:pPr>
              <w:jc w:val="right"/>
            </w:pPr>
            <w:r>
              <w:rPr>
                <w:color w:val="1C3A36"/>
                <w:sz w:val="14"/>
              </w:rPr>
              <w:t>$5,600</w:t>
            </w:r>
          </w:p>
        </w:tc>
        <w:tc>
          <w:tcPr>
            <w:tcW w:type="dxa" w:w="880"/>
            <w:shd w:val="clear" w:fill="EEF4F1"/>
          </w:tcPr>
          <w:p>
            <w:pPr>
              <w:jc w:val="right"/>
            </w:pPr>
            <w:r>
              <w:rPr>
                <w:color w:val="1C3A36"/>
                <w:sz w:val="14"/>
              </w:rPr>
              <w:t>$5,800</w:t>
            </w:r>
          </w:p>
        </w:tc>
        <w:tc>
          <w:tcPr>
            <w:tcW w:type="dxa" w:w="880"/>
            <w:shd w:val="clear" w:fill="EEF4F1"/>
          </w:tcPr>
          <w:p>
            <w:pPr>
              <w:jc w:val="right"/>
            </w:pPr>
            <w:r>
              <w:rPr>
                <w:color w:val="1C3A36"/>
                <w:sz w:val="14"/>
              </w:rPr>
              <w:t>$6,000</w:t>
            </w:r>
          </w:p>
        </w:tc>
        <w:tc>
          <w:tcPr>
            <w:tcW w:type="dxa" w:w="880"/>
            <w:shd w:val="clear" w:fill="EEF4F1"/>
          </w:tcPr>
          <w:p>
            <w:pPr>
              <w:jc w:val="right"/>
            </w:pPr>
            <w:r>
              <w:rPr>
                <w:color w:val="1C3A36"/>
                <w:sz w:val="14"/>
              </w:rPr>
              <w:t>$6,000</w:t>
            </w:r>
          </w:p>
        </w:tc>
        <w:tc>
          <w:tcPr>
            <w:tcW w:type="dxa" w:w="880"/>
            <w:shd w:val="clear" w:fill="EEF4F1"/>
          </w:tcPr>
          <w:p>
            <w:pPr>
              <w:jc w:val="right"/>
            </w:pPr>
            <w:r>
              <w:rPr>
                <w:color w:val="1C3A36"/>
                <w:sz w:val="14"/>
              </w:rPr>
              <w:t>$6,000</w:t>
            </w:r>
          </w:p>
        </w:tc>
        <w:tc>
          <w:tcPr>
            <w:tcW w:type="dxa" w:w="880"/>
            <w:shd w:val="clear" w:fill="EEF4F1"/>
          </w:tcPr>
          <w:p>
            <w:pPr>
              <w:jc w:val="right"/>
            </w:pPr>
            <w:r>
              <w:rPr>
                <w:color w:val="1C3A36"/>
                <w:sz w:val="14"/>
              </w:rPr>
              <w:t>$6,000</w:t>
            </w:r>
          </w:p>
        </w:tc>
        <w:tc>
          <w:tcPr>
            <w:tcW w:type="dxa" w:w="880"/>
            <w:shd w:val="clear" w:fill="EEF4F1"/>
          </w:tcPr>
          <w:p>
            <w:pPr>
              <w:jc w:val="right"/>
            </w:pPr>
            <w:r>
              <w:rPr>
                <w:color w:val="1C3A36"/>
                <w:sz w:val="14"/>
              </w:rPr>
              <w:t>$6,000</w:t>
            </w:r>
          </w:p>
        </w:tc>
        <w:tc>
          <w:tcPr>
            <w:tcW w:type="dxa" w:w="880"/>
            <w:shd w:val="clear" w:fill="EEF4F1"/>
          </w:tcPr>
          <w:p>
            <w:pPr>
              <w:jc w:val="right"/>
            </w:pPr>
            <w:r>
              <w:rPr>
                <w:color w:val="1C3A36"/>
                <w:sz w:val="14"/>
              </w:rPr>
              <w:t>$6,000</w:t>
            </w:r>
          </w:p>
        </w:tc>
      </w:tr>
      <w:tr>
        <w:tc>
          <w:tcPr>
            <w:tcW w:type="dxa" w:w="2389"/>
          </w:tcPr>
          <w:p>
            <w:pPr>
              <w:jc w:val="left"/>
            </w:pPr>
            <w:r>
              <w:rPr>
                <w:color w:val="1C3A36"/>
                <w:sz w:val="14"/>
              </w:rPr>
              <w:t>PP&amp;E &amp; intangibles</w:t>
            </w:r>
          </w:p>
        </w:tc>
        <w:tc>
          <w:tcPr>
            <w:tcW w:type="dxa" w:w="880"/>
          </w:tcPr>
          <w:p>
            <w:pPr>
              <w:jc w:val="right"/>
            </w:pPr>
            <w:r>
              <w:rPr>
                <w:color w:val="1C3A36"/>
                <w:sz w:val="14"/>
              </w:rPr>
              <w:t>$14,980</w:t>
            </w:r>
          </w:p>
        </w:tc>
        <w:tc>
          <w:tcPr>
            <w:tcW w:type="dxa" w:w="880"/>
          </w:tcPr>
          <w:p>
            <w:pPr>
              <w:jc w:val="right"/>
            </w:pPr>
            <w:r>
              <w:rPr>
                <w:color w:val="1C3A36"/>
                <w:sz w:val="14"/>
              </w:rPr>
              <w:t>$16,300</w:t>
            </w:r>
          </w:p>
        </w:tc>
        <w:tc>
          <w:tcPr>
            <w:tcW w:type="dxa" w:w="880"/>
          </w:tcPr>
          <w:p>
            <w:pPr>
              <w:jc w:val="right"/>
            </w:pPr>
            <w:r>
              <w:rPr>
                <w:color w:val="1C3A36"/>
                <w:sz w:val="14"/>
              </w:rPr>
              <w:t>$18,040</w:t>
            </w:r>
          </w:p>
        </w:tc>
        <w:tc>
          <w:tcPr>
            <w:tcW w:type="dxa" w:w="880"/>
          </w:tcPr>
          <w:p>
            <w:pPr>
              <w:jc w:val="right"/>
            </w:pPr>
            <w:r>
              <w:rPr>
                <w:color w:val="1C3A36"/>
                <w:sz w:val="14"/>
              </w:rPr>
              <w:t>$19,340</w:t>
            </w:r>
          </w:p>
        </w:tc>
        <w:tc>
          <w:tcPr>
            <w:tcW w:type="dxa" w:w="880"/>
          </w:tcPr>
          <w:p>
            <w:pPr>
              <w:jc w:val="right"/>
            </w:pPr>
            <w:r>
              <w:rPr>
                <w:color w:val="1C3A36"/>
                <w:sz w:val="14"/>
              </w:rPr>
              <w:t>$20,090</w:t>
            </w:r>
          </w:p>
        </w:tc>
        <w:tc>
          <w:tcPr>
            <w:tcW w:type="dxa" w:w="880"/>
          </w:tcPr>
          <w:p>
            <w:pPr>
              <w:jc w:val="right"/>
            </w:pPr>
            <w:r>
              <w:rPr>
                <w:color w:val="1C3A36"/>
                <w:sz w:val="14"/>
              </w:rPr>
              <w:t>$20,940</w:t>
            </w:r>
          </w:p>
        </w:tc>
        <w:tc>
          <w:tcPr>
            <w:tcW w:type="dxa" w:w="880"/>
          </w:tcPr>
          <w:p>
            <w:pPr>
              <w:jc w:val="right"/>
            </w:pPr>
            <w:r>
              <w:rPr>
                <w:color w:val="1C3A36"/>
                <w:sz w:val="14"/>
              </w:rPr>
              <w:t>$19,890</w:t>
            </w:r>
          </w:p>
        </w:tc>
        <w:tc>
          <w:tcPr>
            <w:tcW w:type="dxa" w:w="880"/>
          </w:tcPr>
          <w:p>
            <w:pPr>
              <w:jc w:val="right"/>
            </w:pPr>
            <w:r>
              <w:rPr>
                <w:color w:val="1C3A36"/>
                <w:sz w:val="14"/>
              </w:rPr>
              <w:t>$18,990</w:t>
            </w:r>
          </w:p>
        </w:tc>
      </w:tr>
      <w:tr>
        <w:tc>
          <w:tcPr>
            <w:tcW w:type="dxa" w:w="2389"/>
            <w:shd w:val="clear" w:fill="EEF4F1"/>
          </w:tcPr>
          <w:p>
            <w:pPr>
              <w:jc w:val="left"/>
            </w:pPr>
            <w:r>
              <w:rPr>
                <w:color w:val="1C3A36"/>
                <w:sz w:val="14"/>
              </w:rPr>
              <w:t>Total assets</w:t>
            </w:r>
          </w:p>
        </w:tc>
        <w:tc>
          <w:tcPr>
            <w:tcW w:type="dxa" w:w="880"/>
            <w:shd w:val="clear" w:fill="EEF4F1"/>
          </w:tcPr>
          <w:p>
            <w:pPr>
              <w:jc w:val="right"/>
            </w:pPr>
            <w:r>
              <w:rPr>
                <w:color w:val="1C3A36"/>
                <w:sz w:val="14"/>
              </w:rPr>
              <w:t>$26,880</w:t>
            </w:r>
          </w:p>
        </w:tc>
        <w:tc>
          <w:tcPr>
            <w:tcW w:type="dxa" w:w="880"/>
            <w:shd w:val="clear" w:fill="EEF4F1"/>
          </w:tcPr>
          <w:p>
            <w:pPr>
              <w:jc w:val="right"/>
            </w:pPr>
            <w:r>
              <w:rPr>
                <w:color w:val="1C3A36"/>
                <w:sz w:val="14"/>
              </w:rPr>
              <w:t>$29,320</w:t>
            </w:r>
          </w:p>
        </w:tc>
        <w:tc>
          <w:tcPr>
            <w:tcW w:type="dxa" w:w="880"/>
            <w:shd w:val="clear" w:fill="EEF4F1"/>
          </w:tcPr>
          <w:p>
            <w:pPr>
              <w:jc w:val="right"/>
            </w:pPr>
            <w:r>
              <w:rPr>
                <w:color w:val="1C3A36"/>
                <w:sz w:val="14"/>
              </w:rPr>
              <w:t>$32,000</w:t>
            </w:r>
          </w:p>
        </w:tc>
        <w:tc>
          <w:tcPr>
            <w:tcW w:type="dxa" w:w="880"/>
            <w:shd w:val="clear" w:fill="EEF4F1"/>
          </w:tcPr>
          <w:p>
            <w:pPr>
              <w:jc w:val="right"/>
            </w:pPr>
            <w:r>
              <w:rPr>
                <w:color w:val="1C3A36"/>
                <w:sz w:val="14"/>
              </w:rPr>
              <w:t>$33,741</w:t>
            </w:r>
          </w:p>
        </w:tc>
        <w:tc>
          <w:tcPr>
            <w:tcW w:type="dxa" w:w="880"/>
            <w:shd w:val="clear" w:fill="EEF4F1"/>
          </w:tcPr>
          <w:p>
            <w:pPr>
              <w:jc w:val="right"/>
            </w:pPr>
            <w:r>
              <w:rPr>
                <w:color w:val="1C3A36"/>
                <w:sz w:val="14"/>
              </w:rPr>
              <w:t>$35,673</w:t>
            </w:r>
          </w:p>
        </w:tc>
        <w:tc>
          <w:tcPr>
            <w:tcW w:type="dxa" w:w="880"/>
            <w:shd w:val="clear" w:fill="EEF4F1"/>
          </w:tcPr>
          <w:p>
            <w:pPr>
              <w:jc w:val="right"/>
            </w:pPr>
            <w:r>
              <w:rPr>
                <w:color w:val="1C3A36"/>
                <w:sz w:val="14"/>
              </w:rPr>
              <w:t>$37,819</w:t>
            </w:r>
          </w:p>
        </w:tc>
        <w:tc>
          <w:tcPr>
            <w:tcW w:type="dxa" w:w="880"/>
            <w:shd w:val="clear" w:fill="EEF4F1"/>
          </w:tcPr>
          <w:p>
            <w:pPr>
              <w:jc w:val="right"/>
            </w:pPr>
            <w:r>
              <w:rPr>
                <w:color w:val="1C3A36"/>
                <w:sz w:val="14"/>
              </w:rPr>
              <w:t>$40,217</w:t>
            </w:r>
          </w:p>
        </w:tc>
        <w:tc>
          <w:tcPr>
            <w:tcW w:type="dxa" w:w="880"/>
            <w:shd w:val="clear" w:fill="EEF4F1"/>
          </w:tcPr>
          <w:p>
            <w:pPr>
              <w:jc w:val="right"/>
            </w:pPr>
            <w:r>
              <w:rPr>
                <w:color w:val="1C3A36"/>
                <w:sz w:val="14"/>
              </w:rPr>
              <w:t>$42,694</w:t>
            </w:r>
          </w:p>
        </w:tc>
      </w:tr>
      <w:tr>
        <w:tc>
          <w:tcPr>
            <w:tcW w:type="dxa" w:w="2389"/>
          </w:tcPr>
          <w:p>
            <w:pPr>
              <w:jc w:val="left"/>
            </w:pPr>
            <w:r>
              <w:rPr>
                <w:color w:val="1C3A36"/>
                <w:sz w:val="14"/>
              </w:rPr>
              <w:t>Debt</w:t>
            </w:r>
          </w:p>
        </w:tc>
        <w:tc>
          <w:tcPr>
            <w:tcW w:type="dxa" w:w="880"/>
          </w:tcPr>
          <w:p>
            <w:pPr>
              <w:jc w:val="right"/>
            </w:pPr>
            <w:r>
              <w:rPr>
                <w:color w:val="1C3A36"/>
                <w:sz w:val="14"/>
              </w:rPr>
              <w:t>$320</w:t>
            </w:r>
          </w:p>
        </w:tc>
        <w:tc>
          <w:tcPr>
            <w:tcW w:type="dxa" w:w="880"/>
          </w:tcPr>
          <w:p>
            <w:pPr>
              <w:jc w:val="right"/>
            </w:pPr>
            <w:r>
              <w:rPr>
                <w:color w:val="1C3A36"/>
                <w:sz w:val="14"/>
              </w:rPr>
              <w:t>$300</w:t>
            </w:r>
          </w:p>
        </w:tc>
        <w:tc>
          <w:tcPr>
            <w:tcW w:type="dxa" w:w="880"/>
          </w:tcPr>
          <w:p>
            <w:pPr>
              <w:jc w:val="right"/>
            </w:pPr>
            <w:r>
              <w:rPr>
                <w:color w:val="1C3A36"/>
                <w:sz w:val="14"/>
              </w:rPr>
              <w:t>$280</w:t>
            </w:r>
          </w:p>
        </w:tc>
        <w:tc>
          <w:tcPr>
            <w:tcW w:type="dxa" w:w="880"/>
          </w:tcPr>
          <w:p>
            <w:pPr>
              <w:jc w:val="right"/>
            </w:pPr>
            <w:r>
              <w:rPr>
                <w:color w:val="1C3A36"/>
                <w:sz w:val="14"/>
              </w:rPr>
              <w:t>$280</w:t>
            </w:r>
          </w:p>
        </w:tc>
        <w:tc>
          <w:tcPr>
            <w:tcW w:type="dxa" w:w="880"/>
          </w:tcPr>
          <w:p>
            <w:pPr>
              <w:jc w:val="right"/>
            </w:pPr>
            <w:r>
              <w:rPr>
                <w:color w:val="1C3A36"/>
                <w:sz w:val="14"/>
              </w:rPr>
              <w:t>$280</w:t>
            </w:r>
          </w:p>
        </w:tc>
        <w:tc>
          <w:tcPr>
            <w:tcW w:type="dxa" w:w="880"/>
          </w:tcPr>
          <w:p>
            <w:pPr>
              <w:jc w:val="right"/>
            </w:pPr>
            <w:r>
              <w:rPr>
                <w:color w:val="1C3A36"/>
                <w:sz w:val="14"/>
              </w:rPr>
              <w:t>$280</w:t>
            </w:r>
          </w:p>
        </w:tc>
        <w:tc>
          <w:tcPr>
            <w:tcW w:type="dxa" w:w="880"/>
          </w:tcPr>
          <w:p>
            <w:pPr>
              <w:jc w:val="right"/>
            </w:pPr>
            <w:r>
              <w:rPr>
                <w:color w:val="1C3A36"/>
                <w:sz w:val="14"/>
              </w:rPr>
              <w:t>$280</w:t>
            </w:r>
          </w:p>
        </w:tc>
        <w:tc>
          <w:tcPr>
            <w:tcW w:type="dxa" w:w="880"/>
          </w:tcPr>
          <w:p>
            <w:pPr>
              <w:jc w:val="right"/>
            </w:pPr>
            <w:r>
              <w:rPr>
                <w:color w:val="1C3A36"/>
                <w:sz w:val="14"/>
              </w:rPr>
              <w:t>$280</w:t>
            </w:r>
          </w:p>
        </w:tc>
      </w:tr>
      <w:tr>
        <w:tc>
          <w:tcPr>
            <w:tcW w:type="dxa" w:w="2389"/>
            <w:shd w:val="clear" w:fill="EEF4F1"/>
          </w:tcPr>
          <w:p>
            <w:pPr>
              <w:jc w:val="left"/>
            </w:pPr>
            <w:r>
              <w:rPr>
                <w:color w:val="1C3A36"/>
                <w:sz w:val="14"/>
              </w:rPr>
              <w:t>Provisions</w:t>
            </w:r>
          </w:p>
        </w:tc>
        <w:tc>
          <w:tcPr>
            <w:tcW w:type="dxa" w:w="880"/>
            <w:shd w:val="clear" w:fill="EEF4F1"/>
          </w:tcPr>
          <w:p>
            <w:pPr>
              <w:jc w:val="right"/>
            </w:pPr>
            <w:r>
              <w:rPr>
                <w:color w:val="1C3A36"/>
                <w:sz w:val="14"/>
              </w:rPr>
              <w:t>$3,300</w:t>
            </w:r>
          </w:p>
        </w:tc>
        <w:tc>
          <w:tcPr>
            <w:tcW w:type="dxa" w:w="880"/>
            <w:shd w:val="clear" w:fill="EEF4F1"/>
          </w:tcPr>
          <w:p>
            <w:pPr>
              <w:jc w:val="right"/>
            </w:pPr>
            <w:r>
              <w:rPr>
                <w:color w:val="1C3A36"/>
                <w:sz w:val="14"/>
              </w:rPr>
              <w:t>$3,400</w:t>
            </w:r>
          </w:p>
        </w:tc>
        <w:tc>
          <w:tcPr>
            <w:tcW w:type="dxa" w:w="880"/>
            <w:shd w:val="clear" w:fill="EEF4F1"/>
          </w:tcPr>
          <w:p>
            <w:pPr>
              <w:jc w:val="right"/>
            </w:pPr>
            <w:r>
              <w:rPr>
                <w:color w:val="1C3A36"/>
                <w:sz w:val="14"/>
              </w:rPr>
              <w:t>$3,500</w:t>
            </w:r>
          </w:p>
        </w:tc>
        <w:tc>
          <w:tcPr>
            <w:tcW w:type="dxa" w:w="880"/>
            <w:shd w:val="clear" w:fill="EEF4F1"/>
          </w:tcPr>
          <w:p>
            <w:pPr>
              <w:jc w:val="right"/>
            </w:pPr>
            <w:r>
              <w:rPr>
                <w:color w:val="1C3A36"/>
                <w:sz w:val="14"/>
              </w:rPr>
              <w:t>$3,500</w:t>
            </w:r>
          </w:p>
        </w:tc>
        <w:tc>
          <w:tcPr>
            <w:tcW w:type="dxa" w:w="880"/>
            <w:shd w:val="clear" w:fill="EEF4F1"/>
          </w:tcPr>
          <w:p>
            <w:pPr>
              <w:jc w:val="right"/>
            </w:pPr>
            <w:r>
              <w:rPr>
                <w:color w:val="1C3A36"/>
                <w:sz w:val="14"/>
              </w:rPr>
              <w:t>$3,500</w:t>
            </w:r>
          </w:p>
        </w:tc>
        <w:tc>
          <w:tcPr>
            <w:tcW w:type="dxa" w:w="880"/>
            <w:shd w:val="clear" w:fill="EEF4F1"/>
          </w:tcPr>
          <w:p>
            <w:pPr>
              <w:jc w:val="right"/>
            </w:pPr>
            <w:r>
              <w:rPr>
                <w:color w:val="1C3A36"/>
                <w:sz w:val="14"/>
              </w:rPr>
              <w:t>$3,500</w:t>
            </w:r>
          </w:p>
        </w:tc>
        <w:tc>
          <w:tcPr>
            <w:tcW w:type="dxa" w:w="880"/>
            <w:shd w:val="clear" w:fill="EEF4F1"/>
          </w:tcPr>
          <w:p>
            <w:pPr>
              <w:jc w:val="right"/>
            </w:pPr>
            <w:r>
              <w:rPr>
                <w:color w:val="1C3A36"/>
                <w:sz w:val="14"/>
              </w:rPr>
              <w:t>$3,500</w:t>
            </w:r>
          </w:p>
        </w:tc>
        <w:tc>
          <w:tcPr>
            <w:tcW w:type="dxa" w:w="880"/>
            <w:shd w:val="clear" w:fill="EEF4F1"/>
          </w:tcPr>
          <w:p>
            <w:pPr>
              <w:jc w:val="right"/>
            </w:pPr>
            <w:r>
              <w:rPr>
                <w:color w:val="1C3A36"/>
                <w:sz w:val="14"/>
              </w:rPr>
              <w:t>$3,500</w:t>
            </w:r>
          </w:p>
        </w:tc>
      </w:tr>
      <w:tr>
        <w:tc>
          <w:tcPr>
            <w:tcW w:type="dxa" w:w="2389"/>
          </w:tcPr>
          <w:p>
            <w:pPr>
              <w:jc w:val="left"/>
            </w:pPr>
            <w:r>
              <w:rPr>
                <w:color w:val="1C3A36"/>
                <w:sz w:val="14"/>
              </w:rPr>
              <w:t>Trade &amp; other payables</w:t>
            </w:r>
          </w:p>
        </w:tc>
        <w:tc>
          <w:tcPr>
            <w:tcW w:type="dxa" w:w="880"/>
          </w:tcPr>
          <w:p>
            <w:pPr>
              <w:jc w:val="right"/>
            </w:pPr>
            <w:r>
              <w:rPr>
                <w:color w:val="1C3A36"/>
                <w:sz w:val="14"/>
              </w:rPr>
              <w:t>$2,980</w:t>
            </w:r>
          </w:p>
        </w:tc>
        <w:tc>
          <w:tcPr>
            <w:tcW w:type="dxa" w:w="880"/>
          </w:tcPr>
          <w:p>
            <w:pPr>
              <w:jc w:val="right"/>
            </w:pPr>
            <w:r>
              <w:rPr>
                <w:color w:val="1C3A36"/>
                <w:sz w:val="14"/>
              </w:rPr>
              <w:t>$3,150</w:t>
            </w:r>
          </w:p>
        </w:tc>
        <w:tc>
          <w:tcPr>
            <w:tcW w:type="dxa" w:w="880"/>
          </w:tcPr>
          <w:p>
            <w:pPr>
              <w:jc w:val="right"/>
            </w:pPr>
            <w:r>
              <w:rPr>
                <w:color w:val="1C3A36"/>
                <w:sz w:val="14"/>
              </w:rPr>
              <w:t>$3,170</w:t>
            </w:r>
          </w:p>
        </w:tc>
        <w:tc>
          <w:tcPr>
            <w:tcW w:type="dxa" w:w="880"/>
          </w:tcPr>
          <w:p>
            <w:pPr>
              <w:jc w:val="right"/>
            </w:pPr>
            <w:r>
              <w:rPr>
                <w:color w:val="1C3A36"/>
                <w:sz w:val="14"/>
              </w:rPr>
              <w:t>$3,234</w:t>
            </w:r>
          </w:p>
        </w:tc>
        <w:tc>
          <w:tcPr>
            <w:tcW w:type="dxa" w:w="880"/>
          </w:tcPr>
          <w:p>
            <w:pPr>
              <w:jc w:val="right"/>
            </w:pPr>
            <w:r>
              <w:rPr>
                <w:color w:val="1C3A36"/>
                <w:sz w:val="14"/>
              </w:rPr>
              <w:t>$3,390</w:t>
            </w:r>
          </w:p>
        </w:tc>
        <w:tc>
          <w:tcPr>
            <w:tcW w:type="dxa" w:w="880"/>
          </w:tcPr>
          <w:p>
            <w:pPr>
              <w:jc w:val="right"/>
            </w:pPr>
            <w:r>
              <w:rPr>
                <w:color w:val="1C3A36"/>
                <w:sz w:val="14"/>
              </w:rPr>
              <w:t>$3,633</w:t>
            </w:r>
          </w:p>
        </w:tc>
        <w:tc>
          <w:tcPr>
            <w:tcW w:type="dxa" w:w="880"/>
          </w:tcPr>
          <w:p>
            <w:pPr>
              <w:jc w:val="right"/>
            </w:pPr>
            <w:r>
              <w:rPr>
                <w:color w:val="1C3A36"/>
                <w:sz w:val="14"/>
              </w:rPr>
              <w:t>$3,835</w:t>
            </w:r>
          </w:p>
        </w:tc>
        <w:tc>
          <w:tcPr>
            <w:tcW w:type="dxa" w:w="880"/>
          </w:tcPr>
          <w:p>
            <w:pPr>
              <w:jc w:val="right"/>
            </w:pPr>
            <w:r>
              <w:rPr>
                <w:color w:val="1C3A36"/>
                <w:sz w:val="14"/>
              </w:rPr>
              <w:t>$3,997</w:t>
            </w:r>
          </w:p>
        </w:tc>
      </w:tr>
      <w:tr>
        <w:tc>
          <w:tcPr>
            <w:tcW w:type="dxa" w:w="2389"/>
            <w:shd w:val="clear" w:fill="EEF4F1"/>
          </w:tcPr>
          <w:p>
            <w:pPr>
              <w:jc w:val="left"/>
            </w:pPr>
            <w:r>
              <w:rPr>
                <w:color w:val="1C3A36"/>
                <w:sz w:val="14"/>
              </w:rPr>
              <w:t>Other liabilities</w:t>
            </w:r>
          </w:p>
        </w:tc>
        <w:tc>
          <w:tcPr>
            <w:tcW w:type="dxa" w:w="880"/>
            <w:shd w:val="clear" w:fill="EEF4F1"/>
          </w:tcPr>
          <w:p>
            <w:pPr>
              <w:jc w:val="right"/>
            </w:pPr>
            <w:r>
              <w:rPr>
                <w:color w:val="1C3A36"/>
                <w:sz w:val="14"/>
              </w:rPr>
              <w:t>$400</w:t>
            </w:r>
          </w:p>
        </w:tc>
        <w:tc>
          <w:tcPr>
            <w:tcW w:type="dxa" w:w="880"/>
            <w:shd w:val="clear" w:fill="EEF4F1"/>
          </w:tcPr>
          <w:p>
            <w:pPr>
              <w:jc w:val="right"/>
            </w:pPr>
            <w:r>
              <w:rPr>
                <w:color w:val="1C3A36"/>
                <w:sz w:val="14"/>
              </w:rPr>
              <w:t>$1,000</w:t>
            </w:r>
          </w:p>
        </w:tc>
        <w:tc>
          <w:tcPr>
            <w:tcW w:type="dxa" w:w="880"/>
            <w:shd w:val="clear" w:fill="EEF4F1"/>
          </w:tcPr>
          <w:p>
            <w:pPr>
              <w:jc w:val="right"/>
            </w:pPr>
            <w:r>
              <w:rPr>
                <w:color w:val="1C3A36"/>
                <w:sz w:val="14"/>
              </w:rPr>
              <w:t>$2,000</w:t>
            </w:r>
          </w:p>
        </w:tc>
        <w:tc>
          <w:tcPr>
            <w:tcW w:type="dxa" w:w="880"/>
            <w:shd w:val="clear" w:fill="EEF4F1"/>
          </w:tcPr>
          <w:p>
            <w:pPr>
              <w:jc w:val="right"/>
            </w:pPr>
            <w:r>
              <w:rPr>
                <w:color w:val="1C3A36"/>
                <w:sz w:val="14"/>
              </w:rPr>
              <w:t>$1,845</w:t>
            </w:r>
          </w:p>
        </w:tc>
        <w:tc>
          <w:tcPr>
            <w:tcW w:type="dxa" w:w="880"/>
            <w:shd w:val="clear" w:fill="EEF4F1"/>
          </w:tcPr>
          <w:p>
            <w:pPr>
              <w:jc w:val="right"/>
            </w:pPr>
            <w:r>
              <w:rPr>
                <w:color w:val="1C3A36"/>
                <w:sz w:val="14"/>
              </w:rPr>
              <w:t>$1,681</w:t>
            </w:r>
          </w:p>
        </w:tc>
        <w:tc>
          <w:tcPr>
            <w:tcW w:type="dxa" w:w="880"/>
            <w:shd w:val="clear" w:fill="EEF4F1"/>
          </w:tcPr>
          <w:p>
            <w:pPr>
              <w:jc w:val="right"/>
            </w:pPr>
            <w:r>
              <w:rPr>
                <w:color w:val="1C3A36"/>
                <w:sz w:val="14"/>
              </w:rPr>
              <w:t>$1,461</w:t>
            </w:r>
          </w:p>
        </w:tc>
        <w:tc>
          <w:tcPr>
            <w:tcW w:type="dxa" w:w="880"/>
            <w:shd w:val="clear" w:fill="EEF4F1"/>
          </w:tcPr>
          <w:p>
            <w:pPr>
              <w:jc w:val="right"/>
            </w:pPr>
            <w:r>
              <w:rPr>
                <w:color w:val="1C3A36"/>
                <w:sz w:val="14"/>
              </w:rPr>
              <w:t>$1,293</w:t>
            </w:r>
          </w:p>
        </w:tc>
        <w:tc>
          <w:tcPr>
            <w:tcW w:type="dxa" w:w="880"/>
            <w:shd w:val="clear" w:fill="EEF4F1"/>
          </w:tcPr>
          <w:p>
            <w:pPr>
              <w:jc w:val="right"/>
            </w:pPr>
            <w:r>
              <w:rPr>
                <w:color w:val="1C3A36"/>
                <w:sz w:val="14"/>
              </w:rPr>
              <w:t>$1,130</w:t>
            </w:r>
          </w:p>
        </w:tc>
      </w:tr>
      <w:tr>
        <w:tc>
          <w:tcPr>
            <w:tcW w:type="dxa" w:w="2389"/>
          </w:tcPr>
          <w:p>
            <w:pPr>
              <w:jc w:val="left"/>
            </w:pPr>
            <w:r>
              <w:rPr>
                <w:color w:val="1C3A36"/>
                <w:sz w:val="14"/>
              </w:rPr>
              <w:t>Total liabilities</w:t>
            </w:r>
          </w:p>
        </w:tc>
        <w:tc>
          <w:tcPr>
            <w:tcW w:type="dxa" w:w="880"/>
          </w:tcPr>
          <w:p>
            <w:pPr>
              <w:jc w:val="right"/>
            </w:pPr>
            <w:r>
              <w:rPr>
                <w:color w:val="1C3A36"/>
                <w:sz w:val="14"/>
              </w:rPr>
              <w:t>$7,000</w:t>
            </w:r>
          </w:p>
        </w:tc>
        <w:tc>
          <w:tcPr>
            <w:tcW w:type="dxa" w:w="880"/>
          </w:tcPr>
          <w:p>
            <w:pPr>
              <w:jc w:val="right"/>
            </w:pPr>
            <w:r>
              <w:rPr>
                <w:color w:val="1C3A36"/>
                <w:sz w:val="14"/>
              </w:rPr>
              <w:t>$7,850</w:t>
            </w:r>
          </w:p>
        </w:tc>
        <w:tc>
          <w:tcPr>
            <w:tcW w:type="dxa" w:w="880"/>
          </w:tcPr>
          <w:p>
            <w:pPr>
              <w:jc w:val="right"/>
            </w:pPr>
            <w:r>
              <w:rPr>
                <w:color w:val="1C3A36"/>
                <w:sz w:val="14"/>
              </w:rPr>
              <w:t>$8,950</w:t>
            </w:r>
          </w:p>
        </w:tc>
        <w:tc>
          <w:tcPr>
            <w:tcW w:type="dxa" w:w="880"/>
          </w:tcPr>
          <w:p>
            <w:pPr>
              <w:jc w:val="right"/>
            </w:pPr>
            <w:r>
              <w:rPr>
                <w:color w:val="1C3A36"/>
                <w:sz w:val="14"/>
              </w:rPr>
              <w:t>$8,859</w:t>
            </w:r>
          </w:p>
        </w:tc>
        <w:tc>
          <w:tcPr>
            <w:tcW w:type="dxa" w:w="880"/>
          </w:tcPr>
          <w:p>
            <w:pPr>
              <w:jc w:val="right"/>
            </w:pPr>
            <w:r>
              <w:rPr>
                <w:color w:val="1C3A36"/>
                <w:sz w:val="14"/>
              </w:rPr>
              <w:t>$8,851</w:t>
            </w:r>
          </w:p>
        </w:tc>
        <w:tc>
          <w:tcPr>
            <w:tcW w:type="dxa" w:w="880"/>
          </w:tcPr>
          <w:p>
            <w:pPr>
              <w:jc w:val="right"/>
            </w:pPr>
            <w:r>
              <w:rPr>
                <w:color w:val="1C3A36"/>
                <w:sz w:val="14"/>
              </w:rPr>
              <w:t>$8,873</w:t>
            </w:r>
          </w:p>
        </w:tc>
        <w:tc>
          <w:tcPr>
            <w:tcW w:type="dxa" w:w="880"/>
          </w:tcPr>
          <w:p>
            <w:pPr>
              <w:jc w:val="right"/>
            </w:pPr>
            <w:r>
              <w:rPr>
                <w:color w:val="1C3A36"/>
                <w:sz w:val="14"/>
              </w:rPr>
              <w:t>$8,909</w:t>
            </w:r>
          </w:p>
        </w:tc>
        <w:tc>
          <w:tcPr>
            <w:tcW w:type="dxa" w:w="880"/>
          </w:tcPr>
          <w:p>
            <w:pPr>
              <w:jc w:val="right"/>
            </w:pPr>
            <w:r>
              <w:rPr>
                <w:color w:val="1C3A36"/>
                <w:sz w:val="14"/>
              </w:rPr>
              <w:t>$8,907</w:t>
            </w:r>
          </w:p>
        </w:tc>
      </w:tr>
      <w:tr>
        <w:tc>
          <w:tcPr>
            <w:tcW w:type="dxa" w:w="2389"/>
            <w:shd w:val="clear" w:fill="EEF4F1"/>
          </w:tcPr>
          <w:p>
            <w:pPr>
              <w:jc w:val="left"/>
            </w:pPr>
            <w:r>
              <w:rPr>
                <w:color w:val="1C3A36"/>
                <w:sz w:val="14"/>
              </w:rPr>
              <w:t>Total equity</w:t>
            </w:r>
          </w:p>
        </w:tc>
        <w:tc>
          <w:tcPr>
            <w:tcW w:type="dxa" w:w="880"/>
            <w:shd w:val="clear" w:fill="EEF4F1"/>
          </w:tcPr>
          <w:p>
            <w:pPr>
              <w:jc w:val="right"/>
            </w:pPr>
            <w:r>
              <w:rPr>
                <w:color w:val="1C3A36"/>
                <w:sz w:val="14"/>
              </w:rPr>
              <w:t>$19,880</w:t>
            </w:r>
          </w:p>
        </w:tc>
        <w:tc>
          <w:tcPr>
            <w:tcW w:type="dxa" w:w="880"/>
            <w:shd w:val="clear" w:fill="EEF4F1"/>
          </w:tcPr>
          <w:p>
            <w:pPr>
              <w:jc w:val="right"/>
            </w:pPr>
            <w:r>
              <w:rPr>
                <w:color w:val="1C3A36"/>
                <w:sz w:val="14"/>
              </w:rPr>
              <w:t>$21,470</w:t>
            </w:r>
          </w:p>
        </w:tc>
        <w:tc>
          <w:tcPr>
            <w:tcW w:type="dxa" w:w="880"/>
            <w:shd w:val="clear" w:fill="EEF4F1"/>
          </w:tcPr>
          <w:p>
            <w:pPr>
              <w:jc w:val="right"/>
            </w:pPr>
            <w:r>
              <w:rPr>
                <w:color w:val="1C3A36"/>
                <w:sz w:val="14"/>
              </w:rPr>
              <w:t>$23,050</w:t>
            </w:r>
          </w:p>
        </w:tc>
        <w:tc>
          <w:tcPr>
            <w:tcW w:type="dxa" w:w="880"/>
            <w:shd w:val="clear" w:fill="EEF4F1"/>
          </w:tcPr>
          <w:p>
            <w:pPr>
              <w:jc w:val="right"/>
            </w:pPr>
            <w:r>
              <w:rPr>
                <w:color w:val="1C3A36"/>
                <w:sz w:val="14"/>
              </w:rPr>
              <w:t>$24,882</w:t>
            </w:r>
          </w:p>
        </w:tc>
        <w:tc>
          <w:tcPr>
            <w:tcW w:type="dxa" w:w="880"/>
            <w:shd w:val="clear" w:fill="EEF4F1"/>
          </w:tcPr>
          <w:p>
            <w:pPr>
              <w:jc w:val="right"/>
            </w:pPr>
            <w:r>
              <w:rPr>
                <w:color w:val="1C3A36"/>
                <w:sz w:val="14"/>
              </w:rPr>
              <w:t>$26,822</w:t>
            </w:r>
          </w:p>
        </w:tc>
        <w:tc>
          <w:tcPr>
            <w:tcW w:type="dxa" w:w="880"/>
            <w:shd w:val="clear" w:fill="EEF4F1"/>
          </w:tcPr>
          <w:p>
            <w:pPr>
              <w:jc w:val="right"/>
            </w:pPr>
            <w:r>
              <w:rPr>
                <w:color w:val="1C3A36"/>
                <w:sz w:val="14"/>
              </w:rPr>
              <w:t>$28,946</w:t>
            </w:r>
          </w:p>
        </w:tc>
        <w:tc>
          <w:tcPr>
            <w:tcW w:type="dxa" w:w="880"/>
            <w:shd w:val="clear" w:fill="EEF4F1"/>
          </w:tcPr>
          <w:p>
            <w:pPr>
              <w:jc w:val="right"/>
            </w:pPr>
            <w:r>
              <w:rPr>
                <w:color w:val="1C3A36"/>
                <w:sz w:val="14"/>
              </w:rPr>
              <w:t>$31,309</w:t>
            </w:r>
          </w:p>
        </w:tc>
        <w:tc>
          <w:tcPr>
            <w:tcW w:type="dxa" w:w="880"/>
            <w:shd w:val="clear" w:fill="EEF4F1"/>
          </w:tcPr>
          <w:p>
            <w:pPr>
              <w:jc w:val="right"/>
            </w:pPr>
            <w:r>
              <w:rPr>
                <w:color w:val="1C3A36"/>
                <w:sz w:val="14"/>
              </w:rPr>
              <w:t>$33,787</w:t>
            </w:r>
          </w:p>
        </w:tc>
      </w:tr>
      <w:tr>
        <w:tc>
          <w:tcPr>
            <w:tcW w:type="dxa" w:w="2389"/>
          </w:tcPr>
          <w:p>
            <w:pPr>
              <w:jc w:val="left"/>
            </w:pPr>
            <w:r>
              <w:rPr>
                <w:color w:val="1C3A36"/>
                <w:sz w:val="14"/>
              </w:rPr>
              <w:t>Net cash / (net debt)</w:t>
            </w:r>
          </w:p>
        </w:tc>
        <w:tc>
          <w:tcPr>
            <w:tcW w:type="dxa" w:w="880"/>
          </w:tcPr>
          <w:p>
            <w:pPr>
              <w:jc w:val="right"/>
            </w:pPr>
            <w:r>
              <w:rPr>
                <w:color w:val="1C3A36"/>
                <w:sz w:val="14"/>
              </w:rPr>
              <w:t>$3,180</w:t>
            </w:r>
          </w:p>
        </w:tc>
        <w:tc>
          <w:tcPr>
            <w:tcW w:type="dxa" w:w="880"/>
          </w:tcPr>
          <w:p>
            <w:pPr>
              <w:jc w:val="right"/>
            </w:pPr>
            <w:r>
              <w:rPr>
                <w:color w:val="1C3A36"/>
                <w:sz w:val="14"/>
              </w:rPr>
              <w:t>$3,900</w:t>
            </w:r>
          </w:p>
        </w:tc>
        <w:tc>
          <w:tcPr>
            <w:tcW w:type="dxa" w:w="880"/>
          </w:tcPr>
          <w:p>
            <w:pPr>
              <w:jc w:val="right"/>
            </w:pPr>
            <w:r>
              <w:rPr>
                <w:color w:val="1C3A36"/>
                <w:sz w:val="14"/>
              </w:rPr>
              <w:t>$4,780</w:t>
            </w:r>
          </w:p>
        </w:tc>
        <w:tc>
          <w:tcPr>
            <w:tcW w:type="dxa" w:w="880"/>
          </w:tcPr>
          <w:p>
            <w:pPr>
              <w:jc w:val="right"/>
            </w:pPr>
            <w:r>
              <w:rPr>
                <w:color w:val="1C3A36"/>
                <w:sz w:val="14"/>
              </w:rPr>
              <w:t>$5,162</w:t>
            </w:r>
          </w:p>
        </w:tc>
        <w:tc>
          <w:tcPr>
            <w:tcW w:type="dxa" w:w="880"/>
          </w:tcPr>
          <w:p>
            <w:pPr>
              <w:jc w:val="right"/>
            </w:pPr>
            <w:r>
              <w:rPr>
                <w:color w:val="1C3A36"/>
                <w:sz w:val="14"/>
              </w:rPr>
              <w:t>$6,202</w:t>
            </w:r>
          </w:p>
        </w:tc>
        <w:tc>
          <w:tcPr>
            <w:tcW w:type="dxa" w:w="880"/>
          </w:tcPr>
          <w:p>
            <w:pPr>
              <w:jc w:val="right"/>
            </w:pPr>
            <w:r>
              <w:rPr>
                <w:color w:val="1C3A36"/>
                <w:sz w:val="14"/>
              </w:rPr>
              <w:t>$7,276</w:t>
            </w:r>
          </w:p>
        </w:tc>
        <w:tc>
          <w:tcPr>
            <w:tcW w:type="dxa" w:w="880"/>
          </w:tcPr>
          <w:p>
            <w:pPr>
              <w:jc w:val="right"/>
            </w:pPr>
            <w:r>
              <w:rPr>
                <w:color w:val="1C3A36"/>
                <w:sz w:val="14"/>
              </w:rPr>
              <w:t>$10,539</w:t>
            </w:r>
          </w:p>
        </w:tc>
        <w:tc>
          <w:tcPr>
            <w:tcW w:type="dxa" w:w="880"/>
          </w:tcPr>
          <w:p>
            <w:pPr>
              <w:jc w:val="right"/>
            </w:pPr>
            <w:r>
              <w:rPr>
                <w:color w:val="1C3A36"/>
                <w:sz w:val="14"/>
              </w:rPr>
              <w:t>$13,767</w:t>
            </w:r>
          </w:p>
        </w:tc>
      </w:tr>
    </w:tbl>
    <w:p>
      <w:r>
        <w:rPr>
          <w:i/>
          <w:color w:val="5A5A50"/>
          <w:sz w:val="16"/>
        </w:rPr>
        <w:t>Balances every year. Anchored to disclosed equity/cash/net cash/debt; line detail estimated.</w:t>
      </w:r>
    </w:p>
    <w:p/>
    <w:p>
      <w:r>
        <w:rPr>
          <w:b/>
          <w:color w:val="17786B"/>
          <w:sz w:val="23"/>
        </w:rPr>
        <w:t>A.3  Cash flow (forecast)</w:t>
      </w:r>
    </w:p>
    <w:tbl>
      <w:tblPr>
        <w:tblStyle w:val="TableGrid"/>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2882"/>
            <w:shd w:val="clear" w:fill="0F5E54"/>
          </w:tcPr>
          <w:p>
            <w:pPr>
              <w:jc w:val="left"/>
            </w:pPr>
            <w:r>
              <w:rPr>
                <w:b/>
                <w:color w:val="FFFFFF"/>
                <w:sz w:val="15"/>
              </w:rPr>
              <w:t>USD m</w:t>
            </w:r>
          </w:p>
        </w:tc>
        <w:tc>
          <w:tcPr>
            <w:tcW w:type="dxa" w:w="1310"/>
            <w:shd w:val="clear" w:fill="0F5E54"/>
          </w:tcPr>
          <w:p>
            <w:pPr>
              <w:jc w:val="center"/>
            </w:pPr>
            <w:r>
              <w:rPr>
                <w:b/>
                <w:color w:val="FFFFFF"/>
                <w:sz w:val="15"/>
              </w:rPr>
              <w:t>2026E</w:t>
            </w:r>
          </w:p>
        </w:tc>
        <w:tc>
          <w:tcPr>
            <w:tcW w:type="dxa" w:w="1310"/>
            <w:shd w:val="clear" w:fill="0F5E54"/>
          </w:tcPr>
          <w:p>
            <w:pPr>
              <w:jc w:val="center"/>
            </w:pPr>
            <w:r>
              <w:rPr>
                <w:b/>
                <w:color w:val="FFFFFF"/>
                <w:sz w:val="15"/>
              </w:rPr>
              <w:t>2027E</w:t>
            </w:r>
          </w:p>
        </w:tc>
        <w:tc>
          <w:tcPr>
            <w:tcW w:type="dxa" w:w="1310"/>
            <w:shd w:val="clear" w:fill="0F5E54"/>
          </w:tcPr>
          <w:p>
            <w:pPr>
              <w:jc w:val="center"/>
            </w:pPr>
            <w:r>
              <w:rPr>
                <w:b/>
                <w:color w:val="FFFFFF"/>
                <w:sz w:val="15"/>
              </w:rPr>
              <w:t>2028E</w:t>
            </w:r>
          </w:p>
        </w:tc>
        <w:tc>
          <w:tcPr>
            <w:tcW w:type="dxa" w:w="1310"/>
            <w:shd w:val="clear" w:fill="0F5E54"/>
          </w:tcPr>
          <w:p>
            <w:pPr>
              <w:jc w:val="center"/>
            </w:pPr>
            <w:r>
              <w:rPr>
                <w:b/>
                <w:color w:val="FFFFFF"/>
                <w:sz w:val="15"/>
              </w:rPr>
              <w:t>2029E</w:t>
            </w:r>
          </w:p>
        </w:tc>
        <w:tc>
          <w:tcPr>
            <w:tcW w:type="dxa" w:w="1310"/>
            <w:shd w:val="clear" w:fill="0F5E54"/>
          </w:tcPr>
          <w:p>
            <w:pPr>
              <w:jc w:val="center"/>
            </w:pPr>
            <w:r>
              <w:rPr>
                <w:b/>
                <w:color w:val="FFFFFF"/>
                <w:sz w:val="15"/>
              </w:rPr>
              <w:t>2030E</w:t>
            </w:r>
          </w:p>
        </w:tc>
      </w:tr>
      <w:tr>
        <w:tc>
          <w:tcPr>
            <w:tcW w:type="dxa" w:w="2882"/>
          </w:tcPr>
          <w:p>
            <w:pPr>
              <w:jc w:val="left"/>
            </w:pPr>
            <w:r>
              <w:rPr>
                <w:color w:val="1C3A36"/>
                <w:sz w:val="15"/>
              </w:rPr>
              <w:t>Net income</w:t>
            </w:r>
          </w:p>
        </w:tc>
        <w:tc>
          <w:tcPr>
            <w:tcW w:type="dxa" w:w="1310"/>
          </w:tcPr>
          <w:p>
            <w:pPr>
              <w:jc w:val="right"/>
            </w:pPr>
            <w:r>
              <w:rPr>
                <w:color w:val="1C3A36"/>
                <w:sz w:val="15"/>
              </w:rPr>
              <w:t>$5,596</w:t>
            </w:r>
          </w:p>
        </w:tc>
        <w:tc>
          <w:tcPr>
            <w:tcW w:type="dxa" w:w="1310"/>
          </w:tcPr>
          <w:p>
            <w:pPr>
              <w:jc w:val="right"/>
            </w:pPr>
            <w:r>
              <w:rPr>
                <w:color w:val="1C3A36"/>
                <w:sz w:val="15"/>
              </w:rPr>
              <w:t>$5,890</w:t>
            </w:r>
          </w:p>
        </w:tc>
        <w:tc>
          <w:tcPr>
            <w:tcW w:type="dxa" w:w="1310"/>
          </w:tcPr>
          <w:p>
            <w:pPr>
              <w:jc w:val="right"/>
            </w:pPr>
            <w:r>
              <w:rPr>
                <w:color w:val="1C3A36"/>
                <w:sz w:val="15"/>
              </w:rPr>
              <w:t>$6,273</w:t>
            </w:r>
          </w:p>
        </w:tc>
        <w:tc>
          <w:tcPr>
            <w:tcW w:type="dxa" w:w="1310"/>
          </w:tcPr>
          <w:p>
            <w:pPr>
              <w:jc w:val="right"/>
            </w:pPr>
            <w:r>
              <w:rPr>
                <w:color w:val="1C3A36"/>
                <w:sz w:val="15"/>
              </w:rPr>
              <w:t>$6,719</w:t>
            </w:r>
          </w:p>
        </w:tc>
        <w:tc>
          <w:tcPr>
            <w:tcW w:type="dxa" w:w="1310"/>
          </w:tcPr>
          <w:p>
            <w:pPr>
              <w:jc w:val="right"/>
            </w:pPr>
            <w:r>
              <w:rPr>
                <w:color w:val="1C3A36"/>
                <w:sz w:val="15"/>
              </w:rPr>
              <w:t>$7,053</w:t>
            </w:r>
          </w:p>
        </w:tc>
      </w:tr>
      <w:tr>
        <w:tc>
          <w:tcPr>
            <w:tcW w:type="dxa" w:w="2882"/>
            <w:shd w:val="clear" w:fill="EEF4F1"/>
          </w:tcPr>
          <w:p>
            <w:pPr>
              <w:jc w:val="left"/>
            </w:pPr>
            <w:r>
              <w:rPr>
                <w:color w:val="1C3A36"/>
                <w:sz w:val="15"/>
              </w:rPr>
              <w:t>+ D&amp;A</w:t>
            </w:r>
          </w:p>
        </w:tc>
        <w:tc>
          <w:tcPr>
            <w:tcW w:type="dxa" w:w="1310"/>
            <w:shd w:val="clear" w:fill="EEF4F1"/>
          </w:tcPr>
          <w:p>
            <w:pPr>
              <w:jc w:val="right"/>
            </w:pPr>
            <w:r>
              <w:rPr>
                <w:color w:val="1C3A36"/>
                <w:sz w:val="15"/>
              </w:rPr>
              <w:t>$2,000</w:t>
            </w:r>
          </w:p>
        </w:tc>
        <w:tc>
          <w:tcPr>
            <w:tcW w:type="dxa" w:w="1310"/>
            <w:shd w:val="clear" w:fill="EEF4F1"/>
          </w:tcPr>
          <w:p>
            <w:pPr>
              <w:jc w:val="right"/>
            </w:pPr>
            <w:r>
              <w:rPr>
                <w:color w:val="1C3A36"/>
                <w:sz w:val="15"/>
              </w:rPr>
              <w:t>$2,250</w:t>
            </w:r>
          </w:p>
        </w:tc>
        <w:tc>
          <w:tcPr>
            <w:tcW w:type="dxa" w:w="1310"/>
            <w:shd w:val="clear" w:fill="EEF4F1"/>
          </w:tcPr>
          <w:p>
            <w:pPr>
              <w:jc w:val="right"/>
            </w:pPr>
            <w:r>
              <w:rPr>
                <w:color w:val="1C3A36"/>
                <w:sz w:val="15"/>
              </w:rPr>
              <w:t>$2,550</w:t>
            </w:r>
          </w:p>
        </w:tc>
        <w:tc>
          <w:tcPr>
            <w:tcW w:type="dxa" w:w="1310"/>
            <w:shd w:val="clear" w:fill="EEF4F1"/>
          </w:tcPr>
          <w:p>
            <w:pPr>
              <w:jc w:val="right"/>
            </w:pPr>
            <w:r>
              <w:rPr>
                <w:color w:val="1C3A36"/>
                <w:sz w:val="15"/>
              </w:rPr>
              <w:t>$2,750</w:t>
            </w:r>
          </w:p>
        </w:tc>
        <w:tc>
          <w:tcPr>
            <w:tcW w:type="dxa" w:w="1310"/>
            <w:shd w:val="clear" w:fill="EEF4F1"/>
          </w:tcPr>
          <w:p>
            <w:pPr>
              <w:jc w:val="right"/>
            </w:pPr>
            <w:r>
              <w:rPr>
                <w:color w:val="1C3A36"/>
                <w:sz w:val="15"/>
              </w:rPr>
              <w:t>$2,900</w:t>
            </w:r>
          </w:p>
        </w:tc>
      </w:tr>
      <w:tr>
        <w:tc>
          <w:tcPr>
            <w:tcW w:type="dxa" w:w="2882"/>
          </w:tcPr>
          <w:p>
            <w:pPr>
              <w:jc w:val="left"/>
            </w:pPr>
            <w:r>
              <w:rPr>
                <w:color w:val="1C3A36"/>
                <w:sz w:val="15"/>
              </w:rPr>
              <w:t>− Δ working capital</w:t>
            </w:r>
          </w:p>
        </w:tc>
        <w:tc>
          <w:tcPr>
            <w:tcW w:type="dxa" w:w="1310"/>
          </w:tcPr>
          <w:p>
            <w:pPr>
              <w:jc w:val="right"/>
            </w:pPr>
            <w:r>
              <w:rPr>
                <w:color w:val="1C3A36"/>
                <w:sz w:val="15"/>
              </w:rPr>
              <w:t>($150)</w:t>
            </w:r>
          </w:p>
        </w:tc>
        <w:tc>
          <w:tcPr>
            <w:tcW w:type="dxa" w:w="1310"/>
          </w:tcPr>
          <w:p>
            <w:pPr>
              <w:jc w:val="right"/>
            </w:pPr>
            <w:r>
              <w:rPr>
                <w:color w:val="1C3A36"/>
                <w:sz w:val="15"/>
              </w:rPr>
              <w:t>($150)</w:t>
            </w:r>
          </w:p>
        </w:tc>
        <w:tc>
          <w:tcPr>
            <w:tcW w:type="dxa" w:w="1310"/>
          </w:tcPr>
          <w:p>
            <w:pPr>
              <w:jc w:val="right"/>
            </w:pPr>
            <w:r>
              <w:rPr>
                <w:color w:val="1C3A36"/>
                <w:sz w:val="15"/>
              </w:rPr>
              <w:t>($200)</w:t>
            </w:r>
          </w:p>
        </w:tc>
        <w:tc>
          <w:tcPr>
            <w:tcW w:type="dxa" w:w="1310"/>
          </w:tcPr>
          <w:p>
            <w:pPr>
              <w:jc w:val="right"/>
            </w:pPr>
            <w:r>
              <w:rPr>
                <w:color w:val="1C3A36"/>
                <w:sz w:val="15"/>
              </w:rPr>
              <w:t>($150)</w:t>
            </w:r>
          </w:p>
        </w:tc>
        <w:tc>
          <w:tcPr>
            <w:tcW w:type="dxa" w:w="1310"/>
          </w:tcPr>
          <w:p>
            <w:pPr>
              <w:jc w:val="right"/>
            </w:pPr>
            <w:r>
              <w:rPr>
                <w:color w:val="1C3A36"/>
                <w:sz w:val="15"/>
              </w:rPr>
              <w:t>($150)</w:t>
            </w:r>
          </w:p>
        </w:tc>
      </w:tr>
      <w:tr>
        <w:tc>
          <w:tcPr>
            <w:tcW w:type="dxa" w:w="2882"/>
            <w:shd w:val="clear" w:fill="EEF4F1"/>
          </w:tcPr>
          <w:p>
            <w:pPr>
              <w:jc w:val="left"/>
            </w:pPr>
            <w:r>
              <w:rPr>
                <w:color w:val="1C3A36"/>
                <w:sz w:val="15"/>
              </w:rPr>
              <w:t>Operating cash flow</w:t>
            </w:r>
          </w:p>
        </w:tc>
        <w:tc>
          <w:tcPr>
            <w:tcW w:type="dxa" w:w="1310"/>
            <w:shd w:val="clear" w:fill="EEF4F1"/>
          </w:tcPr>
          <w:p>
            <w:pPr>
              <w:jc w:val="right"/>
            </w:pPr>
            <w:r>
              <w:rPr>
                <w:color w:val="1C3A36"/>
                <w:sz w:val="15"/>
              </w:rPr>
              <w:t>$7,446</w:t>
            </w:r>
          </w:p>
        </w:tc>
        <w:tc>
          <w:tcPr>
            <w:tcW w:type="dxa" w:w="1310"/>
            <w:shd w:val="clear" w:fill="EEF4F1"/>
          </w:tcPr>
          <w:p>
            <w:pPr>
              <w:jc w:val="right"/>
            </w:pPr>
            <w:r>
              <w:rPr>
                <w:color w:val="1C3A36"/>
                <w:sz w:val="15"/>
              </w:rPr>
              <w:t>$7,990</w:t>
            </w:r>
          </w:p>
        </w:tc>
        <w:tc>
          <w:tcPr>
            <w:tcW w:type="dxa" w:w="1310"/>
            <w:shd w:val="clear" w:fill="EEF4F1"/>
          </w:tcPr>
          <w:p>
            <w:pPr>
              <w:jc w:val="right"/>
            </w:pPr>
            <w:r>
              <w:rPr>
                <w:color w:val="1C3A36"/>
                <w:sz w:val="15"/>
              </w:rPr>
              <w:t>$8,623</w:t>
            </w:r>
          </w:p>
        </w:tc>
        <w:tc>
          <w:tcPr>
            <w:tcW w:type="dxa" w:w="1310"/>
            <w:shd w:val="clear" w:fill="EEF4F1"/>
          </w:tcPr>
          <w:p>
            <w:pPr>
              <w:jc w:val="right"/>
            </w:pPr>
            <w:r>
              <w:rPr>
                <w:color w:val="1C3A36"/>
                <w:sz w:val="15"/>
              </w:rPr>
              <w:t>$9,319</w:t>
            </w:r>
          </w:p>
        </w:tc>
        <w:tc>
          <w:tcPr>
            <w:tcW w:type="dxa" w:w="1310"/>
            <w:shd w:val="clear" w:fill="EEF4F1"/>
          </w:tcPr>
          <w:p>
            <w:pPr>
              <w:jc w:val="right"/>
            </w:pPr>
            <w:r>
              <w:rPr>
                <w:color w:val="1C3A36"/>
                <w:sz w:val="15"/>
              </w:rPr>
              <w:t>$9,803</w:t>
            </w:r>
          </w:p>
        </w:tc>
      </w:tr>
      <w:tr>
        <w:tc>
          <w:tcPr>
            <w:tcW w:type="dxa" w:w="2882"/>
          </w:tcPr>
          <w:p>
            <w:pPr>
              <w:jc w:val="left"/>
            </w:pPr>
            <w:r>
              <w:rPr>
                <w:color w:val="1C3A36"/>
                <w:sz w:val="15"/>
              </w:rPr>
              <w:t>− Capex</w:t>
            </w:r>
          </w:p>
        </w:tc>
        <w:tc>
          <w:tcPr>
            <w:tcW w:type="dxa" w:w="1310"/>
          </w:tcPr>
          <w:p>
            <w:pPr>
              <w:jc w:val="right"/>
            </w:pPr>
            <w:r>
              <w:rPr>
                <w:color w:val="1C3A36"/>
                <w:sz w:val="15"/>
              </w:rPr>
              <w:t>($3,300)</w:t>
            </w:r>
          </w:p>
        </w:tc>
        <w:tc>
          <w:tcPr>
            <w:tcW w:type="dxa" w:w="1310"/>
          </w:tcPr>
          <w:p>
            <w:pPr>
              <w:jc w:val="right"/>
            </w:pPr>
            <w:r>
              <w:rPr>
                <w:color w:val="1C3A36"/>
                <w:sz w:val="15"/>
              </w:rPr>
              <w:t>($3,000)</w:t>
            </w:r>
          </w:p>
        </w:tc>
        <w:tc>
          <w:tcPr>
            <w:tcW w:type="dxa" w:w="1310"/>
          </w:tcPr>
          <w:p>
            <w:pPr>
              <w:jc w:val="right"/>
            </w:pPr>
            <w:r>
              <w:rPr>
                <w:color w:val="1C3A36"/>
                <w:sz w:val="15"/>
              </w:rPr>
              <w:t>($3,400)</w:t>
            </w:r>
          </w:p>
        </w:tc>
        <w:tc>
          <w:tcPr>
            <w:tcW w:type="dxa" w:w="1310"/>
          </w:tcPr>
          <w:p>
            <w:pPr>
              <w:jc w:val="right"/>
            </w:pPr>
            <w:r>
              <w:rPr>
                <w:color w:val="1C3A36"/>
                <w:sz w:val="15"/>
              </w:rPr>
              <w:t>($1,700)</w:t>
            </w:r>
          </w:p>
        </w:tc>
        <w:tc>
          <w:tcPr>
            <w:tcW w:type="dxa" w:w="1310"/>
          </w:tcPr>
          <w:p>
            <w:pPr>
              <w:jc w:val="right"/>
            </w:pPr>
            <w:r>
              <w:rPr>
                <w:color w:val="1C3A36"/>
                <w:sz w:val="15"/>
              </w:rPr>
              <w:t>($2,000)</w:t>
            </w:r>
          </w:p>
        </w:tc>
      </w:tr>
      <w:tr>
        <w:tc>
          <w:tcPr>
            <w:tcW w:type="dxa" w:w="2882"/>
            <w:shd w:val="clear" w:fill="EEF4F1"/>
          </w:tcPr>
          <w:p>
            <w:pPr>
              <w:jc w:val="left"/>
            </w:pPr>
            <w:r>
              <w:rPr>
                <w:color w:val="1C3A36"/>
                <w:sz w:val="15"/>
              </w:rPr>
              <w:t>Free cash flow</w:t>
            </w:r>
          </w:p>
        </w:tc>
        <w:tc>
          <w:tcPr>
            <w:tcW w:type="dxa" w:w="1310"/>
            <w:shd w:val="clear" w:fill="EEF4F1"/>
          </w:tcPr>
          <w:p>
            <w:pPr>
              <w:jc w:val="right"/>
            </w:pPr>
            <w:r>
              <w:rPr>
                <w:color w:val="1C3A36"/>
                <w:sz w:val="15"/>
              </w:rPr>
              <w:t>$4,146</w:t>
            </w:r>
          </w:p>
        </w:tc>
        <w:tc>
          <w:tcPr>
            <w:tcW w:type="dxa" w:w="1310"/>
            <w:shd w:val="clear" w:fill="EEF4F1"/>
          </w:tcPr>
          <w:p>
            <w:pPr>
              <w:jc w:val="right"/>
            </w:pPr>
            <w:r>
              <w:rPr>
                <w:color w:val="1C3A36"/>
                <w:sz w:val="15"/>
              </w:rPr>
              <w:t>$4,990</w:t>
            </w:r>
          </w:p>
        </w:tc>
        <w:tc>
          <w:tcPr>
            <w:tcW w:type="dxa" w:w="1310"/>
            <w:shd w:val="clear" w:fill="EEF4F1"/>
          </w:tcPr>
          <w:p>
            <w:pPr>
              <w:jc w:val="right"/>
            </w:pPr>
            <w:r>
              <w:rPr>
                <w:color w:val="1C3A36"/>
                <w:sz w:val="15"/>
              </w:rPr>
              <w:t>$5,223</w:t>
            </w:r>
          </w:p>
        </w:tc>
        <w:tc>
          <w:tcPr>
            <w:tcW w:type="dxa" w:w="1310"/>
            <w:shd w:val="clear" w:fill="EEF4F1"/>
          </w:tcPr>
          <w:p>
            <w:pPr>
              <w:jc w:val="right"/>
            </w:pPr>
            <w:r>
              <w:rPr>
                <w:color w:val="1C3A36"/>
                <w:sz w:val="15"/>
              </w:rPr>
              <w:t>$7,619</w:t>
            </w:r>
          </w:p>
        </w:tc>
        <w:tc>
          <w:tcPr>
            <w:tcW w:type="dxa" w:w="1310"/>
            <w:shd w:val="clear" w:fill="EEF4F1"/>
          </w:tcPr>
          <w:p>
            <w:pPr>
              <w:jc w:val="right"/>
            </w:pPr>
            <w:r>
              <w:rPr>
                <w:color w:val="1C3A36"/>
                <w:sz w:val="15"/>
              </w:rPr>
              <w:t>$7,803</w:t>
            </w:r>
          </w:p>
        </w:tc>
      </w:tr>
      <w:tr>
        <w:tc>
          <w:tcPr>
            <w:tcW w:type="dxa" w:w="2882"/>
          </w:tcPr>
          <w:p>
            <w:pPr>
              <w:jc w:val="left"/>
            </w:pPr>
            <w:r>
              <w:rPr>
                <w:color w:val="1C3A36"/>
                <w:sz w:val="15"/>
              </w:rPr>
              <w:t>− Dividends</w:t>
            </w:r>
          </w:p>
        </w:tc>
        <w:tc>
          <w:tcPr>
            <w:tcW w:type="dxa" w:w="1310"/>
          </w:tcPr>
          <w:p>
            <w:pPr>
              <w:jc w:val="right"/>
            </w:pPr>
            <w:r>
              <w:rPr>
                <w:color w:val="1C3A36"/>
                <w:sz w:val="15"/>
              </w:rPr>
              <w:t>($3,763)</w:t>
            </w:r>
          </w:p>
        </w:tc>
        <w:tc>
          <w:tcPr>
            <w:tcW w:type="dxa" w:w="1310"/>
          </w:tcPr>
          <w:p>
            <w:pPr>
              <w:jc w:val="right"/>
            </w:pPr>
            <w:r>
              <w:rPr>
                <w:color w:val="1C3A36"/>
                <w:sz w:val="15"/>
              </w:rPr>
              <w:t>($3,951)</w:t>
            </w:r>
          </w:p>
        </w:tc>
        <w:tc>
          <w:tcPr>
            <w:tcW w:type="dxa" w:w="1310"/>
          </w:tcPr>
          <w:p>
            <w:pPr>
              <w:jc w:val="right"/>
            </w:pPr>
            <w:r>
              <w:rPr>
                <w:color w:val="1C3A36"/>
                <w:sz w:val="15"/>
              </w:rPr>
              <w:t>($4,149)</w:t>
            </w:r>
          </w:p>
        </w:tc>
        <w:tc>
          <w:tcPr>
            <w:tcW w:type="dxa" w:w="1310"/>
          </w:tcPr>
          <w:p>
            <w:pPr>
              <w:jc w:val="right"/>
            </w:pPr>
            <w:r>
              <w:rPr>
                <w:color w:val="1C3A36"/>
                <w:sz w:val="15"/>
              </w:rPr>
              <w:t>($4,356)</w:t>
            </w:r>
          </w:p>
        </w:tc>
        <w:tc>
          <w:tcPr>
            <w:tcW w:type="dxa" w:w="1310"/>
          </w:tcPr>
          <w:p>
            <w:pPr>
              <w:jc w:val="right"/>
            </w:pPr>
            <w:r>
              <w:rPr>
                <w:color w:val="1C3A36"/>
                <w:sz w:val="15"/>
              </w:rPr>
              <w:t>($4,574)</w:t>
            </w:r>
          </w:p>
        </w:tc>
      </w:tr>
      <w:tr>
        <w:tc>
          <w:tcPr>
            <w:tcW w:type="dxa" w:w="2882"/>
            <w:shd w:val="clear" w:fill="EEF4F1"/>
          </w:tcPr>
          <w:p>
            <w:pPr>
              <w:jc w:val="left"/>
            </w:pPr>
            <w:r>
              <w:rPr>
                <w:color w:val="1C3A36"/>
                <w:sz w:val="15"/>
              </w:rPr>
              <w:t>Net change in cash</w:t>
            </w:r>
          </w:p>
        </w:tc>
        <w:tc>
          <w:tcPr>
            <w:tcW w:type="dxa" w:w="1310"/>
            <w:shd w:val="clear" w:fill="EEF4F1"/>
          </w:tcPr>
          <w:p>
            <w:pPr>
              <w:jc w:val="right"/>
            </w:pPr>
            <w:r>
              <w:rPr>
                <w:color w:val="1C3A36"/>
                <w:sz w:val="15"/>
              </w:rPr>
              <w:t>$382</w:t>
            </w:r>
          </w:p>
        </w:tc>
        <w:tc>
          <w:tcPr>
            <w:tcW w:type="dxa" w:w="1310"/>
            <w:shd w:val="clear" w:fill="EEF4F1"/>
          </w:tcPr>
          <w:p>
            <w:pPr>
              <w:jc w:val="right"/>
            </w:pPr>
            <w:r>
              <w:rPr>
                <w:color w:val="1C3A36"/>
                <w:sz w:val="15"/>
              </w:rPr>
              <w:t>$1,039</w:t>
            </w:r>
          </w:p>
        </w:tc>
        <w:tc>
          <w:tcPr>
            <w:tcW w:type="dxa" w:w="1310"/>
            <w:shd w:val="clear" w:fill="EEF4F1"/>
          </w:tcPr>
          <w:p>
            <w:pPr>
              <w:jc w:val="right"/>
            </w:pPr>
            <w:r>
              <w:rPr>
                <w:color w:val="1C3A36"/>
                <w:sz w:val="15"/>
              </w:rPr>
              <w:t>$1,074</w:t>
            </w:r>
          </w:p>
        </w:tc>
        <w:tc>
          <w:tcPr>
            <w:tcW w:type="dxa" w:w="1310"/>
            <w:shd w:val="clear" w:fill="EEF4F1"/>
          </w:tcPr>
          <w:p>
            <w:pPr>
              <w:jc w:val="right"/>
            </w:pPr>
            <w:r>
              <w:rPr>
                <w:color w:val="1C3A36"/>
                <w:sz w:val="15"/>
              </w:rPr>
              <w:t>$3,263</w:t>
            </w:r>
          </w:p>
        </w:tc>
        <w:tc>
          <w:tcPr>
            <w:tcW w:type="dxa" w:w="1310"/>
            <w:shd w:val="clear" w:fill="EEF4F1"/>
          </w:tcPr>
          <w:p>
            <w:pPr>
              <w:jc w:val="right"/>
            </w:pPr>
            <w:r>
              <w:rPr>
                <w:color w:val="1C3A36"/>
                <w:sz w:val="15"/>
              </w:rPr>
              <w:t>$3,228</w:t>
            </w:r>
          </w:p>
        </w:tc>
      </w:tr>
      <w:tr>
        <w:tc>
          <w:tcPr>
            <w:tcW w:type="dxa" w:w="2882"/>
          </w:tcPr>
          <w:p>
            <w:pPr>
              <w:jc w:val="left"/>
            </w:pPr>
            <w:r>
              <w:rPr>
                <w:color w:val="1C3A36"/>
                <w:sz w:val="15"/>
              </w:rPr>
              <w:t>Closing cash</w:t>
            </w:r>
          </w:p>
        </w:tc>
        <w:tc>
          <w:tcPr>
            <w:tcW w:type="dxa" w:w="1310"/>
          </w:tcPr>
          <w:p>
            <w:pPr>
              <w:jc w:val="right"/>
            </w:pPr>
            <w:r>
              <w:rPr>
                <w:color w:val="1C3A36"/>
                <w:sz w:val="15"/>
              </w:rPr>
              <w:t>$5,442</w:t>
            </w:r>
          </w:p>
        </w:tc>
        <w:tc>
          <w:tcPr>
            <w:tcW w:type="dxa" w:w="1310"/>
          </w:tcPr>
          <w:p>
            <w:pPr>
              <w:jc w:val="right"/>
            </w:pPr>
            <w:r>
              <w:rPr>
                <w:color w:val="1C3A36"/>
                <w:sz w:val="15"/>
              </w:rPr>
              <w:t>$6,482</w:t>
            </w:r>
          </w:p>
        </w:tc>
        <w:tc>
          <w:tcPr>
            <w:tcW w:type="dxa" w:w="1310"/>
          </w:tcPr>
          <w:p>
            <w:pPr>
              <w:jc w:val="right"/>
            </w:pPr>
            <w:r>
              <w:rPr>
                <w:color w:val="1C3A36"/>
                <w:sz w:val="15"/>
              </w:rPr>
              <w:t>$7,556</w:t>
            </w:r>
          </w:p>
        </w:tc>
        <w:tc>
          <w:tcPr>
            <w:tcW w:type="dxa" w:w="1310"/>
          </w:tcPr>
          <w:p>
            <w:pPr>
              <w:jc w:val="right"/>
            </w:pPr>
            <w:r>
              <w:rPr>
                <w:color w:val="1C3A36"/>
                <w:sz w:val="15"/>
              </w:rPr>
              <w:t>$10,819</w:t>
            </w:r>
          </w:p>
        </w:tc>
        <w:tc>
          <w:tcPr>
            <w:tcW w:type="dxa" w:w="1310"/>
          </w:tcPr>
          <w:p>
            <w:pPr>
              <w:jc w:val="right"/>
            </w:pPr>
            <w:r>
              <w:rPr>
                <w:color w:val="1C3A36"/>
                <w:sz w:val="15"/>
              </w:rPr>
              <w:t>$14,047</w:t>
            </w:r>
          </w:p>
        </w:tc>
      </w:tr>
    </w:tbl>
    <w:p>
      <w:r>
        <w:rPr>
          <w:i/>
          <w:color w:val="5A5A50"/>
          <w:sz w:val="16"/>
        </w:rPr>
        <w:t>Derived from the income statement and Assumptions drivers; ties to the balance-sheet cash line.</w:t>
      </w:r>
    </w:p>
    <w:p/>
    <w:p>
      <w:pPr>
        <w:pBdr>
          <w:bottom w:val="single" w:sz="6" w:space="2" w:color="C0A45F"/>
        </w:pBdr>
      </w:pPr>
      <w:r>
        <w:rPr>
          <w:b/>
          <w:color w:val="0F5E54"/>
          <w:sz w:val="28"/>
        </w:rPr>
        <w:t>Appendix B  Step 0 — calibration backtest</w:t>
      </w:r>
    </w:p>
    <w:p>
      <w:pPr>
        <w:jc w:val="both"/>
      </w:pPr>
      <w:r>
        <w:rPr>
          <w:i w:val="0"/>
          <w:color w:val="1C3A36"/>
          <w:sz w:val="20"/>
        </w:rPr>
        <w:t>Before valuing the name we test the forecasting engine on the name's own history: a rolling backtest, horizon 60 sessions, scoring each realised close against the distribution the YZ-HAR engine (drift OFF) would have produced using only prior data. The grade is CRPS skill against a zero-drift random-walk cone (spot, trailing realised vol); band coverage and PIT are diagnostics only. Constraint: ADNOC Gas IPO'd in March 2023, so the sample spans 2023-03-14 to 2026-07-03 (~3.3 years, 825 sessions), not a full five — the backtest runs on all available history.</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5011"/>
            <w:shd w:val="clear" w:fill="0F5E54"/>
          </w:tcPr>
          <w:p>
            <w:pPr>
              <w:jc w:val="left"/>
            </w:pPr>
            <w:r>
              <w:rPr>
                <w:b/>
                <w:color w:val="FFFFFF"/>
                <w:sz w:val="17"/>
              </w:rPr>
              <w:t>Metric</w:t>
            </w:r>
          </w:p>
        </w:tc>
        <w:tc>
          <w:tcPr>
            <w:tcW w:type="dxa" w:w="4421"/>
            <w:shd w:val="clear" w:fill="0F5E54"/>
          </w:tcPr>
          <w:p>
            <w:pPr>
              <w:jc w:val="center"/>
            </w:pPr>
            <w:r>
              <w:rPr>
                <w:b/>
                <w:color w:val="FFFFFF"/>
                <w:sz w:val="17"/>
              </w:rPr>
              <w:t>Result</w:t>
            </w:r>
          </w:p>
        </w:tc>
      </w:tr>
      <w:tr>
        <w:tc>
          <w:tcPr>
            <w:tcW w:type="dxa" w:w="5011"/>
          </w:tcPr>
          <w:p>
            <w:pPr>
              <w:jc w:val="left"/>
            </w:pPr>
            <w:r>
              <w:rPr>
                <w:color w:val="1C3A36"/>
                <w:sz w:val="16"/>
              </w:rPr>
              <w:t>CRPS skill vs random walk (non-overlapping, n=11)</w:t>
            </w:r>
          </w:p>
        </w:tc>
        <w:tc>
          <w:tcPr>
            <w:tcW w:type="dxa" w:w="4421"/>
          </w:tcPr>
          <w:p>
            <w:pPr>
              <w:jc w:val="right"/>
            </w:pPr>
            <w:r>
              <w:rPr>
                <w:color w:val="1C3A36"/>
                <w:sz w:val="16"/>
              </w:rPr>
              <w:t>+0.070  (pass, &gt;0)</w:t>
            </w:r>
          </w:p>
        </w:tc>
      </w:tr>
      <w:tr>
        <w:tc>
          <w:tcPr>
            <w:tcW w:type="dxa" w:w="5011"/>
            <w:shd w:val="clear" w:fill="EEF4F1"/>
          </w:tcPr>
          <w:p>
            <w:pPr>
              <w:jc w:val="left"/>
            </w:pPr>
            <w:r>
              <w:rPr>
                <w:color w:val="1C3A36"/>
                <w:sz w:val="16"/>
              </w:rPr>
              <w:t>CRPS skill (dense origins, n=62)</w:t>
            </w:r>
          </w:p>
        </w:tc>
        <w:tc>
          <w:tcPr>
            <w:tcW w:type="dxa" w:w="4421"/>
            <w:shd w:val="clear" w:fill="EEF4F1"/>
          </w:tcPr>
          <w:p>
            <w:pPr>
              <w:jc w:val="right"/>
            </w:pPr>
            <w:r>
              <w:rPr>
                <w:color w:val="1C3A36"/>
                <w:sz w:val="16"/>
              </w:rPr>
              <w:t>+0.038  ·  block-boot 90% CI [+0.012, +0.074]</w:t>
            </w:r>
          </w:p>
        </w:tc>
      </w:tr>
      <w:tr>
        <w:tc>
          <w:tcPr>
            <w:tcW w:type="dxa" w:w="5011"/>
          </w:tcPr>
          <w:p>
            <w:pPr>
              <w:jc w:val="left"/>
            </w:pPr>
            <w:r>
              <w:rPr>
                <w:color w:val="1C3A36"/>
                <w:sz w:val="16"/>
              </w:rPr>
              <w:t>Mean Winkler score, model vs RW — 50/80/90%</w:t>
            </w:r>
          </w:p>
        </w:tc>
        <w:tc>
          <w:tcPr>
            <w:tcW w:type="dxa" w:w="4421"/>
          </w:tcPr>
          <w:p>
            <w:pPr>
              <w:jc w:val="right"/>
            </w:pPr>
            <w:r>
              <w:rPr>
                <w:color w:val="1C3A36"/>
                <w:sz w:val="16"/>
              </w:rPr>
              <w:t>0.425/0.708/0.942  vs  0.486/0.794/1.018 (model tighter, all bands)</w:t>
            </w:r>
          </w:p>
        </w:tc>
      </w:tr>
      <w:tr>
        <w:tc>
          <w:tcPr>
            <w:tcW w:type="dxa" w:w="5011"/>
            <w:shd w:val="clear" w:fill="EEF4F1"/>
          </w:tcPr>
          <w:p>
            <w:pPr>
              <w:jc w:val="left"/>
            </w:pPr>
            <w:r>
              <w:rPr>
                <w:color w:val="1C3A36"/>
                <w:sz w:val="16"/>
              </w:rPr>
              <w:t>Interval coverage 50/80/90% (diagnostic)</w:t>
            </w:r>
          </w:p>
        </w:tc>
        <w:tc>
          <w:tcPr>
            <w:tcW w:type="dxa" w:w="4421"/>
            <w:shd w:val="clear" w:fill="EEF4F1"/>
          </w:tcPr>
          <w:p>
            <w:pPr>
              <w:jc w:val="right"/>
            </w:pPr>
            <w:r>
              <w:rPr>
                <w:color w:val="1C3A36"/>
                <w:sz w:val="16"/>
              </w:rPr>
              <w:t>73% / 91% / 100%</w:t>
            </w:r>
          </w:p>
        </w:tc>
      </w:tr>
      <w:tr>
        <w:tc>
          <w:tcPr>
            <w:tcW w:type="dxa" w:w="5011"/>
          </w:tcPr>
          <w:p>
            <w:pPr>
              <w:jc w:val="left"/>
            </w:pPr>
            <w:r>
              <w:rPr>
                <w:color w:val="1C3A36"/>
                <w:sz w:val="16"/>
              </w:rPr>
              <w:t>PIT mean / std (diagnostic)</w:t>
            </w:r>
          </w:p>
        </w:tc>
        <w:tc>
          <w:tcPr>
            <w:tcW w:type="dxa" w:w="4421"/>
          </w:tcPr>
          <w:p>
            <w:pPr>
              <w:jc w:val="right"/>
            </w:pPr>
            <w:r>
              <w:rPr>
                <w:color w:val="1C3A36"/>
                <w:sz w:val="16"/>
              </w:rPr>
              <w:t>0.54 / 0.26 (≈ uniform)</w:t>
            </w:r>
          </w:p>
        </w:tc>
      </w:tr>
    </w:tbl>
    <w:p>
      <w:r>
        <w:rPr>
          <w:i/>
          <w:color w:val="5A5A50"/>
          <w:sz w:val="16"/>
        </w:rPr>
        <w:t>Passes: positive CRPS skill with the dense-origin CI entirely above zero, model interval scores beat the benchmark on every band, PIT near-uniform.</w:t>
      </w:r>
    </w:p>
    <w:p/>
    <w:p>
      <w:pPr>
        <w:jc w:val="center"/>
      </w:pPr>
      <w:r>
        <w:drawing>
          <wp:inline xmlns:a="http://schemas.openxmlformats.org/drawingml/2006/main" xmlns:pic="http://schemas.openxmlformats.org/drawingml/2006/picture">
            <wp:extent cx="4389120" cy="2548521"/>
            <wp:docPr id="8" name="Picture 8"/>
            <wp:cNvGraphicFramePr>
              <a:graphicFrameLocks noChangeAspect="1"/>
            </wp:cNvGraphicFramePr>
            <a:graphic>
              <a:graphicData uri="http://schemas.openxmlformats.org/drawingml/2006/picture">
                <pic:pic>
                  <pic:nvPicPr>
                    <pic:cNvPr id="0" name="step0_pit_hist.png"/>
                    <pic:cNvPicPr/>
                  </pic:nvPicPr>
                  <pic:blipFill>
                    <a:blip r:embed="rId16"/>
                    <a:stretch>
                      <a:fillRect/>
                    </a:stretch>
                  </pic:blipFill>
                  <pic:spPr>
                    <a:xfrm>
                      <a:off x="0" y="0"/>
                      <a:ext cx="4389120" cy="2548521"/>
                    </a:xfrm>
                    <a:prstGeom prst="rect"/>
                  </pic:spPr>
                </pic:pic>
              </a:graphicData>
            </a:graphic>
          </wp:inline>
        </w:drawing>
      </w:r>
    </w:p>
    <w:p>
      <w:r>
        <w:rPr>
          <w:i/>
          <w:color w:val="5A5A50"/>
          <w:sz w:val="16"/>
        </w:rPr>
        <w:t>Figure B1. PIT histogram (dense origins). Roughly uniform against the gold expectation line — no material U-shape or skew.</w:t>
      </w:r>
    </w:p>
    <w:p>
      <w:pPr>
        <w:jc w:val="center"/>
      </w:pPr>
      <w:r>
        <w:drawing>
          <wp:inline xmlns:a="http://schemas.openxmlformats.org/drawingml/2006/main" xmlns:pic="http://schemas.openxmlformats.org/drawingml/2006/picture">
            <wp:extent cx="4389120" cy="2406937"/>
            <wp:docPr id="9" name="Picture 9"/>
            <wp:cNvGraphicFramePr>
              <a:graphicFrameLocks noChangeAspect="1"/>
            </wp:cNvGraphicFramePr>
            <a:graphic>
              <a:graphicData uri="http://schemas.openxmlformats.org/drawingml/2006/picture">
                <pic:pic>
                  <pic:nvPicPr>
                    <pic:cNvPr id="0" name="step0_coverage.png"/>
                    <pic:cNvPicPr/>
                  </pic:nvPicPr>
                  <pic:blipFill>
                    <a:blip r:embed="rId17"/>
                    <a:stretch>
                      <a:fillRect/>
                    </a:stretch>
                  </pic:blipFill>
                  <pic:spPr>
                    <a:xfrm>
                      <a:off x="0" y="0"/>
                      <a:ext cx="4389120" cy="2406937"/>
                    </a:xfrm>
                    <a:prstGeom prst="rect"/>
                  </pic:spPr>
                </pic:pic>
              </a:graphicData>
            </a:graphic>
          </wp:inline>
        </w:drawing>
      </w:r>
    </w:p>
    <w:p>
      <w:r>
        <w:rPr>
          <w:i/>
          <w:color w:val="5A5A50"/>
          <w:sz w:val="16"/>
        </w:rPr>
        <w:t>Figure B2. Interval coverage vs nominal (diagnostic only; band-containment is never the grade).</w:t>
      </w:r>
    </w:p>
    <w:p>
      <w:pPr>
        <w:pBdr>
          <w:bottom w:val="single" w:sz="6" w:space="2" w:color="C0A45F"/>
        </w:pBdr>
      </w:pPr>
      <w:r>
        <w:rPr>
          <w:b/>
          <w:color w:val="0F5E54"/>
          <w:sz w:val="28"/>
        </w:rPr>
        <w:t>Appendix C  Peer set, sector structure, and risks</w:t>
      </w:r>
    </w:p>
    <w:p>
      <w:pPr>
        <w:jc w:val="both"/>
      </w:pPr>
      <w:r>
        <w:rPr>
          <w:i w:val="0"/>
          <w:color w:val="1C3A36"/>
          <w:sz w:val="20"/>
        </w:rPr>
        <w:t>No perfect comparable exists. ADNOC Gas is a contracted midstream/processing business with a commodity export sleeve and a sovereign parent — a hybrid of a Western midstream utility and a Gulf national-oil-company affiliate. The reference set therefore spans several cohorts.</w:t>
      </w:r>
    </w:p>
    <w:tbl>
      <w:tblPr>
        <w:tblStyle w:val="TableGrid"/>
        <w:tblW w:type="auto" w:w="0"/>
        <w:jc w:val="center"/>
        <w:tblLayout w:type="fixed"/>
        <w:tblLook w:firstColumn="1" w:firstRow="1" w:lastColumn="0" w:lastRow="0" w:noHBand="0" w:noVBand="1" w:val="04A0"/>
        <w:tblLayout w:type="fixed"/>
      </w:tblPr>
      <w:tblGrid>
        <w:gridCol w:w="3312"/>
        <w:gridCol w:w="3312"/>
        <w:gridCol w:w="3312"/>
      </w:tblGrid>
      <w:tr>
        <w:tc>
          <w:tcPr>
            <w:tcW w:type="dxa" w:w="2964"/>
            <w:shd w:val="clear" w:fill="0F5E54"/>
          </w:tcPr>
          <w:p>
            <w:pPr>
              <w:jc w:val="left"/>
            </w:pPr>
            <w:r>
              <w:rPr>
                <w:b/>
                <w:color w:val="FFFFFF"/>
                <w:sz w:val="17"/>
              </w:rPr>
              <w:t>Cohort</w:t>
            </w:r>
          </w:p>
        </w:tc>
        <w:tc>
          <w:tcPr>
            <w:tcW w:type="dxa" w:w="3773"/>
            <w:shd w:val="clear" w:fill="0F5E54"/>
          </w:tcPr>
          <w:p>
            <w:pPr>
              <w:jc w:val="center"/>
            </w:pPr>
            <w:r>
              <w:rPr>
                <w:b/>
                <w:color w:val="FFFFFF"/>
                <w:sz w:val="17"/>
              </w:rPr>
              <w:t>Names</w:t>
            </w:r>
          </w:p>
        </w:tc>
        <w:tc>
          <w:tcPr>
            <w:tcW w:type="dxa" w:w="2695"/>
            <w:shd w:val="clear" w:fill="0F5E54"/>
          </w:tcPr>
          <w:p>
            <w:pPr>
              <w:jc w:val="center"/>
            </w:pPr>
            <w:r>
              <w:rPr>
                <w:b/>
                <w:color w:val="FFFFFF"/>
                <w:sz w:val="17"/>
              </w:rPr>
              <w:t>Typical valuation</w:t>
            </w:r>
          </w:p>
        </w:tc>
      </w:tr>
      <w:tr>
        <w:tc>
          <w:tcPr>
            <w:tcW w:type="dxa" w:w="2964"/>
          </w:tcPr>
          <w:p>
            <w:pPr>
              <w:jc w:val="left"/>
            </w:pPr>
            <w:r>
              <w:rPr>
                <w:color w:val="1C3A36"/>
                <w:sz w:val="16"/>
              </w:rPr>
              <w:t>Global LNG / gas midstream</w:t>
            </w:r>
          </w:p>
        </w:tc>
        <w:tc>
          <w:tcPr>
            <w:tcW w:type="dxa" w:w="3773"/>
          </w:tcPr>
          <w:p>
            <w:pPr>
              <w:jc w:val="right"/>
            </w:pPr>
            <w:r>
              <w:rPr>
                <w:color w:val="1C3A36"/>
                <w:sz w:val="16"/>
              </w:rPr>
              <w:t>Cheniere, Williams, ONEOK, Enbridge, Sempra</w:t>
            </w:r>
          </w:p>
        </w:tc>
        <w:tc>
          <w:tcPr>
            <w:tcW w:type="dxa" w:w="2695"/>
          </w:tcPr>
          <w:p>
            <w:pPr>
              <w:jc w:val="right"/>
            </w:pPr>
            <w:r>
              <w:rPr>
                <w:color w:val="1C3A36"/>
                <w:sz w:val="16"/>
              </w:rPr>
              <w:t>EV/EBITDA ~9–12x; yield 3–7%</w:t>
            </w:r>
          </w:p>
        </w:tc>
      </w:tr>
      <w:tr>
        <w:tc>
          <w:tcPr>
            <w:tcW w:type="dxa" w:w="2964"/>
            <w:shd w:val="clear" w:fill="EEF4F1"/>
          </w:tcPr>
          <w:p>
            <w:pPr>
              <w:jc w:val="left"/>
            </w:pPr>
            <w:r>
              <w:rPr>
                <w:color w:val="1C3A36"/>
                <w:sz w:val="16"/>
              </w:rPr>
              <w:t>European gas infrastructure</w:t>
            </w:r>
          </w:p>
        </w:tc>
        <w:tc>
          <w:tcPr>
            <w:tcW w:type="dxa" w:w="3773"/>
            <w:shd w:val="clear" w:fill="EEF4F1"/>
          </w:tcPr>
          <w:p>
            <w:pPr>
              <w:jc w:val="right"/>
            </w:pPr>
            <w:r>
              <w:rPr>
                <w:color w:val="1C3A36"/>
                <w:sz w:val="16"/>
              </w:rPr>
              <w:t>Snam, Enagás, Fluxys</w:t>
            </w:r>
          </w:p>
        </w:tc>
        <w:tc>
          <w:tcPr>
            <w:tcW w:type="dxa" w:w="2695"/>
            <w:shd w:val="clear" w:fill="EEF4F1"/>
          </w:tcPr>
          <w:p>
            <w:pPr>
              <w:jc w:val="right"/>
            </w:pPr>
            <w:r>
              <w:rPr>
                <w:color w:val="1C3A36"/>
                <w:sz w:val="16"/>
              </w:rPr>
              <w:t>EV/EBITDA ~8–10x; high payout</w:t>
            </w:r>
          </w:p>
        </w:tc>
      </w:tr>
      <w:tr>
        <w:tc>
          <w:tcPr>
            <w:tcW w:type="dxa" w:w="2964"/>
          </w:tcPr>
          <w:p>
            <w:pPr>
              <w:jc w:val="left"/>
            </w:pPr>
            <w:r>
              <w:rPr>
                <w:color w:val="1C3A36"/>
                <w:sz w:val="16"/>
              </w:rPr>
              <w:t>APAC LNG producers</w:t>
            </w:r>
          </w:p>
        </w:tc>
        <w:tc>
          <w:tcPr>
            <w:tcW w:type="dxa" w:w="3773"/>
          </w:tcPr>
          <w:p>
            <w:pPr>
              <w:jc w:val="right"/>
            </w:pPr>
            <w:r>
              <w:rPr>
                <w:color w:val="1C3A36"/>
                <w:sz w:val="16"/>
              </w:rPr>
              <w:t>Woodside, Santos</w:t>
            </w:r>
          </w:p>
        </w:tc>
        <w:tc>
          <w:tcPr>
            <w:tcW w:type="dxa" w:w="2695"/>
          </w:tcPr>
          <w:p>
            <w:pPr>
              <w:jc w:val="right"/>
            </w:pPr>
            <w:r>
              <w:rPr>
                <w:color w:val="1C3A36"/>
                <w:sz w:val="16"/>
              </w:rPr>
              <w:t>EV/EBITDA ~5–7x; oil-linked</w:t>
            </w:r>
          </w:p>
        </w:tc>
      </w:tr>
      <w:tr>
        <w:tc>
          <w:tcPr>
            <w:tcW w:type="dxa" w:w="2964"/>
            <w:shd w:val="clear" w:fill="EEF4F1"/>
          </w:tcPr>
          <w:p>
            <w:pPr>
              <w:jc w:val="left"/>
            </w:pPr>
            <w:r>
              <w:rPr>
                <w:color w:val="1C3A36"/>
                <w:sz w:val="16"/>
              </w:rPr>
              <w:t>Gulf / ADX energy</w:t>
            </w:r>
          </w:p>
        </w:tc>
        <w:tc>
          <w:tcPr>
            <w:tcW w:type="dxa" w:w="3773"/>
            <w:shd w:val="clear" w:fill="EEF4F1"/>
          </w:tcPr>
          <w:p>
            <w:pPr>
              <w:jc w:val="right"/>
            </w:pPr>
            <w:r>
              <w:rPr>
                <w:color w:val="1C3A36"/>
                <w:sz w:val="16"/>
              </w:rPr>
              <w:t>ADNOC Drilling, ADNOC Distribution, Saudi Aramco</w:t>
            </w:r>
          </w:p>
        </w:tc>
        <w:tc>
          <w:tcPr>
            <w:tcW w:type="dxa" w:w="2695"/>
            <w:shd w:val="clear" w:fill="EEF4F1"/>
          </w:tcPr>
          <w:p>
            <w:pPr>
              <w:jc w:val="right"/>
            </w:pPr>
            <w:r>
              <w:rPr>
                <w:color w:val="1C3A36"/>
                <w:sz w:val="16"/>
              </w:rPr>
              <w:t>EV/EBITDA ~7–9x; 4–6% yield</w:t>
            </w:r>
          </w:p>
        </w:tc>
      </w:tr>
      <w:tr>
        <w:tc>
          <w:tcPr>
            <w:tcW w:type="dxa" w:w="2964"/>
          </w:tcPr>
          <w:p>
            <w:pPr>
              <w:jc w:val="left"/>
            </w:pPr>
            <w:r>
              <w:rPr>
                <w:color w:val="1C3A36"/>
                <w:sz w:val="16"/>
              </w:rPr>
              <w:t>ADNOC Gas (this study)</w:t>
            </w:r>
          </w:p>
        </w:tc>
        <w:tc>
          <w:tcPr>
            <w:tcW w:type="dxa" w:w="3773"/>
          </w:tcPr>
          <w:p>
            <w:pPr>
              <w:jc w:val="right"/>
            </w:pPr>
            <w:r>
              <w:rPr>
                <w:color w:val="1C3A36"/>
                <w:sz w:val="16"/>
              </w:rPr>
              <w:t>—</w:t>
            </w:r>
          </w:p>
        </w:tc>
        <w:tc>
          <w:tcPr>
            <w:tcW w:type="dxa" w:w="2695"/>
          </w:tcPr>
          <w:p>
            <w:pPr>
              <w:jc w:val="right"/>
            </w:pPr>
            <w:r>
              <w:rPr>
                <w:color w:val="1C3A36"/>
                <w:sz w:val="16"/>
              </w:rPr>
              <w:t>EV/EBITDA ~7.8x; ~5% yield</w:t>
            </w:r>
          </w:p>
        </w:tc>
      </w:tr>
    </w:tbl>
    <w:p/>
    <w:p>
      <w:pPr>
        <w:jc w:val="both"/>
      </w:pPr>
      <w:r>
        <w:rPr>
          <w:b/>
          <w:color w:val="1C3A36"/>
          <w:sz w:val="20"/>
        </w:rPr>
        <w:t xml:space="preserve">Risks:  </w:t>
      </w:r>
      <w:r>
        <w:rPr>
          <w:i w:val="0"/>
          <w:color w:val="1C3A36"/>
          <w:sz w:val="20"/>
        </w:rPr>
        <w:t>Sector risks, in order of materiality: Brent/oil-linkage on the ~40% export leg; regional security (Strait of Hormuz, facility strikes — Habshan 2025); gas-allocation and tariff policy in the UAE; controlling-shareholder capital allocation (the distribution gate); and energy transition as a long-dated terminal-value risk. The mitigants are structural: a 25-year domestic take-or-pay SPA, a net-cash balance sheet, a sovereign parent, and a government self-sufficiency policy that underwrites domestic volumes.</w:t>
      </w:r>
    </w:p>
    <w:p>
      <w:r>
        <w:br w:type="page"/>
      </w:r>
    </w:p>
    <w:p>
      <w:pPr>
        <w:pBdr>
          <w:bottom w:val="single" w:sz="6" w:space="2" w:color="C0A45F"/>
        </w:pBdr>
      </w:pPr>
      <w:r>
        <w:rPr>
          <w:b/>
          <w:color w:val="0F5E54"/>
          <w:sz w:val="28"/>
        </w:rPr>
        <w:t>Appendix D  The expert valuation panel</w:t>
      </w:r>
    </w:p>
    <w:p>
      <w:pPr>
        <w:jc w:val="both"/>
      </w:pPr>
      <w:r>
        <w:rPr>
          <w:i w:val="0"/>
          <w:color w:val="1C3A36"/>
          <w:sz w:val="20"/>
        </w:rPr>
        <w:t>Three analysts, three genuinely different methods, cast by instrument (a capital-heavy, dividend-heavy operating company: earnings-power, cash-returns, and macro-policy). Each works a full valuation, sensitises the swing input, cross-examines the others, and states a falsification condition. They are labelled Expert 1/2/3; their fair values are logged against today's spot as an internal per-expert calibration layer.</w:t>
      </w:r>
    </w:p>
    <w:p>
      <w:pPr>
        <w:jc w:val="both"/>
      </w:pPr>
      <w:r>
        <w:rPr>
          <w:i w:val="0"/>
          <w:color w:val="1C3A36"/>
          <w:sz w:val="20"/>
        </w:rPr>
        <w:t>How to read this panel. The three experts are not three opinions to be averaged; they are three methods stress-testing one another. Where they agree, the reader can be confident; where they diverge, the divergence itself is information. For ADNOC Gas they agree that the domestic business is a high-quality, contracted annuity and that the dividend is safe — and they disagree, sharply, on how to value the cash the enterprise generates above that dividend. That single disagreement is the whole valuation, and the panel is structured to make it visible rather than to paper over it.</w:t>
      </w:r>
    </w:p>
    <w:p>
      <w:r>
        <w:rPr>
          <w:b/>
          <w:color w:val="17786B"/>
          <w:sz w:val="23"/>
        </w:rPr>
        <w:t>D.1  Expert 1 — enterprise earnings power (DCF / FCFF)</w:t>
      </w:r>
    </w:p>
    <w:p>
      <w:pPr>
        <w:jc w:val="both"/>
      </w:pPr>
      <w:r>
        <w:rPr>
          <w:i w:val="0"/>
          <w:color w:val="1C3A36"/>
          <w:sz w:val="20"/>
        </w:rPr>
        <w:t>Worldview and tradition. Expert 1 values a company as the present value of the cash the whole enterprise throws off, discounted at the return an equity owner requires. The instrument is a going concern with a defined pipeline; the right lens is a five-year FCFF DCF plus a terminal value. Assets are worth what they earn in cash, not what they distribute.</w:t>
      </w:r>
    </w:p>
    <w:p>
      <w:pPr>
        <w:jc w:val="both"/>
      </w:pPr>
      <w:r>
        <w:rPr>
          <w:i w:val="0"/>
          <w:color w:val="1C3A36"/>
          <w:sz w:val="20"/>
        </w:rPr>
        <w:t>When it works / fails. It works for a stable, cash-generative operating company with visible volume growth — exactly this. It fails when the terminal value dominates (as here, at 75% of EV), because the answer becomes a bet on (WACC − g); Expert 1 concedes this openly and leans on the sensitivity grid rather than the point.</w:t>
      </w:r>
    </w:p>
    <w:p>
      <w:pPr>
        <w:jc w:val="both"/>
      </w:pPr>
      <w:r>
        <w:rPr>
          <w:i w:val="0"/>
          <w:color w:val="1C3A36"/>
          <w:sz w:val="20"/>
        </w:rPr>
        <w:t>Standard workings. (1) Forecast revenue on domestic volume growth plus RGD/Ruwais capacity; (2) hold EBITDA margin drifting to ~38.5% on domestic mix; (3) NOPAT at a 16% blended tax; (4) add back D&amp;A, subtract capex (front-loaded, including Ruwais at cost) and working capital; (5) discount at Ke = rf + β·ERP = 4.5%+1.00×5.5% = 10.0%; (6) Gordon terminal at g = 2.5%; (7) add net cash of $4,780.</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5804"/>
            <w:shd w:val="clear" w:fill="0F5E54"/>
          </w:tcPr>
          <w:p>
            <w:pPr>
              <w:jc w:val="left"/>
            </w:pPr>
            <w:r>
              <w:rPr>
                <w:b/>
                <w:color w:val="FFFFFF"/>
                <w:sz w:val="17"/>
              </w:rPr>
              <w:t>Expert 1 — DCF</w:t>
            </w:r>
          </w:p>
        </w:tc>
        <w:tc>
          <w:tcPr>
            <w:tcW w:type="dxa" w:w="3628"/>
            <w:shd w:val="clear" w:fill="0F5E54"/>
          </w:tcPr>
          <w:p>
            <w:pPr>
              <w:jc w:val="center"/>
            </w:pPr>
            <w:r>
              <w:rPr>
                <w:b/>
                <w:color w:val="FFFFFF"/>
                <w:sz w:val="17"/>
              </w:rPr>
              <w:t>Value</w:t>
            </w:r>
          </w:p>
        </w:tc>
      </w:tr>
      <w:tr>
        <w:tc>
          <w:tcPr>
            <w:tcW w:type="dxa" w:w="5804"/>
          </w:tcPr>
          <w:p>
            <w:pPr>
              <w:jc w:val="left"/>
            </w:pPr>
            <w:r>
              <w:rPr>
                <w:color w:val="1C3A36"/>
                <w:sz w:val="16"/>
              </w:rPr>
              <w:t>Enterprise value</w:t>
            </w:r>
          </w:p>
        </w:tc>
        <w:tc>
          <w:tcPr>
            <w:tcW w:type="dxa" w:w="3628"/>
          </w:tcPr>
          <w:p>
            <w:pPr>
              <w:jc w:val="right"/>
            </w:pPr>
            <w:r>
              <w:rPr>
                <w:color w:val="1C3A36"/>
                <w:sz w:val="16"/>
              </w:rPr>
              <w:t>$89,256</w:t>
            </w:r>
          </w:p>
        </w:tc>
      </w:tr>
      <w:tr>
        <w:tc>
          <w:tcPr>
            <w:tcW w:type="dxa" w:w="5804"/>
            <w:shd w:val="clear" w:fill="EEF4F1"/>
          </w:tcPr>
          <w:p>
            <w:pPr>
              <w:jc w:val="left"/>
            </w:pPr>
            <w:r>
              <w:rPr>
                <w:color w:val="1C3A36"/>
                <w:sz w:val="16"/>
              </w:rPr>
              <w:t>Terminal value (% of EV)</w:t>
            </w:r>
          </w:p>
        </w:tc>
        <w:tc>
          <w:tcPr>
            <w:tcW w:type="dxa" w:w="3628"/>
            <w:shd w:val="clear" w:fill="EEF4F1"/>
          </w:tcPr>
          <w:p>
            <w:pPr>
              <w:jc w:val="right"/>
            </w:pPr>
            <w:r>
              <w:rPr>
                <w:color w:val="1C3A36"/>
                <w:sz w:val="16"/>
              </w:rPr>
              <w:t>75.0%</w:t>
            </w:r>
          </w:p>
        </w:tc>
      </w:tr>
      <w:tr>
        <w:tc>
          <w:tcPr>
            <w:tcW w:type="dxa" w:w="5804"/>
          </w:tcPr>
          <w:p>
            <w:pPr>
              <w:jc w:val="left"/>
            </w:pPr>
            <w:r>
              <w:rPr>
                <w:color w:val="1C3A36"/>
                <w:sz w:val="16"/>
              </w:rPr>
              <w:t>Equity value (+ net cash)</w:t>
            </w:r>
          </w:p>
        </w:tc>
        <w:tc>
          <w:tcPr>
            <w:tcW w:type="dxa" w:w="3628"/>
          </w:tcPr>
          <w:p>
            <w:pPr>
              <w:jc w:val="right"/>
            </w:pPr>
            <w:r>
              <w:rPr>
                <w:color w:val="1C3A36"/>
                <w:sz w:val="16"/>
              </w:rPr>
              <w:t>$94,036</w:t>
            </w:r>
          </w:p>
        </w:tc>
      </w:tr>
      <w:tr>
        <w:tc>
          <w:tcPr>
            <w:tcW w:type="dxa" w:w="5804"/>
            <w:shd w:val="clear" w:fill="EEF4F1"/>
          </w:tcPr>
          <w:p>
            <w:pPr>
              <w:jc w:val="left"/>
            </w:pPr>
            <w:r>
              <w:rPr>
                <w:color w:val="1C3A36"/>
                <w:sz w:val="16"/>
              </w:rPr>
              <w:t>Fair value / share</w:t>
            </w:r>
          </w:p>
        </w:tc>
        <w:tc>
          <w:tcPr>
            <w:tcW w:type="dxa" w:w="3628"/>
            <w:shd w:val="clear" w:fill="EEF4F1"/>
          </w:tcPr>
          <w:p>
            <w:pPr>
              <w:jc w:val="right"/>
            </w:pPr>
            <w:r>
              <w:rPr>
                <w:color w:val="1C3A36"/>
                <w:sz w:val="16"/>
              </w:rPr>
              <w:t>4.50</w:t>
            </w:r>
          </w:p>
        </w:tc>
      </w:tr>
    </w:tbl>
    <w:p/>
    <w:p>
      <w:pPr>
        <w:jc w:val="both"/>
      </w:pPr>
      <w:r>
        <w:rPr>
          <w:i w:val="0"/>
          <w:color w:val="1C3A36"/>
          <w:sz w:val="20"/>
        </w:rPr>
        <w:t>Worked example &amp; sensitivity. At WACC 10.0% / g 2.5% the value is AED 4.50. On the grid it runs AED 3.66 (11.0%/1.5%) to AED 5.94 (9.0%/3.5%). A $10/bbl Brent move shifts EBITDA by roughly ±$0.7 bn and the value by ~±AED 0.30.</w:t>
      </w:r>
    </w:p>
    <w:p>
      <w:pPr>
        <w:jc w:val="both"/>
      </w:pPr>
      <w:r>
        <w:rPr>
          <w:i w:val="0"/>
          <w:color w:val="1C3A36"/>
          <w:sz w:val="20"/>
        </w:rPr>
        <w:t>Cross-examination. To Expert 2: 'You value only the coupon and ignore that the firm earns far more than it pays — you are undervaluing the enterprise.' To Expert 3: 'Your Brent scenarios matter for one year of cash; my terminal value swamps them.'</w:t>
      </w:r>
    </w:p>
    <w:p>
      <w:pPr>
        <w:jc w:val="both"/>
      </w:pPr>
      <w:r>
        <w:rPr>
          <w:i w:val="0"/>
          <w:color w:val="1C3A36"/>
          <w:sz w:val="20"/>
        </w:rPr>
        <w:t>Verdict, falsification, and what the price implies. Fair value AED 4.50; the enterprise is cheap. Falsified if free cash flow persistently fails to exceed the dividend (i.e. the retained-cash thesis is wrong) or if capex structurally overruns. The market price of AED 3.44 implies the market either applies a higher discount rate than 10% or refuses to credit the undistributed cash.</w:t>
      </w:r>
    </w:p>
    <w:p>
      <w:pPr>
        <w:jc w:val="both"/>
      </w:pPr>
      <w:r>
        <w:rPr>
          <w:i w:val="0"/>
          <w:color w:val="1C3A36"/>
          <w:sz w:val="20"/>
        </w:rPr>
        <w:t>Method in depth. The unlevered-FCFF tradition — Williams, then Gordon-Shapiro, then the modern two-stage DCF — insists on valuing the firm before the financing, then reconciling to equity by adding net cash. Expert 1's discipline is that every forecast line must be defensible in its own right: revenue is not a growth-rate assumption but a volume-times-realisation build (domestic volumes tied to UAE industrial demand and the RGD capacity step; export realisations tied to the Brent deck); margin is not a wish but the observed 36.8% drifting on a stated domestic-mix shift; capex is not smoothed but front-loaded to reflect the $15 bn 2025-29 programme and the Ruwais LNG acquisition at cost in H2 2028. The terminal value is where honesty is tested, and Expert 1 refuses to hide it: at 75% of enterprise value it is disclosed on the face of the model and stress-tested on the grid, because a reader who cannot see the terminal-value dependency has not been shown the valuation.</w:t>
      </w:r>
    </w:p>
    <w:p>
      <w:pPr>
        <w:jc w:val="both"/>
      </w:pPr>
      <w:r>
        <w:rPr>
          <w:i w:val="0"/>
          <w:color w:val="1C3A36"/>
          <w:sz w:val="20"/>
        </w:rPr>
        <w:t>The reinvestment check. Expert 1 will not credit growth that is not paid for. ADNOC Gas is spending roughly $3 bn a year to lift EBITDA ~40% by 2029; the implied incremental return on that capital must clear the 10% cost of equity for the growth to create value, and on the disclosed numbers it does — the domestic leg's contracted economics and the Ruwais consolidation are accretive. But Expert 1 flags the one place the DCF can flatter: the net-cash pile. Cash earning a Treasury yield is worth par, not a growth multiple; if ADNOC Gas simply accumulates cash rather than deploying or distributing it, the DCF's implied value is not created for the minority — it is warehoused. That is the bridge to Expert 2's objection, and Expert 1 concedes it is the fair one.</w:t>
      </w:r>
    </w:p>
    <w:p>
      <w:r>
        <w:rPr>
          <w:b/>
          <w:color w:val="17786B"/>
          <w:sz w:val="23"/>
        </w:rPr>
        <w:t>D.2  Expert 2 — cash returns (dividend discount)</w:t>
      </w:r>
    </w:p>
    <w:p>
      <w:pPr>
        <w:jc w:val="both"/>
      </w:pPr>
      <w:r>
        <w:rPr>
          <w:i w:val="0"/>
          <w:color w:val="1C3A36"/>
          <w:sz w:val="20"/>
        </w:rPr>
        <w:t>Worldview and tradition. Expert 2 values a share as the present value of the cash the shareholder actually receives. For a name with a board-committed, multi-year, growing dividend and a controlling owner, the dividend is the honest object of valuation; enterprise cash the minority cannot claim is not the minority's value.</w:t>
      </w:r>
    </w:p>
    <w:p>
      <w:pPr>
        <w:jc w:val="both"/>
      </w:pPr>
      <w:r>
        <w:rPr>
          <w:i w:val="0"/>
          <w:color w:val="1C3A36"/>
          <w:sz w:val="20"/>
        </w:rPr>
        <w:t>When it works / fails. It works precisely for high-payout, policy-driven income names with a dominant shareholder — this instrument's defining features. It fails for non-payers or names where distribution policy is about to change discontinuously; Expert 2 mitigates with a sustainability stress test.</w:t>
      </w:r>
    </w:p>
    <w:p>
      <w:pPr>
        <w:jc w:val="both"/>
      </w:pPr>
      <w:r>
        <w:rPr>
          <w:i w:val="0"/>
          <w:color w:val="1C3A36"/>
          <w:sz w:val="20"/>
        </w:rPr>
        <w:t>Standard workings. (1) Take the committed DPS path growing 5% to 2030; (2) discount at a split cost of equity — the dividend is a sovereign-backed, contractually-supported claim, so 8.2%, below the 10.0% enterprise WACC; (3) Gordon terminal at g = 2.5%; (4) sum. Sustainability check: FY25 free cash flow exceeded the dividend by &gt;$0.5 bn and the balance sheet is net cash, so the 5% path is covered even under a bear Brent.</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5804"/>
            <w:shd w:val="clear" w:fill="0F5E54"/>
          </w:tcPr>
          <w:p>
            <w:pPr>
              <w:jc w:val="left"/>
            </w:pPr>
            <w:r>
              <w:rPr>
                <w:b/>
                <w:color w:val="FFFFFF"/>
                <w:sz w:val="17"/>
              </w:rPr>
              <w:t>Expert 2 — DDM</w:t>
            </w:r>
          </w:p>
        </w:tc>
        <w:tc>
          <w:tcPr>
            <w:tcW w:type="dxa" w:w="3628"/>
            <w:shd w:val="clear" w:fill="0F5E54"/>
          </w:tcPr>
          <w:p>
            <w:pPr>
              <w:jc w:val="center"/>
            </w:pPr>
            <w:r>
              <w:rPr>
                <w:b/>
                <w:color w:val="FFFFFF"/>
                <w:sz w:val="17"/>
              </w:rPr>
              <w:t>Value</w:t>
            </w:r>
          </w:p>
        </w:tc>
      </w:tr>
      <w:tr>
        <w:tc>
          <w:tcPr>
            <w:tcW w:type="dxa" w:w="5804"/>
          </w:tcPr>
          <w:p>
            <w:pPr>
              <w:jc w:val="left"/>
            </w:pPr>
            <w:r>
              <w:rPr>
                <w:color w:val="1C3A36"/>
                <w:sz w:val="16"/>
              </w:rPr>
              <w:t>Sum PV of explicit DPS (USD)</w:t>
            </w:r>
          </w:p>
        </w:tc>
        <w:tc>
          <w:tcPr>
            <w:tcW w:type="dxa" w:w="3628"/>
          </w:tcPr>
          <w:p>
            <w:pPr>
              <w:jc w:val="right"/>
            </w:pPr>
            <w:r>
              <w:rPr>
                <w:color w:val="1C3A36"/>
                <w:sz w:val="16"/>
              </w:rPr>
              <w:t>$0.2132</w:t>
            </w:r>
          </w:p>
        </w:tc>
      </w:tr>
      <w:tr>
        <w:tc>
          <w:tcPr>
            <w:tcW w:type="dxa" w:w="5804"/>
            <w:shd w:val="clear" w:fill="EEF4F1"/>
          </w:tcPr>
          <w:p>
            <w:pPr>
              <w:jc w:val="left"/>
            </w:pPr>
            <w:r>
              <w:rPr>
                <w:color w:val="1C3A36"/>
                <w:sz w:val="16"/>
              </w:rPr>
              <w:t>PV of terminal value (USD)</w:t>
            </w:r>
          </w:p>
        </w:tc>
        <w:tc>
          <w:tcPr>
            <w:tcW w:type="dxa" w:w="3628"/>
            <w:shd w:val="clear" w:fill="EEF4F1"/>
          </w:tcPr>
          <w:p>
            <w:pPr>
              <w:jc w:val="right"/>
            </w:pPr>
            <w:r>
              <w:rPr>
                <w:color w:val="1C3A36"/>
                <w:sz w:val="16"/>
              </w:rPr>
              <w:t>$0.7148</w:t>
            </w:r>
          </w:p>
        </w:tc>
      </w:tr>
      <w:tr>
        <w:tc>
          <w:tcPr>
            <w:tcW w:type="dxa" w:w="5804"/>
          </w:tcPr>
          <w:p>
            <w:pPr>
              <w:jc w:val="left"/>
            </w:pPr>
            <w:r>
              <w:rPr>
                <w:color w:val="1C3A36"/>
                <w:sz w:val="16"/>
              </w:rPr>
              <w:t>Fair value / share (USD)</w:t>
            </w:r>
          </w:p>
        </w:tc>
        <w:tc>
          <w:tcPr>
            <w:tcW w:type="dxa" w:w="3628"/>
          </w:tcPr>
          <w:p>
            <w:pPr>
              <w:jc w:val="right"/>
            </w:pPr>
            <w:r>
              <w:rPr>
                <w:color w:val="1C3A36"/>
                <w:sz w:val="16"/>
              </w:rPr>
              <w:t>$0.928</w:t>
            </w:r>
          </w:p>
        </w:tc>
      </w:tr>
      <w:tr>
        <w:tc>
          <w:tcPr>
            <w:tcW w:type="dxa" w:w="5804"/>
            <w:shd w:val="clear" w:fill="EEF4F1"/>
          </w:tcPr>
          <w:p>
            <w:pPr>
              <w:jc w:val="left"/>
            </w:pPr>
            <w:r>
              <w:rPr>
                <w:color w:val="1C3A36"/>
                <w:sz w:val="16"/>
              </w:rPr>
              <w:t>Fair value / share (AED)</w:t>
            </w:r>
          </w:p>
        </w:tc>
        <w:tc>
          <w:tcPr>
            <w:tcW w:type="dxa" w:w="3628"/>
            <w:shd w:val="clear" w:fill="EEF4F1"/>
          </w:tcPr>
          <w:p>
            <w:pPr>
              <w:jc w:val="right"/>
            </w:pPr>
            <w:r>
              <w:rPr>
                <w:color w:val="1C3A36"/>
                <w:sz w:val="16"/>
              </w:rPr>
              <w:t>3.41</w:t>
            </w:r>
          </w:p>
        </w:tc>
      </w:tr>
    </w:tbl>
    <w:p/>
    <w:p>
      <w:pPr>
        <w:jc w:val="both"/>
      </w:pPr>
      <w:r>
        <w:rPr>
          <w:i w:val="0"/>
          <w:color w:val="1C3A36"/>
          <w:sz w:val="20"/>
        </w:rPr>
        <w:t>Worked example &amp; sensitivity. At Ke 8.25% the value is AED 3.41 — essentially spot. At Ke 8.0% it is ~AED 3.57; at 8.75% ~AED 3.13. The valuation is far more sensitive to the discount rate than to one year's Brent, because the dividend is contractually smooth.</w:t>
      </w:r>
    </w:p>
    <w:p>
      <w:pPr>
        <w:jc w:val="both"/>
      </w:pPr>
      <w:r>
        <w:rPr>
          <w:i w:val="0"/>
          <w:color w:val="1C3A36"/>
          <w:sz w:val="20"/>
        </w:rPr>
        <w:t>Cross-examination. To Expert 1: 'Your AED 4.50 is cash the minority may never see; ADNOC decides, not you. Value what is paid.' To Expert 3: 'Brent moves the coupon at the margin; the policy sets it. The dividend grew 5% in 2025 with Brent down 14%.'</w:t>
      </w:r>
    </w:p>
    <w:p>
      <w:pPr>
        <w:jc w:val="both"/>
      </w:pPr>
      <w:r>
        <w:rPr>
          <w:i w:val="0"/>
          <w:color w:val="1C3A36"/>
          <w:sz w:val="20"/>
        </w:rPr>
        <w:t>Verdict, falsification, and what the price implies. Fair value AED 3.41; fairly valued as a dividend bond. Falsified if the dividend policy is cut or the growth path abandoned. The market price of AED 3.44 implies a market discount rate of ~8.25% on the dividend — a Gulf-USD credit-like rate, which is exactly how a sovereign-backed coupon should be priced.</w:t>
      </w:r>
    </w:p>
    <w:p>
      <w:pPr>
        <w:jc w:val="both"/>
      </w:pPr>
      <w:r>
        <w:rPr>
          <w:i w:val="0"/>
          <w:color w:val="1C3A36"/>
          <w:sz w:val="20"/>
        </w:rPr>
        <w:t>Method in depth. Expert 2 stands in the dividend-relevance tradition — the view that, for a minority holder of a controlled company, the only cash flow with a claim is the distribution, and that a growing, policy-anchored dividend is both a valuation object and a signal of the board's confidence. The Gordon growth model is not a toy here: the dividend is contractually smooth (it rose 5% in 2025 while Brent fell 14%), the horizon is explicit (a $24.4 bn cumulative commitment to 2030), and the terminal is a modest 2.5% — so the model's inputs are unusually well-anchored for a DDM. The split cost of equity is the analytical crux: Expert 2 argues that discounting a sovereign-backed, contractually-supported coupon at the same rate as the volatile total-enterprise cash stream is a category error, and that the correct rate is a Gulf-USD credit rate (~8.25%) — which is, not coincidentally, the rate the market itself is applying, since the DDM at 8.25% lands on spot.</w:t>
      </w:r>
    </w:p>
    <w:p>
      <w:pPr>
        <w:jc w:val="both"/>
      </w:pPr>
      <w:r>
        <w:rPr>
          <w:i w:val="0"/>
          <w:color w:val="1C3A36"/>
          <w:sz w:val="20"/>
        </w:rPr>
        <w:t>The sustainability stress test. A DDM is only as good as the dividend's durability, so Expert 2 runs the bear case explicitly: at Brent $55, export-leg EBITDA falls but the domestic take-or-pay leg (the majority of EBITDA) is insulated by the 25-year SPA, group free cash flow still covers the dividend, and the net-cash balance sheet provides a further buffer — FY2025 free cash flow exceeded the payout by more than $0.5 bn even at Brent $69. The conclusion is that the 5% path survives a materially worse commodity environment; the dividend is not the risk. What Expert 2 will not do is credit the retained cash: 'the day ADNOC declares a special dividend or a buyback, I will value it — not before.'</w:t>
      </w:r>
    </w:p>
    <w:p>
      <w:r>
        <w:rPr>
          <w:b/>
          <w:color w:val="17786B"/>
          <w:sz w:val="23"/>
        </w:rPr>
        <w:t>D.3  Expert 3 — macro-policy (gas price, oil-linkage, sovereign &amp; security)</w:t>
      </w:r>
    </w:p>
    <w:p>
      <w:pPr>
        <w:jc w:val="both"/>
      </w:pPr>
      <w:r>
        <w:rPr>
          <w:i w:val="0"/>
          <w:color w:val="1C3A36"/>
          <w:sz w:val="20"/>
        </w:rPr>
        <w:t>Worldview and tradition. Expert 3 starts from the top down: the value of an energy affiliate is set by the commodity price deck, the policy and fiscal regime, and the geopolitical risk premium — the equity is a leveraged claim on those macro variables. The method is scenario analysis on the price deck and a security-risk overlay, not a spreadsheet extrapolation.</w:t>
      </w:r>
    </w:p>
    <w:p>
      <w:pPr>
        <w:jc w:val="both"/>
      </w:pPr>
      <w:r>
        <w:rPr>
          <w:i w:val="0"/>
          <w:color w:val="1C3A36"/>
          <w:sz w:val="20"/>
        </w:rPr>
        <w:t>When it works / fails. It works when a single macro axis dominates the outcome — here, Brent for the export leg and Hormuz for the tail. It fails to price idiosyncratic execution and can be too pessimistic on tail risk; Expert 3 anchors to base rates rather than headlines.</w:t>
      </w:r>
    </w:p>
    <w:p>
      <w:pPr>
        <w:jc w:val="both"/>
      </w:pPr>
      <w:r>
        <w:rPr>
          <w:i w:val="0"/>
          <w:color w:val="1C3A36"/>
          <w:sz w:val="20"/>
        </w:rPr>
        <w:t>Standard workings. Build three Brent scenarios (bear $55, base $69, bull $85) and map each to export-leg EBITDA and thus to fair value; overlay a security-risk premium calibrated to a ~30% one-window probability of a ~−9% shock (the Habshan base rate); and normalise the domestic leg on the contracted SPA, which is insulated. The output is a distribution, not a point — which is why Expert 3 defers to the Monte Carlo for the near-term map.</w:t>
      </w:r>
    </w:p>
    <w:tbl>
      <w:tblPr>
        <w:tblStyle w:val="TableGrid"/>
        <w:tblW w:type="auto" w:w="0"/>
        <w:jc w:val="center"/>
        <w:tblLayout w:type="fixed"/>
        <w:tblLook w:firstColumn="1" w:firstRow="1" w:lastColumn="0" w:lastRow="0" w:noHBand="0" w:noVBand="1" w:val="04A0"/>
        <w:tblLayout w:type="fixed"/>
      </w:tblPr>
      <w:tblGrid>
        <w:gridCol w:w="4968"/>
        <w:gridCol w:w="4968"/>
      </w:tblGrid>
      <w:tr>
        <w:tc>
          <w:tcPr>
            <w:tcW w:type="dxa" w:w="5804"/>
            <w:shd w:val="clear" w:fill="0F5E54"/>
          </w:tcPr>
          <w:p>
            <w:pPr>
              <w:jc w:val="left"/>
            </w:pPr>
            <w:r>
              <w:rPr>
                <w:b/>
                <w:color w:val="FFFFFF"/>
                <w:sz w:val="17"/>
              </w:rPr>
              <w:t>Expert 3 — macro scenarios</w:t>
            </w:r>
          </w:p>
        </w:tc>
        <w:tc>
          <w:tcPr>
            <w:tcW w:type="dxa" w:w="3628"/>
            <w:shd w:val="clear" w:fill="0F5E54"/>
          </w:tcPr>
          <w:p>
            <w:pPr>
              <w:jc w:val="center"/>
            </w:pPr>
            <w:r>
              <w:rPr>
                <w:b/>
                <w:color w:val="FFFFFF"/>
                <w:sz w:val="17"/>
              </w:rPr>
              <w:t>Fair value</w:t>
            </w:r>
          </w:p>
        </w:tc>
      </w:tr>
      <w:tr>
        <w:tc>
          <w:tcPr>
            <w:tcW w:type="dxa" w:w="5804"/>
          </w:tcPr>
          <w:p>
            <w:pPr>
              <w:jc w:val="left"/>
            </w:pPr>
            <w:r>
              <w:rPr>
                <w:color w:val="1C3A36"/>
                <w:sz w:val="16"/>
              </w:rPr>
              <w:t>Bear Brent $55 → fair value</w:t>
            </w:r>
          </w:p>
        </w:tc>
        <w:tc>
          <w:tcPr>
            <w:tcW w:type="dxa" w:w="3628"/>
          </w:tcPr>
          <w:p>
            <w:pPr>
              <w:jc w:val="right"/>
            </w:pPr>
            <w:r>
              <w:rPr>
                <w:color w:val="1C3A36"/>
                <w:sz w:val="16"/>
              </w:rPr>
              <w:t>~AED 3.20</w:t>
            </w:r>
          </w:p>
        </w:tc>
      </w:tr>
      <w:tr>
        <w:tc>
          <w:tcPr>
            <w:tcW w:type="dxa" w:w="5804"/>
            <w:shd w:val="clear" w:fill="EEF4F1"/>
          </w:tcPr>
          <w:p>
            <w:pPr>
              <w:jc w:val="left"/>
            </w:pPr>
            <w:r>
              <w:rPr>
                <w:color w:val="1C3A36"/>
                <w:sz w:val="16"/>
              </w:rPr>
              <w:t>Base Brent $69 → fair value</w:t>
            </w:r>
          </w:p>
        </w:tc>
        <w:tc>
          <w:tcPr>
            <w:tcW w:type="dxa" w:w="3628"/>
            <w:shd w:val="clear" w:fill="EEF4F1"/>
          </w:tcPr>
          <w:p>
            <w:pPr>
              <w:jc w:val="right"/>
            </w:pPr>
            <w:r>
              <w:rPr>
                <w:color w:val="1C3A36"/>
                <w:sz w:val="16"/>
              </w:rPr>
              <w:t>~AED 3.75</w:t>
            </w:r>
          </w:p>
        </w:tc>
      </w:tr>
      <w:tr>
        <w:tc>
          <w:tcPr>
            <w:tcW w:type="dxa" w:w="5804"/>
          </w:tcPr>
          <w:p>
            <w:pPr>
              <w:jc w:val="left"/>
            </w:pPr>
            <w:r>
              <w:rPr>
                <w:color w:val="1C3A36"/>
                <w:sz w:val="16"/>
              </w:rPr>
              <w:t>Bull Brent $85 → fair value</w:t>
            </w:r>
          </w:p>
        </w:tc>
        <w:tc>
          <w:tcPr>
            <w:tcW w:type="dxa" w:w="3628"/>
          </w:tcPr>
          <w:p>
            <w:pPr>
              <w:jc w:val="right"/>
            </w:pPr>
            <w:r>
              <w:rPr>
                <w:color w:val="1C3A36"/>
                <w:sz w:val="16"/>
              </w:rPr>
              <w:t>~AED 4.30</w:t>
            </w:r>
          </w:p>
        </w:tc>
      </w:tr>
      <w:tr>
        <w:tc>
          <w:tcPr>
            <w:tcW w:type="dxa" w:w="5804"/>
            <w:shd w:val="clear" w:fill="EEF4F1"/>
          </w:tcPr>
          <w:p>
            <w:pPr>
              <w:jc w:val="left"/>
            </w:pPr>
            <w:r>
              <w:rPr>
                <w:color w:val="1C3A36"/>
                <w:sz w:val="16"/>
              </w:rPr>
              <w:t>Security-risk overlay</w:t>
            </w:r>
          </w:p>
        </w:tc>
        <w:tc>
          <w:tcPr>
            <w:tcW w:type="dxa" w:w="3628"/>
            <w:shd w:val="clear" w:fill="EEF4F1"/>
          </w:tcPr>
          <w:p>
            <w:pPr>
              <w:jc w:val="right"/>
            </w:pPr>
            <w:r>
              <w:rPr>
                <w:color w:val="1C3A36"/>
                <w:sz w:val="16"/>
              </w:rPr>
              <w:t>−AED ~0.15 expected-value drag</w:t>
            </w:r>
          </w:p>
        </w:tc>
      </w:tr>
    </w:tbl>
    <w:p/>
    <w:p>
      <w:pPr>
        <w:jc w:val="both"/>
      </w:pPr>
      <w:r>
        <w:rPr>
          <w:i w:val="0"/>
          <w:color w:val="1C3A36"/>
          <w:sz w:val="20"/>
        </w:rPr>
        <w:t>Worked example &amp; sensitivity. The swing input is Brent in $/bbl (not a margin %): each $10/bbl is ~±AED 0.25–0.35. The security overlay is the dominant left-tail; a sustained facility strike is the scenario that dwarfs any price move.</w:t>
      </w:r>
    </w:p>
    <w:p>
      <w:pPr>
        <w:jc w:val="both"/>
      </w:pPr>
      <w:r>
        <w:rPr>
          <w:i w:val="0"/>
          <w:color w:val="1C3A36"/>
          <w:sz w:val="20"/>
        </w:rPr>
        <w:t>Cross-examination. To Expert 1: 'Your terminal value assumes a benign 2030s for gas; price in transition and Hormuz.' To Expert 2: 'Your smooth coupon is smooth until a facility is offline — the SPA does not deliver gas that isn't processed.'</w:t>
      </w:r>
    </w:p>
    <w:p>
      <w:pPr>
        <w:jc w:val="both"/>
      </w:pPr>
      <w:r>
        <w:rPr>
          <w:i w:val="0"/>
          <w:color w:val="1C3A36"/>
          <w:sz w:val="20"/>
        </w:rPr>
        <w:t>Verdict, falsification, and what the price implies. Fair value AED ~3.75 base (range AED 3.20–4.30 on Brent), before the security drag. Falsified if the export leg decouples from Brent or if a security event repriced the whole complex. The market price of AED 3.44 implies a Brent deck around the mid-$60s and a contained security premium.</w:t>
      </w:r>
    </w:p>
    <w:p>
      <w:pPr>
        <w:jc w:val="both"/>
      </w:pPr>
      <w:r>
        <w:rPr>
          <w:i w:val="0"/>
          <w:color w:val="1C3A36"/>
          <w:sz w:val="20"/>
        </w:rPr>
        <w:t>Method in depth. Expert 3 works in the commodity-equity tradition: an energy affiliate is a leveraged claim on a price deck and a policy regime, and the equity value is dominated by a small number of macro axes rather than by line-item extrapolation. The method is deliberately top-down — build the Brent scenarios, map each to the oil-linked export leg, hold the contracted domestic leg roughly constant, and overlay a geopolitical risk premium. Expert 3's insistence is on native units: the crux is expressed as Brent in dollars per barrel, because that is a quoted, tradable price, whereas an 'export-margin assumption' is two guesses multiplied. The domestic leg is treated as a bond — the 25-year SPA insulates its volume and pricing — so the entire earnings variance is pushed onto the ~40% export sleeve, which is where Expert 3 spends the analysis.</w:t>
      </w:r>
    </w:p>
    <w:p>
      <w:pPr>
        <w:jc w:val="both"/>
      </w:pPr>
      <w:r>
        <w:rPr>
          <w:i w:val="0"/>
          <w:color w:val="1C3A36"/>
          <w:sz w:val="20"/>
        </w:rPr>
        <w:t>The base-rate overlay. On security, Expert 3 refuses both complacency and headline-chasing, and instead reasons from base rates: the Habshan episode of June 2025 is a realised data point that a facility-affecting event has a non-trivial annual probability, and it is modelled as roughly a 30% chance per 60-session window of a ~-9% shock — enough to matter to the tail without dominating the central case. The distinction Expert 3 draws is between price risk, which is symmetric and diversifiable, and disruption risk, which is asymmetric and specific: 'the SPA promises to deliver gas that is processed; it does not deliver gas from a facility that is offline.' This is why Expert 3 defers the near-term price map to the Monte Carlo, whose fat left tail is calibrated to exactly this risk.</w:t>
      </w:r>
    </w:p>
    <w:p>
      <w:r>
        <w:rPr>
          <w:b/>
          <w:color w:val="17786B"/>
          <w:sz w:val="23"/>
        </w:rPr>
        <w:t>D.5  The three in one room</w:t>
      </w:r>
    </w:p>
    <w:p>
      <w:pPr>
        <w:jc w:val="both"/>
      </w:pPr>
      <w:r>
        <w:rPr>
          <w:i w:val="0"/>
          <w:color w:val="1C3A36"/>
          <w:sz w:val="20"/>
        </w:rPr>
        <w:t>Put on the table the one thing they most disagree on — the AED 1.1 gap between enterprise value and the dividend.</w:t>
      </w:r>
    </w:p>
    <w:p>
      <w:pPr>
        <w:jc w:val="both"/>
      </w:pPr>
      <w:r>
        <w:rPr>
          <w:i w:val="0"/>
          <w:color w:val="1C3A36"/>
          <w:sz w:val="20"/>
        </w:rPr>
        <w:t>Expert 1: 'The firm earns roughly $5 bn of net income and pays out $3.6 bn. That retained billion-plus a year is real value — capitalise it. The enterprise is worth AED 4.50 and the market pays 3.44.'</w:t>
      </w:r>
    </w:p>
    <w:p>
      <w:pPr>
        <w:jc w:val="both"/>
      </w:pPr>
      <w:r>
        <w:rPr>
          <w:i w:val="0"/>
          <w:color w:val="1C3A36"/>
          <w:sz w:val="20"/>
        </w:rPr>
        <w:t>Expert 2: 'Value what is paid, not what is earned. ADNOC owns 86% and decides. Until that cash is distributed or deployed accretively for me, it is worth a discount, not par. My AED 3.41 is the honest number, and the market agrees with me, not you.'</w:t>
      </w:r>
    </w:p>
    <w:p>
      <w:pPr>
        <w:jc w:val="both"/>
      </w:pPr>
      <w:r>
        <w:rPr>
          <w:i w:val="0"/>
          <w:color w:val="1C3A36"/>
          <w:sz w:val="20"/>
        </w:rPr>
        <w:t>Expert 3: 'You are both assuming the cash keeps coming. It comes if Brent holds and the Strait stays open. Size the tail first; the gap between your two numbers is a governance option, and options have a price only if the underlying survives.'</w:t>
      </w:r>
    </w:p>
    <w:p>
      <w:pPr>
        <w:jc w:val="both"/>
      </w:pPr>
      <w:r>
        <w:rPr>
          <w:i w:val="0"/>
          <w:color w:val="1C3A36"/>
          <w:sz w:val="20"/>
        </w:rPr>
        <w:t>Second round. Expert 1: 'Fine — value the cash as warehoused, at par. Even at par, net cash of nearly $5 bn is AED 0.23 a share the market is not crediting, and the deployment optionality is free.' Expert 2: 'Optionality controlled by someone else is not free to me; it is worth a discount for the wait and the uncertainty.' Expert 3: 'And both of you are pricing a benign Strait. Widen the tail and the discount on the option widens with it — that is the number you are really arguing about.'</w:t>
      </w:r>
    </w:p>
    <w:p>
      <w:r>
        <w:rPr>
          <w:b/>
          <w:color w:val="17786B"/>
          <w:sz w:val="23"/>
        </w:rPr>
        <w:t>D.6  Reading the divergence</w:t>
      </w:r>
    </w:p>
    <w:tbl>
      <w:tblPr>
        <w:tblStyle w:val="TableGrid"/>
        <w:tblW w:type="auto" w:w="0"/>
        <w:jc w:val="center"/>
        <w:tblLayout w:type="fixed"/>
        <w:tblLook w:firstColumn="1" w:firstRow="1" w:lastColumn="0" w:lastRow="0" w:noHBand="0" w:noVBand="1" w:val="04A0"/>
        <w:tblLayout w:type="fixed"/>
      </w:tblPr>
      <w:tblGrid>
        <w:gridCol w:w="3312"/>
        <w:gridCol w:w="3312"/>
        <w:gridCol w:w="3312"/>
      </w:tblGrid>
      <w:tr>
        <w:tc>
          <w:tcPr>
            <w:tcW w:type="dxa" w:w="3503"/>
            <w:shd w:val="clear" w:fill="0F5E54"/>
          </w:tcPr>
          <w:p>
            <w:pPr>
              <w:jc w:val="left"/>
            </w:pPr>
            <w:r>
              <w:rPr>
                <w:b/>
                <w:color w:val="FFFFFF"/>
                <w:sz w:val="17"/>
              </w:rPr>
              <w:t>Expert / method</w:t>
            </w:r>
          </w:p>
        </w:tc>
        <w:tc>
          <w:tcPr>
            <w:tcW w:type="dxa" w:w="1886"/>
            <w:shd w:val="clear" w:fill="0F5E54"/>
          </w:tcPr>
          <w:p>
            <w:pPr>
              <w:jc w:val="center"/>
            </w:pPr>
            <w:r>
              <w:rPr>
                <w:b/>
                <w:color w:val="FFFFFF"/>
                <w:sz w:val="17"/>
              </w:rPr>
              <w:t>Fair value (AED)</w:t>
            </w:r>
          </w:p>
        </w:tc>
        <w:tc>
          <w:tcPr>
            <w:tcW w:type="dxa" w:w="4042"/>
            <w:shd w:val="clear" w:fill="0F5E54"/>
          </w:tcPr>
          <w:p>
            <w:pPr>
              <w:jc w:val="center"/>
            </w:pPr>
            <w:r>
              <w:rPr>
                <w:b/>
                <w:color w:val="FFFFFF"/>
                <w:sz w:val="17"/>
              </w:rPr>
              <w:t>The one assumption that drives it</w:t>
            </w:r>
          </w:p>
        </w:tc>
      </w:tr>
      <w:tr>
        <w:tc>
          <w:tcPr>
            <w:tcW w:type="dxa" w:w="3503"/>
          </w:tcPr>
          <w:p>
            <w:pPr>
              <w:jc w:val="left"/>
            </w:pPr>
            <w:r>
              <w:rPr>
                <w:color w:val="1C3A36"/>
                <w:sz w:val="16"/>
              </w:rPr>
              <w:t>Expert 1 — DCF / FCFF</w:t>
            </w:r>
          </w:p>
        </w:tc>
        <w:tc>
          <w:tcPr>
            <w:tcW w:type="dxa" w:w="1886"/>
          </w:tcPr>
          <w:p>
            <w:pPr>
              <w:jc w:val="right"/>
            </w:pPr>
            <w:r>
              <w:rPr>
                <w:color w:val="1C3A36"/>
                <w:sz w:val="16"/>
              </w:rPr>
              <w:t>4.50</w:t>
            </w:r>
          </w:p>
        </w:tc>
        <w:tc>
          <w:tcPr>
            <w:tcW w:type="dxa" w:w="4042"/>
          </w:tcPr>
          <w:p>
            <w:pPr>
              <w:jc w:val="right"/>
            </w:pPr>
            <w:r>
              <w:rPr>
                <w:color w:val="1C3A36"/>
                <w:sz w:val="16"/>
              </w:rPr>
              <w:t>(WACC−g) and crediting retained cash</w:t>
            </w:r>
          </w:p>
        </w:tc>
      </w:tr>
      <w:tr>
        <w:tc>
          <w:tcPr>
            <w:tcW w:type="dxa" w:w="3503"/>
            <w:shd w:val="clear" w:fill="EEF4F1"/>
          </w:tcPr>
          <w:p>
            <w:pPr>
              <w:jc w:val="left"/>
            </w:pPr>
            <w:r>
              <w:rPr>
                <w:color w:val="1C3A36"/>
                <w:sz w:val="16"/>
              </w:rPr>
              <w:t>Expert 2 — DDM</w:t>
            </w:r>
          </w:p>
        </w:tc>
        <w:tc>
          <w:tcPr>
            <w:tcW w:type="dxa" w:w="1886"/>
            <w:shd w:val="clear" w:fill="EEF4F1"/>
          </w:tcPr>
          <w:p>
            <w:pPr>
              <w:jc w:val="right"/>
            </w:pPr>
            <w:r>
              <w:rPr>
                <w:color w:val="1C3A36"/>
                <w:sz w:val="16"/>
              </w:rPr>
              <w:t>3.41</w:t>
            </w:r>
          </w:p>
        </w:tc>
        <w:tc>
          <w:tcPr>
            <w:tcW w:type="dxa" w:w="4042"/>
            <w:shd w:val="clear" w:fill="EEF4F1"/>
          </w:tcPr>
          <w:p>
            <w:pPr>
              <w:jc w:val="right"/>
            </w:pPr>
            <w:r>
              <w:rPr>
                <w:color w:val="1C3A36"/>
                <w:sz w:val="16"/>
              </w:rPr>
              <w:t>the discount rate on the committed dividend</w:t>
            </w:r>
          </w:p>
        </w:tc>
      </w:tr>
      <w:tr>
        <w:tc>
          <w:tcPr>
            <w:tcW w:type="dxa" w:w="3503"/>
          </w:tcPr>
          <w:p>
            <w:pPr>
              <w:jc w:val="left"/>
            </w:pPr>
            <w:r>
              <w:rPr>
                <w:color w:val="1C3A36"/>
                <w:sz w:val="16"/>
              </w:rPr>
              <w:t>Expert 3 — macro scenarios</w:t>
            </w:r>
          </w:p>
        </w:tc>
        <w:tc>
          <w:tcPr>
            <w:tcW w:type="dxa" w:w="1886"/>
          </w:tcPr>
          <w:p>
            <w:pPr>
              <w:jc w:val="right"/>
            </w:pPr>
            <w:r>
              <w:rPr>
                <w:color w:val="1C3A36"/>
                <w:sz w:val="16"/>
              </w:rPr>
              <w:t>~3.75</w:t>
            </w:r>
          </w:p>
        </w:tc>
        <w:tc>
          <w:tcPr>
            <w:tcW w:type="dxa" w:w="4042"/>
          </w:tcPr>
          <w:p>
            <w:pPr>
              <w:jc w:val="right"/>
            </w:pPr>
            <w:r>
              <w:rPr>
                <w:color w:val="1C3A36"/>
                <w:sz w:val="16"/>
              </w:rPr>
              <w:t>the Brent deck and the security premium</w:t>
            </w:r>
          </w:p>
        </w:tc>
      </w:tr>
      <w:tr>
        <w:tc>
          <w:tcPr>
            <w:tcW w:type="dxa" w:w="3503"/>
            <w:shd w:val="clear" w:fill="EEF4F1"/>
          </w:tcPr>
          <w:p>
            <w:pPr>
              <w:jc w:val="left"/>
            </w:pPr>
            <w:r>
              <w:rPr>
                <w:color w:val="1C3A36"/>
                <w:sz w:val="16"/>
              </w:rPr>
              <w:t>Weighted fair value</w:t>
            </w:r>
          </w:p>
        </w:tc>
        <w:tc>
          <w:tcPr>
            <w:tcW w:type="dxa" w:w="1886"/>
            <w:shd w:val="clear" w:fill="EEF4F1"/>
          </w:tcPr>
          <w:p>
            <w:pPr>
              <w:jc w:val="right"/>
            </w:pPr>
            <w:r>
              <w:rPr>
                <w:color w:val="1C3A36"/>
                <w:sz w:val="16"/>
              </w:rPr>
              <w:t>3.79</w:t>
            </w:r>
          </w:p>
        </w:tc>
        <w:tc>
          <w:tcPr>
            <w:tcW w:type="dxa" w:w="4042"/>
            <w:shd w:val="clear" w:fill="EEF4F1"/>
          </w:tcPr>
          <w:p>
            <w:pPr>
              <w:jc w:val="right"/>
            </w:pPr>
            <w:r>
              <w:rPr>
                <w:color w:val="1C3A36"/>
                <w:sz w:val="16"/>
              </w:rPr>
              <w:t>the blend of the three</w:t>
            </w:r>
          </w:p>
        </w:tc>
      </w:tr>
      <w:tr>
        <w:tc>
          <w:tcPr>
            <w:tcW w:type="dxa" w:w="3503"/>
          </w:tcPr>
          <w:p>
            <w:pPr>
              <w:jc w:val="left"/>
            </w:pPr>
            <w:r>
              <w:rPr>
                <w:color w:val="1C3A36"/>
                <w:sz w:val="16"/>
              </w:rPr>
              <w:t>Spot</w:t>
            </w:r>
          </w:p>
        </w:tc>
        <w:tc>
          <w:tcPr>
            <w:tcW w:type="dxa" w:w="1886"/>
          </w:tcPr>
          <w:p>
            <w:pPr>
              <w:jc w:val="right"/>
            </w:pPr>
            <w:r>
              <w:rPr>
                <w:color w:val="1C3A36"/>
                <w:sz w:val="16"/>
              </w:rPr>
              <w:t>3.44</w:t>
            </w:r>
          </w:p>
        </w:tc>
        <w:tc>
          <w:tcPr>
            <w:tcW w:type="dxa" w:w="4042"/>
          </w:tcPr>
          <w:p>
            <w:pPr>
              <w:jc w:val="right"/>
            </w:pPr>
            <w:r>
              <w:rPr>
                <w:color w:val="1C3A36"/>
                <w:sz w:val="16"/>
              </w:rPr>
              <w:t>—</w:t>
            </w:r>
          </w:p>
        </w:tc>
      </w:tr>
    </w:tbl>
    <w:p>
      <w:r>
        <w:rPr>
          <w:i/>
          <w:color w:val="5A5A50"/>
          <w:sz w:val="16"/>
        </w:rPr>
        <w:t>The spread (AED 3.41–4.50) is not noise. It is the price of the distribution gate — the value that exists in the enterprise but is controlled by the majority owner. That is what a minority shareholder is really deciding about.</w:t>
      </w:r>
    </w:p>
    <w:p/>
    <w:p>
      <w:pPr>
        <w:jc w:val="both"/>
      </w:pPr>
      <w:r>
        <w:rPr>
          <w:i w:val="0"/>
          <w:color w:val="1C3A36"/>
          <w:sz w:val="20"/>
        </w:rPr>
        <w:t>What the spread measures. The AED 3.41-4.50 range across the three experts is not a failure to converge; it is the valuation's most useful output. Its width is the price of a single, nameable thing — the distribution gate. Expert 2's low number is the value of the cash that is contractually promised to flow to the shareholder. Expert 1's high number is the value of all the cash the enterprise generates. The difference between them is the free cash the company retains and the majority owner controls: a governance option whose payoff depends on future capital-allocation decisions and, as Expert 3 insists, on the underlying surviving intact. A reader who understands that the entire spread is this one option has understood the name better than any single point estimate could convey — which is exactly why Testahil publishes the spread and the distribution, and never a single target.</w:t>
      </w:r>
    </w:p>
    <w:p>
      <w:r>
        <w:br w:type="page"/>
      </w:r>
    </w:p>
    <w:p>
      <w:pPr>
        <w:pBdr>
          <w:bottom w:val="single" w:sz="6" w:space="2" w:color="C0A45F"/>
        </w:pBdr>
      </w:pPr>
      <w:r>
        <w:rPr>
          <w:b/>
          <w:color w:val="0F5E54"/>
          <w:sz w:val="28"/>
        </w:rPr>
        <w:t>About this series</w:t>
      </w:r>
    </w:p>
    <w:p>
      <w:pPr>
        <w:jc w:val="both"/>
      </w:pPr>
      <w:r>
        <w:rPr>
          <w:i w:val="0"/>
          <w:color w:val="1C3A36"/>
          <w:sz w:val="20"/>
        </w:rPr>
        <w:t>Testahil publishes independent, educational valuation studies under a single brand — distributions, not tips. Each study applies the same three-part method (fundamental, technical, probabilistic) to a listed company and invites scrutiny of the methodology. We publish fair-value ranges and probability distributions, never a rating, price target, or recommendation. Forecasts are graded after the fact against a random-walk benchmark on a public calibration ledger.</w:t>
      </w:r>
    </w:p>
    <w:p>
      <w:pPr>
        <w:pBdr>
          <w:bottom w:val="single" w:sz="6" w:space="2" w:color="C0A45F"/>
        </w:pBdr>
      </w:pPr>
      <w:r>
        <w:rPr>
          <w:b/>
          <w:color w:val="0F5E54"/>
          <w:sz w:val="28"/>
        </w:rPr>
        <w:t>Disclosure &amp; Disclaimer</w:t>
      </w:r>
    </w:p>
    <w:p>
      <w:pPr>
        <w:jc w:val="both"/>
      </w:pPr>
      <w:r>
        <w:rPr>
          <w:i w:val="0"/>
          <w:color w:val="1C3A36"/>
          <w:sz w:val="20"/>
        </w:rPr>
        <w:t>Not investment advice. This document is a valuation exercise and an expression of personal analytical opinion, published free of charge for educational purposes. It is not investment advice, and not a recommendation or solicitation to buy, sell or hold any security.</w:t>
      </w:r>
    </w:p>
    <w:p>
      <w:pPr>
        <w:jc w:val="both"/>
      </w:pPr>
      <w:r>
        <w:rPr>
          <w:i w:val="0"/>
          <w:color w:val="1C3A36"/>
          <w:sz w:val="20"/>
        </w:rPr>
        <w:t>Not directed at you. Nothing here is tailored to the financial circumstances, objectives or risk tolerance of any reader. Consult a licensed financial advisor before any investment decision.</w:t>
      </w:r>
    </w:p>
    <w:p>
      <w:pPr>
        <w:jc w:val="both"/>
      </w:pPr>
      <w:r>
        <w:rPr>
          <w:i w:val="0"/>
          <w:color w:val="1C3A36"/>
          <w:sz w:val="20"/>
        </w:rPr>
        <w:t>No licence, no clients. The preparer is not licensed or authorised by any securities regulator in any jurisdiction, holds no brokerage authorisation, provides no financial consultancy, manages no money, and accepts no fees, funds or clients.</w:t>
      </w:r>
    </w:p>
    <w:p>
      <w:pPr>
        <w:jc w:val="both"/>
      </w:pPr>
      <w:r>
        <w:rPr>
          <w:i w:val="0"/>
          <w:color w:val="1C3A36"/>
          <w:sz w:val="20"/>
        </w:rPr>
        <w:t>Model outputs, not facts. All values are outputs of models built on assumptions that are disclosed and flagged throughout, and are presented as ranges and distributions because no single number should be relied on. Historical financials are the company's own disclosure; forward-looking inputs are the preparer's judgments.</w:t>
      </w:r>
    </w:p>
    <w:p>
      <w:pPr>
        <w:jc w:val="both"/>
      </w:pPr>
      <w:r>
        <w:rPr>
          <w:i w:val="0"/>
          <w:color w:val="1C3A36"/>
          <w:sz w:val="20"/>
        </w:rPr>
        <w:t>No warranty. The information is provided 'as is' without warranty of any kind. The preparer accepts no liability for any loss arising from its use.</w:t>
      </w:r>
    </w:p>
    <w:p>
      <w:pPr>
        <w:jc w:val="both"/>
      </w:pPr>
      <w:r>
        <w:rPr>
          <w:i w:val="0"/>
          <w:color w:val="1C3A36"/>
          <w:sz w:val="20"/>
        </w:rPr>
        <w:t>Position disclosure. The preparer may hold, and may in the future take or dispose of, a position in the security discussed in this report.</w:t>
      </w:r>
    </w:p>
    <w:p>
      <w:r>
        <w:rPr>
          <w:i/>
          <w:color w:val="5A5A50"/>
          <w:sz w:val="16"/>
        </w:rPr>
        <w:t>Testahil · Independent Valuation Study — Educational Analysis · ADNOC Gas plc (ADX: ADNOCGAS) · edition 4 July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