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i w:val="0"/>
          <w:color w:val="1C3A36"/>
          <w:sz w:val="36"/>
        </w:rPr>
        <w:t>Riyadh Cables Group Company — Bibliography &amp; Source Register</w:t>
      </w:r>
    </w:p>
    <w:p>
      <w:pPr>
        <w:spacing w:after="160" w:before="0"/>
      </w:pPr>
      <w:r>
        <w:rPr>
          <w:b w:val="0"/>
          <w:i w:val="0"/>
          <w:color w:val="6E7B77"/>
          <w:sz w:val="21"/>
        </w:rPr>
        <w:t>Tadawul: 4142  ·  companion to the valuation study dated 18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register lists every source and every input behind the valuation study. Sources are grouped by research layer: Company (the subject’s own audited and reviewed filings), Country (sovereign macro and risk premia), Industry (sector and peers), Global (rates, commodities), and House (the analyst’s own forecast assumptions, each built on a sourced anchor). The company’s historical figures come only from its own audited statements; no aggregator, broker note or press report is a source for any company figure — such sources appear only as labelled cross-checks.</w:t>
            </w:r>
          </w:p>
        </w:tc>
      </w:tr>
    </w:tbl>
    <w:p>
      <w:pPr>
        <w:spacing w:after="40"/>
      </w:pPr>
    </w:p>
    <w:p>
      <w:pPr>
        <w:spacing w:after="120" w:before="280"/>
      </w:pPr>
      <w:r>
        <w:rPr>
          <w:b/>
          <w:i w:val="0"/>
          <w:color w:val="1C3A36"/>
          <w:sz w:val="30"/>
        </w:rPr>
        <w:t>Primary documents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2448"/>
        <w:gridCol w:w="4176"/>
      </w:tblGrid>
      <w:tr>
        <w:tc>
          <w:tcPr>
            <w:tcW w:type="dxa" w:w="3600"/>
            <w:shd w:val="clear" w:color="auto" w:fill="EAF0EE"/>
          </w:tcPr>
          <w:p>
            <w:pPr>
              <w:spacing w:after="20"/>
            </w:pPr>
            <w:r>
              <w:rPr>
                <w:b/>
                <w:color w:val="1C3A36"/>
                <w:sz w:val="16"/>
              </w:rPr>
              <w:t>Document</w:t>
            </w:r>
          </w:p>
        </w:tc>
        <w:tc>
          <w:tcPr>
            <w:tcW w:type="dxa" w:w="2448"/>
            <w:shd w:val="clear" w:color="auto" w:fill="EAF0EE"/>
          </w:tcPr>
          <w:p>
            <w:pPr>
              <w:spacing w:after="20"/>
            </w:pPr>
            <w:r>
              <w:rPr>
                <w:b/>
                <w:color w:val="1C3A36"/>
                <w:sz w:val="16"/>
              </w:rPr>
              <w:t>Publisher / date</w:t>
            </w:r>
          </w:p>
        </w:tc>
        <w:tc>
          <w:tcPr>
            <w:tcW w:type="dxa" w:w="4176"/>
            <w:shd w:val="clear" w:color="auto" w:fill="EAF0EE"/>
          </w:tcPr>
          <w:p>
            <w:pPr>
              <w:spacing w:after="20"/>
            </w:pPr>
            <w:r>
              <w:rPr>
                <w:b/>
                <w:color w:val="1C3A36"/>
                <w:sz w:val="16"/>
              </w:rPr>
              <w:t>What was taken from it</w:t>
            </w:r>
          </w:p>
        </w:tc>
      </w:tr>
      <w:tr>
        <w:tc>
          <w:tcPr>
            <w:tcW w:type="dxa" w:w="3600"/>
          </w:tcPr>
          <w:p>
            <w:pPr>
              <w:spacing w:after="20"/>
            </w:pPr>
            <w:r>
              <w:rPr>
                <w:color w:val="1C3A36"/>
                <w:sz w:val="16"/>
              </w:rPr>
              <w:t>Consolidated financial statements, year ended 31 Dec 2025</w:t>
            </w:r>
          </w:p>
        </w:tc>
        <w:tc>
          <w:tcPr>
            <w:tcW w:type="dxa" w:w="2448"/>
          </w:tcPr>
          <w:p>
            <w:pPr>
              <w:spacing w:after="20"/>
              <w:jc w:val="right"/>
            </w:pPr>
            <w:r>
              <w:rPr>
                <w:color w:val="1C3A36"/>
                <w:sz w:val="16"/>
              </w:rPr>
              <w:t>Riyadh Cables / KPMG, 26 Mar 2026</w:t>
            </w:r>
          </w:p>
        </w:tc>
        <w:tc>
          <w:tcPr>
            <w:tcW w:type="dxa" w:w="4176"/>
          </w:tcPr>
          <w:p>
            <w:pPr>
              <w:spacing w:after="20"/>
              <w:jc w:val="right"/>
            </w:pPr>
            <w:r>
              <w:rPr>
                <w:color w:val="1C3A36"/>
                <w:sz w:val="16"/>
              </w:rPr>
              <w:t>Full income statement, balance sheet, cash flow; cost-of-revenue breakdown; segment and geographic split; inventory; Islamic finance facilities; dividends; shares</w:t>
            </w:r>
          </w:p>
        </w:tc>
      </w:tr>
      <w:tr>
        <w:tc>
          <w:tcPr>
            <w:tcW w:type="dxa" w:w="3600"/>
          </w:tcPr>
          <w:p>
            <w:pPr>
              <w:spacing w:after="20"/>
            </w:pPr>
            <w:r>
              <w:rPr>
                <w:color w:val="1C3A36"/>
                <w:sz w:val="16"/>
              </w:rPr>
              <w:t>Consolidated financial statements, year ended 31 Dec 2024</w:t>
            </w:r>
          </w:p>
        </w:tc>
        <w:tc>
          <w:tcPr>
            <w:tcW w:type="dxa" w:w="2448"/>
          </w:tcPr>
          <w:p>
            <w:pPr>
              <w:spacing w:after="20"/>
              <w:jc w:val="right"/>
            </w:pPr>
            <w:r>
              <w:rPr>
                <w:color w:val="1C3A36"/>
                <w:sz w:val="16"/>
              </w:rPr>
              <w:t>Riyadh Cables / KPMG, Mar 2025</w:t>
            </w:r>
          </w:p>
        </w:tc>
        <w:tc>
          <w:tcPr>
            <w:tcW w:type="dxa" w:w="4176"/>
          </w:tcPr>
          <w:p>
            <w:pPr>
              <w:spacing w:after="20"/>
              <w:jc w:val="right"/>
            </w:pPr>
            <w:r>
              <w:rPr>
                <w:color w:val="1C3A36"/>
                <w:sz w:val="16"/>
              </w:rPr>
              <w:t>FY2024 income statement and balance sheet; FY2023 comparative</w:t>
            </w:r>
          </w:p>
        </w:tc>
      </w:tr>
      <w:tr>
        <w:tc>
          <w:tcPr>
            <w:tcW w:type="dxa" w:w="3600"/>
          </w:tcPr>
          <w:p>
            <w:pPr>
              <w:spacing w:after="20"/>
            </w:pPr>
            <w:r>
              <w:rPr>
                <w:color w:val="1C3A36"/>
                <w:sz w:val="16"/>
              </w:rPr>
              <w:t>Consolidated financial statements, year ended 31 Dec 2023</w:t>
            </w:r>
          </w:p>
        </w:tc>
        <w:tc>
          <w:tcPr>
            <w:tcW w:type="dxa" w:w="2448"/>
          </w:tcPr>
          <w:p>
            <w:pPr>
              <w:spacing w:after="20"/>
              <w:jc w:val="right"/>
            </w:pPr>
            <w:r>
              <w:rPr>
                <w:color w:val="1C3A36"/>
                <w:sz w:val="16"/>
              </w:rPr>
              <w:t>Riyadh Cables / KPMG, Mar 2024</w:t>
            </w:r>
          </w:p>
        </w:tc>
        <w:tc>
          <w:tcPr>
            <w:tcW w:type="dxa" w:w="4176"/>
          </w:tcPr>
          <w:p>
            <w:pPr>
              <w:spacing w:after="20"/>
              <w:jc w:val="right"/>
            </w:pPr>
            <w:r>
              <w:rPr>
                <w:color w:val="1C3A36"/>
                <w:sz w:val="16"/>
              </w:rPr>
              <w:t>FY2023 income statement and balance sheet; FY2022 comparative</w:t>
            </w:r>
          </w:p>
        </w:tc>
      </w:tr>
      <w:tr>
        <w:tc>
          <w:tcPr>
            <w:tcW w:type="dxa" w:w="3600"/>
          </w:tcPr>
          <w:p>
            <w:pPr>
              <w:spacing w:after="20"/>
            </w:pPr>
            <w:r>
              <w:rPr>
                <w:color w:val="1C3A36"/>
                <w:sz w:val="16"/>
              </w:rPr>
              <w:t>Annual report, year ended 31 Dec 2022 (IPO year)</w:t>
            </w:r>
          </w:p>
        </w:tc>
        <w:tc>
          <w:tcPr>
            <w:tcW w:type="dxa" w:w="2448"/>
          </w:tcPr>
          <w:p>
            <w:pPr>
              <w:spacing w:after="20"/>
              <w:jc w:val="right"/>
            </w:pPr>
            <w:r>
              <w:rPr>
                <w:color w:val="1C3A36"/>
                <w:sz w:val="16"/>
              </w:rPr>
              <w:t>Riyadh Cables, 2023</w:t>
            </w:r>
          </w:p>
        </w:tc>
        <w:tc>
          <w:tcPr>
            <w:tcW w:type="dxa" w:w="4176"/>
          </w:tcPr>
          <w:p>
            <w:pPr>
              <w:spacing w:after="20"/>
              <w:jc w:val="right"/>
            </w:pPr>
            <w:r>
              <w:rPr>
                <w:color w:val="1C3A36"/>
                <w:sz w:val="16"/>
              </w:rPr>
              <w:t>FY2022 revenue and profit (cross-verified against the FY2023 comparative)</w:t>
            </w:r>
          </w:p>
        </w:tc>
      </w:tr>
      <w:tr>
        <w:tc>
          <w:tcPr>
            <w:tcW w:type="dxa" w:w="3600"/>
          </w:tcPr>
          <w:p>
            <w:pPr>
              <w:spacing w:after="20"/>
            </w:pPr>
            <w:r>
              <w:rPr>
                <w:color w:val="1C3A36"/>
                <w:sz w:val="16"/>
              </w:rPr>
              <w:t>Interim reviewed results, six months to 30 Jun 2026</w:t>
            </w:r>
          </w:p>
        </w:tc>
        <w:tc>
          <w:tcPr>
            <w:tcW w:type="dxa" w:w="2448"/>
          </w:tcPr>
          <w:p>
            <w:pPr>
              <w:spacing w:after="20"/>
              <w:jc w:val="right"/>
            </w:pPr>
            <w:r>
              <w:rPr>
                <w:color w:val="1C3A36"/>
                <w:sz w:val="16"/>
              </w:rPr>
              <w:t>Riyadh Cables via Tadawul, 29 Jul 2026</w:t>
            </w:r>
          </w:p>
        </w:tc>
        <w:tc>
          <w:tcPr>
            <w:tcW w:type="dxa" w:w="4176"/>
          </w:tcPr>
          <w:p>
            <w:pPr>
              <w:spacing w:after="20"/>
              <w:jc w:val="right"/>
            </w:pPr>
            <w:r>
              <w:rPr>
                <w:color w:val="1C3A36"/>
                <w:sz w:val="16"/>
              </w:rPr>
              <w:t>H1-2026 revenue, gross profit, operating profit, net profit, equity — the near-term margin anchor</w:t>
            </w:r>
          </w:p>
        </w:tc>
      </w:tr>
      <w:tr>
        <w:tc>
          <w:tcPr>
            <w:tcW w:type="dxa" w:w="3600"/>
          </w:tcPr>
          <w:p>
            <w:pPr>
              <w:spacing w:after="20"/>
            </w:pPr>
            <w:r>
              <w:rPr>
                <w:color w:val="1C3A36"/>
                <w:sz w:val="16"/>
              </w:rPr>
              <w:t>Interim results, three months to 31 Mar 2026</w:t>
            </w:r>
          </w:p>
        </w:tc>
        <w:tc>
          <w:tcPr>
            <w:tcW w:type="dxa" w:w="2448"/>
          </w:tcPr>
          <w:p>
            <w:pPr>
              <w:spacing w:after="20"/>
              <w:jc w:val="right"/>
            </w:pPr>
            <w:r>
              <w:rPr>
                <w:color w:val="1C3A36"/>
                <w:sz w:val="16"/>
              </w:rPr>
              <w:t>Riyadh Cables via Tadawul, May 2026</w:t>
            </w:r>
          </w:p>
        </w:tc>
        <w:tc>
          <w:tcPr>
            <w:tcW w:type="dxa" w:w="4176"/>
          </w:tcPr>
          <w:p>
            <w:pPr>
              <w:spacing w:after="20"/>
              <w:jc w:val="right"/>
            </w:pPr>
            <w:r>
              <w:rPr>
                <w:color w:val="1C3A36"/>
                <w:sz w:val="16"/>
              </w:rPr>
              <w:t>Q1-2026 revenue, gross profit, operating profit, net profit</w:t>
            </w:r>
          </w:p>
        </w:tc>
      </w:tr>
      <w:tr>
        <w:tc>
          <w:tcPr>
            <w:tcW w:type="dxa" w:w="3600"/>
          </w:tcPr>
          <w:p>
            <w:pPr>
              <w:spacing w:after="20"/>
            </w:pPr>
            <w:r>
              <w:rPr>
                <w:color w:val="1C3A36"/>
                <w:sz w:val="16"/>
              </w:rPr>
              <w:t>Country risk premium data, July 2026 update</w:t>
            </w:r>
          </w:p>
        </w:tc>
        <w:tc>
          <w:tcPr>
            <w:tcW w:type="dxa" w:w="2448"/>
          </w:tcPr>
          <w:p>
            <w:pPr>
              <w:spacing w:after="20"/>
              <w:jc w:val="right"/>
            </w:pPr>
            <w:r>
              <w:rPr>
                <w:color w:val="1C3A36"/>
                <w:sz w:val="16"/>
              </w:rPr>
              <w:t>A. Damodaran (NYU Stern), Jul 2026</w:t>
            </w:r>
          </w:p>
        </w:tc>
        <w:tc>
          <w:tcPr>
            <w:tcW w:type="dxa" w:w="4176"/>
          </w:tcPr>
          <w:p>
            <w:pPr>
              <w:spacing w:after="20"/>
              <w:jc w:val="right"/>
            </w:pPr>
            <w:r>
              <w:rPr>
                <w:color w:val="1C3A36"/>
                <w:sz w:val="16"/>
              </w:rPr>
              <w:t>Saudi Arabia rating (Aa3), sovereign default spread 0.48%, country risk premium, equity risk premium 4.94% — the July vintage, superseding the January figures used in the first edition</w:t>
            </w:r>
          </w:p>
        </w:tc>
      </w:tr>
      <w:tr>
        <w:tc>
          <w:tcPr>
            <w:tcW w:type="dxa" w:w="3600"/>
          </w:tcPr>
          <w:p>
            <w:pPr>
              <w:spacing w:after="20"/>
            </w:pPr>
            <w:r>
              <w:rPr>
                <w:color w:val="1C3A36"/>
                <w:sz w:val="16"/>
              </w:rPr>
              <w:t>SAR government sukuk yield curve</w:t>
            </w:r>
          </w:p>
        </w:tc>
        <w:tc>
          <w:tcPr>
            <w:tcW w:type="dxa" w:w="2448"/>
          </w:tcPr>
          <w:p>
            <w:pPr>
              <w:spacing w:after="20"/>
              <w:jc w:val="right"/>
            </w:pPr>
            <w:r>
              <w:rPr>
                <w:color w:val="1C3A36"/>
                <w:sz w:val="16"/>
              </w:rPr>
              <w:t>FTSE Russell (Saudi Government Bond Index, 31 Jul 2026); S&amp;P DJI (iBoxx Tadawul SAR Government Sukuk, Q1 2026)</w:t>
            </w:r>
          </w:p>
        </w:tc>
        <w:tc>
          <w:tcPr>
            <w:tcW w:type="dxa" w:w="4176"/>
          </w:tcPr>
          <w:p>
            <w:pPr>
              <w:spacing w:after="20"/>
              <w:jc w:val="right"/>
            </w:pPr>
            <w:r>
              <w:rPr>
                <w:color w:val="1C3A36"/>
                <w:sz w:val="16"/>
              </w:rPr>
              <w:t>The 10-year SAR risk-free rate (5.50%), re-derived from the published sukuk curve after an earlier estimate sat below it</w:t>
            </w:r>
          </w:p>
        </w:tc>
      </w:tr>
      <w:tr>
        <w:tc>
          <w:tcPr>
            <w:tcW w:type="dxa" w:w="3600"/>
          </w:tcPr>
          <w:p>
            <w:pPr>
              <w:spacing w:after="20"/>
            </w:pPr>
            <w:r>
              <w:rPr>
                <w:color w:val="1C3A36"/>
                <w:sz w:val="16"/>
              </w:rPr>
              <w:t>Tadawul All Share Index (TASI) price history</w:t>
            </w:r>
          </w:p>
        </w:tc>
        <w:tc>
          <w:tcPr>
            <w:tcW w:type="dxa" w:w="2448"/>
          </w:tcPr>
          <w:p>
            <w:pPr>
              <w:spacing w:after="20"/>
              <w:jc w:val="right"/>
            </w:pPr>
            <w:r>
              <w:rPr>
                <w:color w:val="1C3A36"/>
                <w:sz w:val="16"/>
              </w:rPr>
              <w:t>Saudi Exchange</w:t>
            </w:r>
          </w:p>
        </w:tc>
        <w:tc>
          <w:tcPr>
            <w:tcW w:type="dxa" w:w="4176"/>
          </w:tcPr>
          <w:p>
            <w:pPr>
              <w:spacing w:after="20"/>
              <w:jc w:val="right"/>
            </w:pPr>
            <w:r>
              <w:rPr>
                <w:color w:val="1C3A36"/>
                <w:sz w:val="16"/>
              </w:rPr>
              <w:t>The index against which the stock’s beta is estimated</w:t>
            </w:r>
          </w:p>
        </w:tc>
      </w:tr>
      <w:tr>
        <w:tc>
          <w:tcPr>
            <w:tcW w:type="dxa" w:w="3600"/>
          </w:tcPr>
          <w:p>
            <w:pPr>
              <w:spacing w:after="20"/>
            </w:pPr>
            <w:r>
              <w:rPr>
                <w:color w:val="1C3A36"/>
                <w:sz w:val="16"/>
              </w:rPr>
              <w:t>Policy rate and SAIBOR references</w:t>
            </w:r>
          </w:p>
        </w:tc>
        <w:tc>
          <w:tcPr>
            <w:tcW w:type="dxa" w:w="2448"/>
          </w:tcPr>
          <w:p>
            <w:pPr>
              <w:spacing w:after="20"/>
              <w:jc w:val="right"/>
            </w:pPr>
            <w:r>
              <w:rPr>
                <w:color w:val="1C3A36"/>
                <w:sz w:val="16"/>
              </w:rPr>
              <w:t>SAMA, Aug 2026</w:t>
            </w:r>
          </w:p>
        </w:tc>
        <w:tc>
          <w:tcPr>
            <w:tcW w:type="dxa" w:w="4176"/>
          </w:tcPr>
          <w:p>
            <w:pPr>
              <w:spacing w:after="20"/>
              <w:jc w:val="right"/>
            </w:pPr>
            <w:r>
              <w:rPr>
                <w:color w:val="1C3A36"/>
                <w:sz w:val="16"/>
              </w:rPr>
              <w:t>The repo/SAIBOR reference behind the marginal cost of debt</w:t>
            </w:r>
          </w:p>
        </w:tc>
      </w:tr>
      <w:tr>
        <w:tc>
          <w:tcPr>
            <w:tcW w:type="dxa" w:w="3600"/>
          </w:tcPr>
          <w:p>
            <w:pPr>
              <w:spacing w:after="20"/>
            </w:pPr>
            <w:r>
              <w:rPr>
                <w:color w:val="1C3A36"/>
                <w:sz w:val="16"/>
              </w:rPr>
              <w:t>LME copper and aluminium references</w:t>
            </w:r>
          </w:p>
        </w:tc>
        <w:tc>
          <w:tcPr>
            <w:tcW w:type="dxa" w:w="2448"/>
          </w:tcPr>
          <w:p>
            <w:pPr>
              <w:spacing w:after="20"/>
              <w:jc w:val="right"/>
            </w:pPr>
            <w:r>
              <w:rPr>
                <w:color w:val="1C3A36"/>
                <w:sz w:val="16"/>
              </w:rPr>
              <w:t>London Metal Exchange, Aug 2026</w:t>
            </w:r>
          </w:p>
        </w:tc>
        <w:tc>
          <w:tcPr>
            <w:tcW w:type="dxa" w:w="4176"/>
          </w:tcPr>
          <w:p>
            <w:pPr>
              <w:spacing w:after="20"/>
              <w:jc w:val="right"/>
            </w:pPr>
            <w:r>
              <w:rPr>
                <w:color w:val="1C3A36"/>
                <w:sz w:val="16"/>
              </w:rPr>
              <w:t>The metal-price path behind the materials cost leg (context / cross-check)</w:t>
            </w:r>
          </w:p>
        </w:tc>
      </w:tr>
    </w:tbl>
    <w:p>
      <w:pPr>
        <w:spacing w:after="40"/>
      </w:pPr>
    </w:p>
    <w:p>
      <w:pPr>
        <w:spacing w:after="120" w:before="280"/>
      </w:pPr>
      <w:r>
        <w:rPr>
          <w:b/>
          <w:i w:val="0"/>
          <w:color w:val="1C3A36"/>
          <w:sz w:val="30"/>
        </w:rPr>
        <w:t>Full input register</w:t>
      </w:r>
    </w:p>
    <w:p>
      <w:pPr>
        <w:spacing w:after="120" w:before="0"/>
      </w:pPr>
      <w:r>
        <w:rPr>
          <w:b w:val="0"/>
          <w:i w:val="0"/>
          <w:color w:val="6E7B77"/>
          <w:sz w:val="19"/>
        </w:rPr>
        <w:t>Every input in the model, with its value, date and source-and-construction, grouped by research layer. Values are the committed model numbers; percentages are shown as entered.</w:t>
      </w:r>
    </w:p>
    <w:p>
      <w:pPr>
        <w:spacing w:after="80" w:before="200"/>
      </w:pPr>
      <w:r>
        <w:rPr>
          <w:b/>
          <w:i w:val="0"/>
          <w:color w:val="1C3A36"/>
          <w:sz w:val="24"/>
        </w:rPr>
        <w:t>Company layer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440"/>
        <w:gridCol w:w="1008"/>
        <w:gridCol w:w="5832"/>
      </w:tblGrid>
      <w:tr>
        <w:tc>
          <w:tcPr>
            <w:tcW w:type="dxa" w:w="1944"/>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1008"/>
            <w:shd w:val="clear" w:color="auto" w:fill="EAF0EE"/>
          </w:tcPr>
          <w:p>
            <w:pPr>
              <w:spacing w:after="20"/>
            </w:pPr>
            <w:r>
              <w:rPr>
                <w:b/>
                <w:color w:val="1C3A36"/>
                <w:sz w:val="14"/>
              </w:rPr>
              <w:t>Date</w:t>
            </w:r>
          </w:p>
        </w:tc>
        <w:tc>
          <w:tcPr>
            <w:tcW w:type="dxa" w:w="5832"/>
            <w:shd w:val="clear" w:color="auto" w:fill="EAF0EE"/>
          </w:tcPr>
          <w:p>
            <w:pPr>
              <w:spacing w:after="20"/>
            </w:pPr>
            <w:r>
              <w:rPr>
                <w:b/>
                <w:color w:val="1C3A36"/>
                <w:sz w:val="14"/>
              </w:rPr>
              <w:t>Source &amp; construction</w:t>
            </w:r>
          </w:p>
        </w:tc>
      </w:tr>
      <w:tr>
        <w:tc>
          <w:tcPr>
            <w:tcW w:type="dxa" w:w="1944"/>
          </w:tcPr>
          <w:p>
            <w:pPr>
              <w:spacing w:after="20"/>
            </w:pPr>
            <w:r>
              <w:rPr>
                <w:color w:val="1C3A36"/>
                <w:sz w:val="14"/>
              </w:rPr>
              <w:t>shares_out</w:t>
            </w:r>
          </w:p>
        </w:tc>
        <w:tc>
          <w:tcPr>
            <w:tcW w:type="dxa" w:w="1440"/>
          </w:tcPr>
          <w:p>
            <w:pPr>
              <w:spacing w:after="20"/>
              <w:jc w:val="right"/>
            </w:pPr>
            <w:r>
              <w:rPr>
                <w:color w:val="1C3A36"/>
                <w:sz w:val="14"/>
              </w:rPr>
              <w:t>149.72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150,000,000 ordinary shares issued (SAR 10 par, paid capital SAR 1,500mn) less 282,500 treasury shares; the weighted-average basic/diluted share count in EPS Note 41 of the FY2025 audited statements is 149,717,500</w:t>
            </w:r>
          </w:p>
        </w:tc>
      </w:tr>
      <w:tr>
        <w:tc>
          <w:tcPr>
            <w:tcW w:type="dxa" w:w="1944"/>
          </w:tcPr>
          <w:p>
            <w:pPr>
              <w:spacing w:after="20"/>
            </w:pPr>
            <w:r>
              <w:rPr>
                <w:color w:val="1C3A36"/>
                <w:sz w:val="14"/>
              </w:rPr>
              <w:t>tax_eff</w:t>
            </w:r>
          </w:p>
        </w:tc>
        <w:tc>
          <w:tcPr>
            <w:tcW w:type="dxa" w:w="1440"/>
          </w:tcPr>
          <w:p>
            <w:pPr>
              <w:spacing w:after="20"/>
              <w:jc w:val="right"/>
            </w:pPr>
            <w:r>
              <w:rPr>
                <w:color w:val="1C3A36"/>
                <w:sz w:val="14"/>
              </w:rPr>
              <w:t>0.0950</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Blended zakat-and-income-tax rate for the forecast. Audited effective charge (zakat + income tax + deferred) / profit before zakat: FY2023 7.0%, FY2024 7.3%, FY2025 9.0%. Saudi zakat is ~2.5% of the zakat base; income tax (20%) applies to any non-GCC-owned share of profits and to foreign operatio…</w:t>
            </w:r>
          </w:p>
        </w:tc>
      </w:tr>
      <w:tr>
        <w:tc>
          <w:tcPr>
            <w:tcW w:type="dxa" w:w="1944"/>
          </w:tcPr>
          <w:p>
            <w:pPr>
              <w:spacing w:after="20"/>
            </w:pPr>
            <w:r>
              <w:rPr>
                <w:color w:val="1C3A36"/>
                <w:sz w:val="14"/>
              </w:rPr>
              <w:t>rev_fy23</w:t>
            </w:r>
          </w:p>
        </w:tc>
        <w:tc>
          <w:tcPr>
            <w:tcW w:type="dxa" w:w="1440"/>
          </w:tcPr>
          <w:p>
            <w:pPr>
              <w:spacing w:after="20"/>
              <w:jc w:val="right"/>
            </w:pPr>
            <w:r>
              <w:rPr>
                <w:color w:val="1C3A36"/>
                <w:sz w:val="14"/>
              </w:rPr>
              <w:t>7,825</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 (confirmed by the FY2024 comparative column)</w:t>
            </w:r>
          </w:p>
        </w:tc>
      </w:tr>
      <w:tr>
        <w:tc>
          <w:tcPr>
            <w:tcW w:type="dxa" w:w="1944"/>
          </w:tcPr>
          <w:p>
            <w:pPr>
              <w:spacing w:after="20"/>
            </w:pPr>
            <w:r>
              <w:rPr>
                <w:color w:val="1C3A36"/>
                <w:sz w:val="14"/>
              </w:rPr>
              <w:t>rev_fy24</w:t>
            </w:r>
          </w:p>
        </w:tc>
        <w:tc>
          <w:tcPr>
            <w:tcW w:type="dxa" w:w="1440"/>
          </w:tcPr>
          <w:p>
            <w:pPr>
              <w:spacing w:after="20"/>
              <w:jc w:val="right"/>
            </w:pPr>
            <w:r>
              <w:rPr>
                <w:color w:val="1C3A36"/>
                <w:sz w:val="14"/>
              </w:rPr>
              <w:t>9,007</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(confirmed by the FY2025 comparative column)</w:t>
            </w:r>
          </w:p>
        </w:tc>
      </w:tr>
      <w:tr>
        <w:tc>
          <w:tcPr>
            <w:tcW w:type="dxa" w:w="1944"/>
          </w:tcPr>
          <w:p>
            <w:pPr>
              <w:spacing w:after="20"/>
            </w:pPr>
            <w:r>
              <w:rPr>
                <w:color w:val="1C3A36"/>
                <w:sz w:val="14"/>
              </w:rPr>
              <w:t>rev_fy25</w:t>
            </w:r>
          </w:p>
        </w:tc>
        <w:tc>
          <w:tcPr>
            <w:tcW w:type="dxa" w:w="1440"/>
          </w:tcPr>
          <w:p>
            <w:pPr>
              <w:spacing w:after="20"/>
              <w:jc w:val="right"/>
            </w:pPr>
            <w:r>
              <w:rPr>
                <w:color w:val="1C3A36"/>
                <w:sz w:val="14"/>
              </w:rPr>
              <w:t>10,674</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w:t>
            </w:r>
          </w:p>
        </w:tc>
      </w:tr>
      <w:tr>
        <w:tc>
          <w:tcPr>
            <w:tcW w:type="dxa" w:w="1944"/>
          </w:tcPr>
          <w:p>
            <w:pPr>
              <w:spacing w:after="20"/>
            </w:pPr>
            <w:r>
              <w:rPr>
                <w:color w:val="1C3A36"/>
                <w:sz w:val="14"/>
              </w:rPr>
              <w:t>cogs_fy23</w:t>
            </w:r>
          </w:p>
        </w:tc>
        <w:tc>
          <w:tcPr>
            <w:tcW w:type="dxa" w:w="1440"/>
          </w:tcPr>
          <w:p>
            <w:pPr>
              <w:spacing w:after="20"/>
              <w:jc w:val="right"/>
            </w:pPr>
            <w:r>
              <w:rPr>
                <w:color w:val="1C3A36"/>
                <w:sz w:val="14"/>
              </w:rPr>
              <w:t>-6,853</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w:t>
            </w:r>
          </w:p>
        </w:tc>
      </w:tr>
      <w:tr>
        <w:tc>
          <w:tcPr>
            <w:tcW w:type="dxa" w:w="1944"/>
          </w:tcPr>
          <w:p>
            <w:pPr>
              <w:spacing w:after="20"/>
            </w:pPr>
            <w:r>
              <w:rPr>
                <w:color w:val="1C3A36"/>
                <w:sz w:val="14"/>
              </w:rPr>
              <w:t>cogs_fy24</w:t>
            </w:r>
          </w:p>
        </w:tc>
        <w:tc>
          <w:tcPr>
            <w:tcW w:type="dxa" w:w="1440"/>
          </w:tcPr>
          <w:p>
            <w:pPr>
              <w:spacing w:after="20"/>
              <w:jc w:val="right"/>
            </w:pPr>
            <w:r>
              <w:rPr>
                <w:color w:val="1C3A36"/>
                <w:sz w:val="14"/>
              </w:rPr>
              <w:t>-7,721</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w:t>
            </w:r>
          </w:p>
        </w:tc>
      </w:tr>
      <w:tr>
        <w:tc>
          <w:tcPr>
            <w:tcW w:type="dxa" w:w="1944"/>
          </w:tcPr>
          <w:p>
            <w:pPr>
              <w:spacing w:after="20"/>
            </w:pPr>
            <w:r>
              <w:rPr>
                <w:color w:val="1C3A36"/>
                <w:sz w:val="14"/>
              </w:rPr>
              <w:t>cogs_fy25</w:t>
            </w:r>
          </w:p>
        </w:tc>
        <w:tc>
          <w:tcPr>
            <w:tcW w:type="dxa" w:w="1440"/>
          </w:tcPr>
          <w:p>
            <w:pPr>
              <w:spacing w:after="20"/>
              <w:jc w:val="right"/>
            </w:pPr>
            <w:r>
              <w:rPr>
                <w:color w:val="1C3A36"/>
                <w:sz w:val="14"/>
              </w:rPr>
              <w:t>-8,940</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w:t>
            </w:r>
          </w:p>
        </w:tc>
      </w:tr>
      <w:tr>
        <w:tc>
          <w:tcPr>
            <w:tcW w:type="dxa" w:w="1944"/>
          </w:tcPr>
          <w:p>
            <w:pPr>
              <w:spacing w:after="20"/>
            </w:pPr>
            <w:r>
              <w:rPr>
                <w:color w:val="1C3A36"/>
                <w:sz w:val="14"/>
              </w:rPr>
              <w:t>gp_fy23</w:t>
            </w:r>
          </w:p>
        </w:tc>
        <w:tc>
          <w:tcPr>
            <w:tcW w:type="dxa" w:w="1440"/>
          </w:tcPr>
          <w:p>
            <w:pPr>
              <w:spacing w:after="20"/>
              <w:jc w:val="right"/>
            </w:pPr>
            <w:r>
              <w:rPr>
                <w:color w:val="1C3A36"/>
                <w:sz w:val="14"/>
              </w:rPr>
              <w:t>972.76</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w:t>
            </w:r>
          </w:p>
        </w:tc>
      </w:tr>
      <w:tr>
        <w:tc>
          <w:tcPr>
            <w:tcW w:type="dxa" w:w="1944"/>
          </w:tcPr>
          <w:p>
            <w:pPr>
              <w:spacing w:after="20"/>
            </w:pPr>
            <w:r>
              <w:rPr>
                <w:color w:val="1C3A36"/>
                <w:sz w:val="14"/>
              </w:rPr>
              <w:t>gp_fy24</w:t>
            </w:r>
          </w:p>
        </w:tc>
        <w:tc>
          <w:tcPr>
            <w:tcW w:type="dxa" w:w="1440"/>
          </w:tcPr>
          <w:p>
            <w:pPr>
              <w:spacing w:after="20"/>
              <w:jc w:val="right"/>
            </w:pPr>
            <w:r>
              <w:rPr>
                <w:color w:val="1C3A36"/>
                <w:sz w:val="14"/>
              </w:rPr>
              <w:t>1,287</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w:t>
            </w:r>
          </w:p>
        </w:tc>
      </w:tr>
      <w:tr>
        <w:tc>
          <w:tcPr>
            <w:tcW w:type="dxa" w:w="1944"/>
          </w:tcPr>
          <w:p>
            <w:pPr>
              <w:spacing w:after="20"/>
            </w:pPr>
            <w:r>
              <w:rPr>
                <w:color w:val="1C3A36"/>
                <w:sz w:val="14"/>
              </w:rPr>
              <w:t>gp_fy25</w:t>
            </w:r>
          </w:p>
        </w:tc>
        <w:tc>
          <w:tcPr>
            <w:tcW w:type="dxa" w:w="1440"/>
          </w:tcPr>
          <w:p>
            <w:pPr>
              <w:spacing w:after="20"/>
              <w:jc w:val="right"/>
            </w:pPr>
            <w:r>
              <w:rPr>
                <w:color w:val="1C3A36"/>
                <w:sz w:val="14"/>
              </w:rPr>
              <w:t>1,733</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w:t>
            </w:r>
          </w:p>
        </w:tc>
      </w:tr>
      <w:tr>
        <w:tc>
          <w:tcPr>
            <w:tcW w:type="dxa" w:w="1944"/>
          </w:tcPr>
          <w:p>
            <w:pPr>
              <w:spacing w:after="20"/>
            </w:pPr>
            <w:r>
              <w:rPr>
                <w:color w:val="1C3A36"/>
                <w:sz w:val="14"/>
              </w:rPr>
              <w:t>op_fy23</w:t>
            </w:r>
          </w:p>
        </w:tc>
        <w:tc>
          <w:tcPr>
            <w:tcW w:type="dxa" w:w="1440"/>
          </w:tcPr>
          <w:p>
            <w:pPr>
              <w:spacing w:after="20"/>
              <w:jc w:val="right"/>
            </w:pPr>
            <w:r>
              <w:rPr>
                <w:color w:val="1C3A36"/>
                <w:sz w:val="14"/>
              </w:rPr>
              <w:t>647.61</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FY2023 (restated operating-profit geography per the FY2024 comparative; net profit identical to the FY2023-as-filed 661.9mn operating profit — the difference is a reclassification between gross and …</w:t>
            </w:r>
          </w:p>
        </w:tc>
      </w:tr>
      <w:tr>
        <w:tc>
          <w:tcPr>
            <w:tcW w:type="dxa" w:w="1944"/>
          </w:tcPr>
          <w:p>
            <w:pPr>
              <w:spacing w:after="20"/>
            </w:pPr>
            <w:r>
              <w:rPr>
                <w:color w:val="1C3A36"/>
                <w:sz w:val="14"/>
              </w:rPr>
              <w:t>op_fy24</w:t>
            </w:r>
          </w:p>
        </w:tc>
        <w:tc>
          <w:tcPr>
            <w:tcW w:type="dxa" w:w="1440"/>
          </w:tcPr>
          <w:p>
            <w:pPr>
              <w:spacing w:after="20"/>
              <w:jc w:val="right"/>
            </w:pPr>
            <w:r>
              <w:rPr>
                <w:color w:val="1C3A36"/>
                <w:sz w:val="14"/>
              </w:rPr>
              <w:t>968.44</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w:t>
            </w:r>
          </w:p>
        </w:tc>
      </w:tr>
      <w:tr>
        <w:tc>
          <w:tcPr>
            <w:tcW w:type="dxa" w:w="1944"/>
          </w:tcPr>
          <w:p>
            <w:pPr>
              <w:spacing w:after="20"/>
            </w:pPr>
            <w:r>
              <w:rPr>
                <w:color w:val="1C3A36"/>
                <w:sz w:val="14"/>
              </w:rPr>
              <w:t>op_fy25</w:t>
            </w:r>
          </w:p>
        </w:tc>
        <w:tc>
          <w:tcPr>
            <w:tcW w:type="dxa" w:w="1440"/>
          </w:tcPr>
          <w:p>
            <w:pPr>
              <w:spacing w:after="20"/>
              <w:jc w:val="right"/>
            </w:pPr>
            <w:r>
              <w:rPr>
                <w:color w:val="1C3A36"/>
                <w:sz w:val="14"/>
              </w:rPr>
              <w:t>1,267</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w:t>
            </w:r>
          </w:p>
        </w:tc>
      </w:tr>
      <w:tr>
        <w:tc>
          <w:tcPr>
            <w:tcW w:type="dxa" w:w="1944"/>
          </w:tcPr>
          <w:p>
            <w:pPr>
              <w:spacing w:after="20"/>
            </w:pPr>
            <w:r>
              <w:rPr>
                <w:color w:val="1C3A36"/>
                <w:sz w:val="14"/>
              </w:rPr>
              <w:t>netfin_fy23</w:t>
            </w:r>
          </w:p>
        </w:tc>
        <w:tc>
          <w:tcPr>
            <w:tcW w:type="dxa" w:w="1440"/>
          </w:tcPr>
          <w:p>
            <w:pPr>
              <w:spacing w:after="20"/>
              <w:jc w:val="right"/>
            </w:pPr>
            <w:r>
              <w:rPr>
                <w:color w:val="1C3A36"/>
                <w:sz w:val="14"/>
              </w:rPr>
              <w:t>-89.01</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 net finance cost (finance costs 89.62mn less finance income 0.61mn)</w:t>
            </w:r>
          </w:p>
        </w:tc>
      </w:tr>
      <w:tr>
        <w:tc>
          <w:tcPr>
            <w:tcW w:type="dxa" w:w="1944"/>
          </w:tcPr>
          <w:p>
            <w:pPr>
              <w:spacing w:after="20"/>
            </w:pPr>
            <w:r>
              <w:rPr>
                <w:color w:val="1C3A36"/>
                <w:sz w:val="14"/>
              </w:rPr>
              <w:t>netfin_fy24</w:t>
            </w:r>
          </w:p>
        </w:tc>
        <w:tc>
          <w:tcPr>
            <w:tcW w:type="dxa" w:w="1440"/>
          </w:tcPr>
          <w:p>
            <w:pPr>
              <w:spacing w:after="20"/>
              <w:jc w:val="right"/>
            </w:pPr>
            <w:r>
              <w:rPr>
                <w:color w:val="1C3A36"/>
                <w:sz w:val="14"/>
              </w:rPr>
              <w:t>-87.67</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net finance cost (finance costs 89.98mn less finance income 2.32mn)</w:t>
            </w:r>
          </w:p>
        </w:tc>
      </w:tr>
      <w:tr>
        <w:tc>
          <w:tcPr>
            <w:tcW w:type="dxa" w:w="1944"/>
          </w:tcPr>
          <w:p>
            <w:pPr>
              <w:spacing w:after="20"/>
            </w:pPr>
            <w:r>
              <w:rPr>
                <w:color w:val="1C3A36"/>
                <w:sz w:val="14"/>
              </w:rPr>
              <w:t>netfin_fy25</w:t>
            </w:r>
          </w:p>
        </w:tc>
        <w:tc>
          <w:tcPr>
            <w:tcW w:type="dxa" w:w="1440"/>
          </w:tcPr>
          <w:p>
            <w:pPr>
              <w:spacing w:after="20"/>
              <w:jc w:val="right"/>
            </w:pPr>
            <w:r>
              <w:rPr>
                <w:color w:val="1C3A36"/>
                <w:sz w:val="14"/>
              </w:rPr>
              <w:t>-74.15</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net finance cost (finance costs 75.35mn less finance income 1.20mn)</w:t>
            </w:r>
          </w:p>
        </w:tc>
      </w:tr>
      <w:tr>
        <w:tc>
          <w:tcPr>
            <w:tcW w:type="dxa" w:w="1944"/>
          </w:tcPr>
          <w:p>
            <w:pPr>
              <w:spacing w:after="20"/>
            </w:pPr>
            <w:r>
              <w:rPr>
                <w:color w:val="1C3A36"/>
                <w:sz w:val="14"/>
              </w:rPr>
              <w:t>zakat_fy23</w:t>
            </w:r>
          </w:p>
        </w:tc>
        <w:tc>
          <w:tcPr>
            <w:tcW w:type="dxa" w:w="1440"/>
          </w:tcPr>
          <w:p>
            <w:pPr>
              <w:spacing w:after="20"/>
              <w:jc w:val="right"/>
            </w:pPr>
            <w:r>
              <w:rPr>
                <w:color w:val="1C3A36"/>
                <w:sz w:val="14"/>
              </w:rPr>
              <w:t>-39.13</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 zakat and income tax</w:t>
            </w:r>
          </w:p>
        </w:tc>
      </w:tr>
      <w:tr>
        <w:tc>
          <w:tcPr>
            <w:tcW w:type="dxa" w:w="1944"/>
          </w:tcPr>
          <w:p>
            <w:pPr>
              <w:spacing w:after="20"/>
            </w:pPr>
            <w:r>
              <w:rPr>
                <w:color w:val="1C3A36"/>
                <w:sz w:val="14"/>
              </w:rPr>
              <w:t>zakat_fy24</w:t>
            </w:r>
          </w:p>
        </w:tc>
        <w:tc>
          <w:tcPr>
            <w:tcW w:type="dxa" w:w="1440"/>
          </w:tcPr>
          <w:p>
            <w:pPr>
              <w:spacing w:after="20"/>
              <w:jc w:val="right"/>
            </w:pPr>
            <w:r>
              <w:rPr>
                <w:color w:val="1C3A36"/>
                <w:sz w:val="14"/>
              </w:rPr>
              <w:t>-63.89</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total tax charge: zakat and income tax (71.88mn charge) plus the deferred-tax credit (8.0mn) = 63.89mn net</w:t>
            </w:r>
          </w:p>
        </w:tc>
      </w:tr>
      <w:tr>
        <w:tc>
          <w:tcPr>
            <w:tcW w:type="dxa" w:w="1944"/>
          </w:tcPr>
          <w:p>
            <w:pPr>
              <w:spacing w:after="20"/>
            </w:pPr>
            <w:r>
              <w:rPr>
                <w:color w:val="1C3A36"/>
                <w:sz w:val="14"/>
              </w:rPr>
              <w:t>zakat_fy25</w:t>
            </w:r>
          </w:p>
        </w:tc>
        <w:tc>
          <w:tcPr>
            <w:tcW w:type="dxa" w:w="1440"/>
          </w:tcPr>
          <w:p>
            <w:pPr>
              <w:spacing w:after="20"/>
              <w:jc w:val="right"/>
            </w:pPr>
            <w:r>
              <w:rPr>
                <w:color w:val="1C3A36"/>
                <w:sz w:val="14"/>
              </w:rPr>
              <w:t>-107.68</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zakat and income tax (104.53mn) plus deferred-tax charge (3.15mn)</w:t>
            </w:r>
          </w:p>
        </w:tc>
      </w:tr>
      <w:tr>
        <w:tc>
          <w:tcPr>
            <w:tcW w:type="dxa" w:w="1944"/>
          </w:tcPr>
          <w:p>
            <w:pPr>
              <w:spacing w:after="20"/>
            </w:pPr>
            <w:r>
              <w:rPr>
                <w:color w:val="1C3A36"/>
                <w:sz w:val="14"/>
              </w:rPr>
              <w:t>pat_fy23</w:t>
            </w:r>
          </w:p>
        </w:tc>
        <w:tc>
          <w:tcPr>
            <w:tcW w:type="dxa" w:w="1440"/>
          </w:tcPr>
          <w:p>
            <w:pPr>
              <w:spacing w:after="20"/>
              <w:jc w:val="right"/>
            </w:pPr>
            <w:r>
              <w:rPr>
                <w:color w:val="1C3A36"/>
                <w:sz w:val="14"/>
              </w:rPr>
              <w:t>518.49</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 profit for the year</w:t>
            </w:r>
          </w:p>
        </w:tc>
      </w:tr>
      <w:tr>
        <w:tc>
          <w:tcPr>
            <w:tcW w:type="dxa" w:w="1944"/>
          </w:tcPr>
          <w:p>
            <w:pPr>
              <w:spacing w:after="20"/>
            </w:pPr>
            <w:r>
              <w:rPr>
                <w:color w:val="1C3A36"/>
                <w:sz w:val="14"/>
              </w:rPr>
              <w:t>pat_fy24</w:t>
            </w:r>
          </w:p>
        </w:tc>
        <w:tc>
          <w:tcPr>
            <w:tcW w:type="dxa" w:w="1440"/>
          </w:tcPr>
          <w:p>
            <w:pPr>
              <w:spacing w:after="20"/>
              <w:jc w:val="right"/>
            </w:pPr>
            <w:r>
              <w:rPr>
                <w:color w:val="1C3A36"/>
                <w:sz w:val="14"/>
              </w:rPr>
              <w:t>816.88</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profit for the year</w:t>
            </w:r>
          </w:p>
        </w:tc>
      </w:tr>
      <w:tr>
        <w:tc>
          <w:tcPr>
            <w:tcW w:type="dxa" w:w="1944"/>
          </w:tcPr>
          <w:p>
            <w:pPr>
              <w:spacing w:after="20"/>
            </w:pPr>
            <w:r>
              <w:rPr>
                <w:color w:val="1C3A36"/>
                <w:sz w:val="14"/>
              </w:rPr>
              <w:t>pat_fy25</w:t>
            </w:r>
          </w:p>
        </w:tc>
        <w:tc>
          <w:tcPr>
            <w:tcW w:type="dxa" w:w="1440"/>
          </w:tcPr>
          <w:p>
            <w:pPr>
              <w:spacing w:after="20"/>
              <w:jc w:val="right"/>
            </w:pPr>
            <w:r>
              <w:rPr>
                <w:color w:val="1C3A36"/>
                <w:sz w:val="14"/>
              </w:rPr>
              <w:t>1,085</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profit for the year</w:t>
            </w:r>
          </w:p>
        </w:tc>
      </w:tr>
      <w:tr>
        <w:tc>
          <w:tcPr>
            <w:tcW w:type="dxa" w:w="1944"/>
          </w:tcPr>
          <w:p>
            <w:pPr>
              <w:spacing w:after="20"/>
            </w:pPr>
            <w:r>
              <w:rPr>
                <w:color w:val="1C3A36"/>
                <w:sz w:val="14"/>
              </w:rPr>
              <w:t>npa_fy24</w:t>
            </w:r>
          </w:p>
        </w:tc>
        <w:tc>
          <w:tcPr>
            <w:tcW w:type="dxa" w:w="1440"/>
          </w:tcPr>
          <w:p>
            <w:pPr>
              <w:spacing w:after="20"/>
              <w:jc w:val="right"/>
            </w:pPr>
            <w:r>
              <w:rPr>
                <w:color w:val="1C3A36"/>
                <w:sz w:val="14"/>
              </w:rPr>
              <w:t>816.69</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profit attributable to shareholders. Basic and diluted EPS 5.45</w:t>
            </w:r>
          </w:p>
        </w:tc>
      </w:tr>
      <w:tr>
        <w:tc>
          <w:tcPr>
            <w:tcW w:type="dxa" w:w="1944"/>
          </w:tcPr>
          <w:p>
            <w:pPr>
              <w:spacing w:after="20"/>
            </w:pPr>
            <w:r>
              <w:rPr>
                <w:color w:val="1C3A36"/>
                <w:sz w:val="14"/>
              </w:rPr>
              <w:t>npa_fy25</w:t>
            </w:r>
          </w:p>
        </w:tc>
        <w:tc>
          <w:tcPr>
            <w:tcW w:type="dxa" w:w="1440"/>
          </w:tcPr>
          <w:p>
            <w:pPr>
              <w:spacing w:after="20"/>
              <w:jc w:val="right"/>
            </w:pPr>
            <w:r>
              <w:rPr>
                <w:color w:val="1C3A36"/>
                <w:sz w:val="14"/>
              </w:rPr>
              <w:t>1,080</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profit attributable to shareholders. Basic and diluted EPS 7.22</w:t>
            </w:r>
          </w:p>
        </w:tc>
      </w:tr>
      <w:tr>
        <w:tc>
          <w:tcPr>
            <w:tcW w:type="dxa" w:w="1944"/>
          </w:tcPr>
          <w:p>
            <w:pPr>
              <w:spacing w:after="20"/>
            </w:pPr>
            <w:r>
              <w:rPr>
                <w:color w:val="1C3A36"/>
                <w:sz w:val="14"/>
              </w:rPr>
              <w:t>dna_fy23</w:t>
            </w:r>
          </w:p>
        </w:tc>
        <w:tc>
          <w:tcPr>
            <w:tcW w:type="dxa" w:w="1440"/>
          </w:tcPr>
          <w:p>
            <w:pPr>
              <w:spacing w:after="20"/>
              <w:jc w:val="right"/>
            </w:pPr>
            <w:r>
              <w:rPr>
                <w:color w:val="1C3A36"/>
                <w:sz w:val="14"/>
              </w:rPr>
              <w:t>66.43</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FY2023 cash-flow statement: PP&amp;E depreciation 59.53mn + intangibles amortisation 5.57mn + right-of-use depreciation 1.33mn = 66.43mn (corrected from the first edition, which carried the FY2024 figur…</w:t>
            </w:r>
          </w:p>
        </w:tc>
      </w:tr>
      <w:tr>
        <w:tc>
          <w:tcPr>
            <w:tcW w:type="dxa" w:w="1944"/>
          </w:tcPr>
          <w:p>
            <w:pPr>
              <w:spacing w:after="20"/>
            </w:pPr>
            <w:r>
              <w:rPr>
                <w:color w:val="1C3A36"/>
                <w:sz w:val="14"/>
              </w:rPr>
              <w:t>dna_fy24</w:t>
            </w:r>
          </w:p>
        </w:tc>
        <w:tc>
          <w:tcPr>
            <w:tcW w:type="dxa" w:w="1440"/>
          </w:tcPr>
          <w:p>
            <w:pPr>
              <w:spacing w:after="20"/>
              <w:jc w:val="right"/>
            </w:pPr>
            <w:r>
              <w:rPr>
                <w:color w:val="1C3A36"/>
                <w:sz w:val="14"/>
              </w:rPr>
              <w:t>68.64</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cash-flow statement: PP&amp;E depreciation 61.96mn + intangibles amortisation 5.60mn + right-of-use depreciation 1.08mn</w:t>
            </w:r>
          </w:p>
        </w:tc>
      </w:tr>
      <w:tr>
        <w:tc>
          <w:tcPr>
            <w:tcW w:type="dxa" w:w="1944"/>
          </w:tcPr>
          <w:p>
            <w:pPr>
              <w:spacing w:after="20"/>
            </w:pPr>
            <w:r>
              <w:rPr>
                <w:color w:val="1C3A36"/>
                <w:sz w:val="14"/>
              </w:rPr>
              <w:t>dna_fy25</w:t>
            </w:r>
          </w:p>
        </w:tc>
        <w:tc>
          <w:tcPr>
            <w:tcW w:type="dxa" w:w="1440"/>
          </w:tcPr>
          <w:p>
            <w:pPr>
              <w:spacing w:after="20"/>
              <w:jc w:val="right"/>
            </w:pPr>
            <w:r>
              <w:rPr>
                <w:color w:val="1C3A36"/>
                <w:sz w:val="14"/>
              </w:rPr>
              <w:t>85.40</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cash-flow statement: PP&amp;E depreciation 76.62mn + intangibles amortisation 5.60mn + right-of-use depreciation 3.18mn</w:t>
            </w:r>
          </w:p>
        </w:tc>
      </w:tr>
      <w:tr>
        <w:tc>
          <w:tcPr>
            <w:tcW w:type="dxa" w:w="1944"/>
          </w:tcPr>
          <w:p>
            <w:pPr>
              <w:spacing w:after="20"/>
            </w:pPr>
            <w:r>
              <w:rPr>
                <w:color w:val="1C3A36"/>
                <w:sz w:val="14"/>
              </w:rPr>
              <w:t>ppe_fy23</w:t>
            </w:r>
          </w:p>
        </w:tc>
        <w:tc>
          <w:tcPr>
            <w:tcW w:type="dxa" w:w="1440"/>
          </w:tcPr>
          <w:p>
            <w:pPr>
              <w:spacing w:after="20"/>
              <w:jc w:val="right"/>
            </w:pPr>
            <w:r>
              <w:rPr>
                <w:color w:val="1C3A36"/>
                <w:sz w:val="14"/>
              </w:rPr>
              <w:t>1,207</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31 Dec 2023</w:t>
            </w:r>
          </w:p>
        </w:tc>
      </w:tr>
      <w:tr>
        <w:tc>
          <w:tcPr>
            <w:tcW w:type="dxa" w:w="1944"/>
          </w:tcPr>
          <w:p>
            <w:pPr>
              <w:spacing w:after="20"/>
            </w:pPr>
            <w:r>
              <w:rPr>
                <w:color w:val="1C3A36"/>
                <w:sz w:val="14"/>
              </w:rPr>
              <w:t>ppe_fy24</w:t>
            </w:r>
          </w:p>
        </w:tc>
        <w:tc>
          <w:tcPr>
            <w:tcW w:type="dxa" w:w="1440"/>
          </w:tcPr>
          <w:p>
            <w:pPr>
              <w:spacing w:after="20"/>
              <w:jc w:val="right"/>
            </w:pPr>
            <w:r>
              <w:rPr>
                <w:color w:val="1C3A36"/>
                <w:sz w:val="14"/>
              </w:rPr>
              <w:t>1,336</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31 Dec 2024</w:t>
            </w:r>
          </w:p>
        </w:tc>
      </w:tr>
      <w:tr>
        <w:tc>
          <w:tcPr>
            <w:tcW w:type="dxa" w:w="1944"/>
          </w:tcPr>
          <w:p>
            <w:pPr>
              <w:spacing w:after="20"/>
            </w:pPr>
            <w:r>
              <w:rPr>
                <w:color w:val="1C3A36"/>
                <w:sz w:val="14"/>
              </w:rPr>
              <w:t>ppe_fy25</w:t>
            </w:r>
          </w:p>
        </w:tc>
        <w:tc>
          <w:tcPr>
            <w:tcW w:type="dxa" w:w="1440"/>
          </w:tcPr>
          <w:p>
            <w:pPr>
              <w:spacing w:after="20"/>
              <w:jc w:val="right"/>
            </w:pPr>
            <w:r>
              <w:rPr>
                <w:color w:val="1C3A36"/>
                <w:sz w:val="14"/>
              </w:rPr>
              <w:t>1,492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31 Dec 2025</w:t>
            </w:r>
          </w:p>
        </w:tc>
      </w:tr>
      <w:tr>
        <w:tc>
          <w:tcPr>
            <w:tcW w:type="dxa" w:w="1944"/>
          </w:tcPr>
          <w:p>
            <w:pPr>
              <w:spacing w:after="20"/>
            </w:pPr>
            <w:r>
              <w:rPr>
                <w:color w:val="1C3A36"/>
                <w:sz w:val="14"/>
              </w:rPr>
              <w:t>inv_fy23</w:t>
            </w:r>
          </w:p>
        </w:tc>
        <w:tc>
          <w:tcPr>
            <w:tcW w:type="dxa" w:w="1440"/>
          </w:tcPr>
          <w:p>
            <w:pPr>
              <w:spacing w:after="20"/>
              <w:jc w:val="right"/>
            </w:pPr>
            <w:r>
              <w:rPr>
                <w:color w:val="1C3A36"/>
                <w:sz w:val="14"/>
              </w:rPr>
              <w:t>1,909</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inventories net of NRV allowance, 31 Dec 2023</w:t>
            </w:r>
          </w:p>
        </w:tc>
      </w:tr>
      <w:tr>
        <w:tc>
          <w:tcPr>
            <w:tcW w:type="dxa" w:w="1944"/>
          </w:tcPr>
          <w:p>
            <w:pPr>
              <w:spacing w:after="20"/>
            </w:pPr>
            <w:r>
              <w:rPr>
                <w:color w:val="1C3A36"/>
                <w:sz w:val="14"/>
              </w:rPr>
              <w:t>inv_fy24</w:t>
            </w:r>
          </w:p>
        </w:tc>
        <w:tc>
          <w:tcPr>
            <w:tcW w:type="dxa" w:w="1440"/>
          </w:tcPr>
          <w:p>
            <w:pPr>
              <w:spacing w:after="20"/>
              <w:jc w:val="right"/>
            </w:pPr>
            <w:r>
              <w:rPr>
                <w:color w:val="1C3A36"/>
                <w:sz w:val="14"/>
              </w:rPr>
              <w:t>2,126</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inventories net, 31 Dec 2024</w:t>
            </w:r>
          </w:p>
        </w:tc>
      </w:tr>
      <w:tr>
        <w:tc>
          <w:tcPr>
            <w:tcW w:type="dxa" w:w="1944"/>
          </w:tcPr>
          <w:p>
            <w:pPr>
              <w:spacing w:after="20"/>
            </w:pPr>
            <w:r>
              <w:rPr>
                <w:color w:val="1C3A36"/>
                <w:sz w:val="14"/>
              </w:rPr>
              <w:t>inv_fy25</w:t>
            </w:r>
          </w:p>
        </w:tc>
        <w:tc>
          <w:tcPr>
            <w:tcW w:type="dxa" w:w="1440"/>
          </w:tcPr>
          <w:p>
            <w:pPr>
              <w:spacing w:after="20"/>
              <w:jc w:val="right"/>
            </w:pPr>
            <w:r>
              <w:rPr>
                <w:color w:val="1C3A36"/>
                <w:sz w:val="14"/>
              </w:rPr>
              <w:t>2,411</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inventories net, 31 Dec 2025</w:t>
            </w:r>
          </w:p>
        </w:tc>
      </w:tr>
      <w:tr>
        <w:tc>
          <w:tcPr>
            <w:tcW w:type="dxa" w:w="1944"/>
          </w:tcPr>
          <w:p>
            <w:pPr>
              <w:spacing w:after="20"/>
            </w:pPr>
            <w:r>
              <w:rPr>
                <w:color w:val="1C3A36"/>
                <w:sz w:val="14"/>
              </w:rPr>
              <w:t>recv_fy23</w:t>
            </w:r>
          </w:p>
        </w:tc>
        <w:tc>
          <w:tcPr>
            <w:tcW w:type="dxa" w:w="1440"/>
          </w:tcPr>
          <w:p>
            <w:pPr>
              <w:spacing w:after="20"/>
              <w:jc w:val="right"/>
            </w:pPr>
            <w:r>
              <w:rPr>
                <w:color w:val="1C3A36"/>
                <w:sz w:val="14"/>
              </w:rPr>
              <w:t>1,419</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31 Dec 2023: trade receivables 1,305.1mn + contract assets 25.2mn + advances and other current assets 88.6mn</w:t>
            </w:r>
          </w:p>
        </w:tc>
      </w:tr>
      <w:tr>
        <w:tc>
          <w:tcPr>
            <w:tcW w:type="dxa" w:w="1944"/>
          </w:tcPr>
          <w:p>
            <w:pPr>
              <w:spacing w:after="20"/>
            </w:pPr>
            <w:r>
              <w:rPr>
                <w:color w:val="1C3A36"/>
                <w:sz w:val="14"/>
              </w:rPr>
              <w:t>recv_fy24</w:t>
            </w:r>
          </w:p>
        </w:tc>
        <w:tc>
          <w:tcPr>
            <w:tcW w:type="dxa" w:w="1440"/>
          </w:tcPr>
          <w:p>
            <w:pPr>
              <w:spacing w:after="20"/>
              <w:jc w:val="right"/>
            </w:pPr>
            <w:r>
              <w:rPr>
                <w:color w:val="1C3A36"/>
                <w:sz w:val="14"/>
              </w:rPr>
              <w:t>2,112</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31 Dec 2024: trade receivables 2,022.9mn + contract assets 15.2mn + advances 74.0mn</w:t>
            </w:r>
          </w:p>
        </w:tc>
      </w:tr>
      <w:tr>
        <w:tc>
          <w:tcPr>
            <w:tcW w:type="dxa" w:w="1944"/>
          </w:tcPr>
          <w:p>
            <w:pPr>
              <w:spacing w:after="20"/>
            </w:pPr>
            <w:r>
              <w:rPr>
                <w:color w:val="1C3A36"/>
                <w:sz w:val="14"/>
              </w:rPr>
              <w:t>recv_fy25</w:t>
            </w:r>
          </w:p>
        </w:tc>
        <w:tc>
          <w:tcPr>
            <w:tcW w:type="dxa" w:w="1440"/>
          </w:tcPr>
          <w:p>
            <w:pPr>
              <w:spacing w:after="20"/>
              <w:jc w:val="right"/>
            </w:pPr>
            <w:r>
              <w:rPr>
                <w:color w:val="1C3A36"/>
                <w:sz w:val="14"/>
              </w:rPr>
              <w:t>2,713</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31 Dec 2025: trade receivables 2,485.3mn + contract assets 51.9mn + advances 175.4mn</w:t>
            </w:r>
          </w:p>
        </w:tc>
      </w:tr>
      <w:tr>
        <w:tc>
          <w:tcPr>
            <w:tcW w:type="dxa" w:w="1944"/>
          </w:tcPr>
          <w:p>
            <w:pPr>
              <w:spacing w:after="20"/>
            </w:pPr>
            <w:r>
              <w:rPr>
                <w:color w:val="1C3A36"/>
                <w:sz w:val="14"/>
              </w:rPr>
              <w:t>pay_fy23</w:t>
            </w:r>
          </w:p>
        </w:tc>
        <w:tc>
          <w:tcPr>
            <w:tcW w:type="dxa" w:w="1440"/>
          </w:tcPr>
          <w:p>
            <w:pPr>
              <w:spacing w:after="20"/>
              <w:jc w:val="right"/>
            </w:pPr>
            <w:r>
              <w:rPr>
                <w:color w:val="1C3A36"/>
                <w:sz w:val="14"/>
              </w:rPr>
              <w:t>1,487</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31 Dec 2023: trade and other payables 1,195.4mn + accrued expenses and other liabilities 266.5mn + contract liabilities 25.0mn. The accrued line was omitted from the first edition's FY2023 payables,…</w:t>
            </w:r>
          </w:p>
        </w:tc>
      </w:tr>
      <w:tr>
        <w:tc>
          <w:tcPr>
            <w:tcW w:type="dxa" w:w="1944"/>
          </w:tcPr>
          <w:p>
            <w:pPr>
              <w:spacing w:after="20"/>
            </w:pPr>
            <w:r>
              <w:rPr>
                <w:color w:val="1C3A36"/>
                <w:sz w:val="14"/>
              </w:rPr>
              <w:t>pay_fy24</w:t>
            </w:r>
          </w:p>
        </w:tc>
        <w:tc>
          <w:tcPr>
            <w:tcW w:type="dxa" w:w="1440"/>
          </w:tcPr>
          <w:p>
            <w:pPr>
              <w:spacing w:after="20"/>
              <w:jc w:val="right"/>
            </w:pPr>
            <w:r>
              <w:rPr>
                <w:color w:val="1C3A36"/>
                <w:sz w:val="14"/>
              </w:rPr>
              <w:t>2,041</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31 Dec 2024: trade and other payables 1,598.4mn + accrued expenses and other liabilities 381.1mn + contract liabilities 61.2mn</w:t>
            </w:r>
          </w:p>
        </w:tc>
      </w:tr>
      <w:tr>
        <w:tc>
          <w:tcPr>
            <w:tcW w:type="dxa" w:w="1944"/>
          </w:tcPr>
          <w:p>
            <w:pPr>
              <w:spacing w:after="20"/>
            </w:pPr>
            <w:r>
              <w:rPr>
                <w:color w:val="1C3A36"/>
                <w:sz w:val="14"/>
              </w:rPr>
              <w:t>pay_fy25</w:t>
            </w:r>
          </w:p>
        </w:tc>
        <w:tc>
          <w:tcPr>
            <w:tcW w:type="dxa" w:w="1440"/>
          </w:tcPr>
          <w:p>
            <w:pPr>
              <w:spacing w:after="20"/>
              <w:jc w:val="right"/>
            </w:pPr>
            <w:r>
              <w:rPr>
                <w:color w:val="1C3A36"/>
                <w:sz w:val="14"/>
              </w:rPr>
              <w:t>2,190</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31 Dec 2025: trade and other payables 1,584.2mn + accrued expenses and other liabilities 537.7mn + contract liabilities 68.7mn. Includes the reverse-factoring (supplier-finance) balance the company …</w:t>
            </w:r>
          </w:p>
        </w:tc>
      </w:tr>
      <w:tr>
        <w:tc>
          <w:tcPr>
            <w:tcW w:type="dxa" w:w="1944"/>
          </w:tcPr>
          <w:p>
            <w:pPr>
              <w:spacing w:after="20"/>
            </w:pPr>
            <w:r>
              <w:rPr>
                <w:color w:val="1C3A36"/>
                <w:sz w:val="14"/>
              </w:rPr>
              <w:t>cash_fy23</w:t>
            </w:r>
          </w:p>
        </w:tc>
        <w:tc>
          <w:tcPr>
            <w:tcW w:type="dxa" w:w="1440"/>
          </w:tcPr>
          <w:p>
            <w:pPr>
              <w:spacing w:after="20"/>
              <w:jc w:val="right"/>
            </w:pPr>
            <w:r>
              <w:rPr>
                <w:color w:val="1C3A36"/>
                <w:sz w:val="14"/>
              </w:rPr>
              <w:t>150.05</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cash and cash equivalents 31 Dec 2023</w:t>
            </w:r>
          </w:p>
        </w:tc>
      </w:tr>
      <w:tr>
        <w:tc>
          <w:tcPr>
            <w:tcW w:type="dxa" w:w="1944"/>
          </w:tcPr>
          <w:p>
            <w:pPr>
              <w:spacing w:after="20"/>
            </w:pPr>
            <w:r>
              <w:rPr>
                <w:color w:val="1C3A36"/>
                <w:sz w:val="14"/>
              </w:rPr>
              <w:t>cash_fy24</w:t>
            </w:r>
          </w:p>
        </w:tc>
        <w:tc>
          <w:tcPr>
            <w:tcW w:type="dxa" w:w="1440"/>
          </w:tcPr>
          <w:p>
            <w:pPr>
              <w:spacing w:after="20"/>
              <w:jc w:val="right"/>
            </w:pPr>
            <w:r>
              <w:rPr>
                <w:color w:val="1C3A36"/>
                <w:sz w:val="14"/>
              </w:rPr>
              <w:t>90.67</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cash 31 Dec 2024</w:t>
            </w:r>
          </w:p>
        </w:tc>
      </w:tr>
      <w:tr>
        <w:tc>
          <w:tcPr>
            <w:tcW w:type="dxa" w:w="1944"/>
          </w:tcPr>
          <w:p>
            <w:pPr>
              <w:spacing w:after="20"/>
            </w:pPr>
            <w:r>
              <w:rPr>
                <w:color w:val="1C3A36"/>
                <w:sz w:val="14"/>
              </w:rPr>
              <w:t>cash_fy25</w:t>
            </w:r>
          </w:p>
        </w:tc>
        <w:tc>
          <w:tcPr>
            <w:tcW w:type="dxa" w:w="1440"/>
          </w:tcPr>
          <w:p>
            <w:pPr>
              <w:spacing w:after="20"/>
              <w:jc w:val="right"/>
            </w:pPr>
            <w:r>
              <w:rPr>
                <w:color w:val="1C3A36"/>
                <w:sz w:val="14"/>
              </w:rPr>
              <w:t>236.04</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cash 31 Dec 2025</w:t>
            </w:r>
          </w:p>
        </w:tc>
      </w:tr>
      <w:tr>
        <w:tc>
          <w:tcPr>
            <w:tcW w:type="dxa" w:w="1944"/>
          </w:tcPr>
          <w:p>
            <w:pPr>
              <w:spacing w:after="20"/>
            </w:pPr>
            <w:r>
              <w:rPr>
                <w:color w:val="1C3A36"/>
                <w:sz w:val="14"/>
              </w:rPr>
              <w:t>assets_fy23</w:t>
            </w:r>
          </w:p>
        </w:tc>
        <w:tc>
          <w:tcPr>
            <w:tcW w:type="dxa" w:w="1440"/>
          </w:tcPr>
          <w:p>
            <w:pPr>
              <w:spacing w:after="20"/>
              <w:jc w:val="right"/>
            </w:pPr>
            <w:r>
              <w:rPr>
                <w:color w:val="1C3A36"/>
                <w:sz w:val="14"/>
              </w:rPr>
              <w:t>4,831</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total assets 31 Dec 2023</w:t>
            </w:r>
          </w:p>
        </w:tc>
      </w:tr>
      <w:tr>
        <w:tc>
          <w:tcPr>
            <w:tcW w:type="dxa" w:w="1944"/>
          </w:tcPr>
          <w:p>
            <w:pPr>
              <w:spacing w:after="20"/>
            </w:pPr>
            <w:r>
              <w:rPr>
                <w:color w:val="1C3A36"/>
                <w:sz w:val="14"/>
              </w:rPr>
              <w:t>assets_fy24</w:t>
            </w:r>
          </w:p>
        </w:tc>
        <w:tc>
          <w:tcPr>
            <w:tcW w:type="dxa" w:w="1440"/>
          </w:tcPr>
          <w:p>
            <w:pPr>
              <w:spacing w:after="20"/>
              <w:jc w:val="right"/>
            </w:pPr>
            <w:r>
              <w:rPr>
                <w:color w:val="1C3A36"/>
                <w:sz w:val="14"/>
              </w:rPr>
              <w:t>5,812</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total assets 31 Dec 2024</w:t>
            </w:r>
          </w:p>
        </w:tc>
      </w:tr>
      <w:tr>
        <w:tc>
          <w:tcPr>
            <w:tcW w:type="dxa" w:w="1944"/>
          </w:tcPr>
          <w:p>
            <w:pPr>
              <w:spacing w:after="20"/>
            </w:pPr>
            <w:r>
              <w:rPr>
                <w:color w:val="1C3A36"/>
                <w:sz w:val="14"/>
              </w:rPr>
              <w:t>assets_fy25</w:t>
            </w:r>
          </w:p>
        </w:tc>
        <w:tc>
          <w:tcPr>
            <w:tcW w:type="dxa" w:w="1440"/>
          </w:tcPr>
          <w:p>
            <w:pPr>
              <w:spacing w:after="20"/>
              <w:jc w:val="right"/>
            </w:pPr>
            <w:r>
              <w:rPr>
                <w:color w:val="1C3A36"/>
                <w:sz w:val="14"/>
              </w:rPr>
              <w:t>7,282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total assets 31 Dec 2025</w:t>
            </w:r>
          </w:p>
        </w:tc>
      </w:tr>
      <w:tr>
        <w:tc>
          <w:tcPr>
            <w:tcW w:type="dxa" w:w="1944"/>
          </w:tcPr>
          <w:p>
            <w:pPr>
              <w:spacing w:after="20"/>
            </w:pPr>
            <w:r>
              <w:rPr>
                <w:color w:val="1C3A36"/>
                <w:sz w:val="14"/>
              </w:rPr>
              <w:t>debt_fy23</w:t>
            </w:r>
          </w:p>
        </w:tc>
        <w:tc>
          <w:tcPr>
            <w:tcW w:type="dxa" w:w="1440"/>
          </w:tcPr>
          <w:p>
            <w:pPr>
              <w:spacing w:after="20"/>
              <w:jc w:val="right"/>
            </w:pPr>
            <w:r>
              <w:rPr>
                <w:color w:val="1C3A36"/>
                <w:sz w:val="14"/>
              </w:rPr>
              <w:t>730.61</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31 Dec 2023: Islamic finance facilities and borrowings 722.1mn + lease liabilities (current 1.1mn + non-current 7.4mn)</w:t>
            </w:r>
          </w:p>
        </w:tc>
      </w:tr>
      <w:tr>
        <w:tc>
          <w:tcPr>
            <w:tcW w:type="dxa" w:w="1944"/>
          </w:tcPr>
          <w:p>
            <w:pPr>
              <w:spacing w:after="20"/>
            </w:pPr>
            <w:r>
              <w:rPr>
                <w:color w:val="1C3A36"/>
                <w:sz w:val="14"/>
              </w:rPr>
              <w:t>debt_fy24</w:t>
            </w:r>
          </w:p>
        </w:tc>
        <w:tc>
          <w:tcPr>
            <w:tcW w:type="dxa" w:w="1440"/>
          </w:tcPr>
          <w:p>
            <w:pPr>
              <w:spacing w:after="20"/>
              <w:jc w:val="right"/>
            </w:pPr>
            <w:r>
              <w:rPr>
                <w:color w:val="1C3A36"/>
                <w:sz w:val="14"/>
              </w:rPr>
              <w:t>440.45</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31 Dec 2024: Islamic finance facilities 433.1mn + lease liabilities 7.4mn</w:t>
            </w:r>
          </w:p>
        </w:tc>
      </w:tr>
      <w:tr>
        <w:tc>
          <w:tcPr>
            <w:tcW w:type="dxa" w:w="1944"/>
          </w:tcPr>
          <w:p>
            <w:pPr>
              <w:spacing w:after="20"/>
            </w:pPr>
            <w:r>
              <w:rPr>
                <w:color w:val="1C3A36"/>
                <w:sz w:val="14"/>
              </w:rPr>
              <w:t>debt_fy25</w:t>
            </w:r>
          </w:p>
        </w:tc>
        <w:tc>
          <w:tcPr>
            <w:tcW w:type="dxa" w:w="1440"/>
          </w:tcPr>
          <w:p>
            <w:pPr>
              <w:spacing w:after="20"/>
              <w:jc w:val="right"/>
            </w:pPr>
            <w:r>
              <w:rPr>
                <w:color w:val="1C3A36"/>
                <w:sz w:val="14"/>
              </w:rPr>
              <w:t>621.22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31 Dec 2025: Islamic finance facilities and borrowings (current 585.2mn + non-current 24.6mn) + lease liabilities (current 2.0mn + non-current 9.4mn). The SAR ~1.1bn supplier-finance/reverse-factori…</w:t>
            </w:r>
          </w:p>
        </w:tc>
      </w:tr>
      <w:tr>
        <w:tc>
          <w:tcPr>
            <w:tcW w:type="dxa" w:w="1944"/>
          </w:tcPr>
          <w:p>
            <w:pPr>
              <w:spacing w:after="20"/>
            </w:pPr>
            <w:r>
              <w:rPr>
                <w:color w:val="1C3A36"/>
                <w:sz w:val="14"/>
              </w:rPr>
              <w:t>eqp_fy23</w:t>
            </w:r>
          </w:p>
        </w:tc>
        <w:tc>
          <w:tcPr>
            <w:tcW w:type="dxa" w:w="1440"/>
          </w:tcPr>
          <w:p>
            <w:pPr>
              <w:spacing w:after="20"/>
              <w:jc w:val="right"/>
            </w:pPr>
            <w:r>
              <w:rPr>
                <w:color w:val="1C3A36"/>
                <w:sz w:val="14"/>
              </w:rPr>
              <w:t>2,247</w:t>
            </w:r>
          </w:p>
        </w:tc>
        <w:tc>
          <w:tcPr>
            <w:tcW w:type="dxa" w:w="1008"/>
          </w:tcPr>
          <w:p>
            <w:pPr>
              <w:spacing w:after="20"/>
              <w:jc w:val="right"/>
            </w:pPr>
            <w:r>
              <w:rPr>
                <w:color w:val="1C3A36"/>
                <w:sz w:val="14"/>
              </w:rPr>
              <w:t>2024-03</w:t>
            </w:r>
          </w:p>
        </w:tc>
        <w:tc>
          <w:tcPr>
            <w:tcW w:type="dxa" w:w="5832"/>
          </w:tcPr>
          <w:p>
            <w:pPr>
              <w:spacing w:after="20"/>
              <w:jc w:val="right"/>
            </w:pPr>
            <w:r>
              <w:rPr>
                <w:color w:val="1C3A36"/>
                <w:sz w:val="14"/>
              </w:rPr>
              <w:t>Audited consolidated financial statements, Riyadh Cables Group Company (KPMG, unmodified opinion), equity attributable to shareholders 31 Dec 2023 (total equity 2,246.2mn less NCI of -0.5mn)</w:t>
            </w:r>
          </w:p>
        </w:tc>
      </w:tr>
      <w:tr>
        <w:tc>
          <w:tcPr>
            <w:tcW w:type="dxa" w:w="1944"/>
          </w:tcPr>
          <w:p>
            <w:pPr>
              <w:spacing w:after="20"/>
            </w:pPr>
            <w:r>
              <w:rPr>
                <w:color w:val="1C3A36"/>
                <w:sz w:val="14"/>
              </w:rPr>
              <w:t>eqp_fy24</w:t>
            </w:r>
          </w:p>
        </w:tc>
        <w:tc>
          <w:tcPr>
            <w:tcW w:type="dxa" w:w="1440"/>
          </w:tcPr>
          <w:p>
            <w:pPr>
              <w:spacing w:after="20"/>
              <w:jc w:val="right"/>
            </w:pPr>
            <w:r>
              <w:rPr>
                <w:color w:val="1C3A36"/>
                <w:sz w:val="14"/>
              </w:rPr>
              <w:t>2,624</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equity attributable to shareholders 31 Dec 2024</w:t>
            </w:r>
          </w:p>
        </w:tc>
      </w:tr>
      <w:tr>
        <w:tc>
          <w:tcPr>
            <w:tcW w:type="dxa" w:w="1944"/>
          </w:tcPr>
          <w:p>
            <w:pPr>
              <w:spacing w:after="20"/>
            </w:pPr>
            <w:r>
              <w:rPr>
                <w:color w:val="1C3A36"/>
                <w:sz w:val="14"/>
              </w:rPr>
              <w:t>eqp_fy25</w:t>
            </w:r>
          </w:p>
        </w:tc>
        <w:tc>
          <w:tcPr>
            <w:tcW w:type="dxa" w:w="1440"/>
          </w:tcPr>
          <w:p>
            <w:pPr>
              <w:spacing w:after="20"/>
              <w:jc w:val="right"/>
            </w:pPr>
            <w:r>
              <w:rPr>
                <w:color w:val="1C3A36"/>
                <w:sz w:val="14"/>
              </w:rPr>
              <w:t>3,246</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equity attributable to shareholders 31 Dec 2025</w:t>
            </w:r>
          </w:p>
        </w:tc>
      </w:tr>
      <w:tr>
        <w:tc>
          <w:tcPr>
            <w:tcW w:type="dxa" w:w="1944"/>
          </w:tcPr>
          <w:p>
            <w:pPr>
              <w:spacing w:after="20"/>
            </w:pPr>
            <w:r>
              <w:rPr>
                <w:color w:val="1C3A36"/>
                <w:sz w:val="14"/>
              </w:rPr>
              <w:t>nci_fy25</w:t>
            </w:r>
          </w:p>
        </w:tc>
        <w:tc>
          <w:tcPr>
            <w:tcW w:type="dxa" w:w="1440"/>
          </w:tcPr>
          <w:p>
            <w:pPr>
              <w:spacing w:after="20"/>
              <w:jc w:val="right"/>
            </w:pPr>
            <w:r>
              <w:rPr>
                <w:color w:val="1C3A36"/>
                <w:sz w:val="14"/>
              </w:rPr>
              <w:t>62.74</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non-controlling interests 31 Dec 2025 — rose from -0.48mn to 62.7mn on the FY2025 acquisition of a subsidiary with NCI</w:t>
            </w:r>
          </w:p>
        </w:tc>
      </w:tr>
      <w:tr>
        <w:tc>
          <w:tcPr>
            <w:tcW w:type="dxa" w:w="1944"/>
          </w:tcPr>
          <w:p>
            <w:pPr>
              <w:spacing w:after="20"/>
            </w:pPr>
            <w:r>
              <w:rPr>
                <w:color w:val="1C3A36"/>
                <w:sz w:val="14"/>
              </w:rPr>
              <w:t>assoc_fy25</w:t>
            </w:r>
          </w:p>
        </w:tc>
        <w:tc>
          <w:tcPr>
            <w:tcW w:type="dxa" w:w="1440"/>
          </w:tcPr>
          <w:p>
            <w:pPr>
              <w:spacing w:after="20"/>
              <w:jc w:val="right"/>
            </w:pPr>
            <w:r>
              <w:rPr>
                <w:color w:val="1C3A36"/>
                <w:sz w:val="14"/>
              </w:rPr>
              <w:t>31.85</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equity-accounted investees carrying value 31 Dec 2025</w:t>
            </w:r>
          </w:p>
        </w:tc>
      </w:tr>
      <w:tr>
        <w:tc>
          <w:tcPr>
            <w:tcW w:type="dxa" w:w="1944"/>
          </w:tcPr>
          <w:p>
            <w:pPr>
              <w:spacing w:after="20"/>
            </w:pPr>
            <w:r>
              <w:rPr>
                <w:color w:val="1C3A36"/>
                <w:sz w:val="14"/>
              </w:rPr>
              <w:t>nonop_fy25</w:t>
            </w:r>
          </w:p>
        </w:tc>
        <w:tc>
          <w:tcPr>
            <w:tcW w:type="dxa" w:w="1440"/>
          </w:tcPr>
          <w:p>
            <w:pPr>
              <w:spacing w:after="20"/>
              <w:jc w:val="right"/>
            </w:pPr>
            <w:r>
              <w:rPr>
                <w:color w:val="1C3A36"/>
                <w:sz w:val="14"/>
              </w:rPr>
              <w:t>20.40</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non-operating assets 31 Dec 2025: investments at FVOCI 10.37mn + investment property (land) 10.03mn</w:t>
            </w:r>
          </w:p>
        </w:tc>
      </w:tr>
      <w:tr>
        <w:tc>
          <w:tcPr>
            <w:tcW w:type="dxa" w:w="1944"/>
          </w:tcPr>
          <w:p>
            <w:pPr>
              <w:spacing w:after="20"/>
            </w:pPr>
            <w:r>
              <w:rPr>
                <w:color w:val="1C3A36"/>
                <w:sz w:val="14"/>
              </w:rPr>
              <w:t>total_equity_fy25</w:t>
            </w:r>
          </w:p>
        </w:tc>
        <w:tc>
          <w:tcPr>
            <w:tcW w:type="dxa" w:w="1440"/>
          </w:tcPr>
          <w:p>
            <w:pPr>
              <w:spacing w:after="20"/>
              <w:jc w:val="right"/>
            </w:pPr>
            <w:r>
              <w:rPr>
                <w:color w:val="1C3A36"/>
                <w:sz w:val="14"/>
              </w:rPr>
              <w:t>3,309</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total equity 31 Dec 2025</w:t>
            </w:r>
          </w:p>
        </w:tc>
      </w:tr>
      <w:tr>
        <w:tc>
          <w:tcPr>
            <w:tcW w:type="dxa" w:w="1944"/>
          </w:tcPr>
          <w:p>
            <w:pPr>
              <w:spacing w:after="20"/>
            </w:pPr>
            <w:r>
              <w:rPr>
                <w:color w:val="1C3A36"/>
                <w:sz w:val="14"/>
              </w:rPr>
              <w:t>capex_fy24</w:t>
            </w:r>
          </w:p>
        </w:tc>
        <w:tc>
          <w:tcPr>
            <w:tcW w:type="dxa" w:w="1440"/>
          </w:tcPr>
          <w:p>
            <w:pPr>
              <w:spacing w:after="20"/>
              <w:jc w:val="right"/>
            </w:pPr>
            <w:r>
              <w:rPr>
                <w:color w:val="1C3A36"/>
                <w:sz w:val="14"/>
              </w:rPr>
              <w:t>194.99</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FY2024 cash-flow statement, purchase of property, plant and equipment</w:t>
            </w:r>
          </w:p>
        </w:tc>
      </w:tr>
      <w:tr>
        <w:tc>
          <w:tcPr>
            <w:tcW w:type="dxa" w:w="1944"/>
          </w:tcPr>
          <w:p>
            <w:pPr>
              <w:spacing w:after="20"/>
            </w:pPr>
            <w:r>
              <w:rPr>
                <w:color w:val="1C3A36"/>
                <w:sz w:val="14"/>
              </w:rPr>
              <w:t>capex_fy25</w:t>
            </w:r>
          </w:p>
        </w:tc>
        <w:tc>
          <w:tcPr>
            <w:tcW w:type="dxa" w:w="1440"/>
          </w:tcPr>
          <w:p>
            <w:pPr>
              <w:spacing w:after="20"/>
              <w:jc w:val="right"/>
            </w:pPr>
            <w:r>
              <w:rPr>
                <w:color w:val="1C3A36"/>
                <w:sz w:val="14"/>
              </w:rPr>
              <w:t>188.88</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cash-flow statement, purchase of property, plant and equipment (of which assets under construction 107.9mn)</w:t>
            </w:r>
          </w:p>
        </w:tc>
      </w:tr>
      <w:tr>
        <w:tc>
          <w:tcPr>
            <w:tcW w:type="dxa" w:w="1944"/>
          </w:tcPr>
          <w:p>
            <w:pPr>
              <w:spacing w:after="20"/>
            </w:pPr>
            <w:r>
              <w:rPr>
                <w:color w:val="1C3A36"/>
                <w:sz w:val="14"/>
              </w:rPr>
              <w:t>ocf_fy25</w:t>
            </w:r>
          </w:p>
        </w:tc>
        <w:tc>
          <w:tcPr>
            <w:tcW w:type="dxa" w:w="1440"/>
          </w:tcPr>
          <w:p>
            <w:pPr>
              <w:spacing w:after="20"/>
              <w:jc w:val="right"/>
            </w:pPr>
            <w:r>
              <w:rPr>
                <w:color w:val="1C3A36"/>
                <w:sz w:val="14"/>
              </w:rPr>
              <w:t>969.02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net cash from operating activities</w:t>
            </w:r>
          </w:p>
        </w:tc>
      </w:tr>
      <w:tr>
        <w:tc>
          <w:tcPr>
            <w:tcW w:type="dxa" w:w="1944"/>
          </w:tcPr>
          <w:p>
            <w:pPr>
              <w:spacing w:after="20"/>
            </w:pPr>
            <w:r>
              <w:rPr>
                <w:color w:val="1C3A36"/>
                <w:sz w:val="14"/>
              </w:rPr>
              <w:t>div_paid_fy25</w:t>
            </w:r>
          </w:p>
        </w:tc>
        <w:tc>
          <w:tcPr>
            <w:tcW w:type="dxa" w:w="1440"/>
          </w:tcPr>
          <w:p>
            <w:pPr>
              <w:spacing w:after="20"/>
              <w:jc w:val="right"/>
            </w:pPr>
            <w:r>
              <w:rPr>
                <w:color w:val="1C3A36"/>
                <w:sz w:val="14"/>
              </w:rPr>
              <w:t>598.99</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FY2025 dividends paid (SAR 1.9/share final for FY2024 + SAR 1.9/share interim = SAR 3.8/share)</w:t>
            </w:r>
          </w:p>
        </w:tc>
      </w:tr>
      <w:tr>
        <w:tc>
          <w:tcPr>
            <w:tcW w:type="dxa" w:w="1944"/>
          </w:tcPr>
          <w:p>
            <w:pPr>
              <w:spacing w:after="20"/>
            </w:pPr>
            <w:r>
              <w:rPr>
                <w:color w:val="1C3A36"/>
                <w:sz w:val="14"/>
              </w:rPr>
              <w:t>materials_fy24</w:t>
            </w:r>
          </w:p>
        </w:tc>
        <w:tc>
          <w:tcPr>
            <w:tcW w:type="dxa" w:w="1440"/>
          </w:tcPr>
          <w:p>
            <w:pPr>
              <w:spacing w:after="20"/>
              <w:jc w:val="right"/>
            </w:pPr>
            <w:r>
              <w:rPr>
                <w:color w:val="1C3A36"/>
                <w:sz w:val="14"/>
              </w:rPr>
              <w:t>7,310</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Note 34 cost of revenue, FY2024: materials (copper/aluminium/lead-dominated)</w:t>
            </w:r>
          </w:p>
        </w:tc>
      </w:tr>
      <w:tr>
        <w:tc>
          <w:tcPr>
            <w:tcW w:type="dxa" w:w="1944"/>
          </w:tcPr>
          <w:p>
            <w:pPr>
              <w:spacing w:after="20"/>
            </w:pPr>
            <w:r>
              <w:rPr>
                <w:color w:val="1C3A36"/>
                <w:sz w:val="14"/>
              </w:rPr>
              <w:t>materials_fy25</w:t>
            </w:r>
          </w:p>
        </w:tc>
        <w:tc>
          <w:tcPr>
            <w:tcW w:type="dxa" w:w="1440"/>
          </w:tcPr>
          <w:p>
            <w:pPr>
              <w:spacing w:after="20"/>
              <w:jc w:val="right"/>
            </w:pPr>
            <w:r>
              <w:rPr>
                <w:color w:val="1C3A36"/>
                <w:sz w:val="14"/>
              </w:rPr>
              <w:t>8,487</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Note 34 cost of revenue, FY2025: materials — 94.9% of cost of revenue and 79.5% of sales; this is the metal-content leg</w:t>
            </w:r>
          </w:p>
        </w:tc>
      </w:tr>
      <w:tr>
        <w:tc>
          <w:tcPr>
            <w:tcW w:type="dxa" w:w="1944"/>
          </w:tcPr>
          <w:p>
            <w:pPr>
              <w:spacing w:after="20"/>
            </w:pPr>
            <w:r>
              <w:rPr>
                <w:color w:val="1C3A36"/>
                <w:sz w:val="14"/>
              </w:rPr>
              <w:t>conv_fy24</w:t>
            </w:r>
          </w:p>
        </w:tc>
        <w:tc>
          <w:tcPr>
            <w:tcW w:type="dxa" w:w="1440"/>
          </w:tcPr>
          <w:p>
            <w:pPr>
              <w:spacing w:after="20"/>
              <w:jc w:val="right"/>
            </w:pPr>
            <w:r>
              <w:rPr>
                <w:color w:val="1C3A36"/>
                <w:sz w:val="14"/>
              </w:rPr>
              <w:t>410.37</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Note 34, FY2024 conversion cost (salaries 228.7mn + depreciation 59.6mn + repairs 42.8mn + utilities 57.4mn + other 21.9mn)</w:t>
            </w:r>
          </w:p>
        </w:tc>
      </w:tr>
      <w:tr>
        <w:tc>
          <w:tcPr>
            <w:tcW w:type="dxa" w:w="1944"/>
          </w:tcPr>
          <w:p>
            <w:pPr>
              <w:spacing w:after="20"/>
            </w:pPr>
            <w:r>
              <w:rPr>
                <w:color w:val="1C3A36"/>
                <w:sz w:val="14"/>
              </w:rPr>
              <w:t>conv_fy25</w:t>
            </w:r>
          </w:p>
        </w:tc>
        <w:tc>
          <w:tcPr>
            <w:tcW w:type="dxa" w:w="1440"/>
          </w:tcPr>
          <w:p>
            <w:pPr>
              <w:spacing w:after="20"/>
              <w:jc w:val="right"/>
            </w:pPr>
            <w:r>
              <w:rPr>
                <w:color w:val="1C3A36"/>
                <w:sz w:val="14"/>
              </w:rPr>
              <w:t>453.35</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Note 34, FY2025 conversion cost (salaries 244.6mn + depreciation 76.4mn + repairs 44.8mn + utilities 68.2mn + other 19.4mn) — the non-metal leg that escalates on domestic inflation, not metal</w:t>
            </w:r>
          </w:p>
        </w:tc>
      </w:tr>
      <w:tr>
        <w:tc>
          <w:tcPr>
            <w:tcW w:type="dxa" w:w="1944"/>
          </w:tcPr>
          <w:p>
            <w:pPr>
              <w:spacing w:after="20"/>
            </w:pPr>
            <w:r>
              <w:rPr>
                <w:color w:val="1C3A36"/>
                <w:sz w:val="14"/>
              </w:rPr>
              <w:t>seg_rev_fy25</w:t>
            </w:r>
          </w:p>
        </w:tc>
        <w:tc>
          <w:tcPr>
            <w:tcW w:type="dxa" w:w="1440"/>
          </w:tcPr>
          <w:p>
            <w:pPr>
              <w:spacing w:after="20"/>
              <w:jc w:val="right"/>
            </w:pPr>
            <w:r>
              <w:rPr>
                <w:color w:val="1C3A36"/>
                <w:sz w:val="14"/>
              </w:rPr>
              <w:t>cables=10414.170668; hv=230.839181; other=28.594413</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Note 40 reporting segments, FY2025 revenue: Cables and wires, High-voltage cables (turnkey projects), Other (telephone cables and services). Sums exactly to consolidated revenue</w:t>
            </w:r>
          </w:p>
        </w:tc>
      </w:tr>
      <w:tr>
        <w:tc>
          <w:tcPr>
            <w:tcW w:type="dxa" w:w="1944"/>
          </w:tcPr>
          <w:p>
            <w:pPr>
              <w:spacing w:after="20"/>
            </w:pPr>
            <w:r>
              <w:rPr>
                <w:color w:val="1C3A36"/>
                <w:sz w:val="14"/>
              </w:rPr>
              <w:t>seg_rev_fy24</w:t>
            </w:r>
          </w:p>
        </w:tc>
        <w:tc>
          <w:tcPr>
            <w:tcW w:type="dxa" w:w="1440"/>
          </w:tcPr>
          <w:p>
            <w:pPr>
              <w:spacing w:after="20"/>
              <w:jc w:val="right"/>
            </w:pPr>
            <w:r>
              <w:rPr>
                <w:color w:val="1C3A36"/>
                <w:sz w:val="14"/>
              </w:rPr>
              <w:t>cables=8645.913121; hv=339.347923; other=22.099823</w:t>
            </w:r>
          </w:p>
        </w:tc>
        <w:tc>
          <w:tcPr>
            <w:tcW w:type="dxa" w:w="1008"/>
          </w:tcPr>
          <w:p>
            <w:pPr>
              <w:spacing w:after="20"/>
              <w:jc w:val="right"/>
            </w:pPr>
            <w:r>
              <w:rPr>
                <w:color w:val="1C3A36"/>
                <w:sz w:val="14"/>
              </w:rPr>
              <w:t>2025-03</w:t>
            </w:r>
          </w:p>
        </w:tc>
        <w:tc>
          <w:tcPr>
            <w:tcW w:type="dxa" w:w="5832"/>
          </w:tcPr>
          <w:p>
            <w:pPr>
              <w:spacing w:after="20"/>
              <w:jc w:val="right"/>
            </w:pPr>
            <w:r>
              <w:rPr>
                <w:color w:val="1C3A36"/>
                <w:sz w:val="14"/>
              </w:rPr>
              <w:t>Audited consolidated financial statements, Riyadh Cables Group Company (KPMG, unmodified opinion), Note 40, FY2024 segment revenue</w:t>
            </w:r>
          </w:p>
        </w:tc>
      </w:tr>
      <w:tr>
        <w:tc>
          <w:tcPr>
            <w:tcW w:type="dxa" w:w="1944"/>
          </w:tcPr>
          <w:p>
            <w:pPr>
              <w:spacing w:after="20"/>
            </w:pPr>
            <w:r>
              <w:rPr>
                <w:color w:val="1C3A36"/>
                <w:sz w:val="14"/>
              </w:rPr>
              <w:t>seg_cost_fy25</w:t>
            </w:r>
          </w:p>
        </w:tc>
        <w:tc>
          <w:tcPr>
            <w:tcW w:type="dxa" w:w="1440"/>
          </w:tcPr>
          <w:p>
            <w:pPr>
              <w:spacing w:after="20"/>
              <w:jc w:val="right"/>
            </w:pPr>
            <w:r>
              <w:rPr>
                <w:color w:val="1C3A36"/>
                <w:sz w:val="14"/>
              </w:rPr>
              <w:t>cables=8716.728131; hv=211.498936; other=12.04734</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Note 40, FY2025 segment cost of revenue</w:t>
            </w:r>
          </w:p>
        </w:tc>
      </w:tr>
      <w:tr>
        <w:tc>
          <w:tcPr>
            <w:tcW w:type="dxa" w:w="1944"/>
          </w:tcPr>
          <w:p>
            <w:pPr>
              <w:spacing w:after="20"/>
            </w:pPr>
            <w:r>
              <w:rPr>
                <w:color w:val="1C3A36"/>
                <w:sz w:val="14"/>
              </w:rPr>
              <w:t>geo_ksa_fy25</w:t>
            </w:r>
          </w:p>
        </w:tc>
        <w:tc>
          <w:tcPr>
            <w:tcW w:type="dxa" w:w="1440"/>
          </w:tcPr>
          <w:p>
            <w:pPr>
              <w:spacing w:after="20"/>
              <w:jc w:val="right"/>
            </w:pPr>
            <w:r>
              <w:rPr>
                <w:color w:val="1C3A36"/>
                <w:sz w:val="14"/>
              </w:rPr>
              <w:t>7,812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Note 40 geographic split, FY2025 revenue inside Saudi Arabia (73.2% of sales)</w:t>
            </w:r>
          </w:p>
        </w:tc>
      </w:tr>
      <w:tr>
        <w:tc>
          <w:tcPr>
            <w:tcW w:type="dxa" w:w="1944"/>
          </w:tcPr>
          <w:p>
            <w:pPr>
              <w:spacing w:after="20"/>
            </w:pPr>
            <w:r>
              <w:rPr>
                <w:color w:val="1C3A36"/>
                <w:sz w:val="14"/>
              </w:rPr>
              <w:t>geo_exp_fy25</w:t>
            </w:r>
          </w:p>
        </w:tc>
        <w:tc>
          <w:tcPr>
            <w:tcW w:type="dxa" w:w="1440"/>
          </w:tcPr>
          <w:p>
            <w:pPr>
              <w:spacing w:after="20"/>
              <w:jc w:val="right"/>
            </w:pPr>
            <w:r>
              <w:rPr>
                <w:color w:val="1C3A36"/>
                <w:sz w:val="14"/>
              </w:rPr>
              <w:t>2,862</w:t>
            </w:r>
          </w:p>
        </w:tc>
        <w:tc>
          <w:tcPr>
            <w:tcW w:type="dxa" w:w="1008"/>
          </w:tcPr>
          <w:p>
            <w:pPr>
              <w:spacing w:after="20"/>
              <w:jc w:val="right"/>
            </w:pPr>
            <w:r>
              <w:rPr>
                <w:color w:val="1C3A36"/>
                <w:sz w:val="14"/>
              </w:rPr>
              <w:t>2026-03-26</w:t>
            </w:r>
          </w:p>
        </w:tc>
        <w:tc>
          <w:tcPr>
            <w:tcW w:type="dxa" w:w="5832"/>
          </w:tcPr>
          <w:p>
            <w:pPr>
              <w:spacing w:after="20"/>
              <w:jc w:val="right"/>
            </w:pPr>
            <w:r>
              <w:rPr>
                <w:color w:val="1C3A36"/>
                <w:sz w:val="14"/>
              </w:rPr>
              <w:t>Audited consolidated financial statements, Riyadh Cables Group Company (KPMG, unmodified opinion), Note 40, FY2025 revenue outside Saudi Arabia (26.8%), predominantly the UAE at ~SAR 2.2bn</w:t>
            </w:r>
          </w:p>
        </w:tc>
      </w:tr>
      <w:tr>
        <w:tc>
          <w:tcPr>
            <w:tcW w:type="dxa" w:w="1944"/>
          </w:tcPr>
          <w:p>
            <w:pPr>
              <w:spacing w:after="20"/>
            </w:pPr>
            <w:r>
              <w:rPr>
                <w:color w:val="1C3A36"/>
                <w:sz w:val="14"/>
              </w:rPr>
              <w:t>h1_26_rev</w:t>
            </w:r>
          </w:p>
        </w:tc>
        <w:tc>
          <w:tcPr>
            <w:tcW w:type="dxa" w:w="1440"/>
          </w:tcPr>
          <w:p>
            <w:pPr>
              <w:spacing w:after="20"/>
              <w:jc w:val="right"/>
            </w:pPr>
            <w:r>
              <w:rPr>
                <w:color w:val="1C3A36"/>
                <w:sz w:val="14"/>
              </w:rPr>
              <w:t>5,698</w:t>
            </w:r>
          </w:p>
        </w:tc>
        <w:tc>
          <w:tcPr>
            <w:tcW w:type="dxa" w:w="1008"/>
          </w:tcPr>
          <w:p>
            <w:pPr>
              <w:spacing w:after="20"/>
              <w:jc w:val="right"/>
            </w:pPr>
            <w:r>
              <w:rPr>
                <w:color w:val="1C3A36"/>
                <w:sz w:val="14"/>
              </w:rPr>
              <w:t>2026-07-29</w:t>
            </w:r>
          </w:p>
        </w:tc>
        <w:tc>
          <w:tcPr>
            <w:tcW w:type="dxa" w:w="5832"/>
          </w:tcPr>
          <w:p>
            <w:pPr>
              <w:spacing w:after="20"/>
              <w:jc w:val="right"/>
            </w:pPr>
            <w:r>
              <w:rPr>
                <w:color w:val="1C3A36"/>
                <w:sz w:val="14"/>
              </w:rPr>
              <w:t>Tadawul-filed reviewed interim results, six months to 30 Jun 2026 (announcement 29-Jul-2026): revenue</w:t>
            </w:r>
          </w:p>
        </w:tc>
      </w:tr>
      <w:tr>
        <w:tc>
          <w:tcPr>
            <w:tcW w:type="dxa" w:w="1944"/>
          </w:tcPr>
          <w:p>
            <w:pPr>
              <w:spacing w:after="20"/>
            </w:pPr>
            <w:r>
              <w:rPr>
                <w:color w:val="1C3A36"/>
                <w:sz w:val="14"/>
              </w:rPr>
              <w:t>h1_26_gp</w:t>
            </w:r>
          </w:p>
        </w:tc>
        <w:tc>
          <w:tcPr>
            <w:tcW w:type="dxa" w:w="1440"/>
          </w:tcPr>
          <w:p>
            <w:pPr>
              <w:spacing w:after="20"/>
              <w:jc w:val="right"/>
            </w:pPr>
            <w:r>
              <w:rPr>
                <w:color w:val="1C3A36"/>
                <w:sz w:val="14"/>
              </w:rPr>
              <w:t>869.75</w:t>
            </w:r>
          </w:p>
        </w:tc>
        <w:tc>
          <w:tcPr>
            <w:tcW w:type="dxa" w:w="1008"/>
          </w:tcPr>
          <w:p>
            <w:pPr>
              <w:spacing w:after="20"/>
              <w:jc w:val="right"/>
            </w:pPr>
            <w:r>
              <w:rPr>
                <w:color w:val="1C3A36"/>
                <w:sz w:val="14"/>
              </w:rPr>
              <w:t>2026-07-29</w:t>
            </w:r>
          </w:p>
        </w:tc>
        <w:tc>
          <w:tcPr>
            <w:tcW w:type="dxa" w:w="5832"/>
          </w:tcPr>
          <w:p>
            <w:pPr>
              <w:spacing w:after="20"/>
              <w:jc w:val="right"/>
            </w:pPr>
            <w:r>
              <w:rPr>
                <w:color w:val="1C3A36"/>
                <w:sz w:val="14"/>
              </w:rPr>
              <w:t>Tadawul-filed reviewed H1-2026 results: gross profit — FLAT year on year (-0.06%) on +9.5% revenue, so gross margin 15.26% vs H1-2025's 16.72% and FY2025's 16.24%</w:t>
            </w:r>
          </w:p>
        </w:tc>
      </w:tr>
      <w:tr>
        <w:tc>
          <w:tcPr>
            <w:tcW w:type="dxa" w:w="1944"/>
          </w:tcPr>
          <w:p>
            <w:pPr>
              <w:spacing w:after="20"/>
            </w:pPr>
            <w:r>
              <w:rPr>
                <w:color w:val="1C3A36"/>
                <w:sz w:val="14"/>
              </w:rPr>
              <w:t>h1_26_op</w:t>
            </w:r>
          </w:p>
        </w:tc>
        <w:tc>
          <w:tcPr>
            <w:tcW w:type="dxa" w:w="1440"/>
          </w:tcPr>
          <w:p>
            <w:pPr>
              <w:spacing w:after="20"/>
              <w:jc w:val="right"/>
            </w:pPr>
            <w:r>
              <w:rPr>
                <w:color w:val="1C3A36"/>
                <w:sz w:val="14"/>
              </w:rPr>
              <w:t>669.74</w:t>
            </w:r>
          </w:p>
        </w:tc>
        <w:tc>
          <w:tcPr>
            <w:tcW w:type="dxa" w:w="1008"/>
          </w:tcPr>
          <w:p>
            <w:pPr>
              <w:spacing w:after="20"/>
              <w:jc w:val="right"/>
            </w:pPr>
            <w:r>
              <w:rPr>
                <w:color w:val="1C3A36"/>
                <w:sz w:val="14"/>
              </w:rPr>
              <w:t>2026-07-29</w:t>
            </w:r>
          </w:p>
        </w:tc>
        <w:tc>
          <w:tcPr>
            <w:tcW w:type="dxa" w:w="5832"/>
          </w:tcPr>
          <w:p>
            <w:pPr>
              <w:spacing w:after="20"/>
              <w:jc w:val="right"/>
            </w:pPr>
            <w:r>
              <w:rPr>
                <w:color w:val="1C3A36"/>
                <w:sz w:val="14"/>
              </w:rPr>
              <w:t>Tadawul-filed reviewed H1-2026 results: operating profit</w:t>
            </w:r>
          </w:p>
        </w:tc>
      </w:tr>
      <w:tr>
        <w:tc>
          <w:tcPr>
            <w:tcW w:type="dxa" w:w="1944"/>
          </w:tcPr>
          <w:p>
            <w:pPr>
              <w:spacing w:after="20"/>
            </w:pPr>
            <w:r>
              <w:rPr>
                <w:color w:val="1C3A36"/>
                <w:sz w:val="14"/>
              </w:rPr>
              <w:t>h1_26_np</w:t>
            </w:r>
          </w:p>
        </w:tc>
        <w:tc>
          <w:tcPr>
            <w:tcW w:type="dxa" w:w="1440"/>
          </w:tcPr>
          <w:p>
            <w:pPr>
              <w:spacing w:after="20"/>
              <w:jc w:val="right"/>
            </w:pPr>
            <w:r>
              <w:rPr>
                <w:color w:val="1C3A36"/>
                <w:sz w:val="14"/>
              </w:rPr>
              <w:t>588.79</w:t>
            </w:r>
          </w:p>
        </w:tc>
        <w:tc>
          <w:tcPr>
            <w:tcW w:type="dxa" w:w="1008"/>
          </w:tcPr>
          <w:p>
            <w:pPr>
              <w:spacing w:after="20"/>
              <w:jc w:val="right"/>
            </w:pPr>
            <w:r>
              <w:rPr>
                <w:color w:val="1C3A36"/>
                <w:sz w:val="14"/>
              </w:rPr>
              <w:t>2026-07-29</w:t>
            </w:r>
          </w:p>
        </w:tc>
        <w:tc>
          <w:tcPr>
            <w:tcW w:type="dxa" w:w="5832"/>
          </w:tcPr>
          <w:p>
            <w:pPr>
              <w:spacing w:after="20"/>
              <w:jc w:val="right"/>
            </w:pPr>
            <w:r>
              <w:rPr>
                <w:color w:val="1C3A36"/>
                <w:sz w:val="14"/>
              </w:rPr>
              <w:t>Tadawul-filed reviewed H1-2026 results: net profit to shareholders (+9.96% y/y)</w:t>
            </w:r>
          </w:p>
        </w:tc>
      </w:tr>
      <w:tr>
        <w:tc>
          <w:tcPr>
            <w:tcW w:type="dxa" w:w="1944"/>
          </w:tcPr>
          <w:p>
            <w:pPr>
              <w:spacing w:after="20"/>
            </w:pPr>
            <w:r>
              <w:rPr>
                <w:color w:val="1C3A36"/>
                <w:sz w:val="14"/>
              </w:rPr>
              <w:t>spread_anchor</w:t>
            </w:r>
          </w:p>
        </w:tc>
        <w:tc>
          <w:tcPr>
            <w:tcW w:type="dxa" w:w="1440"/>
          </w:tcPr>
          <w:p>
            <w:pPr>
              <w:spacing w:after="20"/>
              <w:jc w:val="right"/>
            </w:pPr>
            <w:r>
              <w:rPr>
                <w:color w:val="1C3A36"/>
                <w:sz w:val="14"/>
              </w:rPr>
              <w:t>0.1526</w:t>
            </w:r>
          </w:p>
        </w:tc>
        <w:tc>
          <w:tcPr>
            <w:tcW w:type="dxa" w:w="1008"/>
          </w:tcPr>
          <w:p>
            <w:pPr>
              <w:spacing w:after="20"/>
              <w:jc w:val="right"/>
            </w:pPr>
            <w:r>
              <w:rPr>
                <w:color w:val="1C3A36"/>
                <w:sz w:val="14"/>
              </w:rPr>
              <w:t>2026-07-29</w:t>
            </w:r>
          </w:p>
        </w:tc>
        <w:tc>
          <w:tcPr>
            <w:tcW w:type="dxa" w:w="5832"/>
          </w:tcPr>
          <w:p>
            <w:pPr>
              <w:spacing w:after="20"/>
              <w:jc w:val="right"/>
            </w:pPr>
            <w:r>
              <w:rPr>
                <w:color w:val="1C3A36"/>
                <w:sz w:val="14"/>
              </w:rPr>
              <w:t>Gross margin the business sustains once the FY2024-25 metal tailwind has passed — the study's central contested judgement, anchored on the MOST RECENT REVIEWED ACTUAL: the H1-2026 gross margin of 15.26% (gross profit flat on +9.5% revenue), BELOW the FY2025 full-year 16.24% and H1-2025's 16.72%. …</w:t>
            </w:r>
          </w:p>
        </w:tc>
      </w:tr>
      <w:tr>
        <w:tc>
          <w:tcPr>
            <w:tcW w:type="dxa" w:w="1944"/>
          </w:tcPr>
          <w:p>
            <w:pPr>
              <w:spacing w:after="20"/>
            </w:pPr>
            <w:r>
              <w:rPr>
                <w:color w:val="1C3A36"/>
                <w:sz w:val="14"/>
              </w:rPr>
              <w:t>kd</w:t>
            </w:r>
          </w:p>
        </w:tc>
        <w:tc>
          <w:tcPr>
            <w:tcW w:type="dxa" w:w="1440"/>
          </w:tcPr>
          <w:p>
            <w:pPr>
              <w:spacing w:after="20"/>
              <w:jc w:val="right"/>
            </w:pPr>
            <w:r>
              <w:rPr>
                <w:color w:val="1C3A36"/>
                <w:sz w:val="14"/>
              </w:rPr>
              <w:t>0.0590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Marginal cost of debt, pre-tax, in SAR. The company's Islamic Murabaha working-capital facilities price at SAIBOR plus a variable margin; 3-month SAIBOR ~5.2% (SAMA repo 4.25% plus the ~95bp SAIBOR-repo spread) plus a ~0.70% corporate margin. Sits above the 5.50% ten-year sovereign sukuk yield, a…</w:t>
            </w:r>
          </w:p>
        </w:tc>
      </w:tr>
      <w:tr>
        <w:tc>
          <w:tcPr>
            <w:tcW w:type="dxa" w:w="1944"/>
          </w:tcPr>
          <w:p>
            <w:pPr>
              <w:spacing w:after="20"/>
            </w:pPr>
            <w:r>
              <w:rPr>
                <w:color w:val="1C3A36"/>
                <w:sz w:val="14"/>
              </w:rPr>
              <w:t>div_window</w:t>
            </w:r>
          </w:p>
        </w:tc>
        <w:tc>
          <w:tcPr>
            <w:tcW w:type="dxa" w:w="1440"/>
          </w:tcPr>
          <w:p>
            <w:pPr>
              <w:spacing w:after="20"/>
              <w:jc w:val="right"/>
            </w:pPr>
            <w:r>
              <w:rPr>
                <w:color w:val="1C3A36"/>
                <w:sz w:val="14"/>
              </w:rPr>
              <w:t>2.2500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SAR 2.25/share FY2025 final cash dividend (SAR 336,864,375 total on 149,717,500 shares) paid inside the 31-Dec-2025-to-anchor window, netted from the rolled-forward value. It is the ONLY dividend paid in the window: the company distributes semi-annually (a final declared with the March results an…</w:t>
            </w:r>
          </w:p>
        </w:tc>
      </w:tr>
      <w:tr>
        <w:tc>
          <w:tcPr>
            <w:tcW w:type="dxa" w:w="1944"/>
          </w:tcPr>
          <w:p>
            <w:pPr>
              <w:spacing w:after="20"/>
            </w:pPr>
            <w:r>
              <w:rPr>
                <w:color w:val="1C3A36"/>
                <w:sz w:val="14"/>
              </w:rPr>
              <w:t>ownership</w:t>
            </w:r>
          </w:p>
        </w:tc>
        <w:tc>
          <w:tcPr>
            <w:tcW w:type="dxa" w:w="1440"/>
          </w:tcPr>
          <w:p>
            <w:pPr>
              <w:spacing w:after="20"/>
              <w:jc w:val="right"/>
            </w:pPr>
            <w:r>
              <w:rPr>
                <w:color w:val="1C3A36"/>
                <w:sz w:val="14"/>
              </w:rPr>
              <w:t>founder_family=0.55; free_float=0.45</w:t>
            </w:r>
          </w:p>
        </w:tc>
        <w:tc>
          <w:tcPr>
            <w:tcW w:type="dxa" w:w="1008"/>
          </w:tcPr>
          <w:p>
            <w:pPr>
              <w:spacing w:after="20"/>
              <w:jc w:val="right"/>
            </w:pPr>
            <w:r>
              <w:rPr>
                <w:color w:val="1C3A36"/>
                <w:sz w:val="14"/>
              </w:rPr>
              <w:t>2026-05-20</w:t>
            </w:r>
          </w:p>
        </w:tc>
        <w:tc>
          <w:tcPr>
            <w:tcW w:type="dxa" w:w="5832"/>
          </w:tcPr>
          <w:p>
            <w:pPr>
              <w:spacing w:after="20"/>
              <w:jc w:val="right"/>
            </w:pPr>
            <w:r>
              <w:rPr>
                <w:color w:val="1C3A36"/>
                <w:sz w:val="14"/>
              </w:rPr>
              <w:t>Ownership is concentrated in the founding shareholder group with a substantial free float (the company listed 30% in the December 2022 IPO; a further 9mn-share transfer among major shareholders was disclosed in May 2026). Indicative split pending the FY2025 annual-report ownership table; not used…</w:t>
            </w:r>
          </w:p>
        </w:tc>
      </w:tr>
    </w:tbl>
    <w:p>
      <w:pPr>
        <w:spacing w:after="40"/>
      </w:pPr>
    </w:p>
    <w:p>
      <w:pPr>
        <w:spacing w:after="80" w:before="200"/>
      </w:pPr>
      <w:r>
        <w:rPr>
          <w:b/>
          <w:i w:val="0"/>
          <w:color w:val="1C3A36"/>
          <w:sz w:val="24"/>
        </w:rPr>
        <w:t>Country layer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440"/>
        <w:gridCol w:w="1008"/>
        <w:gridCol w:w="5832"/>
      </w:tblGrid>
      <w:tr>
        <w:tc>
          <w:tcPr>
            <w:tcW w:type="dxa" w:w="1944"/>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1008"/>
            <w:shd w:val="clear" w:color="auto" w:fill="EAF0EE"/>
          </w:tcPr>
          <w:p>
            <w:pPr>
              <w:spacing w:after="20"/>
            </w:pPr>
            <w:r>
              <w:rPr>
                <w:b/>
                <w:color w:val="1C3A36"/>
                <w:sz w:val="14"/>
              </w:rPr>
              <w:t>Date</w:t>
            </w:r>
          </w:p>
        </w:tc>
        <w:tc>
          <w:tcPr>
            <w:tcW w:type="dxa" w:w="5832"/>
            <w:shd w:val="clear" w:color="auto" w:fill="EAF0EE"/>
          </w:tcPr>
          <w:p>
            <w:pPr>
              <w:spacing w:after="20"/>
            </w:pPr>
            <w:r>
              <w:rPr>
                <w:b/>
                <w:color w:val="1C3A36"/>
                <w:sz w:val="14"/>
              </w:rPr>
              <w:t>Source &amp; construction</w:t>
            </w:r>
          </w:p>
        </w:tc>
      </w:tr>
      <w:tr>
        <w:tc>
          <w:tcPr>
            <w:tcW w:type="dxa" w:w="1944"/>
          </w:tcPr>
          <w:p>
            <w:pPr>
              <w:spacing w:after="20"/>
            </w:pPr>
            <w:r>
              <w:rPr>
                <w:color w:val="1C3A36"/>
                <w:sz w:val="14"/>
              </w:rPr>
              <w:t>conv_infl</w:t>
            </w:r>
          </w:p>
        </w:tc>
        <w:tc>
          <w:tcPr>
            <w:tcW w:type="dxa" w:w="1440"/>
          </w:tcPr>
          <w:p>
            <w:pPr>
              <w:spacing w:after="20"/>
              <w:jc w:val="right"/>
            </w:pPr>
            <w:r>
              <w:rPr>
                <w:color w:val="1C3A36"/>
                <w:sz w:val="14"/>
              </w:rPr>
              <w:t>0.030, 0.030, 0.030, 0.030, 0.030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Domestic-inflation escalator on the conversion cost stack (salaries, utilities, repairs, depreciation) — Saudi CPI has run ~2% and Saudi wage/utility inflation ~3%; applied ONLY to the non-metal leg, per the one-escalator-per-driver-class rule. The metal leg escalates on the metal path above, nev…</w:t>
            </w:r>
          </w:p>
        </w:tc>
      </w:tr>
      <w:tr>
        <w:tc>
          <w:tcPr>
            <w:tcW w:type="dxa" w:w="1944"/>
          </w:tcPr>
          <w:p>
            <w:pPr>
              <w:spacing w:after="20"/>
            </w:pPr>
            <w:r>
              <w:rPr>
                <w:color w:val="1C3A36"/>
                <w:sz w:val="14"/>
              </w:rPr>
              <w:t>rf</w:t>
            </w:r>
          </w:p>
        </w:tc>
        <w:tc>
          <w:tcPr>
            <w:tcW w:type="dxa" w:w="1440"/>
          </w:tcPr>
          <w:p>
            <w:pPr>
              <w:spacing w:after="20"/>
              <w:jc w:val="right"/>
            </w:pPr>
            <w:r>
              <w:rPr>
                <w:color w:val="1C3A36"/>
                <w:sz w:val="14"/>
              </w:rPr>
              <w:t>0.0550</w:t>
            </w:r>
          </w:p>
        </w:tc>
        <w:tc>
          <w:tcPr>
            <w:tcW w:type="dxa" w:w="1008"/>
          </w:tcPr>
          <w:p>
            <w:pPr>
              <w:spacing w:after="20"/>
              <w:jc w:val="right"/>
            </w:pPr>
            <w:r>
              <w:rPr>
                <w:color w:val="1C3A36"/>
                <w:sz w:val="14"/>
              </w:rPr>
              <w:t>2026-07-31</w:t>
            </w:r>
          </w:p>
        </w:tc>
        <w:tc>
          <w:tcPr>
            <w:tcW w:type="dxa" w:w="5832"/>
          </w:tcPr>
          <w:p>
            <w:pPr>
              <w:spacing w:after="20"/>
              <w:jc w:val="right"/>
            </w:pPr>
            <w:r>
              <w:rPr>
                <w:color w:val="1C3A36"/>
                <w:sz w:val="14"/>
              </w:rPr>
              <w:t>Saudi 10-year local-currency (SAR) government sukuk yield ~5.50%. RE-DERIVED from primary index observations after external audit (the prior 4.85% policy-rate-plus-term-premium estimate sat below the entire published SAR government sukuk curve): FTSE Saudi Government Bond Index 7-10-year yield-to…</w:t>
            </w:r>
          </w:p>
        </w:tc>
      </w:tr>
      <w:tr>
        <w:tc>
          <w:tcPr>
            <w:tcW w:type="dxa" w:w="1944"/>
          </w:tcPr>
          <w:p>
            <w:pPr>
              <w:spacing w:after="20"/>
            </w:pPr>
            <w:r>
              <w:rPr>
                <w:color w:val="1C3A36"/>
                <w:sz w:val="14"/>
              </w:rPr>
              <w:t>sov_spread</w:t>
            </w:r>
          </w:p>
        </w:tc>
        <w:tc>
          <w:tcPr>
            <w:tcW w:type="dxa" w:w="1440"/>
          </w:tcPr>
          <w:p>
            <w:pPr>
              <w:spacing w:after="20"/>
              <w:jc w:val="right"/>
            </w:pPr>
            <w:r>
              <w:rPr>
                <w:color w:val="1C3A36"/>
                <w:sz w:val="14"/>
              </w:rPr>
              <w:t>0.0048</w:t>
            </w:r>
          </w:p>
        </w:tc>
        <w:tc>
          <w:tcPr>
            <w:tcW w:type="dxa" w:w="1008"/>
          </w:tcPr>
          <w:p>
            <w:pPr>
              <w:spacing w:after="20"/>
              <w:jc w:val="right"/>
            </w:pPr>
            <w:r>
              <w:rPr>
                <w:color w:val="1C3A36"/>
                <w:sz w:val="14"/>
              </w:rPr>
              <w:t>2026-07-10</w:t>
            </w:r>
          </w:p>
        </w:tc>
        <w:tc>
          <w:tcPr>
            <w:tcW w:type="dxa" w:w="5832"/>
          </w:tcPr>
          <w:p>
            <w:pPr>
              <w:spacing w:after="20"/>
              <w:jc w:val="right"/>
            </w:pPr>
            <w:r>
              <w:rPr>
                <w:color w:val="1C3A36"/>
                <w:sz w:val="14"/>
              </w:rPr>
              <w:t>Saudi Arabia adjusted sovereign default spread 0.48% (Moody's Aa3), Damodaran country-risk-premium file, JULY-2026 update (posted ~10-Jul-2026, superseding the January vintage of 0.51% used in the first edition). Netted out of the local-currency risk-free rate so sovereign default risk is not cha…</w:t>
            </w:r>
          </w:p>
        </w:tc>
      </w:tr>
      <w:tr>
        <w:tc>
          <w:tcPr>
            <w:tcW w:type="dxa" w:w="1944"/>
          </w:tcPr>
          <w:p>
            <w:pPr>
              <w:spacing w:after="20"/>
            </w:pPr>
            <w:r>
              <w:rPr>
                <w:color w:val="1C3A36"/>
                <w:sz w:val="14"/>
              </w:rPr>
              <w:t>erp</w:t>
            </w:r>
          </w:p>
        </w:tc>
        <w:tc>
          <w:tcPr>
            <w:tcW w:type="dxa" w:w="1440"/>
          </w:tcPr>
          <w:p>
            <w:pPr>
              <w:spacing w:after="20"/>
              <w:jc w:val="right"/>
            </w:pPr>
            <w:r>
              <w:rPr>
                <w:color w:val="1C3A36"/>
                <w:sz w:val="14"/>
              </w:rPr>
              <w:t>0.0494</w:t>
            </w:r>
          </w:p>
        </w:tc>
        <w:tc>
          <w:tcPr>
            <w:tcW w:type="dxa" w:w="1008"/>
          </w:tcPr>
          <w:p>
            <w:pPr>
              <w:spacing w:after="20"/>
              <w:jc w:val="right"/>
            </w:pPr>
            <w:r>
              <w:rPr>
                <w:color w:val="1C3A36"/>
                <w:sz w:val="14"/>
              </w:rPr>
              <w:t>2026-07-10</w:t>
            </w:r>
          </w:p>
        </w:tc>
        <w:tc>
          <w:tcPr>
            <w:tcW w:type="dxa" w:w="5832"/>
          </w:tcPr>
          <w:p>
            <w:pPr>
              <w:spacing w:after="20"/>
              <w:jc w:val="right"/>
            </w:pPr>
            <w:r>
              <w:rPr>
                <w:color w:val="1C3A36"/>
                <w:sz w:val="14"/>
              </w:rPr>
              <w:t>Saudi Arabia total equity risk premium 4.94%, Damodaran country-risk-premium file, JULY-2026 update: the ~4.20% mature-market premium plus a 0.74% country risk premium (0.48% default spread scaled by relative equity volatility ~1.55). Updated from the January vintage (5.01%) after external audit …</w:t>
            </w:r>
          </w:p>
        </w:tc>
      </w:tr>
      <w:tr>
        <w:tc>
          <w:tcPr>
            <w:tcW w:type="dxa" w:w="1944"/>
          </w:tcPr>
          <w:p>
            <w:pPr>
              <w:spacing w:after="20"/>
            </w:pPr>
            <w:r>
              <w:rPr>
                <w:color w:val="1C3A36"/>
                <w:sz w:val="14"/>
              </w:rPr>
              <w:t>erp_cds</w:t>
            </w:r>
          </w:p>
        </w:tc>
        <w:tc>
          <w:tcPr>
            <w:tcW w:type="dxa" w:w="1440"/>
          </w:tcPr>
          <w:p>
            <w:pPr>
              <w:spacing w:after="20"/>
              <w:jc w:val="right"/>
            </w:pPr>
            <w:r>
              <w:rPr>
                <w:color w:val="1C3A36"/>
                <w:sz w:val="14"/>
              </w:rPr>
              <w:t>0.0490</w:t>
            </w:r>
          </w:p>
        </w:tc>
        <w:tc>
          <w:tcPr>
            <w:tcW w:type="dxa" w:w="1008"/>
          </w:tcPr>
          <w:p>
            <w:pPr>
              <w:spacing w:after="20"/>
              <w:jc w:val="right"/>
            </w:pPr>
            <w:r>
              <w:rPr>
                <w:color w:val="1C3A36"/>
                <w:sz w:val="14"/>
              </w:rPr>
              <w:t>2026-07-10</w:t>
            </w:r>
          </w:p>
        </w:tc>
        <w:tc>
          <w:tcPr>
            <w:tcW w:type="dxa" w:w="5832"/>
          </w:tcPr>
          <w:p>
            <w:pPr>
              <w:spacing w:after="20"/>
              <w:jc w:val="right"/>
            </w:pPr>
            <w:r>
              <w:rPr>
                <w:color w:val="1C3A36"/>
                <w:sz w:val="14"/>
              </w:rPr>
              <w:t>Saudi Arabia equity risk premium on the CDS basis ~4.90% (July-2026 vintage). Published beside the rating basis; the two converge for a high-grade sovereign</w:t>
            </w:r>
          </w:p>
        </w:tc>
      </w:tr>
    </w:tbl>
    <w:p>
      <w:pPr>
        <w:spacing w:after="40"/>
      </w:pPr>
    </w:p>
    <w:p>
      <w:pPr>
        <w:spacing w:after="80" w:before="200"/>
      </w:pPr>
      <w:r>
        <w:rPr>
          <w:b/>
          <w:i w:val="0"/>
          <w:color w:val="1C3A36"/>
          <w:sz w:val="24"/>
        </w:rPr>
        <w:t>Industry layer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440"/>
        <w:gridCol w:w="1008"/>
        <w:gridCol w:w="5832"/>
      </w:tblGrid>
      <w:tr>
        <w:tc>
          <w:tcPr>
            <w:tcW w:type="dxa" w:w="1944"/>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1008"/>
            <w:shd w:val="clear" w:color="auto" w:fill="EAF0EE"/>
          </w:tcPr>
          <w:p>
            <w:pPr>
              <w:spacing w:after="20"/>
            </w:pPr>
            <w:r>
              <w:rPr>
                <w:b/>
                <w:color w:val="1C3A36"/>
                <w:sz w:val="14"/>
              </w:rPr>
              <w:t>Date</w:t>
            </w:r>
          </w:p>
        </w:tc>
        <w:tc>
          <w:tcPr>
            <w:tcW w:type="dxa" w:w="5832"/>
            <w:shd w:val="clear" w:color="auto" w:fill="EAF0EE"/>
          </w:tcPr>
          <w:p>
            <w:pPr>
              <w:spacing w:after="20"/>
            </w:pPr>
            <w:r>
              <w:rPr>
                <w:b/>
                <w:color w:val="1C3A36"/>
                <w:sz w:val="14"/>
              </w:rPr>
              <w:t>Source &amp; construction</w:t>
            </w:r>
          </w:p>
        </w:tc>
      </w:tr>
      <w:tr>
        <w:tc>
          <w:tcPr>
            <w:tcW w:type="dxa" w:w="1944"/>
          </w:tcPr>
          <w:p>
            <w:pPr>
              <w:spacing w:after="20"/>
            </w:pPr>
            <w:r>
              <w:rPr>
                <w:color w:val="1C3A36"/>
                <w:sz w:val="14"/>
              </w:rPr>
              <w:t>vol_growth</w:t>
            </w:r>
          </w:p>
        </w:tc>
        <w:tc>
          <w:tcPr>
            <w:tcW w:type="dxa" w:w="1440"/>
          </w:tcPr>
          <w:p>
            <w:pPr>
              <w:spacing w:after="20"/>
              <w:jc w:val="right"/>
            </w:pPr>
            <w:r>
              <w:rPr>
                <w:color w:val="1C3A36"/>
                <w:sz w:val="14"/>
              </w:rPr>
              <w:t>0.100, 0.075, 0.065, 0.055, 0.050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Real cable-volume (tonnage-index) growth FY2026E-FY2030E, tapering from ~10% toward 5%. Anchored on the reviewed H1-2026 disclosure that revenue rose 9.5% 'due to the increase in the volume of quantities sold' with metal prices roughly flat, and on the Saudi grid-expansion and construction demand…</w:t>
            </w:r>
          </w:p>
        </w:tc>
      </w:tr>
      <w:tr>
        <w:tc>
          <w:tcPr>
            <w:tcW w:type="dxa" w:w="1944"/>
          </w:tcPr>
          <w:p>
            <w:pPr>
              <w:spacing w:after="20"/>
            </w:pPr>
            <w:r>
              <w:rPr>
                <w:color w:val="1C3A36"/>
                <w:sz w:val="14"/>
              </w:rPr>
              <w:t>metal_growth</w:t>
            </w:r>
          </w:p>
        </w:tc>
        <w:tc>
          <w:tcPr>
            <w:tcW w:type="dxa" w:w="1440"/>
          </w:tcPr>
          <w:p>
            <w:pPr>
              <w:spacing w:after="20"/>
              <w:jc w:val="right"/>
            </w:pPr>
            <w:r>
              <w:rPr>
                <w:color w:val="1C3A36"/>
                <w:sz w:val="14"/>
              </w:rPr>
              <w:t>-0.010, 0.000, 0.010, 0.010, 0.010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Metal-content price growth FY2026E-FY2030E for the copper/aluminium/lead blend that is 94.9% of cost of revenue. Held broadly flat with a slight near-term easing: LME copper ~USD 9,500-10,000/t and aluminium ~USD 2,500/t in mid-2026, and H1-2026 gross profit was flat, consistent with metals not r…</w:t>
            </w:r>
          </w:p>
        </w:tc>
      </w:tr>
    </w:tbl>
    <w:p>
      <w:pPr>
        <w:spacing w:after="40"/>
      </w:pPr>
    </w:p>
    <w:p>
      <w:pPr>
        <w:spacing w:after="80" w:before="200"/>
      </w:pPr>
      <w:r>
        <w:rPr>
          <w:b/>
          <w:i w:val="0"/>
          <w:color w:val="1C3A36"/>
          <w:sz w:val="24"/>
        </w:rPr>
        <w:t>Market layer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440"/>
        <w:gridCol w:w="1008"/>
        <w:gridCol w:w="5832"/>
      </w:tblGrid>
      <w:tr>
        <w:tc>
          <w:tcPr>
            <w:tcW w:type="dxa" w:w="1944"/>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1008"/>
            <w:shd w:val="clear" w:color="auto" w:fill="EAF0EE"/>
          </w:tcPr>
          <w:p>
            <w:pPr>
              <w:spacing w:after="20"/>
            </w:pPr>
            <w:r>
              <w:rPr>
                <w:b/>
                <w:color w:val="1C3A36"/>
                <w:sz w:val="14"/>
              </w:rPr>
              <w:t>Date</w:t>
            </w:r>
          </w:p>
        </w:tc>
        <w:tc>
          <w:tcPr>
            <w:tcW w:type="dxa" w:w="5832"/>
            <w:shd w:val="clear" w:color="auto" w:fill="EAF0EE"/>
          </w:tcPr>
          <w:p>
            <w:pPr>
              <w:spacing w:after="20"/>
            </w:pPr>
            <w:r>
              <w:rPr>
                <w:b/>
                <w:color w:val="1C3A36"/>
                <w:sz w:val="14"/>
              </w:rPr>
              <w:t>Source &amp; construction</w:t>
            </w:r>
          </w:p>
        </w:tc>
      </w:tr>
      <w:tr>
        <w:tc>
          <w:tcPr>
            <w:tcW w:type="dxa" w:w="1944"/>
          </w:tcPr>
          <w:p>
            <w:pPr>
              <w:spacing w:after="20"/>
            </w:pPr>
            <w:r>
              <w:rPr>
                <w:color w:val="1C3A36"/>
                <w:sz w:val="14"/>
              </w:rPr>
              <w:t>spot</w:t>
            </w:r>
          </w:p>
        </w:tc>
        <w:tc>
          <w:tcPr>
            <w:tcW w:type="dxa" w:w="1440"/>
          </w:tcPr>
          <w:p>
            <w:pPr>
              <w:spacing w:after="20"/>
              <w:jc w:val="right"/>
            </w:pPr>
            <w:r>
              <w:rPr>
                <w:color w:val="1C3A36"/>
                <w:sz w:val="14"/>
              </w:rPr>
              <w:t>104.80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Tadawul daily close, symbol 4142, uploaded price history</w:t>
            </w:r>
          </w:p>
        </w:tc>
      </w:tr>
    </w:tbl>
    <w:p>
      <w:pPr>
        <w:spacing w:after="40"/>
      </w:pPr>
    </w:p>
    <w:p>
      <w:pPr>
        <w:spacing w:after="80" w:before="200"/>
      </w:pPr>
      <w:r>
        <w:rPr>
          <w:b/>
          <w:i w:val="0"/>
          <w:color w:val="1C3A36"/>
          <w:sz w:val="24"/>
        </w:rPr>
        <w:t>House layer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440"/>
        <w:gridCol w:w="1008"/>
        <w:gridCol w:w="5832"/>
      </w:tblGrid>
      <w:tr>
        <w:tc>
          <w:tcPr>
            <w:tcW w:type="dxa" w:w="1944"/>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1008"/>
            <w:shd w:val="clear" w:color="auto" w:fill="EAF0EE"/>
          </w:tcPr>
          <w:p>
            <w:pPr>
              <w:spacing w:after="20"/>
            </w:pPr>
            <w:r>
              <w:rPr>
                <w:b/>
                <w:color w:val="1C3A36"/>
                <w:sz w:val="14"/>
              </w:rPr>
              <w:t>Date</w:t>
            </w:r>
          </w:p>
        </w:tc>
        <w:tc>
          <w:tcPr>
            <w:tcW w:type="dxa" w:w="5832"/>
            <w:shd w:val="clear" w:color="auto" w:fill="EAF0EE"/>
          </w:tcPr>
          <w:p>
            <w:pPr>
              <w:spacing w:after="20"/>
            </w:pPr>
            <w:r>
              <w:rPr>
                <w:b/>
                <w:color w:val="1C3A36"/>
                <w:sz w:val="14"/>
              </w:rPr>
              <w:t>Source &amp; construction</w:t>
            </w:r>
          </w:p>
        </w:tc>
      </w:tr>
      <w:tr>
        <w:tc>
          <w:tcPr>
            <w:tcW w:type="dxa" w:w="1944"/>
          </w:tcPr>
          <w:p>
            <w:pPr>
              <w:spacing w:after="20"/>
            </w:pPr>
            <w:r>
              <w:rPr>
                <w:color w:val="1C3A36"/>
                <w:sz w:val="14"/>
              </w:rPr>
              <w:t>spread_bull</w:t>
            </w:r>
          </w:p>
        </w:tc>
        <w:tc>
          <w:tcPr>
            <w:tcW w:type="dxa" w:w="1440"/>
          </w:tcPr>
          <w:p>
            <w:pPr>
              <w:spacing w:after="20"/>
              <w:jc w:val="right"/>
            </w:pPr>
            <w:r>
              <w:rPr>
                <w:color w:val="1C3A36"/>
                <w:sz w:val="14"/>
              </w:rPr>
              <w:t>0.1600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Bull framing of the sustained gross margin: the FY2025 full-year print holds (premium high-voltage and export mix, pricing power in a tight Gulf market). Published beside the H1-2026-anchored base, per the dual-framing rule</w:t>
            </w:r>
          </w:p>
        </w:tc>
      </w:tr>
      <w:tr>
        <w:tc>
          <w:tcPr>
            <w:tcW w:type="dxa" w:w="1944"/>
          </w:tcPr>
          <w:p>
            <w:pPr>
              <w:spacing w:after="20"/>
            </w:pPr>
            <w:r>
              <w:rPr>
                <w:color w:val="1C3A36"/>
                <w:sz w:val="14"/>
              </w:rPr>
              <w:t>spread_bear</w:t>
            </w:r>
          </w:p>
        </w:tc>
        <w:tc>
          <w:tcPr>
            <w:tcW w:type="dxa" w:w="1440"/>
          </w:tcPr>
          <w:p>
            <w:pPr>
              <w:spacing w:after="20"/>
              <w:jc w:val="right"/>
            </w:pPr>
            <w:r>
              <w:rPr>
                <w:color w:val="1C3A36"/>
                <w:sz w:val="14"/>
              </w:rPr>
              <w:t>0.1450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Bear framing of the sustained gross margin: the conversion spread competes down further as Gulf capacity normalises and the metal tailwind fully unwinds</w:t>
            </w:r>
          </w:p>
        </w:tc>
      </w:tr>
      <w:tr>
        <w:tc>
          <w:tcPr>
            <w:tcW w:type="dxa" w:w="1944"/>
          </w:tcPr>
          <w:p>
            <w:pPr>
              <w:spacing w:after="20"/>
            </w:pPr>
            <w:r>
              <w:rPr>
                <w:color w:val="1C3A36"/>
                <w:sz w:val="14"/>
              </w:rPr>
              <w:t>margin_glide</w:t>
            </w:r>
          </w:p>
        </w:tc>
        <w:tc>
          <w:tcPr>
            <w:tcW w:type="dxa" w:w="1440"/>
          </w:tcPr>
          <w:p>
            <w:pPr>
              <w:spacing w:after="20"/>
              <w:jc w:val="right"/>
            </w:pPr>
            <w:r>
              <w:rPr>
                <w:color w:val="1C3A36"/>
                <w:sz w:val="14"/>
              </w:rPr>
              <w:t>0.000, 0.001, 0.001, 0.002, 0.002</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Small annual drift ADDED to the spread anchor as scale and mix (rising high-voltage and export share) modestly lift the sustained margin off the H1-2026 trough; cumulative +0.5pp by FY2030E, deliberately modest</w:t>
            </w:r>
          </w:p>
        </w:tc>
      </w:tr>
      <w:tr>
        <w:tc>
          <w:tcPr>
            <w:tcW w:type="dxa" w:w="1944"/>
          </w:tcPr>
          <w:p>
            <w:pPr>
              <w:spacing w:after="20"/>
            </w:pPr>
            <w:r>
              <w:rPr>
                <w:color w:val="1C3A36"/>
                <w:sz w:val="14"/>
              </w:rPr>
              <w:t>hv_growth</w:t>
            </w:r>
          </w:p>
        </w:tc>
        <w:tc>
          <w:tcPr>
            <w:tcW w:type="dxa" w:w="1440"/>
          </w:tcPr>
          <w:p>
            <w:pPr>
              <w:spacing w:after="20"/>
              <w:jc w:val="right"/>
            </w:pPr>
            <w:r>
              <w:rPr>
                <w:color w:val="1C3A36"/>
                <w:sz w:val="14"/>
              </w:rPr>
              <w:t>0.100, 0.100, 0.090, 0.080, 0.080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High-voltage turnkey-projects segment revenue growth. The segment is lumpy (FY2025 SAR 231mn, down from FY2024's 339mn as projects completed); a moderate recovery is assumed off the low base, well below the cables segment's contribution either way (2.2% of FY2025 revenue)</w:t>
            </w:r>
          </w:p>
        </w:tc>
      </w:tr>
      <w:tr>
        <w:tc>
          <w:tcPr>
            <w:tcW w:type="dxa" w:w="1944"/>
          </w:tcPr>
          <w:p>
            <w:pPr>
              <w:spacing w:after="20"/>
            </w:pPr>
            <w:r>
              <w:rPr>
                <w:color w:val="1C3A36"/>
                <w:sz w:val="14"/>
              </w:rPr>
              <w:t>other_growth</w:t>
            </w:r>
          </w:p>
        </w:tc>
        <w:tc>
          <w:tcPr>
            <w:tcW w:type="dxa" w:w="1440"/>
          </w:tcPr>
          <w:p>
            <w:pPr>
              <w:spacing w:after="20"/>
              <w:jc w:val="right"/>
            </w:pPr>
            <w:r>
              <w:rPr>
                <w:color w:val="1C3A36"/>
                <w:sz w:val="14"/>
              </w:rPr>
              <w:t>0.080, 0.080, 0.070, 0.060, 0.060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Other segment (telephone cables and services) revenue growth — 0.3% of revenue, immaterial to the valuation</w:t>
            </w:r>
          </w:p>
        </w:tc>
      </w:tr>
      <w:tr>
        <w:tc>
          <w:tcPr>
            <w:tcW w:type="dxa" w:w="1944"/>
          </w:tcPr>
          <w:p>
            <w:pPr>
              <w:spacing w:after="20"/>
            </w:pPr>
            <w:r>
              <w:rPr>
                <w:color w:val="1C3A36"/>
                <w:sz w:val="14"/>
              </w:rPr>
              <w:t>opex_pct</w:t>
            </w:r>
          </w:p>
        </w:tc>
        <w:tc>
          <w:tcPr>
            <w:tcW w:type="dxa" w:w="1440"/>
          </w:tcPr>
          <w:p>
            <w:pPr>
              <w:spacing w:after="20"/>
              <w:jc w:val="right"/>
            </w:pPr>
            <w:r>
              <w:rPr>
                <w:color w:val="1C3A36"/>
                <w:sz w:val="14"/>
              </w:rPr>
              <w:t>0.043, 0.043, 0.043, 0.042, 0.042</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Operating expenses below gross profit (selling and distribution + general and administrative + normalised receivables impairment) as a share of revenue. History: FY2023 4.0%, FY2024 3.4%, FY2025 4.3% (the FY2025 rise is a 150.8mn receivables impairment charge, up from 23.4mn). Held near the FY202…</w:t>
            </w:r>
          </w:p>
        </w:tc>
      </w:tr>
      <w:tr>
        <w:tc>
          <w:tcPr>
            <w:tcW w:type="dxa" w:w="1944"/>
          </w:tcPr>
          <w:p>
            <w:pPr>
              <w:spacing w:after="20"/>
            </w:pPr>
            <w:r>
              <w:rPr>
                <w:color w:val="1C3A36"/>
                <w:sz w:val="14"/>
              </w:rPr>
              <w:t>dna_pct</w:t>
            </w:r>
          </w:p>
        </w:tc>
        <w:tc>
          <w:tcPr>
            <w:tcW w:type="dxa" w:w="1440"/>
          </w:tcPr>
          <w:p>
            <w:pPr>
              <w:spacing w:after="20"/>
              <w:jc w:val="right"/>
            </w:pPr>
            <w:r>
              <w:rPr>
                <w:color w:val="1C3A36"/>
                <w:sz w:val="14"/>
              </w:rPr>
              <w:t>0.0085</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Depreciation and amortisation as a share of revenue, near the FY2025 level (85.4mn / 10,673.6mn = 0.80%), lifted slightly for the larger capitalised base from the FY2024-25 capex</w:t>
            </w:r>
          </w:p>
        </w:tc>
      </w:tr>
      <w:tr>
        <w:tc>
          <w:tcPr>
            <w:tcW w:type="dxa" w:w="1944"/>
          </w:tcPr>
          <w:p>
            <w:pPr>
              <w:spacing w:after="20"/>
            </w:pPr>
            <w:r>
              <w:rPr>
                <w:color w:val="1C3A36"/>
                <w:sz w:val="14"/>
              </w:rPr>
              <w:t>capex_pct</w:t>
            </w:r>
          </w:p>
        </w:tc>
        <w:tc>
          <w:tcPr>
            <w:tcW w:type="dxa" w:w="1440"/>
          </w:tcPr>
          <w:p>
            <w:pPr>
              <w:spacing w:after="20"/>
              <w:jc w:val="right"/>
            </w:pPr>
            <w:r>
              <w:rPr>
                <w:color w:val="1C3A36"/>
                <w:sz w:val="14"/>
              </w:rPr>
              <w:t>0.019, 0.018, 0.017, 0.016, 0.016</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Capital expenditure as a share of revenue, easing from the FY2025 level (188.9mn / 10,673.6mn = 1.77%) held broadly flat — a maintenance-plus-modest-capacity level for a plant already largely built out (FY2025 assets under construction were 107.9mn of the 188.9mn spend)</w:t>
            </w:r>
          </w:p>
        </w:tc>
      </w:tr>
      <w:tr>
        <w:tc>
          <w:tcPr>
            <w:tcW w:type="dxa" w:w="1944"/>
          </w:tcPr>
          <w:p>
            <w:pPr>
              <w:spacing w:after="20"/>
            </w:pPr>
            <w:r>
              <w:rPr>
                <w:color w:val="1C3A36"/>
                <w:sz w:val="14"/>
              </w:rPr>
              <w:t>nwc_pct</w:t>
            </w:r>
          </w:p>
        </w:tc>
        <w:tc>
          <w:tcPr>
            <w:tcW w:type="dxa" w:w="1440"/>
          </w:tcPr>
          <w:p>
            <w:pPr>
              <w:spacing w:after="20"/>
              <w:jc w:val="right"/>
            </w:pPr>
            <w:r>
              <w:rPr>
                <w:color w:val="1C3A36"/>
                <w:sz w:val="14"/>
              </w:rPr>
              <w:t>0.2800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Net working capital as a share of revenue, held near the FY2025 level. History on a consistent basis (accrued expenses included in payables in every year): FY2023 23.5%, FY2024 24.4%, FY2025 27.5% — a structurally working-capital-heavy cable maker (copper/aluminium inventory + trade receivables, …</w:t>
            </w:r>
          </w:p>
        </w:tc>
      </w:tr>
      <w:tr>
        <w:tc>
          <w:tcPr>
            <w:tcW w:type="dxa" w:w="1944"/>
          </w:tcPr>
          <w:p>
            <w:pPr>
              <w:spacing w:after="20"/>
            </w:pPr>
            <w:r>
              <w:rPr>
                <w:color w:val="1C3A36"/>
                <w:sz w:val="14"/>
              </w:rPr>
              <w:t>beta</w:t>
            </w:r>
          </w:p>
        </w:tc>
        <w:tc>
          <w:tcPr>
            <w:tcW w:type="dxa" w:w="1440"/>
          </w:tcPr>
          <w:p>
            <w:pPr>
              <w:spacing w:after="20"/>
              <w:jc w:val="right"/>
            </w:pPr>
            <w:r>
              <w:rPr>
                <w:color w:val="1C3A36"/>
                <w:sz w:val="14"/>
              </w:rPr>
              <w:t>1.1290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Own-stock tier-1 regression: RIYADHCABLE weekly log-returns against the published Tadawul All Share Index (TASI), Dimson sum-beta over the full 3.6-year listed history (185 weekly observations to 13-Aug-2026). R-squared 0.145, standard error 0.309, 90% confidence interval [0.62, 1.64]. Clears the…</w:t>
            </w:r>
          </w:p>
        </w:tc>
      </w:tr>
      <w:tr>
        <w:tc>
          <w:tcPr>
            <w:tcW w:type="dxa" w:w="1944"/>
          </w:tcPr>
          <w:p>
            <w:pPr>
              <w:spacing w:after="20"/>
            </w:pPr>
            <w:r>
              <w:rPr>
                <w:color w:val="1C3A36"/>
                <w:sz w:val="14"/>
              </w:rPr>
              <w:t>rf_term</w:t>
            </w:r>
          </w:p>
        </w:tc>
        <w:tc>
          <w:tcPr>
            <w:tcW w:type="dxa" w:w="1440"/>
          </w:tcPr>
          <w:p>
            <w:pPr>
              <w:spacing w:after="20"/>
              <w:jc w:val="right"/>
            </w:pPr>
            <w:r>
              <w:rPr>
                <w:color w:val="1C3A36"/>
                <w:sz w:val="14"/>
              </w:rPr>
              <w:t>0.0502</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Terminal risk-free rate = the normalised SAR risk-free (rf 5.50% less the 0.48% sovereign default spread = 5.02%) HELD FLAT: Saudi rates are already at a long-run level, so no crisis-premium normalisation is applied and the terminal risk-free is NOT marked below its current normalised level — the…</w:t>
            </w:r>
          </w:p>
        </w:tc>
      </w:tr>
      <w:tr>
        <w:tc>
          <w:tcPr>
            <w:tcW w:type="dxa" w:w="1944"/>
          </w:tcPr>
          <w:p>
            <w:pPr>
              <w:spacing w:after="20"/>
            </w:pPr>
            <w:r>
              <w:rPr>
                <w:color w:val="1C3A36"/>
                <w:sz w:val="14"/>
              </w:rPr>
              <w:t>erp_term</w:t>
            </w:r>
          </w:p>
        </w:tc>
        <w:tc>
          <w:tcPr>
            <w:tcW w:type="dxa" w:w="1440"/>
          </w:tcPr>
          <w:p>
            <w:pPr>
              <w:spacing w:after="20"/>
              <w:jc w:val="right"/>
            </w:pPr>
            <w:r>
              <w:rPr>
                <w:color w:val="1C3A36"/>
                <w:sz w:val="14"/>
              </w:rPr>
              <w:t>0.0470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Terminal equity risk premium 4.70%, a mild compression of the current 4.94% (July-2026 Damodaran) as the country risk premium narrows with Vision-2030 diversification; never held at a crisis level, never below the ~4.2% mature-market base</w:t>
            </w:r>
          </w:p>
        </w:tc>
      </w:tr>
      <w:tr>
        <w:tc>
          <w:tcPr>
            <w:tcW w:type="dxa" w:w="1944"/>
          </w:tcPr>
          <w:p>
            <w:pPr>
              <w:spacing w:after="20"/>
            </w:pPr>
            <w:r>
              <w:rPr>
                <w:color w:val="1C3A36"/>
                <w:sz w:val="14"/>
              </w:rPr>
              <w:t>beta_term</w:t>
            </w:r>
          </w:p>
        </w:tc>
        <w:tc>
          <w:tcPr>
            <w:tcW w:type="dxa" w:w="1440"/>
          </w:tcPr>
          <w:p>
            <w:pPr>
              <w:spacing w:after="20"/>
              <w:jc w:val="right"/>
            </w:pPr>
            <w:r>
              <w:rPr>
                <w:color w:val="1C3A36"/>
                <w:sz w:val="14"/>
              </w:rPr>
              <w:t>1.00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Terminal beta 1.0 — mean reversion toward the market (Blume), from the 1.129 own-stock estimate; the Blume-adjusted current beta is already 1.086</w:t>
            </w:r>
          </w:p>
        </w:tc>
      </w:tr>
      <w:tr>
        <w:tc>
          <w:tcPr>
            <w:tcW w:type="dxa" w:w="1944"/>
          </w:tcPr>
          <w:p>
            <w:pPr>
              <w:spacing w:after="20"/>
            </w:pPr>
            <w:r>
              <w:rPr>
                <w:color w:val="1C3A36"/>
                <w:sz w:val="14"/>
              </w:rPr>
              <w:t>kd_term</w:t>
            </w:r>
          </w:p>
        </w:tc>
        <w:tc>
          <w:tcPr>
            <w:tcW w:type="dxa" w:w="1440"/>
          </w:tcPr>
          <w:p>
            <w:pPr>
              <w:spacing w:after="20"/>
              <w:jc w:val="right"/>
            </w:pPr>
            <w:r>
              <w:rPr>
                <w:color w:val="1C3A36"/>
                <w:sz w:val="14"/>
              </w:rPr>
              <w:t>0.0550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Terminal cost of debt 5.5%, a modest easing from the 5.9% marginal rate as SAMA tracks the Fed toward a neutral setting</w:t>
            </w:r>
          </w:p>
        </w:tc>
      </w:tr>
      <w:tr>
        <w:tc>
          <w:tcPr>
            <w:tcW w:type="dxa" w:w="1944"/>
          </w:tcPr>
          <w:p>
            <w:pPr>
              <w:spacing w:after="20"/>
            </w:pPr>
            <w:r>
              <w:rPr>
                <w:color w:val="1C3A36"/>
                <w:sz w:val="14"/>
              </w:rPr>
              <w:t>wd_term</w:t>
            </w:r>
          </w:p>
        </w:tc>
        <w:tc>
          <w:tcPr>
            <w:tcW w:type="dxa" w:w="1440"/>
          </w:tcPr>
          <w:p>
            <w:pPr>
              <w:spacing w:after="20"/>
              <w:jc w:val="right"/>
            </w:pPr>
            <w:r>
              <w:rPr>
                <w:color w:val="1C3A36"/>
                <w:sz w:val="14"/>
              </w:rPr>
              <w:t>0.0500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Terminal net-debt weight 5%, normalised modestly above today's ~2.4% to acknowledge the structural working-capital leverage a cable maker carries, while staying far below a geared capital structure this equity-funded company has never run</w:t>
            </w:r>
          </w:p>
        </w:tc>
      </w:tr>
      <w:tr>
        <w:tc>
          <w:tcPr>
            <w:tcW w:type="dxa" w:w="1944"/>
          </w:tcPr>
          <w:p>
            <w:pPr>
              <w:spacing w:after="20"/>
            </w:pPr>
            <w:r>
              <w:rPr>
                <w:color w:val="1C3A36"/>
                <w:sz w:val="14"/>
              </w:rPr>
              <w:t>kd_path</w:t>
            </w:r>
          </w:p>
        </w:tc>
        <w:tc>
          <w:tcPr>
            <w:tcW w:type="dxa" w:w="1440"/>
          </w:tcPr>
          <w:p>
            <w:pPr>
              <w:spacing w:after="20"/>
              <w:jc w:val="right"/>
            </w:pPr>
            <w:r>
              <w:rPr>
                <w:color w:val="1C3A36"/>
                <w:sz w:val="14"/>
              </w:rPr>
              <w:t>0.059, 0.058, 0.057, 0.056, 0.055</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Forward cost-of-debt path FY2026E-FY2030E, easing gently from the 5.9% marginal rate to the 5.5% terminal as policy normalises. The discount-rate glide takes its shape from this path by construction</w:t>
            </w:r>
          </w:p>
        </w:tc>
      </w:tr>
      <w:tr>
        <w:tc>
          <w:tcPr>
            <w:tcW w:type="dxa" w:w="1944"/>
          </w:tcPr>
          <w:p>
            <w:pPr>
              <w:spacing w:after="20"/>
            </w:pPr>
            <w:r>
              <w:rPr>
                <w:color w:val="1C3A36"/>
                <w:sz w:val="14"/>
              </w:rPr>
              <w:t>g_term</w:t>
            </w:r>
          </w:p>
        </w:tc>
        <w:tc>
          <w:tcPr>
            <w:tcW w:type="dxa" w:w="1440"/>
          </w:tcPr>
          <w:p>
            <w:pPr>
              <w:spacing w:after="20"/>
              <w:jc w:val="right"/>
            </w:pPr>
            <w:r>
              <w:rPr>
                <w:color w:val="1C3A36"/>
                <w:sz w:val="14"/>
              </w:rPr>
              <w:t>0.0400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Terminal growth 4.0% in nominal SAR: ~2% long-run Saudi real growth plus ~2% inflation. Struck below the terminal risk-free-plus-spread and below a blended nominal GDP ceiling; sensitised 2-6%. Saudi electrification and construction (grid capex, giga-projects, housing) support a durable but not p…</w:t>
            </w:r>
          </w:p>
        </w:tc>
      </w:tr>
      <w:tr>
        <w:tc>
          <w:tcPr>
            <w:tcW w:type="dxa" w:w="1944"/>
          </w:tcPr>
          <w:p>
            <w:pPr>
              <w:spacing w:after="20"/>
            </w:pPr>
            <w:r>
              <w:rPr>
                <w:color w:val="1C3A36"/>
                <w:sz w:val="14"/>
              </w:rPr>
              <w:t>anchor_days</w:t>
            </w:r>
          </w:p>
        </w:tc>
        <w:tc>
          <w:tcPr>
            <w:tcW w:type="dxa" w:w="1440"/>
          </w:tcPr>
          <w:p>
            <w:pPr>
              <w:spacing w:after="20"/>
              <w:jc w:val="right"/>
            </w:pPr>
            <w:r>
              <w:rPr>
                <w:color w:val="1C3A36"/>
                <w:sz w:val="14"/>
              </w:rPr>
              <w:t>230.00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Days from the DCF construction date (31 Dec 2025, the audited balance-sheet date the bridge is built on) to the 18 Aug 2026 anchor. Every lens value is rolled to the anchor at the cost of equity, net of the SAR 2.25/share FY2025 final dividend paid inside the window, so one date and one price of …</w:t>
            </w:r>
          </w:p>
        </w:tc>
      </w:tr>
      <w:tr>
        <w:tc>
          <w:tcPr>
            <w:tcW w:type="dxa" w:w="1944"/>
          </w:tcPr>
          <w:p>
            <w:pPr>
              <w:spacing w:after="20"/>
            </w:pPr>
            <w:r>
              <w:rPr>
                <w:color w:val="1C3A36"/>
                <w:sz w:val="14"/>
              </w:rPr>
              <w:t>ev_ebitda_just</w:t>
            </w:r>
          </w:p>
        </w:tc>
        <w:tc>
          <w:tcPr>
            <w:tcW w:type="dxa" w:w="1440"/>
          </w:tcPr>
          <w:p>
            <w:pPr>
              <w:spacing w:after="20"/>
              <w:jc w:val="right"/>
            </w:pPr>
            <w:r>
              <w:rPr>
                <w:color w:val="1C3A36"/>
                <w:sz w:val="14"/>
              </w:rPr>
              <w:t>9.50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Justified EV/EBITDA on mid-cycle FY2027E EBITDA. Riyadh Cables trades ~11.9x trailing EV/EBITDA and ~14.5x trailing earnings. The wire-and-cable peer set splits in two, and the first edition mischaracterised it as a single 7-11x band: developed-market majors (Prysmian, Nexans) trade ~7-9x forward…</w:t>
            </w:r>
          </w:p>
        </w:tc>
      </w:tr>
      <w:tr>
        <w:tc>
          <w:tcPr>
            <w:tcW w:type="dxa" w:w="1944"/>
          </w:tcPr>
          <w:p>
            <w:pPr>
              <w:spacing w:after="20"/>
            </w:pPr>
            <w:r>
              <w:rPr>
                <w:color w:val="1C3A36"/>
                <w:sz w:val="14"/>
              </w:rPr>
              <w:t>pe_just</w:t>
            </w:r>
          </w:p>
        </w:tc>
        <w:tc>
          <w:tcPr>
            <w:tcW w:type="dxa" w:w="1440"/>
          </w:tcPr>
          <w:p>
            <w:pPr>
              <w:spacing w:after="20"/>
              <w:jc w:val="right"/>
            </w:pPr>
            <w:r>
              <w:rPr>
                <w:color w:val="1C3A36"/>
                <w:sz w:val="14"/>
              </w:rPr>
              <w:t>13.00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Justified through-cycle P/E on normalised earnings. 13.0x for a high-return, low-leverage regional champion with a ~10% cost of equity and mid-single-digit durable growth. Bear 10.0x / bull 16.0x</w:t>
            </w:r>
          </w:p>
        </w:tc>
      </w:tr>
      <w:tr>
        <w:tc>
          <w:tcPr>
            <w:tcW w:type="dxa" w:w="1944"/>
          </w:tcPr>
          <w:p>
            <w:pPr>
              <w:spacing w:after="20"/>
            </w:pPr>
            <w:r>
              <w:rPr>
                <w:color w:val="1C3A36"/>
                <w:sz w:val="14"/>
              </w:rPr>
              <w:t>roe_sust</w:t>
            </w:r>
          </w:p>
        </w:tc>
        <w:tc>
          <w:tcPr>
            <w:tcW w:type="dxa" w:w="1440"/>
          </w:tcPr>
          <w:p>
            <w:pPr>
              <w:spacing w:after="20"/>
              <w:jc w:val="right"/>
            </w:pPr>
            <w:r>
              <w:rPr>
                <w:color w:val="1C3A36"/>
                <w:sz w:val="14"/>
              </w:rPr>
              <w:t>0.2800</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Sustainable return on equity for the book lens. Trailing ROE on average equity is ~36% (FY2025 net profit 1,084.8mn / average equity ~2,966mn); struck below it because the FY2024-25 prints were lifted by the metal tailwind and a large receivables book, and because retained-earnings growth dilutes…</w:t>
            </w:r>
          </w:p>
        </w:tc>
      </w:tr>
      <w:tr>
        <w:tc>
          <w:tcPr>
            <w:tcW w:type="dxa" w:w="1944"/>
          </w:tcPr>
          <w:p>
            <w:pPr>
              <w:spacing w:after="20"/>
            </w:pPr>
            <w:r>
              <w:rPr>
                <w:color w:val="1C3A36"/>
                <w:sz w:val="14"/>
              </w:rPr>
              <w:t>lens_weights</w:t>
            </w:r>
          </w:p>
        </w:tc>
        <w:tc>
          <w:tcPr>
            <w:tcW w:type="dxa" w:w="1440"/>
          </w:tcPr>
          <w:p>
            <w:pPr>
              <w:spacing w:after="20"/>
              <w:jc w:val="right"/>
            </w:pPr>
            <w:r>
              <w:rPr>
                <w:color w:val="1C3A36"/>
                <w:sz w:val="14"/>
              </w:rPr>
              <w:t>dcf=0.45; relative=0.2; normalized=0.2; book=0.15</w:t>
            </w:r>
          </w:p>
        </w:tc>
        <w:tc>
          <w:tcPr>
            <w:tcW w:type="dxa" w:w="1008"/>
          </w:tcPr>
          <w:p>
            <w:pPr>
              <w:spacing w:after="20"/>
              <w:jc w:val="right"/>
            </w:pPr>
            <w:r>
              <w:rPr>
                <w:color w:val="1C3A36"/>
                <w:sz w:val="14"/>
              </w:rPr>
              <w:t>2026-08-18</w:t>
            </w:r>
          </w:p>
        </w:tc>
        <w:tc>
          <w:tcPr>
            <w:tcW w:type="dxa" w:w="5832"/>
          </w:tcPr>
          <w:p>
            <w:pPr>
              <w:spacing w:after="20"/>
              <w:jc w:val="right"/>
            </w:pPr>
            <w:r>
              <w:rPr>
                <w:color w:val="1C3A36"/>
                <w:sz w:val="14"/>
              </w:rPr>
              <w:t>DCF primary for an operating manufacturer whose cash flows are directly modelled; the relative and normalised-earnings lenses carry equal secondary weight and the book lens least, because book value understates a business earning a ~30%+ return on it</w:t>
            </w:r>
          </w:p>
        </w:tc>
      </w:tr>
    </w:tbl>
    <w:p>
      <w:pPr>
        <w:spacing w:after="40"/>
      </w:pPr>
    </w:p>
    <w:p>
      <w:pPr>
        <w:spacing w:after="120" w:before="280"/>
      </w:pPr>
      <w:r>
        <w:rPr>
          <w:b/>
          <w:i w:val="0"/>
          <w:color w:val="1C3A36"/>
          <w:sz w:val="30"/>
        </w:rPr>
        <w:t>Key judgements — and what would overturn each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592"/>
        <w:gridCol w:w="4896"/>
      </w:tblGrid>
      <w:tr>
        <w:tc>
          <w:tcPr>
            <w:tcW w:type="dxa" w:w="2736"/>
            <w:shd w:val="clear" w:color="auto" w:fill="EAF0EE"/>
          </w:tcPr>
          <w:p>
            <w:pPr>
              <w:spacing w:after="20"/>
            </w:pPr>
            <w:r>
              <w:rPr>
                <w:b/>
                <w:color w:val="1C3A36"/>
                <w:sz w:val="15"/>
              </w:rPr>
              <w:t>Judgement</w:t>
            </w:r>
          </w:p>
        </w:tc>
        <w:tc>
          <w:tcPr>
            <w:tcW w:type="dxa" w:w="2592"/>
            <w:shd w:val="clear" w:color="auto" w:fill="EAF0EE"/>
          </w:tcPr>
          <w:p>
            <w:pPr>
              <w:spacing w:after="20"/>
            </w:pPr>
            <w:r>
              <w:rPr>
                <w:b/>
                <w:color w:val="1C3A36"/>
                <w:sz w:val="15"/>
              </w:rPr>
              <w:t>Set to</w:t>
            </w:r>
          </w:p>
        </w:tc>
        <w:tc>
          <w:tcPr>
            <w:tcW w:type="dxa" w:w="4896"/>
            <w:shd w:val="clear" w:color="auto" w:fill="EAF0EE"/>
          </w:tcPr>
          <w:p>
            <w:pPr>
              <w:spacing w:after="20"/>
            </w:pPr>
            <w:r>
              <w:rPr>
                <w:b/>
                <w:color w:val="1C3A36"/>
                <w:sz w:val="15"/>
              </w:rPr>
              <w:t>What would overturn it</w:t>
            </w:r>
          </w:p>
        </w:tc>
      </w:tr>
      <w:tr>
        <w:tc>
          <w:tcPr>
            <w:tcW w:type="dxa" w:w="2736"/>
          </w:tcPr>
          <w:p>
            <w:pPr>
              <w:spacing w:after="20"/>
            </w:pPr>
            <w:r>
              <w:rPr>
                <w:color w:val="1C3A36"/>
                <w:sz w:val="15"/>
              </w:rPr>
              <w:t>Sustained gross margin (the crux)</w:t>
            </w:r>
          </w:p>
        </w:tc>
        <w:tc>
          <w:tcPr>
            <w:tcW w:type="dxa" w:w="2592"/>
          </w:tcPr>
          <w:p>
            <w:pPr>
              <w:spacing w:after="20"/>
              <w:jc w:val="right"/>
            </w:pPr>
            <w:r>
              <w:rPr>
                <w:color w:val="1C3A36"/>
                <w:sz w:val="15"/>
              </w:rPr>
              <w:t>15.26% (H1-2026 anchor)</w:t>
            </w:r>
          </w:p>
        </w:tc>
        <w:tc>
          <w:tcPr>
            <w:tcW w:type="dxa" w:w="4896"/>
          </w:tcPr>
          <w:p>
            <w:pPr>
              <w:spacing w:after="20"/>
              <w:jc w:val="right"/>
            </w:pPr>
            <w:r>
              <w:rPr>
                <w:color w:val="1C3A36"/>
                <w:sz w:val="15"/>
              </w:rPr>
              <w:t>A run of quarterly gross margins settling materially above or below 14.5–16.0%</w:t>
            </w:r>
          </w:p>
        </w:tc>
      </w:tr>
      <w:tr>
        <w:tc>
          <w:tcPr>
            <w:tcW w:type="dxa" w:w="2736"/>
          </w:tcPr>
          <w:p>
            <w:pPr>
              <w:spacing w:after="20"/>
            </w:pPr>
            <w:r>
              <w:rPr>
                <w:color w:val="1C3A36"/>
                <w:sz w:val="15"/>
              </w:rPr>
              <w:t>Company class → lens</w:t>
            </w:r>
          </w:p>
        </w:tc>
        <w:tc>
          <w:tcPr>
            <w:tcW w:type="dxa" w:w="2592"/>
          </w:tcPr>
          <w:p>
            <w:pPr>
              <w:spacing w:after="20"/>
              <w:jc w:val="right"/>
            </w:pPr>
            <w:r>
              <w:rPr>
                <w:color w:val="1C3A36"/>
                <w:sz w:val="15"/>
              </w:rPr>
              <w:t>Operating manufacturer → DCF-primary</w:t>
            </w:r>
          </w:p>
        </w:tc>
        <w:tc>
          <w:tcPr>
            <w:tcW w:type="dxa" w:w="4896"/>
          </w:tcPr>
          <w:p>
            <w:pPr>
              <w:spacing w:after="20"/>
              <w:jc w:val="right"/>
            </w:pPr>
            <w:r>
              <w:rPr>
                <w:color w:val="1C3A36"/>
                <w:sz w:val="15"/>
              </w:rPr>
              <w:t>Evidence the business is better read as a project contractor or a holding company (the filings do not support that)</w:t>
            </w:r>
          </w:p>
        </w:tc>
      </w:tr>
      <w:tr>
        <w:tc>
          <w:tcPr>
            <w:tcW w:type="dxa" w:w="2736"/>
          </w:tcPr>
          <w:p>
            <w:pPr>
              <w:spacing w:after="20"/>
            </w:pPr>
            <w:r>
              <w:rPr>
                <w:color w:val="1C3A36"/>
                <w:sz w:val="15"/>
              </w:rPr>
              <w:t>Cost of equity ~10%</w:t>
            </w:r>
          </w:p>
        </w:tc>
        <w:tc>
          <w:tcPr>
            <w:tcW w:type="dxa" w:w="2592"/>
          </w:tcPr>
          <w:p>
            <w:pPr>
              <w:spacing w:after="20"/>
              <w:jc w:val="right"/>
            </w:pPr>
            <w:r>
              <w:rPr>
                <w:color w:val="1C3A36"/>
                <w:sz w:val="15"/>
              </w:rPr>
              <w:t>beta 1.129 × ERP 4.94% + rf*</w:t>
            </w:r>
          </w:p>
        </w:tc>
        <w:tc>
          <w:tcPr>
            <w:tcW w:type="dxa" w:w="4896"/>
          </w:tcPr>
          <w:p>
            <w:pPr>
              <w:spacing w:after="20"/>
              <w:jc w:val="right"/>
            </w:pPr>
            <w:r>
              <w:rPr>
                <w:color w:val="1C3A36"/>
                <w:sz w:val="15"/>
              </w:rPr>
              <w:t>A materially different beta on a longer listed history, or a change in the Saudi sovereign premium</w:t>
            </w:r>
          </w:p>
        </w:tc>
      </w:tr>
      <w:tr>
        <w:tc>
          <w:tcPr>
            <w:tcW w:type="dxa" w:w="2736"/>
          </w:tcPr>
          <w:p>
            <w:pPr>
              <w:spacing w:after="20"/>
            </w:pPr>
            <w:r>
              <w:rPr>
                <w:color w:val="1C3A36"/>
                <w:sz w:val="15"/>
              </w:rPr>
              <w:t>Terminal growth 4% nominal</w:t>
            </w:r>
          </w:p>
        </w:tc>
        <w:tc>
          <w:tcPr>
            <w:tcW w:type="dxa" w:w="2592"/>
          </w:tcPr>
          <w:p>
            <w:pPr>
              <w:spacing w:after="20"/>
              <w:jc w:val="right"/>
            </w:pPr>
            <w:r>
              <w:rPr>
                <w:color w:val="1C3A36"/>
                <w:sz w:val="15"/>
              </w:rPr>
              <w:t>4.0%</w:t>
            </w:r>
          </w:p>
        </w:tc>
        <w:tc>
          <w:tcPr>
            <w:tcW w:type="dxa" w:w="4896"/>
          </w:tcPr>
          <w:p>
            <w:pPr>
              <w:spacing w:after="20"/>
              <w:jc w:val="right"/>
            </w:pPr>
            <w:r>
              <w:rPr>
                <w:color w:val="1C3A36"/>
                <w:sz w:val="15"/>
              </w:rPr>
              <w:t>A durable change in Saudi construction/electrification demand</w:t>
            </w:r>
          </w:p>
        </w:tc>
      </w:tr>
      <w:tr>
        <w:tc>
          <w:tcPr>
            <w:tcW w:type="dxa" w:w="2736"/>
          </w:tcPr>
          <w:p>
            <w:pPr>
              <w:spacing w:after="20"/>
            </w:pPr>
            <w:r>
              <w:rPr>
                <w:color w:val="1C3A36"/>
                <w:sz w:val="15"/>
              </w:rPr>
              <w:t>Real volume growth ~8% tapering</w:t>
            </w:r>
          </w:p>
        </w:tc>
        <w:tc>
          <w:tcPr>
            <w:tcW w:type="dxa" w:w="2592"/>
          </w:tcPr>
          <w:p>
            <w:pPr>
              <w:spacing w:after="20"/>
              <w:jc w:val="right"/>
            </w:pPr>
            <w:r>
              <w:rPr>
                <w:color w:val="1C3A36"/>
                <w:sz w:val="15"/>
              </w:rPr>
              <w:t>from the H1-2026 volume-led print</w:t>
            </w:r>
          </w:p>
        </w:tc>
        <w:tc>
          <w:tcPr>
            <w:tcW w:type="dxa" w:w="4896"/>
          </w:tcPr>
          <w:p>
            <w:pPr>
              <w:spacing w:after="20"/>
              <w:jc w:val="right"/>
            </w:pPr>
            <w:r>
              <w:rPr>
                <w:color w:val="1C3A36"/>
                <w:sz w:val="15"/>
              </w:rPr>
              <w:t>Slower grid/construction spend, or evidence the H1-2026 volume surge was one-off</w:t>
            </w:r>
          </w:p>
        </w:tc>
      </w:tr>
      <w:tr>
        <w:tc>
          <w:tcPr>
            <w:tcW w:type="dxa" w:w="2736"/>
          </w:tcPr>
          <w:p>
            <w:pPr>
              <w:spacing w:after="20"/>
            </w:pPr>
            <w:r>
              <w:rPr>
                <w:color w:val="1C3A36"/>
                <w:sz w:val="15"/>
              </w:rPr>
              <w:t>Metal price path broadly flat</w:t>
            </w:r>
          </w:p>
        </w:tc>
        <w:tc>
          <w:tcPr>
            <w:tcW w:type="dxa" w:w="2592"/>
          </w:tcPr>
          <w:p>
            <w:pPr>
              <w:spacing w:after="20"/>
              <w:jc w:val="right"/>
            </w:pPr>
            <w:r>
              <w:rPr>
                <w:color w:val="1C3A36"/>
                <w:sz w:val="15"/>
              </w:rPr>
              <w:t>held near current</w:t>
            </w:r>
          </w:p>
        </w:tc>
        <w:tc>
          <w:tcPr>
            <w:tcW w:type="dxa" w:w="4896"/>
          </w:tcPr>
          <w:p>
            <w:pPr>
              <w:spacing w:after="20"/>
              <w:jc w:val="right"/>
            </w:pPr>
            <w:r>
              <w:rPr>
                <w:color w:val="1C3A36"/>
                <w:sz w:val="15"/>
              </w:rPr>
              <w:t>A sustained directional move in copper/aluminium (carried in the sensitivity)</w:t>
            </w:r>
          </w:p>
        </w:tc>
      </w:tr>
      <w:tr>
        <w:tc>
          <w:tcPr>
            <w:tcW w:type="dxa" w:w="2736"/>
          </w:tcPr>
          <w:p>
            <w:pPr>
              <w:spacing w:after="20"/>
            </w:pPr>
            <w:r>
              <w:rPr>
                <w:color w:val="1C3A36"/>
                <w:sz w:val="15"/>
              </w:rPr>
              <w:t>Effective zakat/tax 9.5%</w:t>
            </w:r>
          </w:p>
        </w:tc>
        <w:tc>
          <w:tcPr>
            <w:tcW w:type="dxa" w:w="2592"/>
          </w:tcPr>
          <w:p>
            <w:pPr>
              <w:spacing w:after="20"/>
              <w:jc w:val="right"/>
            </w:pPr>
            <w:r>
              <w:rPr>
                <w:color w:val="1C3A36"/>
                <w:sz w:val="15"/>
              </w:rPr>
              <w:t>above the FY2025 9.0% print</w:t>
            </w:r>
          </w:p>
        </w:tc>
        <w:tc>
          <w:tcPr>
            <w:tcW w:type="dxa" w:w="4896"/>
          </w:tcPr>
          <w:p>
            <w:pPr>
              <w:spacing w:after="20"/>
              <w:jc w:val="right"/>
            </w:pPr>
            <w:r>
              <w:rPr>
                <w:color w:val="1C3A36"/>
                <w:sz w:val="15"/>
              </w:rPr>
              <w:t>A change in the zakat/tax regime or in the foreign-profit share</w:t>
            </w:r>
          </w:p>
        </w:tc>
      </w:tr>
    </w:tbl>
    <w:p>
      <w:pPr>
        <w:spacing w:after="40"/>
      </w:pPr>
    </w:p>
    <w:p>
      <w:pPr>
        <w:spacing w:after="120" w:before="280"/>
      </w:pPr>
      <w:r>
        <w:rPr>
          <w:b/>
          <w:i w:val="0"/>
          <w:color w:val="1C3A36"/>
          <w:sz w:val="30"/>
        </w:rPr>
        <w:t>Negative results — searched,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2880"/>
        <w:gridCol w:w="4896"/>
      </w:tblGrid>
      <w:tr>
        <w:tc>
          <w:tcPr>
            <w:tcW w:type="dxa" w:w="2448"/>
            <w:shd w:val="clear" w:color="auto" w:fill="EAF0EE"/>
          </w:tcPr>
          <w:p>
            <w:pPr>
              <w:spacing w:after="20"/>
            </w:pPr>
            <w:r>
              <w:rPr>
                <w:b/>
                <w:color w:val="1C3A36"/>
                <w:sz w:val="15"/>
              </w:rPr>
              <w:t>Item</w:t>
            </w:r>
          </w:p>
        </w:tc>
        <w:tc>
          <w:tcPr>
            <w:tcW w:type="dxa" w:w="2880"/>
            <w:shd w:val="clear" w:color="auto" w:fill="EAF0EE"/>
          </w:tcPr>
          <w:p>
            <w:pPr>
              <w:spacing w:after="20"/>
            </w:pPr>
            <w:r>
              <w:rPr>
                <w:b/>
                <w:color w:val="1C3A36"/>
                <w:sz w:val="15"/>
              </w:rPr>
              <w:t>What was sought</w:t>
            </w:r>
          </w:p>
        </w:tc>
        <w:tc>
          <w:tcPr>
            <w:tcW w:type="dxa" w:w="4896"/>
            <w:shd w:val="clear" w:color="auto" w:fill="EAF0EE"/>
          </w:tcPr>
          <w:p>
            <w:pPr>
              <w:spacing w:after="20"/>
            </w:pPr>
            <w:r>
              <w:rPr>
                <w:b/>
                <w:color w:val="1C3A36"/>
                <w:sz w:val="15"/>
              </w:rPr>
              <w:t>Outcome</w:t>
            </w:r>
          </w:p>
        </w:tc>
      </w:tr>
      <w:tr>
        <w:tc>
          <w:tcPr>
            <w:tcW w:type="dxa" w:w="2448"/>
          </w:tcPr>
          <w:p>
            <w:pPr>
              <w:spacing w:after="20"/>
            </w:pPr>
            <w:r>
              <w:rPr>
                <w:color w:val="1C3A36"/>
                <w:sz w:val="15"/>
              </w:rPr>
              <w:t>Company IR website (direct)</w:t>
            </w:r>
          </w:p>
        </w:tc>
        <w:tc>
          <w:tcPr>
            <w:tcW w:type="dxa" w:w="2880"/>
          </w:tcPr>
          <w:p>
            <w:pPr>
              <w:spacing w:after="20"/>
              <w:jc w:val="right"/>
            </w:pPr>
            <w:r>
              <w:rPr>
                <w:color w:val="1C3A36"/>
                <w:sz w:val="15"/>
              </w:rPr>
              <w:t>The audited statements from riyadh-cables.com</w:t>
            </w:r>
          </w:p>
        </w:tc>
        <w:tc>
          <w:tcPr>
            <w:tcW w:type="dxa" w:w="4896"/>
          </w:tcPr>
          <w:p>
            <w:pPr>
              <w:spacing w:after="20"/>
              <w:jc w:val="right"/>
            </w:pPr>
            <w:r>
              <w:rPr>
                <w:color w:val="1C3A36"/>
                <w:sz w:val="15"/>
              </w:rPr>
              <w:t>Blocked by an automated-traffic challenge; the requester supplied the four audited statement sets directly, which are the build source</w:t>
            </w:r>
          </w:p>
        </w:tc>
      </w:tr>
      <w:tr>
        <w:tc>
          <w:tcPr>
            <w:tcW w:type="dxa" w:w="2448"/>
          </w:tcPr>
          <w:p>
            <w:pPr>
              <w:spacing w:after="20"/>
            </w:pPr>
            <w:r>
              <w:rPr>
                <w:color w:val="1C3A36"/>
                <w:sz w:val="15"/>
              </w:rPr>
              <w:t>Cable tonnage / volumes</w:t>
            </w:r>
          </w:p>
        </w:tc>
        <w:tc>
          <w:tcPr>
            <w:tcW w:type="dxa" w:w="2880"/>
          </w:tcPr>
          <w:p>
            <w:pPr>
              <w:spacing w:after="20"/>
              <w:jc w:val="right"/>
            </w:pPr>
            <w:r>
              <w:rPr>
                <w:color w:val="1C3A36"/>
                <w:sz w:val="15"/>
              </w:rPr>
              <w:t>A disclosed physical volume to build a literal unit model</w:t>
            </w:r>
          </w:p>
        </w:tc>
        <w:tc>
          <w:tcPr>
            <w:tcW w:type="dxa" w:w="4896"/>
          </w:tcPr>
          <w:p>
            <w:pPr>
              <w:spacing w:after="20"/>
              <w:jc w:val="right"/>
            </w:pPr>
            <w:r>
              <w:rPr>
                <w:color w:val="1C3A36"/>
                <w:sz w:val="15"/>
              </w:rPr>
              <w:t>Not disclosed; a tonnage index is used and flagged</w:t>
            </w:r>
          </w:p>
        </w:tc>
      </w:tr>
      <w:tr>
        <w:tc>
          <w:tcPr>
            <w:tcW w:type="dxa" w:w="2448"/>
          </w:tcPr>
          <w:p>
            <w:pPr>
              <w:spacing w:after="20"/>
            </w:pPr>
            <w:r>
              <w:rPr>
                <w:color w:val="1C3A36"/>
                <w:sz w:val="15"/>
              </w:rPr>
              <w:t>Full H1-2026 interim statements</w:t>
            </w:r>
          </w:p>
        </w:tc>
        <w:tc>
          <w:tcPr>
            <w:tcW w:type="dxa" w:w="2880"/>
          </w:tcPr>
          <w:p>
            <w:pPr>
              <w:spacing w:after="20"/>
              <w:jc w:val="right"/>
            </w:pPr>
            <w:r>
              <w:rPr>
                <w:color w:val="1C3A36"/>
                <w:sz w:val="15"/>
              </w:rPr>
              <w:t>The complete reviewed half-year balance sheet and cash flow</w:t>
            </w:r>
          </w:p>
        </w:tc>
        <w:tc>
          <w:tcPr>
            <w:tcW w:type="dxa" w:w="4896"/>
          </w:tcPr>
          <w:p>
            <w:pPr>
              <w:spacing w:after="20"/>
              <w:jc w:val="right"/>
            </w:pPr>
            <w:r>
              <w:rPr>
                <w:color w:val="1C3A36"/>
                <w:sz w:val="15"/>
              </w:rPr>
              <w:t>Only the summary reviewed results were reachable; used as the near-term anchor, with the full-year balance sheet (31-Dec-2025) as the bridge base</w:t>
            </w:r>
          </w:p>
        </w:tc>
      </w:tr>
      <w:tr>
        <w:tc>
          <w:tcPr>
            <w:tcW w:type="dxa" w:w="2448"/>
          </w:tcPr>
          <w:p>
            <w:pPr>
              <w:spacing w:after="20"/>
            </w:pPr>
            <w:r>
              <w:rPr>
                <w:color w:val="1C3A36"/>
                <w:sz w:val="15"/>
              </w:rPr>
              <w:t>Order book / backlog</w:t>
            </w:r>
          </w:p>
        </w:tc>
        <w:tc>
          <w:tcPr>
            <w:tcW w:type="dxa" w:w="2880"/>
          </w:tcPr>
          <w:p>
            <w:pPr>
              <w:spacing w:after="20"/>
              <w:jc w:val="right"/>
            </w:pPr>
            <w:r>
              <w:rPr>
                <w:color w:val="1C3A36"/>
                <w:sz w:val="15"/>
              </w:rPr>
              <w:t>A backlog figure for the high-voltage turnkey segment</w:t>
            </w:r>
          </w:p>
        </w:tc>
        <w:tc>
          <w:tcPr>
            <w:tcW w:type="dxa" w:w="4896"/>
          </w:tcPr>
          <w:p>
            <w:pPr>
              <w:spacing w:after="20"/>
              <w:jc w:val="right"/>
            </w:pPr>
            <w:r>
              <w:rPr>
                <w:color w:val="1C3A36"/>
                <w:sz w:val="15"/>
              </w:rPr>
              <w:t>Not separately disclosed; the small segment is grown on its own revenue history</w:t>
            </w:r>
          </w:p>
        </w:tc>
      </w:tr>
      <w:tr>
        <w:tc>
          <w:tcPr>
            <w:tcW w:type="dxa" w:w="2448"/>
          </w:tcPr>
          <w:p>
            <w:pPr>
              <w:spacing w:after="20"/>
            </w:pPr>
            <w:r>
              <w:rPr>
                <w:color w:val="1C3A36"/>
                <w:sz w:val="15"/>
              </w:rPr>
              <w:t>Formal revenue guidance</w:t>
            </w:r>
          </w:p>
        </w:tc>
        <w:tc>
          <w:tcPr>
            <w:tcW w:type="dxa" w:w="2880"/>
          </w:tcPr>
          <w:p>
            <w:pPr>
              <w:spacing w:after="20"/>
              <w:jc w:val="right"/>
            </w:pPr>
            <w:r>
              <w:rPr>
                <w:color w:val="1C3A36"/>
                <w:sz w:val="15"/>
              </w:rPr>
              <w:t>Management numeric guidance</w:t>
            </w:r>
          </w:p>
        </w:tc>
        <w:tc>
          <w:tcPr>
            <w:tcW w:type="dxa" w:w="4896"/>
          </w:tcPr>
          <w:p>
            <w:pPr>
              <w:spacing w:after="20"/>
              <w:jc w:val="right"/>
            </w:pPr>
            <w:r>
              <w:rPr>
                <w:color w:val="1C3A36"/>
                <w:sz w:val="15"/>
              </w:rPr>
              <w:t>None issued; drivers are built from the disclosed history and the reviewed half-year</w:t>
            </w:r>
          </w:p>
        </w:tc>
      </w:tr>
    </w:tbl>
    <w:p>
      <w:pPr>
        <w:spacing w:after="40"/>
      </w:pPr>
    </w:p>
    <w:p>
      <w:pPr>
        <w:spacing w:after="120" w:before="280"/>
      </w:pPr>
      <w:r>
        <w:rPr>
          <w:b/>
          <w:i w:val="0"/>
          <w:color w:val="1C3A36"/>
          <w:sz w:val="30"/>
        </w:rPr>
        <w:t>Aggregator-discrepancy note</w:t>
      </w:r>
    </w:p>
    <w:p>
      <w:pPr>
        <w:spacing w:after="120" w:before="0"/>
      </w:pPr>
      <w:r>
        <w:rPr>
          <w:b w:val="0"/>
          <w:i w:val="0"/>
          <w:color w:val="1C3A36"/>
          <w:sz w:val="21"/>
        </w:rPr>
        <w:t>Where public aggregators (used only as cross-checks) were consulted, their headline figures were consistent with the audited statements: 2025 revenue near SAR 10.67bn and net profit near SAR 1.08bn matched the audited income statement, and the Tadawul-filed results announcements matched the underlying statements. No material discrepancy was found; in every case the audited or exchange-filed figure was used and the aggregator was discarded.</w:t>
      </w:r>
    </w:p>
    <w:p>
      <w:pPr>
        <w:spacing w:after="120" w:before="280"/>
      </w:pPr>
      <w:r>
        <w:rPr>
          <w:b/>
          <w:i w:val="0"/>
          <w:color w:val="1C3A36"/>
          <w:sz w:val="30"/>
        </w:rPr>
        <w:t>Primary-access log</w:t>
      </w:r>
    </w:p>
    <w:p>
      <w:pPr>
        <w:spacing w:after="80" w:before="0"/>
      </w:pPr>
      <w:r>
        <w:rPr>
          <w:b/>
          <w:i w:val="0"/>
          <w:color w:val="1C3A36"/>
          <w:sz w:val="16"/>
        </w:rPr>
        <w:t xml:space="preserve">https://riyadh-cables.com/investor-relations/ </w:t>
      </w:r>
      <w:r>
        <w:rPr>
          <w:b w:val="0"/>
          <w:i w:val="0"/>
          <w:color w:val="1C3A36"/>
          <w:sz w:val="16"/>
        </w:rPr>
        <w:t>(blocked, 2026-08-18) — The company IR site sits behind an 'sgcaptcha' bot-protection wall that blocked automated retrieval (HTTP 202 JS challenge to curl; empty render to the page fetcher; a headless browser could not complete the challenge). Verified NOT an egress-proxy fault (the proxy returned 200 for a control host and reached the company origin, receiving its challenge). Per the primary-source discipline, the analyst stopped and asked rather than substituting an aggregator; the requester then supplied the four audited annual statement sets directly — the rule working.</w:t>
      </w:r>
    </w:p>
    <w:p>
      <w:pPr>
        <w:spacing w:after="80" w:before="0"/>
      </w:pPr>
      <w:r>
        <w:rPr>
          <w:b/>
          <w:i w:val="0"/>
          <w:color w:val="1C3A36"/>
          <w:sz w:val="16"/>
        </w:rPr>
        <w:t xml:space="preserve">https://www.saudiexchange.sa/.../issuer-announcements-details/?anId=97051&amp;cs=4142 </w:t>
      </w:r>
      <w:r>
        <w:rPr>
          <w:b w:val="0"/>
          <w:i w:val="0"/>
          <w:color w:val="1C3A36"/>
          <w:sz w:val="16"/>
        </w:rPr>
        <w:t>(reached, 2026-08-18) — Tadawul issuer-announcement portal — reachable; the official filed H1-2026 reviewed interim results announcement read here (revenue, gross profit, operating profit, net profit vs prior period).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