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used. A discounted cash-flow model built up from tonnes and costs carries half the weight. Relative multiples, normalised earnings power and replacement cost carry the rest, and each is reported with the reason its weight is what it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per tonne of cement</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shd w:val="clear" w:color="auto" w:fill="F6F1E6"/>
          </w:tcPr>
          <w:p>
            <w:pPr>
              <w:spacing w:after="20"/>
            </w:pPr>
            <w:r>
              <w:rPr>
                <w:b/>
                <w:color w:val="1C3A36"/>
                <w:sz w:val="18"/>
              </w:rPr>
              <w:t>Total cash cost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per tonne and the margin it produces. EBITDA is an OUTPUT of this build, not an input to it.</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which on 5.0Mt of capacity is about USD 12 per annual tonne including construction in progress — against a replacement cost of USD 130. The book is carrying the plant at roughly a tenth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728"/>
        <w:gridCol w:w="1440"/>
        <w:gridCol w:w="2304"/>
      </w:tblGrid>
      <w:tr>
        <w:tc>
          <w:tcPr>
            <w:tcW w:type="dxa" w:w="3744"/>
            <w:shd w:val="clear" w:color="auto" w:fill="EAF0EE"/>
          </w:tcPr>
          <w:p>
            <w:pPr>
              <w:spacing w:after="20"/>
            </w:pPr>
            <w:r>
              <w:rPr>
                <w:b/>
                <w:color w:val="1C3A36"/>
                <w:sz w:val="18"/>
              </w:rPr>
              <w:t>Facility</w:t>
            </w:r>
          </w:p>
        </w:tc>
        <w:tc>
          <w:tcPr>
            <w:tcW w:type="dxa" w:w="1728"/>
            <w:shd w:val="clear" w:color="auto" w:fill="EAF0EE"/>
          </w:tcPr>
          <w:p>
            <w:pPr>
              <w:spacing w:after="20"/>
            </w:pPr>
            <w:r>
              <w:rPr>
                <w:b/>
                <w:color w:val="1C3A36"/>
                <w:sz w:val="18"/>
              </w:rPr>
              <w:t>Balance (EGP mn)</w:t>
            </w:r>
          </w:p>
        </w:tc>
        <w:tc>
          <w:tcPr>
            <w:tcW w:type="dxa" w:w="1440"/>
            <w:shd w:val="clear" w:color="auto" w:fill="EAF0EE"/>
          </w:tcPr>
          <w:p>
            <w:pPr>
              <w:spacing w:after="20"/>
            </w:pPr>
            <w:r>
              <w:rPr>
                <w:b/>
                <w:color w:val="1C3A36"/>
                <w:sz w:val="18"/>
              </w:rPr>
              <w:t>Currency</w:t>
            </w:r>
          </w:p>
        </w:tc>
        <w:tc>
          <w:tcPr>
            <w:tcW w:type="dxa" w:w="2304"/>
            <w:shd w:val="clear" w:color="auto" w:fill="EAF0EE"/>
          </w:tcPr>
          <w:p>
            <w:pPr>
              <w:spacing w:after="20"/>
            </w:pPr>
            <w:r>
              <w:rPr>
                <w:b/>
                <w:color w:val="1C3A36"/>
                <w:sz w:val="18"/>
              </w:rPr>
              <w:t>Contractual rate</w:t>
            </w:r>
          </w:p>
        </w:tc>
      </w:tr>
      <w:tr>
        <w:tc>
          <w:tcPr>
            <w:tcW w:type="dxa" w:w="3744"/>
          </w:tcPr>
          <w:p>
            <w:pPr>
              <w:spacing w:after="20"/>
            </w:pPr>
            <w:r>
              <w:rPr>
                <w:color w:val="1C3A36"/>
                <w:sz w:val="18"/>
              </w:rPr>
              <w:t>CIB credit facilities</w:t>
            </w:r>
          </w:p>
        </w:tc>
        <w:tc>
          <w:tcPr>
            <w:tcW w:type="dxa" w:w="1728"/>
          </w:tcPr>
          <w:p>
            <w:pPr>
              <w:spacing w:after="20"/>
              <w:jc w:val="right"/>
            </w:pPr>
            <w:r>
              <w:rPr>
                <w:color w:val="1C3A36"/>
                <w:sz w:val="18"/>
              </w:rPr>
              <w:t>100</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corridor + 0.6% = 20.60%</w:t>
            </w:r>
          </w:p>
        </w:tc>
      </w:tr>
      <w:tr>
        <w:tc>
          <w:tcPr>
            <w:tcW w:type="dxa" w:w="3744"/>
          </w:tcPr>
          <w:p>
            <w:pPr>
              <w:spacing w:after="20"/>
            </w:pPr>
            <w:r>
              <w:rPr>
                <w:color w:val="1C3A36"/>
                <w:sz w:val="18"/>
              </w:rPr>
              <w:t>National Bank of Egypt / KfW</w:t>
            </w:r>
          </w:p>
        </w:tc>
        <w:tc>
          <w:tcPr>
            <w:tcW w:type="dxa" w:w="1728"/>
          </w:tcPr>
          <w:p>
            <w:pPr>
              <w:spacing w:after="20"/>
              <w:jc w:val="right"/>
            </w:pPr>
            <w:r>
              <w:rPr>
                <w:color w:val="1C3A36"/>
                <w:sz w:val="18"/>
              </w:rPr>
              <w:t>146</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+ 3.00% = 5.49%</w:t>
            </w:r>
          </w:p>
        </w:tc>
      </w:tr>
      <w:tr>
        <w:tc>
          <w:tcPr>
            <w:tcW w:type="dxa" w:w="3744"/>
          </w:tcPr>
          <w:p>
            <w:pPr>
              <w:spacing w:after="20"/>
            </w:pPr>
            <w:r>
              <w:rPr>
                <w:color w:val="1C3A36"/>
                <w:sz w:val="18"/>
              </w:rPr>
              <w:t>European Bank for Reconstruction and Development</w:t>
            </w:r>
          </w:p>
        </w:tc>
        <w:tc>
          <w:tcPr>
            <w:tcW w:type="dxa" w:w="1728"/>
          </w:tcPr>
          <w:p>
            <w:pPr>
              <w:spacing w:after="20"/>
              <w:jc w:val="right"/>
            </w:pPr>
            <w:r>
              <w:rPr>
                <w:color w:val="1C3A36"/>
                <w:sz w:val="18"/>
              </w:rPr>
              <w:t>888</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+ 4.35% = 6.84%</w:t>
            </w:r>
          </w:p>
        </w:tc>
      </w:tr>
      <w:tr>
        <w:tc>
          <w:tcPr>
            <w:tcW w:type="dxa" w:w="3744"/>
          </w:tcPr>
          <w:p>
            <w:pPr>
              <w:spacing w:after="20"/>
            </w:pPr>
            <w:r>
              <w:rPr>
                <w:color w:val="1C3A36"/>
                <w:sz w:val="18"/>
              </w:rPr>
              <w:t>Lease liabilities</w:t>
            </w:r>
          </w:p>
        </w:tc>
        <w:tc>
          <w:tcPr>
            <w:tcW w:type="dxa" w:w="1728"/>
          </w:tcPr>
          <w:p>
            <w:pPr>
              <w:spacing w:after="20"/>
              <w:jc w:val="right"/>
            </w:pPr>
            <w:r>
              <w:rPr>
                <w:color w:val="1C3A36"/>
                <w:sz w:val="18"/>
              </w:rPr>
              <w:t>1.2</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w:t>
            </w:r>
          </w:p>
        </w:tc>
      </w:tr>
      <w:tr>
        <w:tc>
          <w:tcPr>
            <w:tcW w:type="dxa" w:w="3744"/>
            <w:shd w:val="clear" w:color="auto" w:fill="F6F1E6"/>
          </w:tcPr>
          <w:p>
            <w:pPr>
              <w:spacing w:after="20"/>
            </w:pPr>
            <w:r>
              <w:rPr>
                <w:b/>
                <w:color w:val="1C3A36"/>
                <w:sz w:val="18"/>
              </w:rPr>
              <w:t>Blended cost of debt, adopted</w:t>
            </w:r>
          </w:p>
        </w:tc>
        <w:tc>
          <w:tcPr>
            <w:tcW w:type="dxa" w:w="1728"/>
            <w:shd w:val="clear" w:color="auto" w:fill="F6F1E6"/>
          </w:tcPr>
          <w:p>
            <w:pPr>
              <w:spacing w:after="20"/>
              <w:jc w:val="right"/>
            </w:pPr>
            <w:r>
              <w:rPr>
                <w:b/>
                <w:color w:val="1C3A36"/>
                <w:sz w:val="18"/>
              </w:rPr>
              <w:t>1,135</w:t>
            </w:r>
          </w:p>
        </w:tc>
        <w:tc>
          <w:tcPr>
            <w:tcW w:type="dxa" w:w="1440"/>
            <w:shd w:val="clear" w:color="auto" w:fill="F6F1E6"/>
          </w:tcPr>
          <w:p>
            <w:pPr>
              <w:spacing w:after="20"/>
              <w:jc w:val="right"/>
            </w:pPr>
            <w:r>
              <w:rPr>
                <w:b/>
                <w:color w:val="1C3A36"/>
                <w:sz w:val="18"/>
              </w:rPr>
              <w:t>91% EUR</w:t>
            </w:r>
          </w:p>
        </w:tc>
        <w:tc>
          <w:tcPr>
            <w:tcW w:type="dxa" w:w="2304"/>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The blended rate is built in the model from these four lines, not pasted.</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contractual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The marginal contractual rate is the right one for a forward-looking discount rate, and the gap is disclosed so the reader can disagree.</w:t>
      </w:r>
    </w:p>
    <w:p>
      <w:pPr>
        <w:spacing w:after="120" w:before="0"/>
      </w:pPr>
      <w:r>
        <w:rPr>
          <w:b w:val="0"/>
          <w:i w:val="0"/>
          <w:color w:val="1C3A36"/>
          <w:sz w:val="21"/>
        </w:rPr>
        <w:t>One caution belongs next to that number. Adopting the contracted euro rate means the euro debt is NOT compensated for pound depreciation beyond what this study's own currency path already assumes. Loading the euro legs with 6% annual pound depreciation under interest parity gives a pound-equivalent cost of debt of 13.36% — nearly twice the adopted figure. The alternative is computed as a VALUE and not merely described: it is worth +0.2% of the cash-flow lens, because debt is only 3.8% of the capital structure. A large swing in a small weight is still a small effect, and saying so is not the same as dismissing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1,545</w:t>
            </w:r>
          </w:p>
        </w:tc>
        <w:tc>
          <w:tcPr>
            <w:tcW w:type="dxa" w:w="1325"/>
            <w:shd w:val="clear" w:color="auto" w:fill="F6F1E6"/>
          </w:tcPr>
          <w:p>
            <w:pPr>
              <w:spacing w:after="20"/>
              <w:jc w:val="right"/>
            </w:pPr>
            <w:r>
              <w:rPr>
                <w:b/>
                <w:color w:val="1C3A36"/>
                <w:sz w:val="17"/>
              </w:rPr>
              <w:t>3,480</w:t>
            </w:r>
          </w:p>
        </w:tc>
        <w:tc>
          <w:tcPr>
            <w:tcW w:type="dxa" w:w="1325"/>
            <w:shd w:val="clear" w:color="auto" w:fill="F6F1E6"/>
          </w:tcPr>
          <w:p>
            <w:pPr>
              <w:spacing w:after="20"/>
              <w:jc w:val="right"/>
            </w:pPr>
            <w:r>
              <w:rPr>
                <w:b/>
                <w:color w:val="1C3A36"/>
                <w:sz w:val="17"/>
              </w:rPr>
              <w:t>3,960</w:t>
            </w:r>
          </w:p>
        </w:tc>
        <w:tc>
          <w:tcPr>
            <w:tcW w:type="dxa" w:w="1325"/>
            <w:shd w:val="clear" w:color="auto" w:fill="F6F1E6"/>
          </w:tcPr>
          <w:p>
            <w:pPr>
              <w:spacing w:after="20"/>
              <w:jc w:val="right"/>
            </w:pPr>
            <w:r>
              <w:rPr>
                <w:b/>
                <w:color w:val="1C3A36"/>
                <w:sz w:val="17"/>
              </w:rPr>
              <w:t>4,362</w:t>
            </w:r>
          </w:p>
        </w:tc>
        <w:tc>
          <w:tcPr>
            <w:tcW w:type="dxa" w:w="1325"/>
            <w:shd w:val="clear" w:color="auto" w:fill="F6F1E6"/>
          </w:tcPr>
          <w:p>
            <w:pPr>
              <w:spacing w:after="20"/>
              <w:jc w:val="right"/>
            </w:pPr>
            <w:r>
              <w:rPr>
                <w:b/>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in the terminal year is 11.3%.</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nearly three: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-29.0%</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-24.9%</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-20.8%</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-32.0%</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-14.0%</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-24.9%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-21.6%</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-19.5%</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-18.2%</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-29.5%</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-31.2%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-37.5%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-21.6%</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-54.5%</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contractual, not paid. </w:t>
      </w:r>
      <w:r>
        <w:rPr>
          <w:color w:val="1C3A36"/>
          <w:sz w:val="21"/>
        </w:rPr>
        <w:t>The blended 13.36% sits above the 5.03% that FY2025 interest over average debt gives and the 3.73% the first quarter of 2026 annualises to, because the book re-based mid-year and interest on assets still under construction is capitalised. Adopting the contracted euro rate also means the euro debt is not compensated for pound depreciation beyond the currency path assumed here; the pound-equivalent alternative is 13.36%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