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74.52 per share against a market price of 105.20 — the price sits about +41% above the central estimate. That gap is not mainly an argument about the business; it is an argument about the discount rate. Discounted at an Egyptian cost of equity of 28.4%, the cash flows support roughly EGP 63.10. Discount the hard-currency share of those same cash flows at a hard-currency cost of capital of about 10.1% and the same model produces EGP 91.15,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35.37 – 110.39</w:t>
            </w:r>
          </w:p>
        </w:tc>
        <w:tc>
          <w:tcPr>
            <w:tcW w:type="dxa" w:w="1037"/>
          </w:tcPr>
          <w:p>
            <w:pPr>
              <w:spacing w:after="20"/>
              <w:jc w:val="right"/>
            </w:pPr>
            <w:r>
              <w:rPr>
                <w:color w:val="1C3A36"/>
                <w:sz w:val="17"/>
              </w:rPr>
              <w:t>63.10</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61.23 – 91.62</w:t>
            </w:r>
          </w:p>
        </w:tc>
        <w:tc>
          <w:tcPr>
            <w:tcW w:type="dxa" w:w="1037"/>
          </w:tcPr>
          <w:p>
            <w:pPr>
              <w:spacing w:after="20"/>
              <w:jc w:val="right"/>
            </w:pPr>
            <w:r>
              <w:rPr>
                <w:color w:val="1C3A36"/>
                <w:sz w:val="17"/>
              </w:rPr>
              <w:t>73.38</w:t>
            </w:r>
          </w:p>
        </w:tc>
        <w:tc>
          <w:tcPr>
            <w:tcW w:type="dxa" w:w="907"/>
          </w:tcPr>
          <w:p>
            <w:pPr>
              <w:spacing w:after="20"/>
              <w:jc w:val="right"/>
            </w:pPr>
            <w:r>
              <w:rPr>
                <w:color w:val="1C3A36"/>
                <w:sz w:val="17"/>
              </w:rPr>
              <w:t>-30%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94.04 – 154.50</w:t>
            </w:r>
          </w:p>
        </w:tc>
        <w:tc>
          <w:tcPr>
            <w:tcW w:type="dxa" w:w="1037"/>
          </w:tcPr>
          <w:p>
            <w:pPr>
              <w:spacing w:after="20"/>
              <w:jc w:val="right"/>
            </w:pPr>
            <w:r>
              <w:rPr>
                <w:color w:val="1C3A36"/>
                <w:sz w:val="17"/>
              </w:rPr>
              <w:t>120.91</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32.92/share at a sustainable return on equity of 23.5%</w:t>
            </w:r>
          </w:p>
        </w:tc>
        <w:tc>
          <w:tcPr>
            <w:tcW w:type="dxa" w:w="1656"/>
          </w:tcPr>
          <w:p>
            <w:pPr>
              <w:spacing w:after="20"/>
              <w:jc w:val="right"/>
            </w:pPr>
            <w:r>
              <w:rPr>
                <w:color w:val="1C3A36"/>
                <w:sz w:val="17"/>
              </w:rPr>
              <w:t>33.77 – 53.71</w:t>
            </w:r>
          </w:p>
        </w:tc>
        <w:tc>
          <w:tcPr>
            <w:tcW w:type="dxa" w:w="1037"/>
          </w:tcPr>
          <w:p>
            <w:pPr>
              <w:spacing w:after="20"/>
              <w:jc w:val="right"/>
            </w:pPr>
            <w:r>
              <w:rPr>
                <w:color w:val="1C3A36"/>
                <w:sz w:val="17"/>
              </w:rPr>
              <w:t>48.47</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33.77 – 154.50</w:t>
            </w:r>
          </w:p>
        </w:tc>
        <w:tc>
          <w:tcPr>
            <w:tcW w:type="dxa" w:w="1037"/>
            <w:shd w:val="clear" w:color="auto" w:fill="F6F1E6"/>
          </w:tcPr>
          <w:p>
            <w:pPr>
              <w:spacing w:after="20"/>
              <w:jc w:val="right"/>
            </w:pPr>
            <w:r>
              <w:rPr>
                <w:b/>
                <w:color w:val="1C3A36"/>
                <w:sz w:val="17"/>
              </w:rPr>
              <w:t>74.52</w:t>
            </w:r>
          </w:p>
        </w:tc>
        <w:tc>
          <w:tcPr>
            <w:tcW w:type="dxa" w:w="907"/>
            <w:shd w:val="clear" w:color="auto" w:fill="F6F1E6"/>
          </w:tcPr>
          <w:p>
            <w:pPr>
              <w:spacing w:after="20"/>
              <w:jc w:val="right"/>
            </w:pPr>
            <w:r>
              <w:rPr>
                <w:b/>
                <w:color w:val="1C3A36"/>
                <w:sz w:val="17"/>
              </w:rPr>
              <w:t>-29%</w:t>
            </w:r>
          </w:p>
        </w:tc>
      </w:tr>
      <w:tr>
        <w:tc>
          <w:tcPr>
            <w:tcW w:type="dxa" w:w="1872"/>
          </w:tcPr>
          <w:p>
            <w:pPr>
              <w:spacing w:after="20"/>
            </w:pPr>
            <w:r>
              <w:rPr>
                <w:color w:val="1C3A36"/>
                <w:sz w:val="17"/>
              </w:rPr>
              <w:t>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r>
        <w:tc>
          <w:tcPr>
            <w:tcW w:type="dxa" w:w="1872"/>
            <w:shd w:val="clear" w:color="auto" w:fill="F6F1E6"/>
          </w:tcPr>
          <w:p>
            <w:pPr>
              <w:spacing w:after="20"/>
            </w:pPr>
            <w:r>
              <w:rPr>
                <w:b/>
                <w:color w:val="1C3A36"/>
                <w:sz w:val="17"/>
              </w:rPr>
              <w:t>ALTERNATIVE READINGS — not included in the weighted central above</w:t>
            </w:r>
          </w:p>
        </w:tc>
        <w:tc>
          <w:tcPr>
            <w:tcW w:type="dxa" w:w="3960"/>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c>
          <w:tcPr>
            <w:tcW w:type="dxa" w:w="1037"/>
            <w:shd w:val="clear" w:color="auto" w:fill="F6F1E6"/>
          </w:tcPr>
          <w:p>
            <w:pPr>
              <w:spacing w:after="20"/>
              <w:jc w:val="right"/>
            </w:pPr>
            <w:r>
              <w:rPr>
                <w:b/>
                <w:color w:val="1C3A36"/>
                <w:sz w:val="17"/>
              </w:rPr>
            </w:r>
          </w:p>
        </w:tc>
        <w:tc>
          <w:tcPr>
            <w:tcW w:type="dxa" w:w="907"/>
            <w:shd w:val="clear" w:color="auto" w:fill="F6F1E6"/>
          </w:tcPr>
          <w:p>
            <w:pPr>
              <w:spacing w:after="20"/>
              <w:jc w:val="right"/>
            </w:pPr>
            <w:r>
              <w:rPr>
                <w:b/>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91.15</w:t>
            </w:r>
          </w:p>
        </w:tc>
        <w:tc>
          <w:tcPr>
            <w:tcW w:type="dxa" w:w="907"/>
          </w:tcPr>
          <w:p>
            <w:pPr>
              <w:spacing w:after="20"/>
              <w:jc w:val="right"/>
            </w:pPr>
            <w:r>
              <w:rPr>
                <w:color w:val="1C3A36"/>
                <w:sz w:val="17"/>
              </w:rPr>
              <w:t>-13%</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44.88</w:t>
            </w:r>
          </w:p>
        </w:tc>
        <w:tc>
          <w:tcPr>
            <w:tcW w:type="dxa" w:w="907"/>
          </w:tcPr>
          <w:p>
            <w:pPr>
              <w:spacing w:after="20"/>
              <w:jc w:val="right"/>
            </w:pPr>
            <w:r>
              <w:rPr>
                <w:color w:val="1C3A36"/>
                <w:sz w:val="17"/>
              </w:rPr>
              <w:t>-57%</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62.20</w:t>
            </w:r>
          </w:p>
        </w:tc>
        <w:tc>
          <w:tcPr>
            <w:tcW w:type="dxa" w:w="907"/>
          </w:tcPr>
          <w:p>
            <w:pPr>
              <w:spacing w:after="20"/>
              <w:jc w:val="right"/>
            </w:pPr>
            <w:r>
              <w:rPr>
                <w:color w:val="1C3A36"/>
                <w:sz w:val="17"/>
              </w:rPr>
              <w:t>-41%</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124,875</w:t>
            </w:r>
          </w:p>
        </w:tc>
        <w:tc>
          <w:tcPr>
            <w:tcW w:type="dxa" w:w="4896"/>
          </w:tcPr>
          <w:p>
            <w:pPr>
              <w:spacing w:after="20"/>
              <w:jc w:val="right"/>
            </w:pPr>
            <w:r>
              <w:rPr>
                <w:color w:val="1C3A36"/>
                <w:sz w:val="17"/>
              </w:rPr>
              <w:t>terminal value 314,122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162,810</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6,474</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(14,419)</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135,075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63.10</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48.47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73.38</w:t>
            </w:r>
          </w:p>
        </w:tc>
        <w:tc>
          <w:tcPr>
            <w:tcW w:type="dxa" w:w="5688"/>
          </w:tcPr>
          <w:p>
            <w:pPr>
              <w:spacing w:after="20"/>
              <w:jc w:val="right"/>
            </w:pPr>
            <w:r>
              <w:rPr>
                <w:color w:val="1C3A36"/>
                <w:sz w:val="17"/>
              </w:rPr>
              <w:t>bear 61.23 at 5.5× / bull 91.62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117.67 per share instead of 73.38 — a EGP 44.29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(3,470)</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(13,342)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28,761</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13.43</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120.91</w:t>
            </w:r>
          </w:p>
        </w:tc>
      </w:tr>
    </w:tbl>
    <w:p>
      <w:pPr>
        <w:spacing w:after="40"/>
      </w:pPr>
    </w:p>
    <w:p>
      <w:pPr>
        <w:spacing w:after="200" w:before="0"/>
      </w:pPr>
      <w:r>
        <w:rPr>
          <w:b w:val="0"/>
          <w:i/>
          <w:color w:val="6E7B77"/>
          <w:sz w:val="17"/>
        </w:rPr>
        <w:t>Bear 94.04 at 7.0× and bull 154.50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35.37</w:t>
            </w:r>
          </w:p>
        </w:tc>
        <w:tc>
          <w:tcPr>
            <w:tcW w:type="dxa" w:w="1238"/>
          </w:tcPr>
          <w:p>
            <w:pPr>
              <w:spacing w:after="20"/>
              <w:jc w:val="right"/>
            </w:pPr>
            <w:r>
              <w:rPr>
                <w:color w:val="1C3A36"/>
                <w:sz w:val="17"/>
              </w:rPr>
              <w:t>63.10</w:t>
            </w:r>
          </w:p>
        </w:tc>
        <w:tc>
          <w:tcPr>
            <w:tcW w:type="dxa" w:w="1238"/>
          </w:tcPr>
          <w:p>
            <w:pPr>
              <w:spacing w:after="20"/>
              <w:jc w:val="right"/>
            </w:pPr>
            <w:r>
              <w:rPr>
                <w:color w:val="1C3A36"/>
                <w:sz w:val="17"/>
              </w:rPr>
              <w:t>110.39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28.39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61.23</w:t>
            </w:r>
          </w:p>
        </w:tc>
        <w:tc>
          <w:tcPr>
            <w:tcW w:type="dxa" w:w="1238"/>
          </w:tcPr>
          <w:p>
            <w:pPr>
              <w:spacing w:after="20"/>
              <w:jc w:val="right"/>
            </w:pPr>
            <w:r>
              <w:rPr>
                <w:color w:val="1C3A36"/>
                <w:sz w:val="17"/>
              </w:rPr>
              <w:t>73.38</w:t>
            </w:r>
          </w:p>
        </w:tc>
        <w:tc>
          <w:tcPr>
            <w:tcW w:type="dxa" w:w="1238"/>
          </w:tcPr>
          <w:p>
            <w:pPr>
              <w:spacing w:after="20"/>
              <w:jc w:val="right"/>
            </w:pPr>
            <w:r>
              <w:rPr>
                <w:color w:val="1C3A36"/>
                <w:sz w:val="17"/>
              </w:rPr>
              <w:t>91.62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14.68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94.04</w:t>
            </w:r>
          </w:p>
        </w:tc>
        <w:tc>
          <w:tcPr>
            <w:tcW w:type="dxa" w:w="1238"/>
          </w:tcPr>
          <w:p>
            <w:pPr>
              <w:spacing w:after="20"/>
              <w:jc w:val="right"/>
            </w:pPr>
            <w:r>
              <w:rPr>
                <w:color w:val="1C3A36"/>
                <w:sz w:val="17"/>
              </w:rPr>
              <w:t>120.91</w:t>
            </w:r>
          </w:p>
        </w:tc>
        <w:tc>
          <w:tcPr>
            <w:tcW w:type="dxa" w:w="1238"/>
          </w:tcPr>
          <w:p>
            <w:pPr>
              <w:spacing w:after="20"/>
              <w:jc w:val="right"/>
            </w:pPr>
            <w:r>
              <w:rPr>
                <w:color w:val="1C3A36"/>
                <w:sz w:val="17"/>
              </w:rPr>
              <w:t>154.50</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24.18</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33.77</w:t>
            </w:r>
          </w:p>
        </w:tc>
        <w:tc>
          <w:tcPr>
            <w:tcW w:type="dxa" w:w="1238"/>
          </w:tcPr>
          <w:p>
            <w:pPr>
              <w:spacing w:after="20"/>
              <w:jc w:val="right"/>
            </w:pPr>
            <w:r>
              <w:rPr>
                <w:color w:val="1C3A36"/>
                <w:sz w:val="17"/>
              </w:rPr>
              <w:t>48.47</w:t>
            </w:r>
          </w:p>
        </w:tc>
        <w:tc>
          <w:tcPr>
            <w:tcW w:type="dxa" w:w="1238"/>
          </w:tcPr>
          <w:p>
            <w:pPr>
              <w:spacing w:after="20"/>
              <w:jc w:val="right"/>
            </w:pPr>
            <w:r>
              <w:rPr>
                <w:color w:val="1C3A36"/>
                <w:sz w:val="17"/>
              </w:rPr>
              <w:t>53.71</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7.27</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33.77</w:t>
            </w:r>
          </w:p>
        </w:tc>
        <w:tc>
          <w:tcPr>
            <w:tcW w:type="dxa" w:w="1238"/>
            <w:shd w:val="clear" w:color="auto" w:fill="F6F1E6"/>
          </w:tcPr>
          <w:p>
            <w:pPr>
              <w:spacing w:after="20"/>
              <w:jc w:val="right"/>
            </w:pPr>
            <w:r>
              <w:rPr>
                <w:b/>
                <w:color w:val="1C3A36"/>
                <w:sz w:val="17"/>
              </w:rPr>
              <w:t>74.52</w:t>
            </w:r>
          </w:p>
        </w:tc>
        <w:tc>
          <w:tcPr>
            <w:tcW w:type="dxa" w:w="1238"/>
            <w:shd w:val="clear" w:color="auto" w:fill="F6F1E6"/>
          </w:tcPr>
          <w:p>
            <w:pPr>
              <w:spacing w:after="20"/>
              <w:jc w:val="right"/>
            </w:pPr>
            <w:r>
              <w:rPr>
                <w:b/>
                <w:color w:val="1C3A36"/>
                <w:sz w:val="17"/>
              </w:rPr>
              <w:t>154.50</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74.52</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74.52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1.03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in the cost of capital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44.88 (against 63.10)</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62.20 (-0.89)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(24.1% weight, cost of capital 23.9%)</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(13.0%): the disclosed coupon on each currency leg, unadjusted</w:t>
            </w:r>
          </w:p>
        </w:tc>
        <w:tc>
          <w:tcPr>
            <w:tcW w:type="dxa" w:w="2664"/>
          </w:tcPr>
          <w:p>
            <w:pPr>
              <w:spacing w:after="20"/>
              <w:jc w:val="right"/>
            </w:pPr>
            <w:r>
              <w:rPr>
                <w:color w:val="1C3A36"/>
                <w:sz w:val="16"/>
              </w:rPr>
              <w:t>EGP-equivalent (18.7%): the hard-currency legs loaded with the pound's own 5.4%/year forecast depreciation, under uncovered interest parity</w:t>
            </w:r>
          </w:p>
        </w:tc>
        <w:tc>
          <w:tcPr>
            <w:tcW w:type="dxa" w:w="1843"/>
          </w:tcPr>
          <w:p>
            <w:pPr>
              <w:spacing w:after="20"/>
              <w:jc w:val="right"/>
            </w:pPr>
            <w:r>
              <w:rPr>
                <w:color w:val="1C3A36"/>
                <w:sz w:val="16"/>
              </w:rPr>
              <w:t>EGP 62.69 (-0.41)</w:t>
            </w:r>
          </w:p>
        </w:tc>
        <w:tc>
          <w:tcPr>
            <w:tcW w:type="dxa" w:w="3096"/>
          </w:tcPr>
          <w:p>
            <w:pPr>
              <w:spacing w:after="20"/>
              <w:jc w:val="right"/>
            </w:pPr>
            <w:r>
              <w:rPr>
                <w:color w:val="1C3A36"/>
                <w:sz w:val="16"/>
              </w:rPr>
              <w:t>Net debt carries only 8.1% of the capital structure, so even this 660-basis-point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21.3% to 23.0%, and disagree with each other</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The adopted figure sits inside the range of external readings rather than at either end. Because the readings conflict, the rate is carried in the sensitivity grid rather than presented as precise</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44.88 the alternative sits well below the primary. A reader who prefers agency ratings to market spreads should use that number.</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84.34</w:t>
            </w:r>
          </w:p>
        </w:tc>
        <w:tc>
          <w:tcPr>
            <w:tcW w:type="dxa" w:w="1541"/>
          </w:tcPr>
          <w:p>
            <w:pPr>
              <w:spacing w:after="20"/>
              <w:jc w:val="right"/>
            </w:pPr>
            <w:r>
              <w:rPr>
                <w:color w:val="1C3A36"/>
                <w:sz w:val="16"/>
              </w:rPr>
              <w:t>81.96</w:t>
            </w:r>
          </w:p>
        </w:tc>
        <w:tc>
          <w:tcPr>
            <w:tcW w:type="dxa" w:w="1541"/>
          </w:tcPr>
          <w:p>
            <w:pPr>
              <w:spacing w:after="20"/>
              <w:jc w:val="right"/>
            </w:pPr>
            <w:r>
              <w:rPr>
                <w:color w:val="1C3A36"/>
                <w:sz w:val="16"/>
              </w:rPr>
              <w:t>79.66</w:t>
            </w:r>
          </w:p>
        </w:tc>
        <w:tc>
          <w:tcPr>
            <w:tcW w:type="dxa" w:w="1541"/>
          </w:tcPr>
          <w:p>
            <w:pPr>
              <w:spacing w:after="20"/>
              <w:jc w:val="right"/>
            </w:pPr>
            <w:r>
              <w:rPr>
                <w:color w:val="1C3A36"/>
                <w:sz w:val="16"/>
              </w:rPr>
              <w:t>77.45</w:t>
            </w:r>
          </w:p>
        </w:tc>
        <w:tc>
          <w:tcPr>
            <w:tcW w:type="dxa" w:w="1541"/>
          </w:tcPr>
          <w:p>
            <w:pPr>
              <w:spacing w:after="20"/>
              <w:jc w:val="right"/>
            </w:pPr>
            <w:r>
              <w:rPr>
                <w:color w:val="1C3A36"/>
                <w:sz w:val="16"/>
              </w:rPr>
              <w:t>75.31</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74.62</w:t>
            </w:r>
          </w:p>
        </w:tc>
        <w:tc>
          <w:tcPr>
            <w:tcW w:type="dxa" w:w="1541"/>
          </w:tcPr>
          <w:p>
            <w:pPr>
              <w:spacing w:after="20"/>
              <w:jc w:val="right"/>
            </w:pPr>
            <w:r>
              <w:rPr>
                <w:color w:val="1C3A36"/>
                <w:sz w:val="16"/>
              </w:rPr>
              <w:t>72.51</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68.50</w:t>
            </w:r>
          </w:p>
        </w:tc>
        <w:tc>
          <w:tcPr>
            <w:tcW w:type="dxa" w:w="1541"/>
          </w:tcPr>
          <w:p>
            <w:pPr>
              <w:spacing w:after="20"/>
              <w:jc w:val="right"/>
            </w:pPr>
            <w:r>
              <w:rPr>
                <w:color w:val="1C3A36"/>
                <w:sz w:val="16"/>
              </w:rPr>
              <w:t>66.60</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66.83</w:t>
            </w:r>
          </w:p>
        </w:tc>
        <w:tc>
          <w:tcPr>
            <w:tcW w:type="dxa" w:w="1541"/>
          </w:tcPr>
          <w:p>
            <w:pPr>
              <w:spacing w:after="20"/>
              <w:jc w:val="right"/>
            </w:pPr>
            <w:r>
              <w:rPr>
                <w:color w:val="1C3A36"/>
                <w:sz w:val="16"/>
              </w:rPr>
              <w:t>64.93</w:t>
            </w:r>
          </w:p>
        </w:tc>
        <w:tc>
          <w:tcPr>
            <w:tcW w:type="dxa" w:w="1541"/>
          </w:tcPr>
          <w:p>
            <w:pPr>
              <w:spacing w:after="20"/>
              <w:jc w:val="right"/>
            </w:pPr>
            <w:r>
              <w:rPr>
                <w:color w:val="1C3A36"/>
                <w:sz w:val="16"/>
              </w:rPr>
              <w:t>63.10</w:t>
            </w:r>
          </w:p>
        </w:tc>
        <w:tc>
          <w:tcPr>
            <w:tcW w:type="dxa" w:w="1541"/>
          </w:tcPr>
          <w:p>
            <w:pPr>
              <w:spacing w:after="20"/>
              <w:jc w:val="right"/>
            </w:pPr>
            <w:r>
              <w:rPr>
                <w:color w:val="1C3A36"/>
                <w:sz w:val="16"/>
              </w:rPr>
              <w:t>61.33</w:t>
            </w:r>
          </w:p>
        </w:tc>
        <w:tc>
          <w:tcPr>
            <w:tcW w:type="dxa" w:w="1541"/>
          </w:tcPr>
          <w:p>
            <w:pPr>
              <w:spacing w:after="20"/>
              <w:jc w:val="right"/>
            </w:pPr>
            <w:r>
              <w:rPr>
                <w:color w:val="1C3A36"/>
                <w:sz w:val="16"/>
              </w:rPr>
              <w:t>59.62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60.44</w:t>
            </w:r>
          </w:p>
        </w:tc>
        <w:tc>
          <w:tcPr>
            <w:tcW w:type="dxa" w:w="1541"/>
          </w:tcPr>
          <w:p>
            <w:pPr>
              <w:spacing w:after="20"/>
              <w:jc w:val="right"/>
            </w:pPr>
            <w:r>
              <w:rPr>
                <w:color w:val="1C3A36"/>
                <w:sz w:val="16"/>
              </w:rPr>
              <w:t>58.71</w:t>
            </w:r>
          </w:p>
        </w:tc>
        <w:tc>
          <w:tcPr>
            <w:tcW w:type="dxa" w:w="1541"/>
          </w:tcPr>
          <w:p>
            <w:pPr>
              <w:spacing w:after="20"/>
              <w:jc w:val="right"/>
            </w:pPr>
            <w:r>
              <w:rPr>
                <w:color w:val="1C3A36"/>
                <w:sz w:val="16"/>
              </w:rPr>
              <w:t>57.05</w:t>
            </w:r>
          </w:p>
        </w:tc>
        <w:tc>
          <w:tcPr>
            <w:tcW w:type="dxa" w:w="1541"/>
          </w:tcPr>
          <w:p>
            <w:pPr>
              <w:spacing w:after="20"/>
              <w:jc w:val="right"/>
            </w:pPr>
            <w:r>
              <w:rPr>
                <w:color w:val="1C3A36"/>
                <w:sz w:val="16"/>
              </w:rPr>
              <w:t>55.44</w:t>
            </w:r>
          </w:p>
        </w:tc>
        <w:tc>
          <w:tcPr>
            <w:tcW w:type="dxa" w:w="1541"/>
          </w:tcPr>
          <w:p>
            <w:pPr>
              <w:spacing w:after="20"/>
              <w:jc w:val="right"/>
            </w:pPr>
            <w:r>
              <w:rPr>
                <w:color w:val="1C3A36"/>
                <w:sz w:val="16"/>
              </w:rPr>
              <w:t>53.89</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55.11</w:t>
            </w:r>
          </w:p>
        </w:tc>
        <w:tc>
          <w:tcPr>
            <w:tcW w:type="dxa" w:w="1541"/>
          </w:tcPr>
          <w:p>
            <w:pPr>
              <w:spacing w:after="20"/>
              <w:jc w:val="right"/>
            </w:pPr>
            <w:r>
              <w:rPr>
                <w:color w:val="1C3A36"/>
                <w:sz w:val="16"/>
              </w:rPr>
              <w:t>53.53</w:t>
            </w:r>
          </w:p>
        </w:tc>
        <w:tc>
          <w:tcPr>
            <w:tcW w:type="dxa" w:w="1541"/>
          </w:tcPr>
          <w:p>
            <w:pPr>
              <w:spacing w:after="20"/>
              <w:jc w:val="right"/>
            </w:pPr>
            <w:r>
              <w:rPr>
                <w:color w:val="1C3A36"/>
                <w:sz w:val="16"/>
              </w:rPr>
              <w:t>52.00</w:t>
            </w:r>
          </w:p>
        </w:tc>
        <w:tc>
          <w:tcPr>
            <w:tcW w:type="dxa" w:w="1541"/>
          </w:tcPr>
          <w:p>
            <w:pPr>
              <w:spacing w:after="20"/>
              <w:jc w:val="right"/>
            </w:pPr>
            <w:r>
              <w:rPr>
                <w:color w:val="1C3A36"/>
                <w:sz w:val="16"/>
              </w:rPr>
              <w:t>50.53</w:t>
            </w:r>
          </w:p>
        </w:tc>
        <w:tc>
          <w:tcPr>
            <w:tcW w:type="dxa" w:w="1541"/>
          </w:tcPr>
          <w:p>
            <w:pPr>
              <w:spacing w:after="20"/>
              <w:jc w:val="right"/>
            </w:pPr>
            <w:r>
              <w:rPr>
                <w:color w:val="1C3A36"/>
                <w:sz w:val="16"/>
              </w:rPr>
              <w:t>49.11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51.73 – 86.86</w:t>
            </w:r>
          </w:p>
        </w:tc>
        <w:tc>
          <w:tcPr>
            <w:tcW w:type="dxa" w:w="1944"/>
          </w:tcPr>
          <w:p>
            <w:pPr>
              <w:spacing w:after="20"/>
              <w:jc w:val="right"/>
            </w:pPr>
            <w:r>
              <w:rPr>
                <w:color w:val="1C3A36"/>
                <w:sz w:val="17"/>
              </w:rPr>
              <w:t>35.13</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1.20 – 71.94</w:t>
            </w:r>
          </w:p>
        </w:tc>
        <w:tc>
          <w:tcPr>
            <w:tcW w:type="dxa" w:w="1944"/>
          </w:tcPr>
          <w:p>
            <w:pPr>
              <w:spacing w:after="20"/>
              <w:jc w:val="right"/>
            </w:pPr>
            <w:r>
              <w:rPr>
                <w:color w:val="1C3A36"/>
                <w:sz w:val="17"/>
              </w:rPr>
              <w:t>70.74</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42.22 – 83.98</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49.83 – 76.36</w:t>
            </w:r>
          </w:p>
        </w:tc>
        <w:tc>
          <w:tcPr>
            <w:tcW w:type="dxa" w:w="1944"/>
          </w:tcPr>
          <w:p>
            <w:pPr>
              <w:spacing w:after="20"/>
              <w:jc w:val="right"/>
            </w:pPr>
            <w:r>
              <w:rPr>
                <w:color w:val="1C3A36"/>
                <w:sz w:val="17"/>
              </w:rPr>
              <w:t>26.53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60.01 – 66.18</w:t>
            </w:r>
          </w:p>
        </w:tc>
        <w:tc>
          <w:tcPr>
            <w:tcW w:type="dxa" w:w="1944"/>
          </w:tcPr>
          <w:p>
            <w:pPr>
              <w:spacing w:after="20"/>
              <w:jc w:val="right"/>
            </w:pPr>
            <w:r>
              <w:rPr>
                <w:color w:val="1C3A36"/>
                <w:sz w:val="17"/>
              </w:rPr>
              <w:t>6.17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55.98 – 67.38</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58.71 – 69.33</w:t>
            </w:r>
          </w:p>
        </w:tc>
        <w:tc>
          <w:tcPr>
            <w:tcW w:type="dxa" w:w="1944"/>
          </w:tcPr>
          <w:p>
            <w:pPr>
              <w:spacing w:after="20"/>
              <w:jc w:val="right"/>
            </w:pPr>
            <w:r>
              <w:rPr>
                <w:color w:val="1C3A36"/>
                <w:sz w:val="17"/>
              </w:rPr>
              <w:t>10.62</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74.52;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74.52 central, -29%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63.10,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91.15, -13%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73.38, -30%</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91.15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74.52</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91.15.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14,419mn from the equity value — roughly 6.74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(19,437)</w:t>
            </w:r>
          </w:p>
        </w:tc>
        <w:tc>
          <w:tcPr>
            <w:tcW w:type="dxa" w:w="1426"/>
            <w:shd w:val="clear" w:color="auto" w:fill="F6F1E6"/>
          </w:tcPr>
          <w:p>
            <w:pPr>
              <w:spacing w:after="20"/>
              <w:jc w:val="right"/>
            </w:pPr>
            <w:r>
              <w:rPr>
                <w:b/>
                <w:color w:val="1C3A36"/>
                <w:sz w:val="16"/>
              </w:rPr>
              <w:t>(9,882)</w:t>
            </w:r>
          </w:p>
        </w:tc>
        <w:tc>
          <w:tcPr>
            <w:tcW w:type="dxa" w:w="1426"/>
            <w:shd w:val="clear" w:color="auto" w:fill="F6F1E6"/>
          </w:tcPr>
          <w:p>
            <w:pPr>
              <w:spacing w:after="20"/>
              <w:jc w:val="right"/>
            </w:pPr>
            <w:r>
              <w:rPr>
                <w:b/>
                <w:color w:val="1C3A36"/>
                <w:sz w:val="16"/>
              </w:rPr>
              <w:t>(7,758)</w:t>
            </w:r>
          </w:p>
        </w:tc>
        <w:tc>
          <w:tcPr>
            <w:tcW w:type="dxa" w:w="1426"/>
            <w:shd w:val="clear" w:color="auto" w:fill="F6F1E6"/>
          </w:tcPr>
          <w:p>
            <w:pPr>
              <w:spacing w:after="20"/>
              <w:jc w:val="right"/>
            </w:pPr>
            <w:r>
              <w:rPr>
                <w:b/>
                <w:color w:val="1C3A36"/>
                <w:sz w:val="16"/>
              </w:rPr>
              <w:t>(8,042)</w:t>
            </w:r>
          </w:p>
        </w:tc>
        <w:tc>
          <w:tcPr>
            <w:tcW w:type="dxa" w:w="1426"/>
            <w:shd w:val="clear" w:color="auto" w:fill="F6F1E6"/>
          </w:tcPr>
          <w:p>
            <w:pPr>
              <w:spacing w:after="20"/>
              <w:jc w:val="right"/>
            </w:pPr>
            <w:r>
              <w:rPr>
                <w:b/>
                <w:color w:val="1C3A36"/>
                <w:sz w:val="16"/>
              </w:rPr>
              <w:t>(8,504)</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1,377</w:t>
            </w:r>
          </w:p>
        </w:tc>
        <w:tc>
          <w:tcPr>
            <w:tcW w:type="dxa" w:w="1426"/>
          </w:tcPr>
          <w:p>
            <w:pPr>
              <w:spacing w:after="20"/>
              <w:jc w:val="right"/>
            </w:pPr>
            <w:r>
              <w:rPr>
                <w:color w:val="1C3A36"/>
                <w:sz w:val="16"/>
              </w:rPr>
              <w:t>13,049</w:t>
            </w:r>
          </w:p>
        </w:tc>
        <w:tc>
          <w:tcPr>
            <w:tcW w:type="dxa" w:w="1426"/>
          </w:tcPr>
          <w:p>
            <w:pPr>
              <w:spacing w:after="20"/>
              <w:jc w:val="right"/>
            </w:pPr>
            <w:r>
              <w:rPr>
                <w:color w:val="1C3A36"/>
                <w:sz w:val="16"/>
              </w:rPr>
              <w:t>17,706</w:t>
            </w:r>
          </w:p>
        </w:tc>
        <w:tc>
          <w:tcPr>
            <w:tcW w:type="dxa" w:w="1426"/>
          </w:tcPr>
          <w:p>
            <w:pPr>
              <w:spacing w:after="20"/>
              <w:jc w:val="right"/>
            </w:pPr>
            <w:r>
              <w:rPr>
                <w:color w:val="1C3A36"/>
                <w:sz w:val="16"/>
              </w:rPr>
              <w:t>20,733</w:t>
            </w:r>
          </w:p>
        </w:tc>
        <w:tc>
          <w:tcPr>
            <w:tcW w:type="dxa" w:w="1426"/>
          </w:tcPr>
          <w:p>
            <w:pPr>
              <w:spacing w:after="20"/>
              <w:jc w:val="right"/>
            </w:pPr>
            <w:r>
              <w:rPr>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70.74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35.23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6.17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66.19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40.82 – 72.60</w:t>
            </w:r>
          </w:p>
        </w:tc>
      </w:tr>
    </w:tbl>
    <w:p>
      <w:pPr>
        <w:spacing w:after="40"/>
      </w:pPr>
    </w:p>
    <w:p>
      <w:pPr>
        <w:spacing w:after="120" w:before="0"/>
      </w:pPr>
      <w:r>
        <w:rPr>
          <w:b w:val="0"/>
          <w:i w:val="0"/>
          <w:color w:val="1C3A36"/>
          <w:sz w:val="21"/>
        </w:rPr>
        <w:t>This is the harshest of the three readings, at EGP 66.19,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14,148</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157,186</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60.72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49.99 – 91.15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1,279</w:t>
            </w:r>
          </w:p>
        </w:tc>
        <w:tc>
          <w:tcPr>
            <w:tcW w:type="dxa" w:w="1426"/>
            <w:shd w:val="clear" w:color="auto" w:fill="F6F1E6"/>
          </w:tcPr>
          <w:p>
            <w:pPr>
              <w:spacing w:after="20"/>
              <w:jc w:val="right"/>
            </w:pPr>
            <w:r>
              <w:rPr>
                <w:b/>
                <w:color w:val="1C3A36"/>
                <w:sz w:val="16"/>
              </w:rPr>
              <w:t>1,606</w:t>
            </w:r>
          </w:p>
        </w:tc>
        <w:tc>
          <w:tcPr>
            <w:tcW w:type="dxa" w:w="1426"/>
            <w:shd w:val="clear" w:color="auto" w:fill="F6F1E6"/>
          </w:tcPr>
          <w:p>
            <w:pPr>
              <w:spacing w:after="20"/>
              <w:jc w:val="right"/>
            </w:pPr>
            <w:r>
              <w:rPr>
                <w:b/>
                <w:color w:val="1C3A36"/>
                <w:sz w:val="16"/>
              </w:rPr>
              <w:t>5,222</w:t>
            </w:r>
          </w:p>
        </w:tc>
        <w:tc>
          <w:tcPr>
            <w:tcW w:type="dxa" w:w="1426"/>
            <w:shd w:val="clear" w:color="auto" w:fill="F6F1E6"/>
          </w:tcPr>
          <w:p>
            <w:pPr>
              <w:spacing w:after="20"/>
              <w:jc w:val="right"/>
            </w:pPr>
            <w:r>
              <w:rPr>
                <w:b/>
                <w:color w:val="1C3A36"/>
                <w:sz w:val="16"/>
              </w:rPr>
              <w:t>9,046</w:t>
            </w:r>
          </w:p>
        </w:tc>
        <w:tc>
          <w:tcPr>
            <w:tcW w:type="dxa" w:w="1426"/>
            <w:shd w:val="clear" w:color="auto" w:fill="F6F1E6"/>
          </w:tcPr>
          <w:p>
            <w:pPr>
              <w:spacing w:after="20"/>
              <w:jc w:val="right"/>
            </w:pPr>
            <w:r>
              <w:rPr>
                <w:b/>
                <w:color w:val="1C3A36"/>
                <w:sz w:val="16"/>
              </w:rPr>
              <w:t>13,007</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66.19; the vertical line is the market price of 105.20.</w:t>
      </w:r>
    </w:p>
    <w:p>
      <w:pPr>
        <w:spacing w:after="120" w:before="0"/>
      </w:pPr>
      <w:r>
        <w:rPr>
          <w:b w:val="0"/>
          <w:i w:val="0"/>
          <w:color w:val="1C3A36"/>
          <w:sz w:val="21"/>
        </w:rPr>
        <w:t>The panel spans EGP 60.72 to 137.70 — a factor of 2.3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66.19 sits -37% against the market price and close to the study's own weighted central of 74.52.</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