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Research — Valuation Study</w:t>
            </w:r>
            <w:r>
              <w:rPr>
                <w:color w:val="9FB0AC"/>
                <w:sz w:val="19"/>
              </w:rPr>
              <w:t xml:space="preserve">   For information only — not investment advice</w:t>
            </w:r>
          </w:p>
        </w:tc>
      </w:tr>
    </w:tbl>
    <w:p>
      <w:pPr>
        <w:spacing w:after="0"/>
      </w:pPr>
    </w:p>
    <w:p>
      <w:pPr>
        <w:spacing w:after="120" w:before="280"/>
      </w:pPr>
      <w:r>
        <w:rPr>
          <w:b/>
          <w:i w:val="0"/>
          <w:color w:val="1C3A36"/>
          <w:sz w:val="30"/>
        </w:rPr>
        <w:t>Emirates Central Cooling Systems Corporation PJSC (DFM: EMPOWER)</w:t>
      </w:r>
    </w:p>
    <w:p>
      <w:pPr>
        <w:spacing w:after="120" w:before="0"/>
      </w:pPr>
      <w:r>
        <w:rPr>
          <w:b w:val="0"/>
          <w:i w:val="0"/>
          <w:color w:val="6E7B77"/>
          <w:sz w:val="20"/>
        </w:rPr>
        <w:t>The world's largest listed district-cooling utility — contracted chilled-water capacity serving Dubai under a regulated-tariff regime · Dubai Financial Market · reporting currency AED · analysis anchored on the closing price of 1.50 on 7 August 2026 · study dated 9 August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An educational valuation study. It contains no recommendation, no rating and no price target. It contains a fair-value range built from the company's own audited financial statements, a sourced cost of capital and explicitly listed assumptions — and, separately, a probabilistic map of where the share price could trade over the next one and three months. The two are different objects and are never blended.</w:t>
            </w:r>
          </w:p>
          <w:p>
            <w:pPr>
              <w:spacing w:after="100"/>
            </w:pPr>
            <w:r>
              <w:rPr>
                <w:b/>
                <w:color w:val="1C3A36"/>
                <w:sz w:val="19"/>
              </w:rPr>
              <w:t xml:space="preserve">The first structural judgement — the consumption question. </w:t>
            </w:r>
            <w:r>
              <w:rPr>
                <w:color w:val="1C3A36"/>
                <w:sz w:val="19"/>
              </w:rPr>
              <w:t>Chilled-water consumption per connected refrigeration ton fell sharply in the first half of 2026, in a conflict year, and the shares fell with it. Whether that usage recovers is the single question this study turns on, and it is computed BOTH ways as full models: a recovery case and a case in which usage never recovers. The finding the reader should take away is quantitative: because roughly 76% of consumption revenue is electricity and water purchased from DEWA and passed through, permanent loss of the usage shock moves the discounted-cash-flow value by only 2.7% — far less than the share-price reaction implies. The capacity charge, not the meter, carries the value.</w:t>
            </w:r>
          </w:p>
          <w:p>
            <w:pPr>
              <w:spacing w:after="100"/>
            </w:pPr>
            <w:r>
              <w:rPr>
                <w:b/>
                <w:color w:val="1C3A36"/>
                <w:sz w:val="19"/>
              </w:rPr>
              <w:t xml:space="preserve">The second structural judgement — the tax rate, framed twice. </w:t>
            </w:r>
            <w:r>
              <w:rPr>
                <w:color w:val="1C3A36"/>
                <w:sz w:val="19"/>
              </w:rPr>
              <w:t>The audited 2025 effective tax rate is exactly 9.0% under UAE corporate tax. Whether the 15% domestic minimum top-up tax reaches Empower through consolidation into the DEWA group (whose revenue far exceeds the EUR 750m threshold) is contested and unresolved. The entire valuation is therefore published both ways — 2.664 against 2.483 on the primary lens, 2.250 against 2.139 on the weighted central — side by side, never averaged.</w:t>
            </w:r>
          </w:p>
          <w:p>
            <w:pPr>
              <w:spacing w:after="100"/>
            </w:pPr>
            <w:r>
              <w:rPr>
                <w:b/>
                <w:color w:val="1C3A36"/>
                <w:sz w:val="19"/>
              </w:rPr>
              <w:t xml:space="preserve">What to check first. </w:t>
            </w:r>
            <w:r>
              <w:rPr>
                <w:color w:val="1C3A36"/>
                <w:sz w:val="19"/>
              </w:rPr>
              <w:t>Section 1.7 (the consumption grid), the two tax columns of the valuation summary below, and section 1.8's cost-of-debt evidence — the three places where a reader who disagrees with this study will find the disagreement priced.</w:t>
            </w:r>
          </w:p>
          <w:p>
            <w:pPr>
              <w:spacing w:after="100"/>
            </w:pPr>
            <w:r>
              <w:rPr>
                <w:b/>
                <w:color w:val="1C3A36"/>
                <w:sz w:val="19"/>
              </w:rPr>
              <w:t xml:space="preserve">The companion workbook. </w:t>
            </w:r>
            <w:r>
              <w:rPr>
                <w:color w:val="1C3A36"/>
                <w:sz w:val="19"/>
              </w:rPr>
              <w:t>The Excel model calculates live — changing a driver reprices the statements, the discounted cash flow and the fair value. Only three classes of cell are pasted values, named on its own READ FIRST sheet: the audited and disclosed history; the historical calibration of the unit build (the implied capacity rate per refrigeration ton, a research judgement rather than an arithmetic step); and whole-model re-runs — the probabilistic price map and the sensitivity grids, where each cell is a complete revaluation.</w:t>
            </w:r>
          </w:p>
        </w:tc>
      </w:tr>
    </w:tbl>
    <w:p>
      <w:pPr>
        <w:spacing w:after="40"/>
      </w:pPr>
    </w:p>
    <w:p>
      <w:pPr>
        <w:spacing w:after="80" w:before="200"/>
      </w:pPr>
      <w:r>
        <w:rPr>
          <w:b/>
          <w:i w:val="0"/>
          <w:color w:val="1C3A36"/>
          <w:sz w:val="24"/>
        </w:rPr>
        <w:t>Headline</w:t>
      </w:r>
    </w:p>
    <w:p>
      <w:pPr>
        <w:spacing w:after="120" w:before="0"/>
      </w:pPr>
      <w:r>
        <w:rPr>
          <w:b w:val="0"/>
          <w:i w:val="0"/>
          <w:color w:val="1C3A36"/>
          <w:sz w:val="21"/>
        </w:rPr>
        <w:t>Empower is the world's largest district-cooling utility by connected capacity: 1,707k refrigeration tons (RT) connected and 2,018k RT contracted at 30 June 2026, serving about 1,796 buildings — roughly 80% of Dubai's district-cooling market. It sells cooling on two legs priced under a regulated tariff: a contracted CAPACITY (demand) charge, paid on connected tons regardless of usage, and a metered CONSUMPTION charge for chilled water actually drawn. The distinction is the whole study: the capacity leg is the fixed-cost recovery and, effectively, the profit pool, while the consumption leg's dominant cost — electricity and water purchased from DEWA, AED 1,468mn in 2025, about 76% of consumption revenue — is largely a pass-through.</w:t>
      </w:r>
    </w:p>
    <w:p>
      <w:pPr>
        <w:spacing w:after="120" w:before="0"/>
      </w:pPr>
      <w:r>
        <w:rPr>
          <w:b w:val="0"/>
          <w:i w:val="0"/>
          <w:color w:val="1C3A36"/>
          <w:sz w:val="21"/>
        </w:rPr>
        <w:t>The financial character is a regulated utility's: the EBITDA margin has held between 47.6% and 50.5% in every audited year since 2021, revenue compounded from AED 2,464mn (2021) to 3,419mn (2025), and net profit reached AED 1,004mn in 2025. Net debt was AED 2,991mn at 30 June 2026 (1.8× 2025 EBITDA) after the 2025 refinancing of both AED 2.75bn revolving facilities at a reduced margin. The dividend is committed at AED 875mn a year for 2025 and 2026 — 0.087 per share, a 5.8% yield at the anchor price — and free cash flow to equity runs almost exactly at the payout: covered, but not slack.</w:t>
      </w:r>
    </w:p>
    <w:p>
      <w:pPr>
        <w:spacing w:after="120" w:before="0"/>
      </w:pPr>
      <w:r>
        <w:rPr>
          <w:b w:val="0"/>
          <w:i w:val="0"/>
          <w:color w:val="1C3A36"/>
          <w:sz w:val="21"/>
        </w:rPr>
        <w:t>2026 is the conflict year. Iranian strikes hit UAE infrastructure between February and April; a ceasefire has held — fraying — since 8 April. The Dubai market index fell 21.9% peak to trough and the central bank cut its 2026 GDP growth guidance from 5.6% to 1.7%. Empower's first half showed the transmission mechanism: revenue grew +4.5%, but the second quarter standalone FELL 2.7% year on year as consumption dropped 42m ton-hours (equivalent full-load hours -9% to 698 hours), tied by the interim notes partly to conflict-hit hospitality occupancy. The shares closed the anchor session at 1.50, 23% below their 52-week high of 1.96, the last leg of the fall coming after the 5 August half-year release.</w:t>
      </w:r>
    </w:p>
    <w:p>
      <w:pPr>
        <w:spacing w:after="200" w:before="0"/>
      </w:pPr>
      <w:r>
        <w:rPr>
          <w:b w:val="0"/>
          <w:i w:val="0"/>
          <w:color w:val="1C3A36"/>
          <w:sz w:val="21"/>
        </w:rPr>
        <w:t>On the four lenses used here the fair-value field centres at AED 2.250 per share under the 9% tax framing and 2.139 under the 15% framing, inside a bear-to-bull field of 1.737 to 2.714, against a market price of 1.50. One disclosed transaction brackets the question from above: DEWA took its stake from 56% to 80% in February 2026 by buying Dubai Holding's 24% at AED 2.16 per share — a related-party CONTROL price, +44% above the anchor close, recorded here as a reference point and never as fair value.</w:t>
      </w:r>
    </w:p>
    <w:p>
      <w:pPr>
        <w:spacing w:after="80" w:before="200"/>
      </w:pPr>
      <w:r>
        <w:rPr>
          <w:b/>
          <w:i w:val="0"/>
          <w:color w:val="1C3A36"/>
          <w:sz w:val="24"/>
        </w:rPr>
        <w:t>Valuation summary — every read at a glance, both tax framings side by side</w:t>
      </w:r>
    </w:p>
    <w:p>
      <w:pPr>
        <w:spacing w:after="40"/>
        <w:jc w:val="center"/>
      </w:pPr>
      <w:r>
        <w:drawing>
          <wp:inline xmlns:a="http://schemas.openxmlformats.org/drawingml/2006/main" xmlns:pic="http://schemas.openxmlformats.org/drawingml/2006/picture">
            <wp:extent cx="6400800" cy="3004457"/>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400800" cy="3004457"/>
                    </a:xfrm>
                    <a:prstGeom prst="rect"/>
                  </pic:spPr>
                </pic:pic>
              </a:graphicData>
            </a:graphic>
          </wp:inline>
        </w:drawing>
      </w:r>
    </w:p>
    <w:p>
      <w:pPr>
        <w:spacing w:after="200" w:before="0"/>
      </w:pPr>
      <w:r>
        <w:rPr>
          <w:b w:val="0"/>
          <w:i/>
          <w:color w:val="6E7B77"/>
          <w:sz w:val="17"/>
        </w:rPr>
        <w:t>Figure 1 — the valuation field: each lens's range, both tax framings of the central estimate, the market price of 1.50 and the DEWA control print of 2.16.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4320"/>
        <w:gridCol w:w="1368"/>
        <w:gridCol w:w="1368"/>
        <w:gridCol w:w="864"/>
      </w:tblGrid>
      <w:tr>
        <w:tc>
          <w:tcPr>
            <w:tcW w:type="dxa" w:w="1872"/>
            <w:shd w:val="clear" w:color="auto" w:fill="EAF0EE"/>
          </w:tcPr>
          <w:p>
            <w:pPr>
              <w:spacing w:after="20"/>
            </w:pPr>
            <w:r>
              <w:rPr>
                <w:b/>
                <w:color w:val="1C3A36"/>
                <w:sz w:val="16"/>
              </w:rPr>
              <w:t>Read</w:t>
            </w:r>
          </w:p>
        </w:tc>
        <w:tc>
          <w:tcPr>
            <w:tcW w:type="dxa" w:w="4320"/>
            <w:shd w:val="clear" w:color="auto" w:fill="EAF0EE"/>
          </w:tcPr>
          <w:p>
            <w:pPr>
              <w:spacing w:after="20"/>
            </w:pPr>
            <w:r>
              <w:rPr>
                <w:b/>
                <w:color w:val="1C3A36"/>
                <w:sz w:val="16"/>
              </w:rPr>
              <w:t>Basis</w:t>
            </w:r>
          </w:p>
        </w:tc>
        <w:tc>
          <w:tcPr>
            <w:tcW w:type="dxa" w:w="1368"/>
            <w:shd w:val="clear" w:color="auto" w:fill="EAF0EE"/>
          </w:tcPr>
          <w:p>
            <w:pPr>
              <w:spacing w:after="20"/>
            </w:pPr>
            <w:r>
              <w:rPr>
                <w:b/>
                <w:color w:val="1C3A36"/>
                <w:sz w:val="16"/>
              </w:rPr>
              <w:t>At 9% tax</w:t>
            </w:r>
          </w:p>
        </w:tc>
        <w:tc>
          <w:tcPr>
            <w:tcW w:type="dxa" w:w="1368"/>
            <w:shd w:val="clear" w:color="auto" w:fill="EAF0EE"/>
          </w:tcPr>
          <w:p>
            <w:pPr>
              <w:spacing w:after="20"/>
            </w:pPr>
            <w:r>
              <w:rPr>
                <w:b/>
                <w:color w:val="1C3A36"/>
                <w:sz w:val="16"/>
              </w:rPr>
              <w:t>At 15% tax</w:t>
            </w:r>
          </w:p>
        </w:tc>
        <w:tc>
          <w:tcPr>
            <w:tcW w:type="dxa" w:w="864"/>
            <w:shd w:val="clear" w:color="auto" w:fill="EAF0EE"/>
          </w:tcPr>
          <w:p>
            <w:pPr>
              <w:spacing w:after="20"/>
            </w:pPr>
            <w:r>
              <w:rPr>
                <w:b/>
                <w:color w:val="1C3A36"/>
                <w:sz w:val="16"/>
              </w:rPr>
              <w:t>vs spot</w:t>
            </w:r>
          </w:p>
        </w:tc>
      </w:tr>
      <w:tr>
        <w:tc>
          <w:tcPr>
            <w:tcW w:type="dxa" w:w="1872"/>
          </w:tcPr>
          <w:p>
            <w:pPr>
              <w:spacing w:after="20"/>
            </w:pPr>
            <w:r>
              <w:rPr>
                <w:color w:val="1C3A36"/>
                <w:sz w:val="16"/>
              </w:rPr>
              <w:t>Discounted cash flow (primary)</w:t>
            </w:r>
          </w:p>
        </w:tc>
        <w:tc>
          <w:tcPr>
            <w:tcW w:type="dxa" w:w="4320"/>
          </w:tcPr>
          <w:p>
            <w:pPr>
              <w:spacing w:after="20"/>
              <w:jc w:val="right"/>
            </w:pPr>
            <w:r>
              <w:rPr>
                <w:color w:val="1C3A36"/>
                <w:sz w:val="16"/>
              </w:rPr>
              <w:t>5-year free cash flow to the firm on the two-leg unit build, cost of capital 6.77%, terminal growth 2.5%. Terminal value = 80.8% of enterprise value (80.9% under the 15% framing) — disclosed here, in the bridge and in section 1.9</w:t>
            </w:r>
          </w:p>
        </w:tc>
        <w:tc>
          <w:tcPr>
            <w:tcW w:type="dxa" w:w="1368"/>
          </w:tcPr>
          <w:p>
            <w:pPr>
              <w:spacing w:after="20"/>
              <w:jc w:val="right"/>
            </w:pPr>
            <w:r>
              <w:rPr>
                <w:color w:val="1C3A36"/>
                <w:sz w:val="16"/>
              </w:rPr>
              <w:t>2.664</w:t>
            </w:r>
          </w:p>
        </w:tc>
        <w:tc>
          <w:tcPr>
            <w:tcW w:type="dxa" w:w="1368"/>
          </w:tcPr>
          <w:p>
            <w:pPr>
              <w:spacing w:after="20"/>
              <w:jc w:val="right"/>
            </w:pPr>
            <w:r>
              <w:rPr>
                <w:color w:val="1C3A36"/>
                <w:sz w:val="16"/>
              </w:rPr>
              <w:t>2.483</w:t>
            </w:r>
          </w:p>
        </w:tc>
        <w:tc>
          <w:tcPr>
            <w:tcW w:type="dxa" w:w="864"/>
          </w:tcPr>
          <w:p>
            <w:pPr>
              <w:spacing w:after="20"/>
              <w:jc w:val="right"/>
            </w:pPr>
            <w:r>
              <w:rPr>
                <w:color w:val="1C3A36"/>
                <w:sz w:val="16"/>
              </w:rPr>
              <w:t>+78%</w:t>
            </w:r>
          </w:p>
        </w:tc>
      </w:tr>
      <w:tr>
        <w:tc>
          <w:tcPr>
            <w:tcW w:type="dxa" w:w="1872"/>
          </w:tcPr>
          <w:p>
            <w:pPr>
              <w:spacing w:after="20"/>
            </w:pPr>
            <w:r>
              <w:rPr>
                <w:color w:val="1C3A36"/>
                <w:sz w:val="16"/>
              </w:rPr>
              <w:t>Relative multiples</w:t>
            </w:r>
          </w:p>
        </w:tc>
        <w:tc>
          <w:tcPr>
            <w:tcW w:type="dxa" w:w="4320"/>
          </w:tcPr>
          <w:p>
            <w:pPr>
              <w:spacing w:after="20"/>
              <w:jc w:val="right"/>
            </w:pPr>
            <w:r>
              <w:rPr>
                <w:color w:val="1C3A36"/>
                <w:sz w:val="16"/>
              </w:rPr>
              <w:t>Tabreed 10.7× EV/EBITDA on 2026E EBITDA (gives 1.536); Tabreed 16.6× P/E on 2026E attributable profit (gives 1.701). Peers are themselves war-depressed — a market-regime reading, not an independent fundamental</w:t>
            </w:r>
          </w:p>
        </w:tc>
        <w:tc>
          <w:tcPr>
            <w:tcW w:type="dxa" w:w="1368"/>
          </w:tcPr>
          <w:p>
            <w:pPr>
              <w:spacing w:after="20"/>
              <w:jc w:val="right"/>
            </w:pPr>
            <w:r>
              <w:rPr>
                <w:color w:val="1C3A36"/>
                <w:sz w:val="16"/>
              </w:rPr>
              <w:t>1.536</w:t>
            </w:r>
          </w:p>
        </w:tc>
        <w:tc>
          <w:tcPr>
            <w:tcW w:type="dxa" w:w="1368"/>
          </w:tcPr>
          <w:p>
            <w:pPr>
              <w:spacing w:after="20"/>
              <w:jc w:val="right"/>
            </w:pPr>
            <w:r>
              <w:rPr>
                <w:color w:val="1C3A36"/>
                <w:sz w:val="16"/>
              </w:rPr>
              <w:t>1.536</w:t>
            </w:r>
          </w:p>
        </w:tc>
        <w:tc>
          <w:tcPr>
            <w:tcW w:type="dxa" w:w="864"/>
          </w:tcPr>
          <w:p>
            <w:pPr>
              <w:spacing w:after="20"/>
              <w:jc w:val="right"/>
            </w:pPr>
            <w:r>
              <w:rPr>
                <w:color w:val="1C3A36"/>
                <w:sz w:val="16"/>
              </w:rPr>
              <w:t>+2%</w:t>
            </w:r>
          </w:p>
        </w:tc>
      </w:tr>
      <w:tr>
        <w:tc>
          <w:tcPr>
            <w:tcW w:type="dxa" w:w="1872"/>
          </w:tcPr>
          <w:p>
            <w:pPr>
              <w:spacing w:after="20"/>
            </w:pPr>
            <w:r>
              <w:rPr>
                <w:color w:val="1C3A36"/>
                <w:sz w:val="16"/>
              </w:rPr>
              <w:t>Normalised earnings power</w:t>
            </w:r>
          </w:p>
        </w:tc>
        <w:tc>
          <w:tcPr>
            <w:tcW w:type="dxa" w:w="4320"/>
          </w:tcPr>
          <w:p>
            <w:pPr>
              <w:spacing w:after="20"/>
              <w:jc w:val="right"/>
            </w:pPr>
            <w:r>
              <w:rPr>
                <w:color w:val="1C3A36"/>
                <w:sz w:val="16"/>
              </w:rPr>
              <w:t>2026E with consumption at the UNSHOCKED per-ton level; justified multiple 19.9× from the sustainable return and the cost of equity</w:t>
            </w:r>
          </w:p>
        </w:tc>
        <w:tc>
          <w:tcPr>
            <w:tcW w:type="dxa" w:w="1368"/>
          </w:tcPr>
          <w:p>
            <w:pPr>
              <w:spacing w:after="20"/>
              <w:jc w:val="right"/>
            </w:pPr>
            <w:r>
              <w:rPr>
                <w:color w:val="1C3A36"/>
                <w:sz w:val="16"/>
              </w:rPr>
              <w:t>2.094</w:t>
            </w:r>
          </w:p>
        </w:tc>
        <w:tc>
          <w:tcPr>
            <w:tcW w:type="dxa" w:w="1368"/>
          </w:tcPr>
          <w:p>
            <w:pPr>
              <w:spacing w:after="20"/>
              <w:jc w:val="right"/>
            </w:pPr>
            <w:r>
              <w:rPr>
                <w:color w:val="1C3A36"/>
                <w:sz w:val="16"/>
              </w:rPr>
              <w:t>1.956</w:t>
            </w:r>
          </w:p>
        </w:tc>
        <w:tc>
          <w:tcPr>
            <w:tcW w:type="dxa" w:w="864"/>
          </w:tcPr>
          <w:p>
            <w:pPr>
              <w:spacing w:after="20"/>
              <w:jc w:val="right"/>
            </w:pPr>
            <w:r>
              <w:rPr>
                <w:color w:val="1C3A36"/>
                <w:sz w:val="16"/>
              </w:rPr>
              <w:t>+40%</w:t>
            </w:r>
          </w:p>
        </w:tc>
      </w:tr>
      <w:tr>
        <w:tc>
          <w:tcPr>
            <w:tcW w:type="dxa" w:w="1872"/>
          </w:tcPr>
          <w:p>
            <w:pPr>
              <w:spacing w:after="20"/>
            </w:pPr>
            <w:r>
              <w:rPr>
                <w:color w:val="1C3A36"/>
                <w:sz w:val="16"/>
              </w:rPr>
              <w:t>Book value and sustainable return</w:t>
            </w:r>
          </w:p>
        </w:tc>
        <w:tc>
          <w:tcPr>
            <w:tcW w:type="dxa" w:w="4320"/>
          </w:tcPr>
          <w:p>
            <w:pPr>
              <w:spacing w:after="20"/>
              <w:jc w:val="right"/>
            </w:pPr>
            <w:r>
              <w:rPr>
                <w:color w:val="1C3A36"/>
                <w:sz w:val="16"/>
              </w:rPr>
              <w:t>justified price-to-book 5.9× on book value of 0.334/share at a sustainable return on equity of 30.5%</w:t>
            </w:r>
          </w:p>
        </w:tc>
        <w:tc>
          <w:tcPr>
            <w:tcW w:type="dxa" w:w="1368"/>
          </w:tcPr>
          <w:p>
            <w:pPr>
              <w:spacing w:after="20"/>
              <w:jc w:val="right"/>
            </w:pPr>
            <w:r>
              <w:rPr>
                <w:color w:val="1C3A36"/>
                <w:sz w:val="16"/>
              </w:rPr>
              <w:t>1.980</w:t>
            </w:r>
          </w:p>
        </w:tc>
        <w:tc>
          <w:tcPr>
            <w:tcW w:type="dxa" w:w="1368"/>
          </w:tcPr>
          <w:p>
            <w:pPr>
              <w:spacing w:after="20"/>
              <w:jc w:val="right"/>
            </w:pPr>
            <w:r>
              <w:rPr>
                <w:color w:val="1C3A36"/>
                <w:sz w:val="16"/>
              </w:rPr>
              <w:t>1.980</w:t>
            </w:r>
          </w:p>
        </w:tc>
        <w:tc>
          <w:tcPr>
            <w:tcW w:type="dxa" w:w="864"/>
          </w:tcPr>
          <w:p>
            <w:pPr>
              <w:spacing w:after="20"/>
              <w:jc w:val="right"/>
            </w:pPr>
            <w:r>
              <w:rPr>
                <w:color w:val="1C3A36"/>
                <w:sz w:val="16"/>
              </w:rPr>
              <w:t>+32%</w:t>
            </w:r>
          </w:p>
        </w:tc>
      </w:tr>
      <w:tr>
        <w:tc>
          <w:tcPr>
            <w:tcW w:type="dxa" w:w="1872"/>
            <w:shd w:val="clear" w:color="auto" w:fill="F6F1E6"/>
          </w:tcPr>
          <w:p>
            <w:pPr>
              <w:spacing w:after="20"/>
            </w:pPr>
            <w:r>
              <w:rPr>
                <w:b/>
                <w:color w:val="1C3A36"/>
                <w:sz w:val="16"/>
              </w:rPr>
              <w:t>Weighted central</w:t>
            </w:r>
          </w:p>
        </w:tc>
        <w:tc>
          <w:tcPr>
            <w:tcW w:type="dxa" w:w="4320"/>
            <w:shd w:val="clear" w:color="auto" w:fill="F6F1E6"/>
          </w:tcPr>
          <w:p>
            <w:pPr>
              <w:spacing w:after="20"/>
              <w:jc w:val="right"/>
            </w:pPr>
            <w:r>
              <w:rPr>
                <w:b/>
                <w:color w:val="1C3A36"/>
                <w:sz w:val="16"/>
              </w:rPr>
              <w:t>cash flow 50% · relative 20% · normalised 15% · book 15%; the two tax columns are alternatives, never averaged</w:t>
            </w:r>
          </w:p>
        </w:tc>
        <w:tc>
          <w:tcPr>
            <w:tcW w:type="dxa" w:w="1368"/>
            <w:shd w:val="clear" w:color="auto" w:fill="F6F1E6"/>
          </w:tcPr>
          <w:p>
            <w:pPr>
              <w:spacing w:after="20"/>
              <w:jc w:val="right"/>
            </w:pPr>
            <w:r>
              <w:rPr>
                <w:b/>
                <w:color w:val="1C3A36"/>
                <w:sz w:val="16"/>
              </w:rPr>
              <w:t>2.250</w:t>
            </w:r>
          </w:p>
        </w:tc>
        <w:tc>
          <w:tcPr>
            <w:tcW w:type="dxa" w:w="1368"/>
            <w:shd w:val="clear" w:color="auto" w:fill="F6F1E6"/>
          </w:tcPr>
          <w:p>
            <w:pPr>
              <w:spacing w:after="20"/>
              <w:jc w:val="right"/>
            </w:pPr>
            <w:r>
              <w:rPr>
                <w:b/>
                <w:color w:val="1C3A36"/>
                <w:sz w:val="16"/>
              </w:rPr>
              <w:t>2.139</w:t>
            </w:r>
          </w:p>
        </w:tc>
        <w:tc>
          <w:tcPr>
            <w:tcW w:type="dxa" w:w="864"/>
            <w:shd w:val="clear" w:color="auto" w:fill="F6F1E6"/>
          </w:tcPr>
          <w:p>
            <w:pPr>
              <w:spacing w:after="20"/>
              <w:jc w:val="right"/>
            </w:pPr>
            <w:r>
              <w:rPr>
                <w:b/>
                <w:color w:val="1C3A36"/>
                <w:sz w:val="16"/>
              </w:rPr>
              <w:t>+50%</w:t>
            </w:r>
          </w:p>
        </w:tc>
      </w:tr>
      <w:tr>
        <w:tc>
          <w:tcPr>
            <w:tcW w:type="dxa" w:w="1872"/>
          </w:tcPr>
          <w:p>
            <w:pPr>
              <w:spacing w:after="20"/>
            </w:pPr>
            <w:r>
              <w:rPr>
                <w:color w:val="1C3A36"/>
                <w:sz w:val="16"/>
              </w:rPr>
              <w:t>Scenario field</w:t>
            </w:r>
          </w:p>
        </w:tc>
        <w:tc>
          <w:tcPr>
            <w:tcW w:type="dxa" w:w="4320"/>
          </w:tcPr>
          <w:p>
            <w:pPr>
              <w:spacing w:after="20"/>
              <w:jc w:val="right"/>
            </w:pPr>
            <w:r>
              <w:rPr>
                <w:color w:val="1C3A36"/>
                <w:sz w:val="16"/>
              </w:rPr>
              <w:t>bear 1.737 (war re-escalation, usage never recovers, 15% tax, +100bp on the cost of equity) to bull 2.714 (full recovery, 110k RT/yr)</w:t>
            </w:r>
          </w:p>
        </w:tc>
        <w:tc>
          <w:tcPr>
            <w:tcW w:type="dxa" w:w="1368"/>
          </w:tcPr>
          <w:p>
            <w:pPr>
              <w:spacing w:after="20"/>
              <w:jc w:val="right"/>
            </w:pPr>
            <w:r>
              <w:rPr>
                <w:color w:val="1C3A36"/>
                <w:sz w:val="16"/>
              </w:rPr>
              <w:t>1.737 – 2.714</w:t>
            </w:r>
          </w:p>
        </w:tc>
        <w:tc>
          <w:tcPr>
            <w:tcW w:type="dxa" w:w="1368"/>
          </w:tcPr>
          <w:p>
            <w:pPr>
              <w:spacing w:after="20"/>
              <w:jc w:val="right"/>
            </w:pPr>
            <w:r>
              <w:rPr>
                <w:color w:val="1C3A36"/>
                <w:sz w:val="16"/>
              </w:rPr>
              <w:t>(bear is struck at this tax rate)</w:t>
            </w:r>
          </w:p>
        </w:tc>
        <w:tc>
          <w:tcPr>
            <w:tcW w:type="dxa" w:w="864"/>
          </w:tcPr>
          <w:p>
            <w:pPr>
              <w:spacing w:after="20"/>
              <w:jc w:val="right"/>
            </w:pPr>
            <w:r>
              <w:rPr>
                <w:color w:val="1C3A36"/>
                <w:sz w:val="16"/>
              </w:rPr>
              <w:t>—</w:t>
            </w:r>
          </w:p>
        </w:tc>
      </w:tr>
      <w:tr>
        <w:tc>
          <w:tcPr>
            <w:tcW w:type="dxa" w:w="1872"/>
          </w:tcPr>
          <w:p>
            <w:pPr>
              <w:spacing w:after="20"/>
            </w:pPr>
            <w:r>
              <w:rPr>
                <w:color w:val="1C3A36"/>
                <w:sz w:val="16"/>
              </w:rPr>
              <w:t>Dividend cross-check (unweighted)</w:t>
            </w:r>
          </w:p>
        </w:tc>
        <w:tc>
          <w:tcPr>
            <w:tcW w:type="dxa" w:w="4320"/>
          </w:tcPr>
          <w:p>
            <w:pPr>
              <w:spacing w:after="20"/>
              <w:jc w:val="right"/>
            </w:pPr>
            <w:r>
              <w:rPr>
                <w:color w:val="1C3A36"/>
                <w:sz w:val="16"/>
              </w:rPr>
              <w:t>the committed AED 875mn growing at 2.5%, capitalised at the cost of equity</w:t>
            </w:r>
          </w:p>
        </w:tc>
        <w:tc>
          <w:tcPr>
            <w:tcW w:type="dxa" w:w="1368"/>
          </w:tcPr>
          <w:p>
            <w:pPr>
              <w:spacing w:after="20"/>
              <w:jc w:val="right"/>
            </w:pPr>
            <w:r>
              <w:rPr>
                <w:color w:val="1C3A36"/>
                <w:sz w:val="16"/>
              </w:rPr>
              <w:t>1.899</w:t>
            </w:r>
          </w:p>
        </w:tc>
        <w:tc>
          <w:tcPr>
            <w:tcW w:type="dxa" w:w="1368"/>
          </w:tcPr>
          <w:p>
            <w:pPr>
              <w:spacing w:after="20"/>
              <w:jc w:val="right"/>
            </w:pPr>
            <w:r>
              <w:rPr>
                <w:color w:val="1C3A36"/>
                <w:sz w:val="16"/>
              </w:rPr>
              <w:t>1.899</w:t>
            </w:r>
          </w:p>
        </w:tc>
        <w:tc>
          <w:tcPr>
            <w:tcW w:type="dxa" w:w="864"/>
          </w:tcPr>
          <w:p>
            <w:pPr>
              <w:spacing w:after="20"/>
              <w:jc w:val="right"/>
            </w:pPr>
            <w:r>
              <w:rPr>
                <w:color w:val="1C3A36"/>
                <w:sz w:val="16"/>
              </w:rPr>
              <w:t>+27%</w:t>
            </w:r>
          </w:p>
        </w:tc>
      </w:tr>
      <w:tr>
        <w:tc>
          <w:tcPr>
            <w:tcW w:type="dxa" w:w="1872"/>
          </w:tcPr>
          <w:p>
            <w:pPr>
              <w:spacing w:after="20"/>
            </w:pPr>
            <w:r>
              <w:rPr>
                <w:color w:val="1C3A36"/>
                <w:sz w:val="16"/>
              </w:rPr>
              <w:t>Market price</w:t>
            </w:r>
          </w:p>
        </w:tc>
        <w:tc>
          <w:tcPr>
            <w:tcW w:type="dxa" w:w="4320"/>
          </w:tcPr>
          <w:p>
            <w:pPr>
              <w:spacing w:after="20"/>
              <w:jc w:val="right"/>
            </w:pPr>
            <w:r>
              <w:rPr>
                <w:color w:val="1C3A36"/>
                <w:sz w:val="16"/>
              </w:rPr>
              <w:t>closing price, 7 August 2026</w:t>
            </w:r>
          </w:p>
        </w:tc>
        <w:tc>
          <w:tcPr>
            <w:tcW w:type="dxa" w:w="1368"/>
          </w:tcPr>
          <w:p>
            <w:pPr>
              <w:spacing w:after="20"/>
              <w:jc w:val="right"/>
            </w:pPr>
            <w:r>
              <w:rPr>
                <w:color w:val="1C3A36"/>
                <w:sz w:val="16"/>
              </w:rPr>
              <w:t>1.50</w:t>
            </w:r>
          </w:p>
        </w:tc>
        <w:tc>
          <w:tcPr>
            <w:tcW w:type="dxa" w:w="1368"/>
          </w:tcPr>
          <w:p>
            <w:pPr>
              <w:spacing w:after="20"/>
              <w:jc w:val="right"/>
            </w:pPr>
            <w:r>
              <w:rPr>
                <w:color w:val="1C3A36"/>
                <w:sz w:val="16"/>
              </w:rPr>
              <w:t>1.50</w:t>
            </w:r>
          </w:p>
        </w:tc>
        <w:tc>
          <w:tcPr>
            <w:tcW w:type="dxa" w:w="864"/>
          </w:tcPr>
          <w:p>
            <w:pPr>
              <w:spacing w:after="20"/>
              <w:jc w:val="right"/>
            </w:pPr>
            <w:r>
              <w:rPr>
                <w:color w:val="1C3A36"/>
                <w:sz w:val="16"/>
              </w:rPr>
              <w:t>—</w:t>
            </w:r>
          </w:p>
        </w:tc>
      </w:tr>
      <w:tr>
        <w:tc>
          <w:tcPr>
            <w:tcW w:type="dxa" w:w="1872"/>
          </w:tcPr>
          <w:p>
            <w:pPr>
              <w:spacing w:after="20"/>
            </w:pPr>
            <w:r>
              <w:rPr>
                <w:color w:val="1C3A36"/>
                <w:sz w:val="16"/>
              </w:rPr>
              <w:t>DEWA control purchase — reference only</w:t>
            </w:r>
          </w:p>
        </w:tc>
        <w:tc>
          <w:tcPr>
            <w:tcW w:type="dxa" w:w="4320"/>
          </w:tcPr>
          <w:p>
            <w:pPr>
              <w:spacing w:after="20"/>
              <w:jc w:val="right"/>
            </w:pPr>
            <w:r>
              <w:rPr>
                <w:color w:val="1C3A36"/>
                <w:sz w:val="16"/>
              </w:rPr>
              <w:t>February 2026, related-party purchase of a 24% block at a control price; a disclosed reference point, not fair value</w:t>
            </w:r>
          </w:p>
        </w:tc>
        <w:tc>
          <w:tcPr>
            <w:tcW w:type="dxa" w:w="1368"/>
          </w:tcPr>
          <w:p>
            <w:pPr>
              <w:spacing w:after="20"/>
              <w:jc w:val="right"/>
            </w:pPr>
            <w:r>
              <w:rPr>
                <w:color w:val="1C3A36"/>
                <w:sz w:val="16"/>
              </w:rPr>
              <w:t>2.16</w:t>
            </w:r>
          </w:p>
        </w:tc>
        <w:tc>
          <w:tcPr>
            <w:tcW w:type="dxa" w:w="1368"/>
          </w:tcPr>
          <w:p>
            <w:pPr>
              <w:spacing w:after="20"/>
              <w:jc w:val="right"/>
            </w:pPr>
            <w:r>
              <w:rPr>
                <w:color w:val="1C3A36"/>
                <w:sz w:val="16"/>
              </w:rPr>
              <w:t>2.16</w:t>
            </w:r>
          </w:p>
        </w:tc>
        <w:tc>
          <w:tcPr>
            <w:tcW w:type="dxa" w:w="864"/>
          </w:tcPr>
          <w:p>
            <w:pPr>
              <w:spacing w:after="20"/>
              <w:jc w:val="right"/>
            </w:pPr>
            <w:r>
              <w:rPr>
                <w:color w:val="1C3A36"/>
                <w:sz w:val="16"/>
              </w:rPr>
              <w:t>+44%</w:t>
            </w:r>
          </w:p>
        </w:tc>
      </w:tr>
    </w:tbl>
    <w:p>
      <w:pPr>
        <w:spacing w:after="40"/>
      </w:pPr>
    </w:p>
    <w:p>
      <w:pPr>
        <w:spacing w:after="200" w:before="0"/>
      </w:pPr>
      <w:r>
        <w:rPr>
          <w:b w:val="0"/>
          <w:i/>
          <w:color w:val="6E7B77"/>
          <w:sz w:val="17"/>
        </w:rPr>
        <w:t>Fair values are ranges and distributions, never a target. The two tax columns are the study's central contested judgement published in full: 9% is the audited 2025 effective rate, 15% is the domestic minimum top-up rate that would apply if consolidation into the DEWA group sweeps Empower into the OECD minimum-tax regime. Neither is averaged into the other anywhere in this document. The terminal-value share of enterprise value (80.8%) is stated beside the lens it belongs to because it is the number a sceptical reader should weigh first.</w:t>
      </w:r>
    </w:p>
    <w:p>
      <w:pPr>
        <w:spacing w:after="80" w:before="200"/>
      </w:pPr>
      <w:r>
        <w:rPr>
          <w:b/>
          <w:i w:val="0"/>
          <w:color w:val="1C3A36"/>
          <w:sz w:val="24"/>
        </w:rPr>
        <w:t>Company overview — Empower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7848"/>
      </w:tblGrid>
      <w:tr>
        <w:tc>
          <w:tcPr>
            <w:tcW w:type="dxa" w:w="2232"/>
            <w:shd w:val="clear" w:color="auto" w:fill="EAF0EE"/>
          </w:tcPr>
          <w:p>
            <w:pPr>
              <w:spacing w:after="20"/>
            </w:pPr>
            <w:r>
              <w:rPr>
                <w:b/>
                <w:color w:val="1C3A36"/>
                <w:sz w:val="17"/>
              </w:rPr>
              <w:t>Item</w:t>
            </w:r>
          </w:p>
        </w:tc>
        <w:tc>
          <w:tcPr>
            <w:tcW w:type="dxa" w:w="7848"/>
            <w:shd w:val="clear" w:color="auto" w:fill="EAF0EE"/>
          </w:tcPr>
          <w:p>
            <w:pPr>
              <w:spacing w:after="20"/>
            </w:pPr>
            <w:r>
              <w:rPr>
                <w:b/>
                <w:color w:val="1C3A36"/>
                <w:sz w:val="17"/>
              </w:rPr>
              <w:t>Detail</w:t>
            </w:r>
          </w:p>
        </w:tc>
      </w:tr>
      <w:tr>
        <w:tc>
          <w:tcPr>
            <w:tcW w:type="dxa" w:w="2232"/>
          </w:tcPr>
          <w:p>
            <w:pPr>
              <w:spacing w:after="20"/>
            </w:pPr>
            <w:r>
              <w:rPr>
                <w:color w:val="1C3A36"/>
                <w:sz w:val="17"/>
              </w:rPr>
              <w:t>Listed</w:t>
            </w:r>
          </w:p>
        </w:tc>
        <w:tc>
          <w:tcPr>
            <w:tcW w:type="dxa" w:w="7848"/>
          </w:tcPr>
          <w:p>
            <w:pPr>
              <w:spacing w:after="20"/>
            </w:pPr>
            <w:r>
              <w:rPr>
                <w:color w:val="1C3A36"/>
                <w:sz w:val="17"/>
              </w:rPr>
              <w:t>Dubai Financial Market, 16 November 2022, at the tail of the Dubai privatisation programme; par value AED 0.10</w:t>
            </w:r>
          </w:p>
        </w:tc>
      </w:tr>
      <w:tr>
        <w:tc>
          <w:tcPr>
            <w:tcW w:type="dxa" w:w="2232"/>
          </w:tcPr>
          <w:p>
            <w:pPr>
              <w:spacing w:after="20"/>
            </w:pPr>
            <w:r>
              <w:rPr>
                <w:color w:val="1C3A36"/>
                <w:sz w:val="17"/>
              </w:rPr>
              <w:t>What it does</w:t>
            </w:r>
          </w:p>
        </w:tc>
        <w:tc>
          <w:tcPr>
            <w:tcW w:type="dxa" w:w="7848"/>
          </w:tcPr>
          <w:p>
            <w:pPr>
              <w:spacing w:after="20"/>
            </w:pPr>
            <w:r>
              <w:rPr>
                <w:color w:val="1C3A36"/>
                <w:sz w:val="17"/>
              </w:rPr>
              <w:t>Builds and operates district-cooling plants and distribution networks in Dubai, selling chilled water to towers, malls, hotels and districts under long-term connection agreements; also manufactures pre-insulated pipes (Logstor) and operates the Dubai airport cooling concession through a 70%-owned subsidiary (DXB CoolCo, a 35-year concession acquired in 2023, inside the connected base)</w:t>
            </w:r>
          </w:p>
        </w:tc>
      </w:tr>
      <w:tr>
        <w:tc>
          <w:tcPr>
            <w:tcW w:type="dxa" w:w="2232"/>
          </w:tcPr>
          <w:p>
            <w:pPr>
              <w:spacing w:after="20"/>
            </w:pPr>
            <w:r>
              <w:rPr>
                <w:color w:val="1C3A36"/>
                <w:sz w:val="17"/>
              </w:rPr>
              <w:t>Scale</w:t>
            </w:r>
          </w:p>
        </w:tc>
        <w:tc>
          <w:tcPr>
            <w:tcW w:type="dxa" w:w="7848"/>
          </w:tcPr>
          <w:p>
            <w:pPr>
              <w:spacing w:after="20"/>
            </w:pPr>
            <w:r>
              <w:rPr>
                <w:color w:val="1C3A36"/>
                <w:sz w:val="17"/>
              </w:rPr>
              <w:t>1,707k RT connected / 2,018k RT contracted at 30 June 2026 (+3.1% connected in the half); about 1,796 buildings; roughly 80% of the Dubai district-cooling market</w:t>
            </w:r>
          </w:p>
        </w:tc>
      </w:tr>
      <w:tr>
        <w:tc>
          <w:tcPr>
            <w:tcW w:type="dxa" w:w="2232"/>
          </w:tcPr>
          <w:p>
            <w:pPr>
              <w:spacing w:after="20"/>
            </w:pPr>
            <w:r>
              <w:rPr>
                <w:color w:val="1C3A36"/>
                <w:sz w:val="17"/>
              </w:rPr>
              <w:t>Revenue model</w:t>
            </w:r>
          </w:p>
        </w:tc>
        <w:tc>
          <w:tcPr>
            <w:tcW w:type="dxa" w:w="7848"/>
          </w:tcPr>
          <w:p>
            <w:pPr>
              <w:spacing w:after="20"/>
            </w:pPr>
            <w:r>
              <w:rPr>
                <w:color w:val="1C3A36"/>
                <w:sz w:val="17"/>
              </w:rPr>
              <w:t>Two legs on one asset base: capacity (demand) charges, contracted and paid on connected tons regardless of usage — about 40% of first-half 2026 revenue per the earnings deck — and metered consumption charges, about 49%, with connection and other fees the remaining 11%. The split of the two legs in AED is not separately disclosed in the statements; consumption revenue is disclosed in the auditor's key-audit-matter section each year and the split is reconstructed from it (section 1.6)</w:t>
            </w:r>
          </w:p>
        </w:tc>
      </w:tr>
      <w:tr>
        <w:tc>
          <w:tcPr>
            <w:tcW w:type="dxa" w:w="2232"/>
          </w:tcPr>
          <w:p>
            <w:pPr>
              <w:spacing w:after="20"/>
            </w:pPr>
            <w:r>
              <w:rPr>
                <w:color w:val="1C3A36"/>
                <w:sz w:val="17"/>
              </w:rPr>
              <w:t>Regulation</w:t>
            </w:r>
          </w:p>
        </w:tc>
        <w:tc>
          <w:tcPr>
            <w:tcW w:type="dxa" w:w="7848"/>
          </w:tcPr>
          <w:p>
            <w:pPr>
              <w:spacing w:after="20"/>
            </w:pPr>
            <w:r>
              <w:rPr>
                <w:color w:val="1C3A36"/>
                <w:sz w:val="17"/>
              </w:rPr>
              <w:t>Dubai Executive Council Resolution 6/2021 governs district cooling; tariffs require approval by the Regulatory and Supervisory Bureau. This study holds the tariff FLAT in nominal AED throughout — no real escalation is assumed anywhere</w:t>
            </w:r>
          </w:p>
        </w:tc>
      </w:tr>
      <w:tr>
        <w:tc>
          <w:tcPr>
            <w:tcW w:type="dxa" w:w="2232"/>
          </w:tcPr>
          <w:p>
            <w:pPr>
              <w:spacing w:after="20"/>
            </w:pPr>
            <w:r>
              <w:rPr>
                <w:color w:val="1C3A36"/>
                <w:sz w:val="17"/>
              </w:rPr>
              <w:t>Ownership</w:t>
            </w:r>
          </w:p>
        </w:tc>
        <w:tc>
          <w:tcPr>
            <w:tcW w:type="dxa" w:w="7848"/>
          </w:tcPr>
          <w:p>
            <w:pPr>
              <w:spacing w:after="20"/>
            </w:pPr>
            <w:r>
              <w:rPr>
                <w:color w:val="1C3A36"/>
                <w:sz w:val="17"/>
              </w:rPr>
              <w:t>DEWA 80% since February 2026 (it bought Dubai Holding's 24% at AED 2.16 per share); free float about 20%. DEWA is simultaneously the controlling shareholder and the sole supplier of the largest cost line — a governance concentration discussed in section 7</w:t>
            </w:r>
          </w:p>
        </w:tc>
      </w:tr>
      <w:tr>
        <w:tc>
          <w:tcPr>
            <w:tcW w:type="dxa" w:w="2232"/>
          </w:tcPr>
          <w:p>
            <w:pPr>
              <w:spacing w:after="20"/>
            </w:pPr>
            <w:r>
              <w:rPr>
                <w:color w:val="1C3A36"/>
                <w:sz w:val="17"/>
              </w:rPr>
              <w:t>Shares / market value</w:t>
            </w:r>
          </w:p>
        </w:tc>
        <w:tc>
          <w:tcPr>
            <w:tcW w:type="dxa" w:w="7848"/>
          </w:tcPr>
          <w:p>
            <w:pPr>
              <w:spacing w:after="20"/>
            </w:pPr>
            <w:r>
              <w:rPr>
                <w:color w:val="1C3A36"/>
                <w:sz w:val="17"/>
              </w:rPr>
              <w:t>10,000mn shares; AED 15,000mn at the anchor price of 1.50</w:t>
            </w:r>
          </w:p>
        </w:tc>
      </w:tr>
      <w:tr>
        <w:tc>
          <w:tcPr>
            <w:tcW w:type="dxa" w:w="2232"/>
          </w:tcPr>
          <w:p>
            <w:pPr>
              <w:spacing w:after="20"/>
            </w:pPr>
            <w:r>
              <w:rPr>
                <w:color w:val="1C3A36"/>
                <w:sz w:val="17"/>
              </w:rPr>
              <w:t>Net debt</w:t>
            </w:r>
          </w:p>
        </w:tc>
        <w:tc>
          <w:tcPr>
            <w:tcW w:type="dxa" w:w="7848"/>
          </w:tcPr>
          <w:p>
            <w:pPr>
              <w:spacing w:after="20"/>
            </w:pPr>
            <w:r>
              <w:rPr>
                <w:color w:val="1C3A36"/>
                <w:sz w:val="17"/>
              </w:rPr>
              <w:t>AED 2,991mn at 30 June 2026 (1.8× 2025 EBITDA): two AED 2.75bn revolving credit facilities, fully refinanced in 2025 at a reduced margin over EIBOR, less cash and term deposits</w:t>
            </w:r>
          </w:p>
        </w:tc>
      </w:tr>
      <w:tr>
        <w:tc>
          <w:tcPr>
            <w:tcW w:type="dxa" w:w="2232"/>
          </w:tcPr>
          <w:p>
            <w:pPr>
              <w:spacing w:after="20"/>
            </w:pPr>
            <w:r>
              <w:rPr>
                <w:color w:val="1C3A36"/>
                <w:sz w:val="17"/>
              </w:rPr>
              <w:t>Dividend</w:t>
            </w:r>
          </w:p>
        </w:tc>
        <w:tc>
          <w:tcPr>
            <w:tcW w:type="dxa" w:w="7848"/>
          </w:tcPr>
          <w:p>
            <w:pPr>
              <w:spacing w:after="20"/>
            </w:pPr>
            <w:r>
              <w:rPr>
                <w:color w:val="1C3A36"/>
                <w:sz w:val="17"/>
              </w:rPr>
              <w:t>AED 875mn a year committed for 2025 AND 2026, paid in two instalments (October and April) — 0.087 per share, 5.8% at the anchor price</w:t>
            </w:r>
          </w:p>
        </w:tc>
      </w:tr>
      <w:tr>
        <w:tc>
          <w:tcPr>
            <w:tcW w:type="dxa" w:w="2232"/>
          </w:tcPr>
          <w:p>
            <w:pPr>
              <w:spacing w:after="20"/>
            </w:pPr>
            <w:r>
              <w:rPr>
                <w:color w:val="1C3A36"/>
                <w:sz w:val="17"/>
              </w:rPr>
              <w:t>Tax status</w:t>
            </w:r>
          </w:p>
        </w:tc>
        <w:tc>
          <w:tcPr>
            <w:tcW w:type="dxa" w:w="7848"/>
          </w:tcPr>
          <w:p>
            <w:pPr>
              <w:spacing w:after="20"/>
            </w:pPr>
            <w:r>
              <w:rPr>
                <w:color w:val="1C3A36"/>
                <w:sz w:val="17"/>
              </w:rPr>
              <w:t>UAE corporate tax at 9%; the 2025 audited effective rate is exactly 9.0%. Whether the 15% domestic minimum top-up tax reaches Empower through DEWA-group consolidation is contested — the study's dual-framed judgement</w:t>
            </w:r>
          </w:p>
        </w:tc>
      </w:tr>
    </w:tbl>
    <w:p>
      <w:pPr>
        <w:spacing w:after="40"/>
      </w:pPr>
    </w:p>
    <w:p>
      <w:pPr>
        <w:spacing w:after="200" w:before="0"/>
      </w:pPr>
      <w:r>
        <w:rPr>
          <w:b w:val="0"/>
          <w:i w:val="0"/>
          <w:color w:val="1C3A36"/>
          <w:sz w:val="21"/>
        </w:rPr>
        <w:t>Two structural facts govern everything that follows. First, the two-leg tariff means the profit pool sits in the contracted capacity charge: consumption revenue carries a 76% pass-through cost, so a swing in usage moves revenue far more than it moves cash flow. Second, the balance sheet runs on other people's working capital: customer deposits and long payment terms to a related-party supplier hold net working capital NEGATIVE at about 51% of revenue — growth here releases cash rather than consuming it, the mirror image of most utilities' build-out phase.</w:t>
      </w:r>
    </w:p>
    <w:p>
      <w:pPr>
        <w:spacing w:after="120" w:before="280"/>
      </w:pPr>
      <w:r>
        <w:rPr>
          <w:b/>
          <w:i w:val="0"/>
          <w:color w:val="1C3A36"/>
          <w:sz w:val="30"/>
        </w:rPr>
        <w:t>1  Fundamental valuation</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primary lens is a five-year free-cash-flow-to-the-firm model built from physical units, not from a revenue growth rate: connected refrigeration tons × the capacity rate, plus consumption per connected ton × the connected base, plus the small pipes line — each leg on its own driver, with margins falling out as OUTPUTS (section 1.6 shows the build and its exact reconciliation to the audited 2025 statements). The waterfall below runs the base case at the 9% audited tax rate; the 15% minimum-tax framing follows it, in full, immediately after.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7"/>
              </w:rPr>
              <w:t>AED mn</w:t>
            </w:r>
          </w:p>
        </w:tc>
        <w:tc>
          <w:tcPr>
            <w:tcW w:type="dxa" w:w="1426"/>
            <w:shd w:val="clear" w:color="auto" w:fill="EAF0EE"/>
          </w:tcPr>
          <w:p>
            <w:pPr>
              <w:spacing w:after="20"/>
            </w:pPr>
            <w:r>
              <w:rPr>
                <w:b/>
                <w:color w:val="1C3A36"/>
                <w:sz w:val="17"/>
              </w:rPr>
              <w:t>FY26</w:t>
            </w:r>
          </w:p>
        </w:tc>
        <w:tc>
          <w:tcPr>
            <w:tcW w:type="dxa" w:w="1426"/>
            <w:shd w:val="clear" w:color="auto" w:fill="EAF0EE"/>
          </w:tcPr>
          <w:p>
            <w:pPr>
              <w:spacing w:after="20"/>
            </w:pPr>
            <w:r>
              <w:rPr>
                <w:b/>
                <w:color w:val="1C3A36"/>
                <w:sz w:val="17"/>
              </w:rPr>
              <w:t>FY27</w:t>
            </w:r>
          </w:p>
        </w:tc>
        <w:tc>
          <w:tcPr>
            <w:tcW w:type="dxa" w:w="1426"/>
            <w:shd w:val="clear" w:color="auto" w:fill="EAF0EE"/>
          </w:tcPr>
          <w:p>
            <w:pPr>
              <w:spacing w:after="20"/>
            </w:pPr>
            <w:r>
              <w:rPr>
                <w:b/>
                <w:color w:val="1C3A36"/>
                <w:sz w:val="17"/>
              </w:rPr>
              <w:t>FY28</w:t>
            </w:r>
          </w:p>
        </w:tc>
        <w:tc>
          <w:tcPr>
            <w:tcW w:type="dxa" w:w="1426"/>
            <w:shd w:val="clear" w:color="auto" w:fill="EAF0EE"/>
          </w:tcPr>
          <w:p>
            <w:pPr>
              <w:spacing w:after="20"/>
            </w:pPr>
            <w:r>
              <w:rPr>
                <w:b/>
                <w:color w:val="1C3A36"/>
                <w:sz w:val="17"/>
              </w:rPr>
              <w:t>FY29</w:t>
            </w:r>
          </w:p>
        </w:tc>
        <w:tc>
          <w:tcPr>
            <w:tcW w:type="dxa" w:w="1426"/>
            <w:shd w:val="clear" w:color="auto" w:fill="EAF0EE"/>
          </w:tcPr>
          <w:p>
            <w:pPr>
              <w:spacing w:after="20"/>
            </w:pPr>
            <w:r>
              <w:rPr>
                <w:b/>
                <w:color w:val="1C3A36"/>
                <w:sz w:val="17"/>
              </w:rPr>
              <w:t>FY30</w:t>
            </w:r>
          </w:p>
        </w:tc>
      </w:tr>
      <w:tr>
        <w:tc>
          <w:tcPr>
            <w:tcW w:type="dxa" w:w="2952"/>
          </w:tcPr>
          <w:p>
            <w:pPr>
              <w:spacing w:after="20"/>
            </w:pPr>
            <w:r>
              <w:rPr>
                <w:color w:val="1C3A36"/>
                <w:sz w:val="17"/>
              </w:rPr>
              <w:t>Revenue</w:t>
            </w:r>
          </w:p>
        </w:tc>
        <w:tc>
          <w:tcPr>
            <w:tcW w:type="dxa" w:w="1426"/>
          </w:tcPr>
          <w:p>
            <w:pPr>
              <w:spacing w:after="20"/>
              <w:jc w:val="right"/>
            </w:pPr>
            <w:r>
              <w:rPr>
                <w:color w:val="1C3A36"/>
                <w:sz w:val="17"/>
              </w:rPr>
              <w:t>3,503</w:t>
            </w:r>
          </w:p>
        </w:tc>
        <w:tc>
          <w:tcPr>
            <w:tcW w:type="dxa" w:w="1426"/>
          </w:tcPr>
          <w:p>
            <w:pPr>
              <w:spacing w:after="20"/>
              <w:jc w:val="right"/>
            </w:pPr>
            <w:r>
              <w:rPr>
                <w:color w:val="1C3A36"/>
                <w:sz w:val="17"/>
              </w:rPr>
              <w:t>3,842</w:t>
            </w:r>
          </w:p>
        </w:tc>
        <w:tc>
          <w:tcPr>
            <w:tcW w:type="dxa" w:w="1426"/>
          </w:tcPr>
          <w:p>
            <w:pPr>
              <w:spacing w:after="20"/>
              <w:jc w:val="right"/>
            </w:pPr>
            <w:r>
              <w:rPr>
                <w:color w:val="1C3A36"/>
                <w:sz w:val="17"/>
              </w:rPr>
              <w:t>4,042</w:t>
            </w:r>
          </w:p>
        </w:tc>
        <w:tc>
          <w:tcPr>
            <w:tcW w:type="dxa" w:w="1426"/>
          </w:tcPr>
          <w:p>
            <w:pPr>
              <w:spacing w:after="20"/>
              <w:jc w:val="right"/>
            </w:pPr>
            <w:r>
              <w:rPr>
                <w:color w:val="1C3A36"/>
                <w:sz w:val="17"/>
              </w:rPr>
              <w:t>4,222</w:t>
            </w:r>
          </w:p>
        </w:tc>
        <w:tc>
          <w:tcPr>
            <w:tcW w:type="dxa" w:w="1426"/>
          </w:tcPr>
          <w:p>
            <w:pPr>
              <w:spacing w:after="20"/>
              <w:jc w:val="right"/>
            </w:pPr>
            <w:r>
              <w:rPr>
                <w:color w:val="1C3A36"/>
                <w:sz w:val="17"/>
              </w:rPr>
              <w:t>4,380</w:t>
            </w:r>
          </w:p>
        </w:tc>
      </w:tr>
      <w:tr>
        <w:tc>
          <w:tcPr>
            <w:tcW w:type="dxa" w:w="2952"/>
          </w:tcPr>
          <w:p>
            <w:pPr>
              <w:spacing w:after="20"/>
            </w:pPr>
            <w:r>
              <w:rPr>
                <w:color w:val="1C3A36"/>
                <w:sz w:val="17"/>
              </w:rPr>
              <w:t xml:space="preserve">  of which consumption</w:t>
            </w:r>
          </w:p>
        </w:tc>
        <w:tc>
          <w:tcPr>
            <w:tcW w:type="dxa" w:w="1426"/>
          </w:tcPr>
          <w:p>
            <w:pPr>
              <w:spacing w:after="20"/>
              <w:jc w:val="right"/>
            </w:pPr>
            <w:r>
              <w:rPr>
                <w:color w:val="1C3A36"/>
                <w:sz w:val="17"/>
              </w:rPr>
              <w:t>1,918</w:t>
            </w:r>
          </w:p>
        </w:tc>
        <w:tc>
          <w:tcPr>
            <w:tcW w:type="dxa" w:w="1426"/>
          </w:tcPr>
          <w:p>
            <w:pPr>
              <w:spacing w:after="20"/>
              <w:jc w:val="right"/>
            </w:pPr>
            <w:r>
              <w:rPr>
                <w:color w:val="1C3A36"/>
                <w:sz w:val="17"/>
              </w:rPr>
              <w:t>2,163</w:t>
            </w:r>
          </w:p>
        </w:tc>
        <w:tc>
          <w:tcPr>
            <w:tcW w:type="dxa" w:w="1426"/>
          </w:tcPr>
          <w:p>
            <w:pPr>
              <w:spacing w:after="20"/>
              <w:jc w:val="right"/>
            </w:pPr>
            <w:r>
              <w:rPr>
                <w:color w:val="1C3A36"/>
                <w:sz w:val="17"/>
              </w:rPr>
              <w:t>2,276</w:t>
            </w:r>
          </w:p>
        </w:tc>
        <w:tc>
          <w:tcPr>
            <w:tcW w:type="dxa" w:w="1426"/>
          </w:tcPr>
          <w:p>
            <w:pPr>
              <w:spacing w:after="20"/>
              <w:jc w:val="right"/>
            </w:pPr>
            <w:r>
              <w:rPr>
                <w:color w:val="1C3A36"/>
                <w:sz w:val="17"/>
              </w:rPr>
              <w:t>2,378</w:t>
            </w:r>
          </w:p>
        </w:tc>
        <w:tc>
          <w:tcPr>
            <w:tcW w:type="dxa" w:w="1426"/>
          </w:tcPr>
          <w:p>
            <w:pPr>
              <w:spacing w:after="20"/>
              <w:jc w:val="right"/>
            </w:pPr>
            <w:r>
              <w:rPr>
                <w:color w:val="1C3A36"/>
                <w:sz w:val="17"/>
              </w:rPr>
              <w:t>2,467</w:t>
            </w:r>
          </w:p>
        </w:tc>
      </w:tr>
      <w:tr>
        <w:tc>
          <w:tcPr>
            <w:tcW w:type="dxa" w:w="2952"/>
          </w:tcPr>
          <w:p>
            <w:pPr>
              <w:spacing w:after="20"/>
            </w:pPr>
            <w:r>
              <w:rPr>
                <w:color w:val="1C3A36"/>
                <w:sz w:val="17"/>
              </w:rPr>
              <w:t xml:space="preserve">  of which capacity and other</w:t>
            </w:r>
          </w:p>
        </w:tc>
        <w:tc>
          <w:tcPr>
            <w:tcW w:type="dxa" w:w="1426"/>
          </w:tcPr>
          <w:p>
            <w:pPr>
              <w:spacing w:after="20"/>
              <w:jc w:val="right"/>
            </w:pPr>
            <w:r>
              <w:rPr>
                <w:color w:val="1C3A36"/>
                <w:sz w:val="17"/>
              </w:rPr>
              <w:t>1,568</w:t>
            </w:r>
          </w:p>
        </w:tc>
        <w:tc>
          <w:tcPr>
            <w:tcW w:type="dxa" w:w="1426"/>
          </w:tcPr>
          <w:p>
            <w:pPr>
              <w:spacing w:after="20"/>
              <w:jc w:val="right"/>
            </w:pPr>
            <w:r>
              <w:rPr>
                <w:color w:val="1C3A36"/>
                <w:sz w:val="17"/>
              </w:rPr>
              <w:t>1,662</w:t>
            </w:r>
          </w:p>
        </w:tc>
        <w:tc>
          <w:tcPr>
            <w:tcW w:type="dxa" w:w="1426"/>
          </w:tcPr>
          <w:p>
            <w:pPr>
              <w:spacing w:after="20"/>
              <w:jc w:val="right"/>
            </w:pPr>
            <w:r>
              <w:rPr>
                <w:color w:val="1C3A36"/>
                <w:sz w:val="17"/>
              </w:rPr>
              <w:t>1,749</w:t>
            </w:r>
          </w:p>
        </w:tc>
        <w:tc>
          <w:tcPr>
            <w:tcW w:type="dxa" w:w="1426"/>
          </w:tcPr>
          <w:p>
            <w:pPr>
              <w:spacing w:after="20"/>
              <w:jc w:val="right"/>
            </w:pPr>
            <w:r>
              <w:rPr>
                <w:color w:val="1C3A36"/>
                <w:sz w:val="17"/>
              </w:rPr>
              <w:t>1,827</w:t>
            </w:r>
          </w:p>
        </w:tc>
        <w:tc>
          <w:tcPr>
            <w:tcW w:type="dxa" w:w="1426"/>
          </w:tcPr>
          <w:p>
            <w:pPr>
              <w:spacing w:after="20"/>
              <w:jc w:val="right"/>
            </w:pPr>
            <w:r>
              <w:rPr>
                <w:color w:val="1C3A36"/>
                <w:sz w:val="17"/>
              </w:rPr>
              <w:t>1,896</w:t>
            </w:r>
          </w:p>
        </w:tc>
      </w:tr>
      <w:tr>
        <w:tc>
          <w:tcPr>
            <w:tcW w:type="dxa" w:w="2952"/>
          </w:tcPr>
          <w:p>
            <w:pPr>
              <w:spacing w:after="20"/>
            </w:pPr>
            <w:r>
              <w:rPr>
                <w:color w:val="1C3A36"/>
                <w:sz w:val="17"/>
              </w:rPr>
              <w:t>EBITDA</w:t>
            </w:r>
          </w:p>
        </w:tc>
        <w:tc>
          <w:tcPr>
            <w:tcW w:type="dxa" w:w="1426"/>
          </w:tcPr>
          <w:p>
            <w:pPr>
              <w:spacing w:after="20"/>
              <w:jc w:val="right"/>
            </w:pPr>
            <w:r>
              <w:rPr>
                <w:color w:val="1C3A36"/>
                <w:sz w:val="17"/>
              </w:rPr>
              <w:t>1,702</w:t>
            </w:r>
          </w:p>
        </w:tc>
        <w:tc>
          <w:tcPr>
            <w:tcW w:type="dxa" w:w="1426"/>
          </w:tcPr>
          <w:p>
            <w:pPr>
              <w:spacing w:after="20"/>
              <w:jc w:val="right"/>
            </w:pPr>
            <w:r>
              <w:rPr>
                <w:color w:val="1C3A36"/>
                <w:sz w:val="17"/>
              </w:rPr>
              <w:t>1,843</w:t>
            </w:r>
          </w:p>
        </w:tc>
        <w:tc>
          <w:tcPr>
            <w:tcW w:type="dxa" w:w="1426"/>
          </w:tcPr>
          <w:p>
            <w:pPr>
              <w:spacing w:after="20"/>
              <w:jc w:val="right"/>
            </w:pPr>
            <w:r>
              <w:rPr>
                <w:color w:val="1C3A36"/>
                <w:sz w:val="17"/>
              </w:rPr>
              <w:t>1,945</w:t>
            </w:r>
          </w:p>
        </w:tc>
        <w:tc>
          <w:tcPr>
            <w:tcW w:type="dxa" w:w="1426"/>
          </w:tcPr>
          <w:p>
            <w:pPr>
              <w:spacing w:after="20"/>
              <w:jc w:val="right"/>
            </w:pPr>
            <w:r>
              <w:rPr>
                <w:color w:val="1C3A36"/>
                <w:sz w:val="17"/>
              </w:rPr>
              <w:t>2,034</w:t>
            </w:r>
          </w:p>
        </w:tc>
        <w:tc>
          <w:tcPr>
            <w:tcW w:type="dxa" w:w="1426"/>
          </w:tcPr>
          <w:p>
            <w:pPr>
              <w:spacing w:after="20"/>
              <w:jc w:val="right"/>
            </w:pPr>
            <w:r>
              <w:rPr>
                <w:color w:val="1C3A36"/>
                <w:sz w:val="17"/>
              </w:rPr>
              <w:t>2,112</w:t>
            </w:r>
          </w:p>
        </w:tc>
      </w:tr>
      <w:tr>
        <w:tc>
          <w:tcPr>
            <w:tcW w:type="dxa" w:w="2952"/>
          </w:tcPr>
          <w:p>
            <w:pPr>
              <w:spacing w:after="20"/>
            </w:pPr>
            <w:r>
              <w:rPr>
                <w:color w:val="1C3A36"/>
                <w:sz w:val="17"/>
              </w:rPr>
              <w:t>EBITDA margin</w:t>
            </w:r>
          </w:p>
        </w:tc>
        <w:tc>
          <w:tcPr>
            <w:tcW w:type="dxa" w:w="1426"/>
          </w:tcPr>
          <w:p>
            <w:pPr>
              <w:spacing w:after="20"/>
              <w:jc w:val="right"/>
            </w:pPr>
            <w:r>
              <w:rPr>
                <w:color w:val="1C3A36"/>
                <w:sz w:val="17"/>
              </w:rPr>
              <w:t>48.6%</w:t>
            </w:r>
          </w:p>
        </w:tc>
        <w:tc>
          <w:tcPr>
            <w:tcW w:type="dxa" w:w="1426"/>
          </w:tcPr>
          <w:p>
            <w:pPr>
              <w:spacing w:after="20"/>
              <w:jc w:val="right"/>
            </w:pPr>
            <w:r>
              <w:rPr>
                <w:color w:val="1C3A36"/>
                <w:sz w:val="17"/>
              </w:rPr>
              <w:t>48.0%</w:t>
            </w:r>
          </w:p>
        </w:tc>
        <w:tc>
          <w:tcPr>
            <w:tcW w:type="dxa" w:w="1426"/>
          </w:tcPr>
          <w:p>
            <w:pPr>
              <w:spacing w:after="20"/>
              <w:jc w:val="right"/>
            </w:pPr>
            <w:r>
              <w:rPr>
                <w:color w:val="1C3A36"/>
                <w:sz w:val="17"/>
              </w:rPr>
              <w:t>48.1%</w:t>
            </w:r>
          </w:p>
        </w:tc>
        <w:tc>
          <w:tcPr>
            <w:tcW w:type="dxa" w:w="1426"/>
          </w:tcPr>
          <w:p>
            <w:pPr>
              <w:spacing w:after="20"/>
              <w:jc w:val="right"/>
            </w:pPr>
            <w:r>
              <w:rPr>
                <w:color w:val="1C3A36"/>
                <w:sz w:val="17"/>
              </w:rPr>
              <w:t>48.2%</w:t>
            </w:r>
          </w:p>
        </w:tc>
        <w:tc>
          <w:tcPr>
            <w:tcW w:type="dxa" w:w="1426"/>
          </w:tcPr>
          <w:p>
            <w:pPr>
              <w:spacing w:after="20"/>
              <w:jc w:val="right"/>
            </w:pPr>
            <w:r>
              <w:rPr>
                <w:color w:val="1C3A36"/>
                <w:sz w:val="17"/>
              </w:rPr>
              <w:t>48.2%</w:t>
            </w:r>
          </w:p>
        </w:tc>
      </w:tr>
      <w:tr>
        <w:tc>
          <w:tcPr>
            <w:tcW w:type="dxa" w:w="2952"/>
          </w:tcPr>
          <w:p>
            <w:pPr>
              <w:spacing w:after="20"/>
            </w:pPr>
            <w:r>
              <w:rPr>
                <w:color w:val="1C3A36"/>
                <w:sz w:val="17"/>
              </w:rPr>
              <w:t>Less depreciation and amortisation</w:t>
            </w:r>
          </w:p>
        </w:tc>
        <w:tc>
          <w:tcPr>
            <w:tcW w:type="dxa" w:w="1426"/>
          </w:tcPr>
          <w:p>
            <w:pPr>
              <w:spacing w:after="20"/>
              <w:jc w:val="right"/>
            </w:pPr>
            <w:r>
              <w:rPr>
                <w:color w:val="1C3A36"/>
                <w:sz w:val="17"/>
              </w:rPr>
              <w:t>(380)</w:t>
            </w:r>
          </w:p>
        </w:tc>
        <w:tc>
          <w:tcPr>
            <w:tcW w:type="dxa" w:w="1426"/>
          </w:tcPr>
          <w:p>
            <w:pPr>
              <w:spacing w:after="20"/>
              <w:jc w:val="right"/>
            </w:pPr>
            <w:r>
              <w:rPr>
                <w:color w:val="1C3A36"/>
                <w:sz w:val="17"/>
              </w:rPr>
              <w:t>(390)</w:t>
            </w:r>
          </w:p>
        </w:tc>
        <w:tc>
          <w:tcPr>
            <w:tcW w:type="dxa" w:w="1426"/>
          </w:tcPr>
          <w:p>
            <w:pPr>
              <w:spacing w:after="20"/>
              <w:jc w:val="right"/>
            </w:pPr>
            <w:r>
              <w:rPr>
                <w:color w:val="1C3A36"/>
                <w:sz w:val="17"/>
              </w:rPr>
              <w:t>(399)</w:t>
            </w:r>
          </w:p>
        </w:tc>
        <w:tc>
          <w:tcPr>
            <w:tcW w:type="dxa" w:w="1426"/>
          </w:tcPr>
          <w:p>
            <w:pPr>
              <w:spacing w:after="20"/>
              <w:jc w:val="right"/>
            </w:pPr>
            <w:r>
              <w:rPr>
                <w:color w:val="1C3A36"/>
                <w:sz w:val="17"/>
              </w:rPr>
              <w:t>(405)</w:t>
            </w:r>
          </w:p>
        </w:tc>
        <w:tc>
          <w:tcPr>
            <w:tcW w:type="dxa" w:w="1426"/>
          </w:tcPr>
          <w:p>
            <w:pPr>
              <w:spacing w:after="20"/>
              <w:jc w:val="right"/>
            </w:pPr>
            <w:r>
              <w:rPr>
                <w:color w:val="1C3A36"/>
                <w:sz w:val="17"/>
              </w:rPr>
              <w:t>(408)</w:t>
            </w:r>
          </w:p>
        </w:tc>
      </w:tr>
      <w:tr>
        <w:tc>
          <w:tcPr>
            <w:tcW w:type="dxa" w:w="2952"/>
          </w:tcPr>
          <w:p>
            <w:pPr>
              <w:spacing w:after="20"/>
            </w:pPr>
            <w:r>
              <w:rPr>
                <w:color w:val="1C3A36"/>
                <w:sz w:val="17"/>
              </w:rPr>
              <w:t>EBIT</w:t>
            </w:r>
          </w:p>
        </w:tc>
        <w:tc>
          <w:tcPr>
            <w:tcW w:type="dxa" w:w="1426"/>
          </w:tcPr>
          <w:p>
            <w:pPr>
              <w:spacing w:after="20"/>
              <w:jc w:val="right"/>
            </w:pPr>
            <w:r>
              <w:rPr>
                <w:color w:val="1C3A36"/>
                <w:sz w:val="17"/>
              </w:rPr>
              <w:t>1,323</w:t>
            </w:r>
          </w:p>
        </w:tc>
        <w:tc>
          <w:tcPr>
            <w:tcW w:type="dxa" w:w="1426"/>
          </w:tcPr>
          <w:p>
            <w:pPr>
              <w:spacing w:after="20"/>
              <w:jc w:val="right"/>
            </w:pPr>
            <w:r>
              <w:rPr>
                <w:color w:val="1C3A36"/>
                <w:sz w:val="17"/>
              </w:rPr>
              <w:t>1,452</w:t>
            </w:r>
          </w:p>
        </w:tc>
        <w:tc>
          <w:tcPr>
            <w:tcW w:type="dxa" w:w="1426"/>
          </w:tcPr>
          <w:p>
            <w:pPr>
              <w:spacing w:after="20"/>
              <w:jc w:val="right"/>
            </w:pPr>
            <w:r>
              <w:rPr>
                <w:color w:val="1C3A36"/>
                <w:sz w:val="17"/>
              </w:rPr>
              <w:t>1,545</w:t>
            </w:r>
          </w:p>
        </w:tc>
        <w:tc>
          <w:tcPr>
            <w:tcW w:type="dxa" w:w="1426"/>
          </w:tcPr>
          <w:p>
            <w:pPr>
              <w:spacing w:after="20"/>
              <w:jc w:val="right"/>
            </w:pPr>
            <w:r>
              <w:rPr>
                <w:color w:val="1C3A36"/>
                <w:sz w:val="17"/>
              </w:rPr>
              <w:t>1,629</w:t>
            </w:r>
          </w:p>
        </w:tc>
        <w:tc>
          <w:tcPr>
            <w:tcW w:type="dxa" w:w="1426"/>
          </w:tcPr>
          <w:p>
            <w:pPr>
              <w:spacing w:after="20"/>
              <w:jc w:val="right"/>
            </w:pPr>
            <w:r>
              <w:rPr>
                <w:color w:val="1C3A36"/>
                <w:sz w:val="17"/>
              </w:rPr>
              <w:t>1,703</w:t>
            </w:r>
          </w:p>
        </w:tc>
      </w:tr>
      <w:tr>
        <w:tc>
          <w:tcPr>
            <w:tcW w:type="dxa" w:w="2952"/>
          </w:tcPr>
          <w:p>
            <w:pPr>
              <w:spacing w:after="20"/>
            </w:pPr>
            <w:r>
              <w:rPr>
                <w:color w:val="1C3A36"/>
                <w:sz w:val="17"/>
              </w:rPr>
              <w:t>NOPAT — EBIT × (1 − 9%)</w:t>
            </w:r>
          </w:p>
        </w:tc>
        <w:tc>
          <w:tcPr>
            <w:tcW w:type="dxa" w:w="1426"/>
          </w:tcPr>
          <w:p>
            <w:pPr>
              <w:spacing w:after="20"/>
              <w:jc w:val="right"/>
            </w:pPr>
            <w:r>
              <w:rPr>
                <w:color w:val="1C3A36"/>
                <w:sz w:val="17"/>
              </w:rPr>
              <w:t>1,204</w:t>
            </w:r>
          </w:p>
        </w:tc>
        <w:tc>
          <w:tcPr>
            <w:tcW w:type="dxa" w:w="1426"/>
          </w:tcPr>
          <w:p>
            <w:pPr>
              <w:spacing w:after="20"/>
              <w:jc w:val="right"/>
            </w:pPr>
            <w:r>
              <w:rPr>
                <w:color w:val="1C3A36"/>
                <w:sz w:val="17"/>
              </w:rPr>
              <w:t>1,322</w:t>
            </w:r>
          </w:p>
        </w:tc>
        <w:tc>
          <w:tcPr>
            <w:tcW w:type="dxa" w:w="1426"/>
          </w:tcPr>
          <w:p>
            <w:pPr>
              <w:spacing w:after="20"/>
              <w:jc w:val="right"/>
            </w:pPr>
            <w:r>
              <w:rPr>
                <w:color w:val="1C3A36"/>
                <w:sz w:val="17"/>
              </w:rPr>
              <w:t>1,406</w:t>
            </w:r>
          </w:p>
        </w:tc>
        <w:tc>
          <w:tcPr>
            <w:tcW w:type="dxa" w:w="1426"/>
          </w:tcPr>
          <w:p>
            <w:pPr>
              <w:spacing w:after="20"/>
              <w:jc w:val="right"/>
            </w:pPr>
            <w:r>
              <w:rPr>
                <w:color w:val="1C3A36"/>
                <w:sz w:val="17"/>
              </w:rPr>
              <w:t>1,483</w:t>
            </w:r>
          </w:p>
        </w:tc>
        <w:tc>
          <w:tcPr>
            <w:tcW w:type="dxa" w:w="1426"/>
          </w:tcPr>
          <w:p>
            <w:pPr>
              <w:spacing w:after="20"/>
              <w:jc w:val="right"/>
            </w:pPr>
            <w:r>
              <w:rPr>
                <w:color w:val="1C3A36"/>
                <w:sz w:val="17"/>
              </w:rPr>
              <w:t>1,550</w:t>
            </w:r>
          </w:p>
        </w:tc>
      </w:tr>
      <w:tr>
        <w:tc>
          <w:tcPr>
            <w:tcW w:type="dxa" w:w="2952"/>
          </w:tcPr>
          <w:p>
            <w:pPr>
              <w:spacing w:after="20"/>
            </w:pPr>
            <w:r>
              <w:rPr>
                <w:color w:val="1C3A36"/>
                <w:sz w:val="17"/>
              </w:rPr>
              <w:t>Add back depreciation and amortisation</w:t>
            </w:r>
          </w:p>
        </w:tc>
        <w:tc>
          <w:tcPr>
            <w:tcW w:type="dxa" w:w="1426"/>
          </w:tcPr>
          <w:p>
            <w:pPr>
              <w:spacing w:after="20"/>
              <w:jc w:val="right"/>
            </w:pPr>
            <w:r>
              <w:rPr>
                <w:color w:val="1C3A36"/>
                <w:sz w:val="17"/>
              </w:rPr>
              <w:t>380</w:t>
            </w:r>
          </w:p>
        </w:tc>
        <w:tc>
          <w:tcPr>
            <w:tcW w:type="dxa" w:w="1426"/>
          </w:tcPr>
          <w:p>
            <w:pPr>
              <w:spacing w:after="20"/>
              <w:jc w:val="right"/>
            </w:pPr>
            <w:r>
              <w:rPr>
                <w:color w:val="1C3A36"/>
                <w:sz w:val="17"/>
              </w:rPr>
              <w:t>390</w:t>
            </w:r>
          </w:p>
        </w:tc>
        <w:tc>
          <w:tcPr>
            <w:tcW w:type="dxa" w:w="1426"/>
          </w:tcPr>
          <w:p>
            <w:pPr>
              <w:spacing w:after="20"/>
              <w:jc w:val="right"/>
            </w:pPr>
            <w:r>
              <w:rPr>
                <w:color w:val="1C3A36"/>
                <w:sz w:val="17"/>
              </w:rPr>
              <w:t>399</w:t>
            </w:r>
          </w:p>
        </w:tc>
        <w:tc>
          <w:tcPr>
            <w:tcW w:type="dxa" w:w="1426"/>
          </w:tcPr>
          <w:p>
            <w:pPr>
              <w:spacing w:after="20"/>
              <w:jc w:val="right"/>
            </w:pPr>
            <w:r>
              <w:rPr>
                <w:color w:val="1C3A36"/>
                <w:sz w:val="17"/>
              </w:rPr>
              <w:t>405</w:t>
            </w:r>
          </w:p>
        </w:tc>
        <w:tc>
          <w:tcPr>
            <w:tcW w:type="dxa" w:w="1426"/>
          </w:tcPr>
          <w:p>
            <w:pPr>
              <w:spacing w:after="20"/>
              <w:jc w:val="right"/>
            </w:pPr>
            <w:r>
              <w:rPr>
                <w:color w:val="1C3A36"/>
                <w:sz w:val="17"/>
              </w:rPr>
              <w:t>408</w:t>
            </w:r>
          </w:p>
        </w:tc>
      </w:tr>
      <w:tr>
        <w:tc>
          <w:tcPr>
            <w:tcW w:type="dxa" w:w="2952"/>
          </w:tcPr>
          <w:p>
            <w:pPr>
              <w:spacing w:after="20"/>
            </w:pPr>
            <w:r>
              <w:rPr>
                <w:color w:val="1C3A36"/>
                <w:sz w:val="17"/>
              </w:rPr>
              <w:t>Less capital expenditure</w:t>
            </w:r>
          </w:p>
        </w:tc>
        <w:tc>
          <w:tcPr>
            <w:tcW w:type="dxa" w:w="1426"/>
          </w:tcPr>
          <w:p>
            <w:pPr>
              <w:spacing w:after="20"/>
              <w:jc w:val="right"/>
            </w:pPr>
            <w:r>
              <w:rPr>
                <w:color w:val="1C3A36"/>
                <w:sz w:val="17"/>
              </w:rPr>
              <w:t>(571)</w:t>
            </w:r>
          </w:p>
        </w:tc>
        <w:tc>
          <w:tcPr>
            <w:tcW w:type="dxa" w:w="1426"/>
          </w:tcPr>
          <w:p>
            <w:pPr>
              <w:spacing w:after="20"/>
              <w:jc w:val="right"/>
            </w:pPr>
            <w:r>
              <w:rPr>
                <w:color w:val="1C3A36"/>
                <w:sz w:val="17"/>
              </w:rPr>
              <w:t>(548)</w:t>
            </w:r>
          </w:p>
        </w:tc>
        <w:tc>
          <w:tcPr>
            <w:tcW w:type="dxa" w:w="1426"/>
          </w:tcPr>
          <w:p>
            <w:pPr>
              <w:spacing w:after="20"/>
              <w:jc w:val="right"/>
            </w:pPr>
            <w:r>
              <w:rPr>
                <w:color w:val="1C3A36"/>
                <w:sz w:val="17"/>
              </w:rPr>
              <w:t>(501)</w:t>
            </w:r>
          </w:p>
        </w:tc>
        <w:tc>
          <w:tcPr>
            <w:tcW w:type="dxa" w:w="1426"/>
          </w:tcPr>
          <w:p>
            <w:pPr>
              <w:spacing w:after="20"/>
              <w:jc w:val="right"/>
            </w:pPr>
            <w:r>
              <w:rPr>
                <w:color w:val="1C3A36"/>
                <w:sz w:val="17"/>
              </w:rPr>
              <w:t>(453)</w:t>
            </w:r>
          </w:p>
        </w:tc>
        <w:tc>
          <w:tcPr>
            <w:tcW w:type="dxa" w:w="1426"/>
          </w:tcPr>
          <w:p>
            <w:pPr>
              <w:spacing w:after="20"/>
              <w:jc w:val="right"/>
            </w:pPr>
            <w:r>
              <w:rPr>
                <w:color w:val="1C3A36"/>
                <w:sz w:val="17"/>
              </w:rPr>
              <w:t>(404)</w:t>
            </w:r>
          </w:p>
        </w:tc>
      </w:tr>
      <w:tr>
        <w:tc>
          <w:tcPr>
            <w:tcW w:type="dxa" w:w="2952"/>
          </w:tcPr>
          <w:p>
            <w:pPr>
              <w:spacing w:after="20"/>
            </w:pPr>
            <w:r>
              <w:rPr>
                <w:color w:val="1C3A36"/>
                <w:sz w:val="17"/>
              </w:rPr>
              <w:t>Add working-capital release</w:t>
            </w:r>
          </w:p>
        </w:tc>
        <w:tc>
          <w:tcPr>
            <w:tcW w:type="dxa" w:w="1426"/>
          </w:tcPr>
          <w:p>
            <w:pPr>
              <w:spacing w:after="20"/>
              <w:jc w:val="right"/>
            </w:pPr>
            <w:r>
              <w:rPr>
                <w:color w:val="1C3A36"/>
                <w:sz w:val="17"/>
              </w:rPr>
              <w:t>43</w:t>
            </w:r>
          </w:p>
        </w:tc>
        <w:tc>
          <w:tcPr>
            <w:tcW w:type="dxa" w:w="1426"/>
          </w:tcPr>
          <w:p>
            <w:pPr>
              <w:spacing w:after="20"/>
              <w:jc w:val="right"/>
            </w:pPr>
            <w:r>
              <w:rPr>
                <w:color w:val="1C3A36"/>
                <w:sz w:val="17"/>
              </w:rPr>
              <w:t>174</w:t>
            </w:r>
          </w:p>
        </w:tc>
        <w:tc>
          <w:tcPr>
            <w:tcW w:type="dxa" w:w="1426"/>
          </w:tcPr>
          <w:p>
            <w:pPr>
              <w:spacing w:after="20"/>
              <w:jc w:val="right"/>
            </w:pPr>
            <w:r>
              <w:rPr>
                <w:color w:val="1C3A36"/>
                <w:sz w:val="17"/>
              </w:rPr>
              <w:t>103</w:t>
            </w:r>
          </w:p>
        </w:tc>
        <w:tc>
          <w:tcPr>
            <w:tcW w:type="dxa" w:w="1426"/>
          </w:tcPr>
          <w:p>
            <w:pPr>
              <w:spacing w:after="20"/>
              <w:jc w:val="right"/>
            </w:pPr>
            <w:r>
              <w:rPr>
                <w:color w:val="1C3A36"/>
                <w:sz w:val="17"/>
              </w:rPr>
              <w:t>92</w:t>
            </w:r>
          </w:p>
        </w:tc>
        <w:tc>
          <w:tcPr>
            <w:tcW w:type="dxa" w:w="1426"/>
          </w:tcPr>
          <w:p>
            <w:pPr>
              <w:spacing w:after="20"/>
              <w:jc w:val="right"/>
            </w:pPr>
            <w:r>
              <w:rPr>
                <w:color w:val="1C3A36"/>
                <w:sz w:val="17"/>
              </w:rPr>
              <w:t>81</w:t>
            </w:r>
          </w:p>
        </w:tc>
      </w:tr>
      <w:tr>
        <w:tc>
          <w:tcPr>
            <w:tcW w:type="dxa" w:w="2952"/>
            <w:shd w:val="clear" w:color="auto" w:fill="F6F1E6"/>
          </w:tcPr>
          <w:p>
            <w:pPr>
              <w:spacing w:after="20"/>
            </w:pPr>
            <w:r>
              <w:rPr>
                <w:b/>
                <w:color w:val="1C3A36"/>
                <w:sz w:val="17"/>
              </w:rPr>
              <w:t>Free cash flow to the firm</w:t>
            </w:r>
          </w:p>
        </w:tc>
        <w:tc>
          <w:tcPr>
            <w:tcW w:type="dxa" w:w="1426"/>
            <w:shd w:val="clear" w:color="auto" w:fill="F6F1E6"/>
          </w:tcPr>
          <w:p>
            <w:pPr>
              <w:spacing w:after="20"/>
              <w:jc w:val="right"/>
            </w:pPr>
            <w:r>
              <w:rPr>
                <w:b/>
                <w:color w:val="1C3A36"/>
                <w:sz w:val="17"/>
              </w:rPr>
              <w:t>1,055</w:t>
            </w:r>
          </w:p>
        </w:tc>
        <w:tc>
          <w:tcPr>
            <w:tcW w:type="dxa" w:w="1426"/>
            <w:shd w:val="clear" w:color="auto" w:fill="F6F1E6"/>
          </w:tcPr>
          <w:p>
            <w:pPr>
              <w:spacing w:after="20"/>
              <w:jc w:val="right"/>
            </w:pPr>
            <w:r>
              <w:rPr>
                <w:b/>
                <w:color w:val="1C3A36"/>
                <w:sz w:val="17"/>
              </w:rPr>
              <w:t>1,338</w:t>
            </w:r>
          </w:p>
        </w:tc>
        <w:tc>
          <w:tcPr>
            <w:tcW w:type="dxa" w:w="1426"/>
            <w:shd w:val="clear" w:color="auto" w:fill="F6F1E6"/>
          </w:tcPr>
          <w:p>
            <w:pPr>
              <w:spacing w:after="20"/>
              <w:jc w:val="right"/>
            </w:pPr>
            <w:r>
              <w:rPr>
                <w:b/>
                <w:color w:val="1C3A36"/>
                <w:sz w:val="17"/>
              </w:rPr>
              <w:t>1,408</w:t>
            </w:r>
          </w:p>
        </w:tc>
        <w:tc>
          <w:tcPr>
            <w:tcW w:type="dxa" w:w="1426"/>
            <w:shd w:val="clear" w:color="auto" w:fill="F6F1E6"/>
          </w:tcPr>
          <w:p>
            <w:pPr>
              <w:spacing w:after="20"/>
              <w:jc w:val="right"/>
            </w:pPr>
            <w:r>
              <w:rPr>
                <w:b/>
                <w:color w:val="1C3A36"/>
                <w:sz w:val="17"/>
              </w:rPr>
              <w:t>1,527</w:t>
            </w:r>
          </w:p>
        </w:tc>
        <w:tc>
          <w:tcPr>
            <w:tcW w:type="dxa" w:w="1426"/>
            <w:shd w:val="clear" w:color="auto" w:fill="F6F1E6"/>
          </w:tcPr>
          <w:p>
            <w:pPr>
              <w:spacing w:after="20"/>
              <w:jc w:val="right"/>
            </w:pPr>
            <w:r>
              <w:rPr>
                <w:b/>
                <w:color w:val="1C3A36"/>
                <w:sz w:val="17"/>
              </w:rPr>
              <w:t>1,636</w:t>
            </w:r>
          </w:p>
        </w:tc>
      </w:tr>
      <w:tr>
        <w:tc>
          <w:tcPr>
            <w:tcW w:type="dxa" w:w="2952"/>
          </w:tcPr>
          <w:p>
            <w:pPr>
              <w:spacing w:after="20"/>
            </w:pPr>
            <w:r>
              <w:rPr>
                <w:color w:val="1C3A36"/>
                <w:sz w:val="17"/>
              </w:rPr>
              <w:t>Discount factor</w:t>
            </w:r>
          </w:p>
        </w:tc>
        <w:tc>
          <w:tcPr>
            <w:tcW w:type="dxa" w:w="1426"/>
          </w:tcPr>
          <w:p>
            <w:pPr>
              <w:spacing w:after="20"/>
              <w:jc w:val="right"/>
            </w:pPr>
            <w:r>
              <w:rPr>
                <w:color w:val="1C3A36"/>
                <w:sz w:val="17"/>
              </w:rPr>
              <w:t>0.9366</w:t>
            </w:r>
          </w:p>
        </w:tc>
        <w:tc>
          <w:tcPr>
            <w:tcW w:type="dxa" w:w="1426"/>
          </w:tcPr>
          <w:p>
            <w:pPr>
              <w:spacing w:after="20"/>
              <w:jc w:val="right"/>
            </w:pPr>
            <w:r>
              <w:rPr>
                <w:color w:val="1C3A36"/>
                <w:sz w:val="17"/>
              </w:rPr>
              <w:t>0.8773</w:t>
            </w:r>
          </w:p>
        </w:tc>
        <w:tc>
          <w:tcPr>
            <w:tcW w:type="dxa" w:w="1426"/>
          </w:tcPr>
          <w:p>
            <w:pPr>
              <w:spacing w:after="20"/>
              <w:jc w:val="right"/>
            </w:pPr>
            <w:r>
              <w:rPr>
                <w:color w:val="1C3A36"/>
                <w:sz w:val="17"/>
              </w:rPr>
              <w:t>0.8217</w:t>
            </w:r>
          </w:p>
        </w:tc>
        <w:tc>
          <w:tcPr>
            <w:tcW w:type="dxa" w:w="1426"/>
          </w:tcPr>
          <w:p>
            <w:pPr>
              <w:spacing w:after="20"/>
              <w:jc w:val="right"/>
            </w:pPr>
            <w:r>
              <w:rPr>
                <w:color w:val="1C3A36"/>
                <w:sz w:val="17"/>
              </w:rPr>
              <w:t>0.7696</w:t>
            </w:r>
          </w:p>
        </w:tc>
        <w:tc>
          <w:tcPr>
            <w:tcW w:type="dxa" w:w="1426"/>
          </w:tcPr>
          <w:p>
            <w:pPr>
              <w:spacing w:after="20"/>
              <w:jc w:val="right"/>
            </w:pPr>
            <w:r>
              <w:rPr>
                <w:color w:val="1C3A36"/>
                <w:sz w:val="17"/>
              </w:rPr>
              <w:t>0.7208</w:t>
            </w:r>
          </w:p>
        </w:tc>
      </w:tr>
      <w:tr>
        <w:tc>
          <w:tcPr>
            <w:tcW w:type="dxa" w:w="2952"/>
            <w:shd w:val="clear" w:color="auto" w:fill="F6F1E6"/>
          </w:tcPr>
          <w:p>
            <w:pPr>
              <w:spacing w:after="20"/>
            </w:pPr>
            <w:r>
              <w:rPr>
                <w:b/>
                <w:color w:val="1C3A36"/>
                <w:sz w:val="17"/>
              </w:rPr>
              <w:t>Present value of FCFF</w:t>
            </w:r>
          </w:p>
        </w:tc>
        <w:tc>
          <w:tcPr>
            <w:tcW w:type="dxa" w:w="1426"/>
            <w:shd w:val="clear" w:color="auto" w:fill="F6F1E6"/>
          </w:tcPr>
          <w:p>
            <w:pPr>
              <w:spacing w:after="20"/>
              <w:jc w:val="right"/>
            </w:pPr>
            <w:r>
              <w:rPr>
                <w:b/>
                <w:color w:val="1C3A36"/>
                <w:sz w:val="17"/>
              </w:rPr>
              <w:t>988</w:t>
            </w:r>
          </w:p>
        </w:tc>
        <w:tc>
          <w:tcPr>
            <w:tcW w:type="dxa" w:w="1426"/>
            <w:shd w:val="clear" w:color="auto" w:fill="F6F1E6"/>
          </w:tcPr>
          <w:p>
            <w:pPr>
              <w:spacing w:after="20"/>
              <w:jc w:val="right"/>
            </w:pPr>
            <w:r>
              <w:rPr>
                <w:b/>
                <w:color w:val="1C3A36"/>
                <w:sz w:val="17"/>
              </w:rPr>
              <w:t>1,174</w:t>
            </w:r>
          </w:p>
        </w:tc>
        <w:tc>
          <w:tcPr>
            <w:tcW w:type="dxa" w:w="1426"/>
            <w:shd w:val="clear" w:color="auto" w:fill="F6F1E6"/>
          </w:tcPr>
          <w:p>
            <w:pPr>
              <w:spacing w:after="20"/>
              <w:jc w:val="right"/>
            </w:pPr>
            <w:r>
              <w:rPr>
                <w:b/>
                <w:color w:val="1C3A36"/>
                <w:sz w:val="17"/>
              </w:rPr>
              <w:t>1,157</w:t>
            </w:r>
          </w:p>
        </w:tc>
        <w:tc>
          <w:tcPr>
            <w:tcW w:type="dxa" w:w="1426"/>
            <w:shd w:val="clear" w:color="auto" w:fill="F6F1E6"/>
          </w:tcPr>
          <w:p>
            <w:pPr>
              <w:spacing w:after="20"/>
              <w:jc w:val="right"/>
            </w:pPr>
            <w:r>
              <w:rPr>
                <w:b/>
                <w:color w:val="1C3A36"/>
                <w:sz w:val="17"/>
              </w:rPr>
              <w:t>1,175</w:t>
            </w:r>
          </w:p>
        </w:tc>
        <w:tc>
          <w:tcPr>
            <w:tcW w:type="dxa" w:w="1426"/>
            <w:shd w:val="clear" w:color="auto" w:fill="F6F1E6"/>
          </w:tcPr>
          <w:p>
            <w:pPr>
              <w:spacing w:after="20"/>
              <w:jc w:val="right"/>
            </w:pPr>
            <w:r>
              <w:rPr>
                <w:b/>
                <w:color w:val="1C3A36"/>
                <w:sz w:val="17"/>
              </w:rPr>
              <w:t>1,179</w:t>
            </w:r>
          </w:p>
        </w:tc>
      </w:tr>
    </w:tbl>
    <w:p>
      <w:pPr>
        <w:spacing w:after="40"/>
      </w:pPr>
    </w:p>
    <w:p>
      <w:pPr>
        <w:spacing w:after="200" w:before="0"/>
      </w:pPr>
      <w:r>
        <w:rPr>
          <w:b w:val="0"/>
          <w:i/>
          <w:color w:val="6E7B77"/>
          <w:sz w:val="17"/>
        </w:rPr>
        <w:t>Every line is computed, not typed. Working capital is NEGATIVE for this company — customer deposits and payables fund the cycle — so growth RELEASES cash: the working-capital line adds to free cash flow every year, at the audited 2025 ratio of -51.4% of revenue. Capital expenditure is priced per new refrigeration ton (AED 4,889 per RT added, derived from the 2025 cash figures) plus a maintenance allowance on the installed base.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7"/>
              </w:rPr>
              <w:t>AED mn — the same model at the 15% minimum tax</w:t>
            </w:r>
          </w:p>
        </w:tc>
        <w:tc>
          <w:tcPr>
            <w:tcW w:type="dxa" w:w="1426"/>
            <w:shd w:val="clear" w:color="auto" w:fill="EAF0EE"/>
          </w:tcPr>
          <w:p>
            <w:pPr>
              <w:spacing w:after="20"/>
            </w:pPr>
            <w:r>
              <w:rPr>
                <w:b/>
                <w:color w:val="1C3A36"/>
                <w:sz w:val="17"/>
              </w:rPr>
              <w:t>FY26</w:t>
            </w:r>
          </w:p>
        </w:tc>
        <w:tc>
          <w:tcPr>
            <w:tcW w:type="dxa" w:w="1426"/>
            <w:shd w:val="clear" w:color="auto" w:fill="EAF0EE"/>
          </w:tcPr>
          <w:p>
            <w:pPr>
              <w:spacing w:after="20"/>
            </w:pPr>
            <w:r>
              <w:rPr>
                <w:b/>
                <w:color w:val="1C3A36"/>
                <w:sz w:val="17"/>
              </w:rPr>
              <w:t>FY27</w:t>
            </w:r>
          </w:p>
        </w:tc>
        <w:tc>
          <w:tcPr>
            <w:tcW w:type="dxa" w:w="1426"/>
            <w:shd w:val="clear" w:color="auto" w:fill="EAF0EE"/>
          </w:tcPr>
          <w:p>
            <w:pPr>
              <w:spacing w:after="20"/>
            </w:pPr>
            <w:r>
              <w:rPr>
                <w:b/>
                <w:color w:val="1C3A36"/>
                <w:sz w:val="17"/>
              </w:rPr>
              <w:t>FY28</w:t>
            </w:r>
          </w:p>
        </w:tc>
        <w:tc>
          <w:tcPr>
            <w:tcW w:type="dxa" w:w="1426"/>
            <w:shd w:val="clear" w:color="auto" w:fill="EAF0EE"/>
          </w:tcPr>
          <w:p>
            <w:pPr>
              <w:spacing w:after="20"/>
            </w:pPr>
            <w:r>
              <w:rPr>
                <w:b/>
                <w:color w:val="1C3A36"/>
                <w:sz w:val="17"/>
              </w:rPr>
              <w:t>FY29</w:t>
            </w:r>
          </w:p>
        </w:tc>
        <w:tc>
          <w:tcPr>
            <w:tcW w:type="dxa" w:w="1426"/>
            <w:shd w:val="clear" w:color="auto" w:fill="EAF0EE"/>
          </w:tcPr>
          <w:p>
            <w:pPr>
              <w:spacing w:after="20"/>
            </w:pPr>
            <w:r>
              <w:rPr>
                <w:b/>
                <w:color w:val="1C3A36"/>
                <w:sz w:val="17"/>
              </w:rPr>
              <w:t>FY30</w:t>
            </w:r>
          </w:p>
        </w:tc>
      </w:tr>
      <w:tr>
        <w:tc>
          <w:tcPr>
            <w:tcW w:type="dxa" w:w="2952"/>
          </w:tcPr>
          <w:p>
            <w:pPr>
              <w:spacing w:after="20"/>
            </w:pPr>
            <w:r>
              <w:rPr>
                <w:color w:val="1C3A36"/>
                <w:sz w:val="17"/>
              </w:rPr>
              <w:t>NOPAT — EBIT × (1 − 15%)</w:t>
            </w:r>
          </w:p>
        </w:tc>
        <w:tc>
          <w:tcPr>
            <w:tcW w:type="dxa" w:w="1426"/>
          </w:tcPr>
          <w:p>
            <w:pPr>
              <w:spacing w:after="20"/>
              <w:jc w:val="right"/>
            </w:pPr>
            <w:r>
              <w:rPr>
                <w:color w:val="1C3A36"/>
                <w:sz w:val="17"/>
              </w:rPr>
              <w:t>1,124</w:t>
            </w:r>
          </w:p>
        </w:tc>
        <w:tc>
          <w:tcPr>
            <w:tcW w:type="dxa" w:w="1426"/>
          </w:tcPr>
          <w:p>
            <w:pPr>
              <w:spacing w:after="20"/>
              <w:jc w:val="right"/>
            </w:pPr>
            <w:r>
              <w:rPr>
                <w:color w:val="1C3A36"/>
                <w:sz w:val="17"/>
              </w:rPr>
              <w:t>1,234</w:t>
            </w:r>
          </w:p>
        </w:tc>
        <w:tc>
          <w:tcPr>
            <w:tcW w:type="dxa" w:w="1426"/>
          </w:tcPr>
          <w:p>
            <w:pPr>
              <w:spacing w:after="20"/>
              <w:jc w:val="right"/>
            </w:pPr>
            <w:r>
              <w:rPr>
                <w:color w:val="1C3A36"/>
                <w:sz w:val="17"/>
              </w:rPr>
              <w:t>1,314</w:t>
            </w:r>
          </w:p>
        </w:tc>
        <w:tc>
          <w:tcPr>
            <w:tcW w:type="dxa" w:w="1426"/>
          </w:tcPr>
          <w:p>
            <w:pPr>
              <w:spacing w:after="20"/>
              <w:jc w:val="right"/>
            </w:pPr>
            <w:r>
              <w:rPr>
                <w:color w:val="1C3A36"/>
                <w:sz w:val="17"/>
              </w:rPr>
              <w:t>1,385</w:t>
            </w:r>
          </w:p>
        </w:tc>
        <w:tc>
          <w:tcPr>
            <w:tcW w:type="dxa" w:w="1426"/>
          </w:tcPr>
          <w:p>
            <w:pPr>
              <w:spacing w:after="20"/>
              <w:jc w:val="right"/>
            </w:pPr>
            <w:r>
              <w:rPr>
                <w:color w:val="1C3A36"/>
                <w:sz w:val="17"/>
              </w:rPr>
              <w:t>1,448</w:t>
            </w:r>
          </w:p>
        </w:tc>
      </w:tr>
      <w:tr>
        <w:tc>
          <w:tcPr>
            <w:tcW w:type="dxa" w:w="2952"/>
            <w:shd w:val="clear" w:color="auto" w:fill="F6F1E6"/>
          </w:tcPr>
          <w:p>
            <w:pPr>
              <w:spacing w:after="20"/>
            </w:pPr>
            <w:r>
              <w:rPr>
                <w:b/>
                <w:color w:val="1C3A36"/>
                <w:sz w:val="17"/>
              </w:rPr>
              <w:t>Free cash flow to the firm</w:t>
            </w:r>
          </w:p>
        </w:tc>
        <w:tc>
          <w:tcPr>
            <w:tcW w:type="dxa" w:w="1426"/>
            <w:shd w:val="clear" w:color="auto" w:fill="F6F1E6"/>
          </w:tcPr>
          <w:p>
            <w:pPr>
              <w:spacing w:after="20"/>
              <w:jc w:val="right"/>
            </w:pPr>
            <w:r>
              <w:rPr>
                <w:b/>
                <w:color w:val="1C3A36"/>
                <w:sz w:val="17"/>
              </w:rPr>
              <w:t>976</w:t>
            </w:r>
          </w:p>
        </w:tc>
        <w:tc>
          <w:tcPr>
            <w:tcW w:type="dxa" w:w="1426"/>
            <w:shd w:val="clear" w:color="auto" w:fill="F6F1E6"/>
          </w:tcPr>
          <w:p>
            <w:pPr>
              <w:spacing w:after="20"/>
              <w:jc w:val="right"/>
            </w:pPr>
            <w:r>
              <w:rPr>
                <w:b/>
                <w:color w:val="1C3A36"/>
                <w:sz w:val="17"/>
              </w:rPr>
              <w:t>1,251</w:t>
            </w:r>
          </w:p>
        </w:tc>
        <w:tc>
          <w:tcPr>
            <w:tcW w:type="dxa" w:w="1426"/>
            <w:shd w:val="clear" w:color="auto" w:fill="F6F1E6"/>
          </w:tcPr>
          <w:p>
            <w:pPr>
              <w:spacing w:after="20"/>
              <w:jc w:val="right"/>
            </w:pPr>
            <w:r>
              <w:rPr>
                <w:b/>
                <w:color w:val="1C3A36"/>
                <w:sz w:val="17"/>
              </w:rPr>
              <w:t>1,315</w:t>
            </w:r>
          </w:p>
        </w:tc>
        <w:tc>
          <w:tcPr>
            <w:tcW w:type="dxa" w:w="1426"/>
            <w:shd w:val="clear" w:color="auto" w:fill="F6F1E6"/>
          </w:tcPr>
          <w:p>
            <w:pPr>
              <w:spacing w:after="20"/>
              <w:jc w:val="right"/>
            </w:pPr>
            <w:r>
              <w:rPr>
                <w:b/>
                <w:color w:val="1C3A36"/>
                <w:sz w:val="17"/>
              </w:rPr>
              <w:t>1,429</w:t>
            </w:r>
          </w:p>
        </w:tc>
        <w:tc>
          <w:tcPr>
            <w:tcW w:type="dxa" w:w="1426"/>
            <w:shd w:val="clear" w:color="auto" w:fill="F6F1E6"/>
          </w:tcPr>
          <w:p>
            <w:pPr>
              <w:spacing w:after="20"/>
              <w:jc w:val="right"/>
            </w:pPr>
            <w:r>
              <w:rPr>
                <w:b/>
                <w:color w:val="1C3A36"/>
                <w:sz w:val="17"/>
              </w:rPr>
              <w:t>1,533</w:t>
            </w:r>
          </w:p>
        </w:tc>
      </w:tr>
      <w:tr>
        <w:tc>
          <w:tcPr>
            <w:tcW w:type="dxa" w:w="2952"/>
          </w:tcPr>
          <w:p>
            <w:pPr>
              <w:spacing w:after="20"/>
            </w:pPr>
            <w:r>
              <w:rPr>
                <w:color w:val="1C3A36"/>
                <w:sz w:val="17"/>
              </w:rPr>
              <w:t>Present value of FCFF</w:t>
            </w:r>
          </w:p>
        </w:tc>
        <w:tc>
          <w:tcPr>
            <w:tcW w:type="dxa" w:w="1426"/>
          </w:tcPr>
          <w:p>
            <w:pPr>
              <w:spacing w:after="20"/>
              <w:jc w:val="right"/>
            </w:pPr>
            <w:r>
              <w:rPr>
                <w:color w:val="1C3A36"/>
                <w:sz w:val="17"/>
              </w:rPr>
              <w:t>915</w:t>
            </w:r>
          </w:p>
        </w:tc>
        <w:tc>
          <w:tcPr>
            <w:tcW w:type="dxa" w:w="1426"/>
          </w:tcPr>
          <w:p>
            <w:pPr>
              <w:spacing w:after="20"/>
              <w:jc w:val="right"/>
            </w:pPr>
            <w:r>
              <w:rPr>
                <w:color w:val="1C3A36"/>
                <w:sz w:val="17"/>
              </w:rPr>
              <w:t>1,098</w:t>
            </w:r>
          </w:p>
        </w:tc>
        <w:tc>
          <w:tcPr>
            <w:tcW w:type="dxa" w:w="1426"/>
          </w:tcPr>
          <w:p>
            <w:pPr>
              <w:spacing w:after="20"/>
              <w:jc w:val="right"/>
            </w:pPr>
            <w:r>
              <w:rPr>
                <w:color w:val="1C3A36"/>
                <w:sz w:val="17"/>
              </w:rPr>
              <w:t>1,082</w:t>
            </w:r>
          </w:p>
        </w:tc>
        <w:tc>
          <w:tcPr>
            <w:tcW w:type="dxa" w:w="1426"/>
          </w:tcPr>
          <w:p>
            <w:pPr>
              <w:spacing w:after="20"/>
              <w:jc w:val="right"/>
            </w:pPr>
            <w:r>
              <w:rPr>
                <w:color w:val="1C3A36"/>
                <w:sz w:val="17"/>
              </w:rPr>
              <w:t>1,102</w:t>
            </w:r>
          </w:p>
        </w:tc>
        <w:tc>
          <w:tcPr>
            <w:tcW w:type="dxa" w:w="1426"/>
          </w:tcPr>
          <w:p>
            <w:pPr>
              <w:spacing w:after="20"/>
              <w:jc w:val="right"/>
            </w:pPr>
            <w:r>
              <w:rPr>
                <w:color w:val="1C3A36"/>
                <w:sz w:val="17"/>
              </w:rPr>
              <w:t>1,108</w:t>
            </w:r>
          </w:p>
        </w:tc>
      </w:tr>
    </w:tbl>
    <w:p>
      <w:pPr>
        <w:spacing w:after="40"/>
      </w:pPr>
    </w:p>
    <w:p>
      <w:pPr>
        <w:spacing w:after="80" w:before="200"/>
      </w:pPr>
      <w:r>
        <w:rPr>
          <w:b/>
          <w:i w:val="0"/>
          <w:color w:val="1C3A36"/>
          <w:sz w:val="24"/>
        </w:rPr>
        <w:t>The bridge from enterprise value to the equity — both framings</w:t>
      </w:r>
    </w:p>
    <w:p>
      <w:pPr>
        <w:spacing w:after="40"/>
        <w:jc w:val="center"/>
      </w:pPr>
      <w:r>
        <w:drawing>
          <wp:inline xmlns:a="http://schemas.openxmlformats.org/drawingml/2006/main" xmlns:pic="http://schemas.openxmlformats.org/drawingml/2006/picture">
            <wp:extent cx="6400800" cy="3004457"/>
            <wp:docPr id="2" name="Picture 2"/>
            <wp:cNvGraphicFramePr>
              <a:graphicFrameLocks noChangeAspect="1"/>
            </wp:cNvGraphicFramePr>
            <a:graphic>
              <a:graphicData uri="http://schemas.openxmlformats.org/drawingml/2006/picture">
                <pic:pic>
                  <pic:nvPicPr>
                    <pic:cNvPr id="0" name="fig7_bridge.png"/>
                    <pic:cNvPicPr/>
                  </pic:nvPicPr>
                  <pic:blipFill>
                    <a:blip r:embed="rId10"/>
                    <a:stretch>
                      <a:fillRect/>
                    </a:stretch>
                  </pic:blipFill>
                  <pic:spPr>
                    <a:xfrm>
                      <a:off x="0" y="0"/>
                      <a:ext cx="6400800" cy="3004457"/>
                    </a:xfrm>
                    <a:prstGeom prst="rect"/>
                  </pic:spPr>
                </pic:pic>
              </a:graphicData>
            </a:graphic>
          </wp:inline>
        </w:drawing>
      </w:r>
    </w:p>
    <w:p>
      <w:pPr>
        <w:spacing w:after="200" w:before="0"/>
      </w:pPr>
      <w:r>
        <w:rPr>
          <w:b w:val="0"/>
          <w:i/>
          <w:color w:val="6E7B77"/>
          <w:sz w:val="17"/>
        </w:rPr>
        <w:t>Figure 2 — from the discounted cash flows to the per-share value, both tax framings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368"/>
        <w:gridCol w:w="1368"/>
        <w:gridCol w:w="4176"/>
      </w:tblGrid>
      <w:tr>
        <w:tc>
          <w:tcPr>
            <w:tcW w:type="dxa" w:w="3168"/>
            <w:shd w:val="clear" w:color="auto" w:fill="EAF0EE"/>
          </w:tcPr>
          <w:p>
            <w:pPr>
              <w:spacing w:after="20"/>
            </w:pPr>
            <w:r>
              <w:rPr>
                <w:b/>
                <w:color w:val="1C3A36"/>
                <w:sz w:val="16"/>
              </w:rPr>
              <w:t>Step</w:t>
            </w:r>
          </w:p>
        </w:tc>
        <w:tc>
          <w:tcPr>
            <w:tcW w:type="dxa" w:w="1368"/>
            <w:shd w:val="clear" w:color="auto" w:fill="EAF0EE"/>
          </w:tcPr>
          <w:p>
            <w:pPr>
              <w:spacing w:after="20"/>
            </w:pPr>
            <w:r>
              <w:rPr>
                <w:b/>
                <w:color w:val="1C3A36"/>
                <w:sz w:val="16"/>
              </w:rPr>
              <w:t>At 9%</w:t>
            </w:r>
          </w:p>
        </w:tc>
        <w:tc>
          <w:tcPr>
            <w:tcW w:type="dxa" w:w="1368"/>
            <w:shd w:val="clear" w:color="auto" w:fill="EAF0EE"/>
          </w:tcPr>
          <w:p>
            <w:pPr>
              <w:spacing w:after="20"/>
            </w:pPr>
            <w:r>
              <w:rPr>
                <w:b/>
                <w:color w:val="1C3A36"/>
                <w:sz w:val="16"/>
              </w:rPr>
              <w:t>At 15%</w:t>
            </w:r>
          </w:p>
        </w:tc>
        <w:tc>
          <w:tcPr>
            <w:tcW w:type="dxa" w:w="4176"/>
            <w:shd w:val="clear" w:color="auto" w:fill="EAF0EE"/>
          </w:tcPr>
          <w:p>
            <w:pPr>
              <w:spacing w:after="20"/>
            </w:pPr>
            <w:r>
              <w:rPr>
                <w:b/>
                <w:color w:val="1C3A36"/>
                <w:sz w:val="16"/>
              </w:rPr>
              <w:t>Note</w:t>
            </w:r>
          </w:p>
        </w:tc>
      </w:tr>
      <w:tr>
        <w:tc>
          <w:tcPr>
            <w:tcW w:type="dxa" w:w="3168"/>
          </w:tcPr>
          <w:p>
            <w:pPr>
              <w:spacing w:after="20"/>
            </w:pPr>
            <w:r>
              <w:rPr>
                <w:color w:val="1C3A36"/>
                <w:sz w:val="16"/>
              </w:rPr>
              <w:t>Present value of the five forecast years</w:t>
            </w:r>
          </w:p>
        </w:tc>
        <w:tc>
          <w:tcPr>
            <w:tcW w:type="dxa" w:w="1368"/>
          </w:tcPr>
          <w:p>
            <w:pPr>
              <w:spacing w:after="20"/>
              <w:jc w:val="right"/>
            </w:pPr>
            <w:r>
              <w:rPr>
                <w:color w:val="1C3A36"/>
                <w:sz w:val="16"/>
              </w:rPr>
              <w:t>5,673</w:t>
            </w:r>
          </w:p>
        </w:tc>
        <w:tc>
          <w:tcPr>
            <w:tcW w:type="dxa" w:w="1368"/>
          </w:tcPr>
          <w:p>
            <w:pPr>
              <w:spacing w:after="20"/>
              <w:jc w:val="right"/>
            </w:pPr>
            <w:r>
              <w:rPr>
                <w:color w:val="1C3A36"/>
                <w:sz w:val="16"/>
              </w:rPr>
              <w:t>5,305</w:t>
            </w:r>
          </w:p>
        </w:tc>
        <w:tc>
          <w:tcPr>
            <w:tcW w:type="dxa" w:w="4176"/>
          </w:tcPr>
          <w:p>
            <w:pPr>
              <w:spacing w:after="20"/>
              <w:jc w:val="right"/>
            </w:pPr>
            <w:r>
              <w:rPr>
                <w:color w:val="1C3A36"/>
                <w:sz w:val="16"/>
              </w:rPr>
              <w:t>sum of the present-value rows above</w:t>
            </w:r>
          </w:p>
        </w:tc>
      </w:tr>
      <w:tr>
        <w:tc>
          <w:tcPr>
            <w:tcW w:type="dxa" w:w="3168"/>
          </w:tcPr>
          <w:p>
            <w:pPr>
              <w:spacing w:after="20"/>
            </w:pPr>
            <w:r>
              <w:rPr>
                <w:color w:val="1C3A36"/>
                <w:sz w:val="16"/>
              </w:rPr>
              <w:t>Terminal value</w:t>
            </w:r>
          </w:p>
        </w:tc>
        <w:tc>
          <w:tcPr>
            <w:tcW w:type="dxa" w:w="1368"/>
          </w:tcPr>
          <w:p>
            <w:pPr>
              <w:spacing w:after="20"/>
              <w:jc w:val="right"/>
            </w:pPr>
            <w:r>
              <w:rPr>
                <w:color w:val="1C3A36"/>
                <w:sz w:val="16"/>
              </w:rPr>
              <w:t>33,227</w:t>
            </w:r>
          </w:p>
        </w:tc>
        <w:tc>
          <w:tcPr>
            <w:tcW w:type="dxa" w:w="1368"/>
          </w:tcPr>
          <w:p>
            <w:pPr>
              <w:spacing w:after="20"/>
              <w:jc w:val="right"/>
            </w:pPr>
            <w:r>
              <w:rPr>
                <w:color w:val="1C3A36"/>
                <w:sz w:val="16"/>
              </w:rPr>
              <w:t>31,130</w:t>
            </w:r>
          </w:p>
        </w:tc>
        <w:tc>
          <w:tcPr>
            <w:tcW w:type="dxa" w:w="4176"/>
          </w:tcPr>
          <w:p>
            <w:pPr>
              <w:spacing w:after="20"/>
              <w:jc w:val="right"/>
            </w:pPr>
            <w:r>
              <w:rPr>
                <w:color w:val="1C3A36"/>
                <w:sz w:val="16"/>
              </w:rPr>
              <w:t>final-year NOPAT grown 2.5% × (1 − reinvestment rate 10.8%), capitalised at 6.77% − 2.5%. The reinvestment rate is forced to growth ÷ terminal return on capital (23.2%) so growth is paid for</w:t>
            </w:r>
          </w:p>
        </w:tc>
      </w:tr>
      <w:tr>
        <w:tc>
          <w:tcPr>
            <w:tcW w:type="dxa" w:w="3168"/>
          </w:tcPr>
          <w:p>
            <w:pPr>
              <w:spacing w:after="20"/>
            </w:pPr>
            <w:r>
              <w:rPr>
                <w:color w:val="1C3A36"/>
                <w:sz w:val="16"/>
              </w:rPr>
              <w:t>Present value of the terminal value</w:t>
            </w:r>
          </w:p>
        </w:tc>
        <w:tc>
          <w:tcPr>
            <w:tcW w:type="dxa" w:w="1368"/>
          </w:tcPr>
          <w:p>
            <w:pPr>
              <w:spacing w:after="20"/>
              <w:jc w:val="right"/>
            </w:pPr>
            <w:r>
              <w:rPr>
                <w:color w:val="1C3A36"/>
                <w:sz w:val="16"/>
              </w:rPr>
              <w:t>23,950</w:t>
            </w:r>
          </w:p>
        </w:tc>
        <w:tc>
          <w:tcPr>
            <w:tcW w:type="dxa" w:w="1368"/>
          </w:tcPr>
          <w:p>
            <w:pPr>
              <w:spacing w:after="20"/>
              <w:jc w:val="right"/>
            </w:pPr>
            <w:r>
              <w:rPr>
                <w:color w:val="1C3A36"/>
                <w:sz w:val="16"/>
              </w:rPr>
              <w:t>22,490</w:t>
            </w:r>
          </w:p>
        </w:tc>
        <w:tc>
          <w:tcPr>
            <w:tcW w:type="dxa" w:w="4176"/>
          </w:tcPr>
          <w:p>
            <w:pPr>
              <w:spacing w:after="20"/>
              <w:jc w:val="right"/>
            </w:pPr>
            <w:r>
              <w:rPr>
                <w:color w:val="1C3A36"/>
                <w:sz w:val="16"/>
              </w:rPr>
              <w:t>discounted at the year-5 factor</w:t>
            </w:r>
          </w:p>
        </w:tc>
      </w:tr>
      <w:tr>
        <w:tc>
          <w:tcPr>
            <w:tcW w:type="dxa" w:w="3168"/>
            <w:shd w:val="clear" w:color="auto" w:fill="F6F1E6"/>
          </w:tcPr>
          <w:p>
            <w:pPr>
              <w:spacing w:after="20"/>
            </w:pPr>
            <w:r>
              <w:rPr>
                <w:b/>
                <w:color w:val="1C3A36"/>
                <w:sz w:val="16"/>
              </w:rPr>
              <w:t>Enterprise value</w:t>
            </w:r>
          </w:p>
        </w:tc>
        <w:tc>
          <w:tcPr>
            <w:tcW w:type="dxa" w:w="1368"/>
            <w:shd w:val="clear" w:color="auto" w:fill="F6F1E6"/>
          </w:tcPr>
          <w:p>
            <w:pPr>
              <w:spacing w:after="20"/>
              <w:jc w:val="right"/>
            </w:pPr>
            <w:r>
              <w:rPr>
                <w:b/>
                <w:color w:val="1C3A36"/>
                <w:sz w:val="16"/>
              </w:rPr>
              <w:t>29,623</w:t>
            </w:r>
          </w:p>
        </w:tc>
        <w:tc>
          <w:tcPr>
            <w:tcW w:type="dxa" w:w="1368"/>
            <w:shd w:val="clear" w:color="auto" w:fill="F6F1E6"/>
          </w:tcPr>
          <w:p>
            <w:pPr>
              <w:spacing w:after="20"/>
              <w:jc w:val="right"/>
            </w:pPr>
            <w:r>
              <w:rPr>
                <w:b/>
                <w:color w:val="1C3A36"/>
                <w:sz w:val="16"/>
              </w:rPr>
              <w:t>27,794</w:t>
            </w:r>
          </w:p>
        </w:tc>
        <w:tc>
          <w:tcPr>
            <w:tcW w:type="dxa" w:w="4176"/>
            <w:shd w:val="clear" w:color="auto" w:fill="F6F1E6"/>
          </w:tcPr>
          <w:p>
            <w:pPr>
              <w:spacing w:after="20"/>
              <w:jc w:val="right"/>
            </w:pPr>
            <w:r>
              <w:rPr>
                <w:b/>
                <w:color w:val="1C3A36"/>
                <w:sz w:val="16"/>
              </w:rPr>
              <w:t>the two lines above</w:t>
            </w:r>
          </w:p>
        </w:tc>
      </w:tr>
      <w:tr>
        <w:tc>
          <w:tcPr>
            <w:tcW w:type="dxa" w:w="3168"/>
          </w:tcPr>
          <w:p>
            <w:pPr>
              <w:spacing w:after="20"/>
            </w:pPr>
            <w:r>
              <w:rPr>
                <w:color w:val="1C3A36"/>
                <w:sz w:val="16"/>
              </w:rPr>
              <w:t>Terminal value as a share of enterprise value</w:t>
            </w:r>
          </w:p>
        </w:tc>
        <w:tc>
          <w:tcPr>
            <w:tcW w:type="dxa" w:w="1368"/>
          </w:tcPr>
          <w:p>
            <w:pPr>
              <w:spacing w:after="20"/>
              <w:jc w:val="right"/>
            </w:pPr>
            <w:r>
              <w:rPr>
                <w:color w:val="1C3A36"/>
                <w:sz w:val="16"/>
              </w:rPr>
              <w:t>80.8%</w:t>
            </w:r>
          </w:p>
        </w:tc>
        <w:tc>
          <w:tcPr>
            <w:tcW w:type="dxa" w:w="1368"/>
          </w:tcPr>
          <w:p>
            <w:pPr>
              <w:spacing w:after="20"/>
              <w:jc w:val="right"/>
            </w:pPr>
            <w:r>
              <w:rPr>
                <w:color w:val="1C3A36"/>
                <w:sz w:val="16"/>
              </w:rPr>
              <w:t>80.9%</w:t>
            </w:r>
          </w:p>
        </w:tc>
        <w:tc>
          <w:tcPr>
            <w:tcW w:type="dxa" w:w="4176"/>
          </w:tcPr>
          <w:p>
            <w:pPr>
              <w:spacing w:after="20"/>
              <w:jc w:val="right"/>
            </w:pPr>
            <w:r>
              <w:rPr>
                <w:color w:val="1C3A36"/>
                <w:sz w:val="16"/>
              </w:rPr>
              <w:t>high, as it must be for a regulated utility whose explicit window is only five years; disclosed here, in the summary table, and stress-tested in section 1.9. Expert 3 challenges it directly in Appendix C</w:t>
            </w:r>
          </w:p>
        </w:tc>
      </w:tr>
      <w:tr>
        <w:tc>
          <w:tcPr>
            <w:tcW w:type="dxa" w:w="3168"/>
          </w:tcPr>
          <w:p>
            <w:pPr>
              <w:spacing w:after="20"/>
            </w:pPr>
            <w:r>
              <w:rPr>
                <w:color w:val="1C3A36"/>
                <w:sz w:val="16"/>
              </w:rPr>
              <w:t>Less net debt</w:t>
            </w:r>
          </w:p>
        </w:tc>
        <w:tc>
          <w:tcPr>
            <w:tcW w:type="dxa" w:w="1368"/>
          </w:tcPr>
          <w:p>
            <w:pPr>
              <w:spacing w:after="20"/>
              <w:jc w:val="right"/>
            </w:pPr>
            <w:r>
              <w:rPr>
                <w:color w:val="1C3A36"/>
                <w:sz w:val="16"/>
              </w:rPr>
              <w:t>(2,991)</w:t>
            </w:r>
          </w:p>
        </w:tc>
        <w:tc>
          <w:tcPr>
            <w:tcW w:type="dxa" w:w="1368"/>
          </w:tcPr>
          <w:p>
            <w:pPr>
              <w:spacing w:after="20"/>
              <w:jc w:val="right"/>
            </w:pPr>
            <w:r>
              <w:rPr>
                <w:color w:val="1C3A36"/>
                <w:sz w:val="16"/>
              </w:rPr>
              <w:t>(2,991)</w:t>
            </w:r>
          </w:p>
        </w:tc>
        <w:tc>
          <w:tcPr>
            <w:tcW w:type="dxa" w:w="4176"/>
          </w:tcPr>
          <w:p>
            <w:pPr>
              <w:spacing w:after="20"/>
              <w:jc w:val="right"/>
            </w:pPr>
            <w:r>
              <w:rPr>
                <w:color w:val="1C3A36"/>
                <w:sz w:val="16"/>
              </w:rPr>
              <w:t>30 June 2026 reviewed balance sheet: borrowings and leases less cash and term deposits — reproduces the company's own presented figure exactly</w:t>
            </w:r>
          </w:p>
        </w:tc>
      </w:tr>
      <w:tr>
        <w:tc>
          <w:tcPr>
            <w:tcW w:type="dxa" w:w="3168"/>
          </w:tcPr>
          <w:p>
            <w:pPr>
              <w:spacing w:after="20"/>
            </w:pPr>
            <w:r>
              <w:rPr>
                <w:color w:val="1C3A36"/>
                <w:sz w:val="16"/>
              </w:rPr>
              <w:t>Plus investment properties</w:t>
            </w:r>
          </w:p>
        </w:tc>
        <w:tc>
          <w:tcPr>
            <w:tcW w:type="dxa" w:w="1368"/>
          </w:tcPr>
          <w:p>
            <w:pPr>
              <w:spacing w:after="20"/>
              <w:jc w:val="right"/>
            </w:pPr>
            <w:r>
              <w:rPr>
                <w:color w:val="1C3A36"/>
                <w:sz w:val="16"/>
              </w:rPr>
              <w:t>169</w:t>
            </w:r>
          </w:p>
        </w:tc>
        <w:tc>
          <w:tcPr>
            <w:tcW w:type="dxa" w:w="1368"/>
          </w:tcPr>
          <w:p>
            <w:pPr>
              <w:spacing w:after="20"/>
              <w:jc w:val="right"/>
            </w:pPr>
            <w:r>
              <w:rPr>
                <w:color w:val="1C3A36"/>
                <w:sz w:val="16"/>
              </w:rPr>
              <w:t>169</w:t>
            </w:r>
          </w:p>
        </w:tc>
        <w:tc>
          <w:tcPr>
            <w:tcW w:type="dxa" w:w="4176"/>
          </w:tcPr>
          <w:p>
            <w:pPr>
              <w:spacing w:after="20"/>
              <w:jc w:val="right"/>
            </w:pPr>
            <w:r>
              <w:rPr>
                <w:color w:val="1C3A36"/>
                <w:sz w:val="16"/>
              </w:rPr>
              <w:t>non-operating side pocket, at book; its depreciation is excluded from the operating model for the same reason</w:t>
            </w:r>
          </w:p>
        </w:tc>
      </w:tr>
      <w:tr>
        <w:tc>
          <w:tcPr>
            <w:tcW w:type="dxa" w:w="3168"/>
          </w:tcPr>
          <w:p>
            <w:pPr>
              <w:spacing w:after="20"/>
            </w:pPr>
            <w:r>
              <w:rPr>
                <w:color w:val="1C3A36"/>
                <w:sz w:val="16"/>
              </w:rPr>
              <w:t>Plus financial assets held at fair value</w:t>
            </w:r>
          </w:p>
        </w:tc>
        <w:tc>
          <w:tcPr>
            <w:tcW w:type="dxa" w:w="1368"/>
          </w:tcPr>
          <w:p>
            <w:pPr>
              <w:spacing w:after="20"/>
              <w:jc w:val="right"/>
            </w:pPr>
            <w:r>
              <w:rPr>
                <w:color w:val="1C3A36"/>
                <w:sz w:val="16"/>
              </w:rPr>
              <w:t>128</w:t>
            </w:r>
          </w:p>
        </w:tc>
        <w:tc>
          <w:tcPr>
            <w:tcW w:type="dxa" w:w="1368"/>
          </w:tcPr>
          <w:p>
            <w:pPr>
              <w:spacing w:after="20"/>
              <w:jc w:val="right"/>
            </w:pPr>
            <w:r>
              <w:rPr>
                <w:color w:val="1C3A36"/>
                <w:sz w:val="16"/>
              </w:rPr>
              <w:t>128</w:t>
            </w:r>
          </w:p>
        </w:tc>
        <w:tc>
          <w:tcPr>
            <w:tcW w:type="dxa" w:w="4176"/>
          </w:tcPr>
          <w:p>
            <w:pPr>
              <w:spacing w:after="20"/>
              <w:jc w:val="right"/>
            </w:pPr>
            <w:r>
              <w:rPr>
                <w:color w:val="1C3A36"/>
                <w:sz w:val="16"/>
              </w:rPr>
              <w:t>cash-like holdings outside the operating model, at book</w:t>
            </w:r>
          </w:p>
        </w:tc>
      </w:tr>
      <w:tr>
        <w:tc>
          <w:tcPr>
            <w:tcW w:type="dxa" w:w="3168"/>
          </w:tcPr>
          <w:p>
            <w:pPr>
              <w:spacing w:after="20"/>
            </w:pPr>
            <w:r>
              <w:rPr>
                <w:color w:val="1C3A36"/>
                <w:sz w:val="16"/>
              </w:rPr>
              <w:t>Less minority interests (1.1% of profits)</w:t>
            </w:r>
          </w:p>
        </w:tc>
        <w:tc>
          <w:tcPr>
            <w:tcW w:type="dxa" w:w="1368"/>
          </w:tcPr>
          <w:p>
            <w:pPr>
              <w:spacing w:after="20"/>
              <w:jc w:val="right"/>
            </w:pPr>
            <w:r>
              <w:rPr>
                <w:color w:val="1C3A36"/>
                <w:sz w:val="16"/>
              </w:rPr>
              <w:t>(285)</w:t>
            </w:r>
          </w:p>
        </w:tc>
        <w:tc>
          <w:tcPr>
            <w:tcW w:type="dxa" w:w="1368"/>
          </w:tcPr>
          <w:p>
            <w:pPr>
              <w:spacing w:after="20"/>
              <w:jc w:val="right"/>
            </w:pPr>
            <w:r>
              <w:rPr>
                <w:color w:val="1C3A36"/>
                <w:sz w:val="16"/>
              </w:rPr>
              <w:t>(266)</w:t>
            </w:r>
          </w:p>
        </w:tc>
        <w:tc>
          <w:tcPr>
            <w:tcW w:type="dxa" w:w="4176"/>
          </w:tcPr>
          <w:p>
            <w:pPr>
              <w:spacing w:after="20"/>
              <w:jc w:val="right"/>
            </w:pPr>
            <w:r>
              <w:rPr>
                <w:color w:val="1C3A36"/>
                <w:sz w:val="16"/>
              </w:rPr>
              <w:t>minorities (the 30% of DXB CoolCo and others) take 1.1% of group profit and are charged the same share of the value — the internally consistent convention when the group is valued above book</w:t>
            </w:r>
          </w:p>
        </w:tc>
      </w:tr>
      <w:tr>
        <w:tc>
          <w:tcPr>
            <w:tcW w:type="dxa" w:w="3168"/>
          </w:tcPr>
          <w:p>
            <w:pPr>
              <w:spacing w:after="20"/>
            </w:pPr>
            <w:r>
              <w:rPr>
                <w:color w:val="1C3A36"/>
                <w:sz w:val="16"/>
              </w:rPr>
              <w:t>Equity attributable</w:t>
            </w:r>
          </w:p>
        </w:tc>
        <w:tc>
          <w:tcPr>
            <w:tcW w:type="dxa" w:w="1368"/>
          </w:tcPr>
          <w:p>
            <w:pPr>
              <w:spacing w:after="20"/>
              <w:jc w:val="right"/>
            </w:pPr>
            <w:r>
              <w:rPr>
                <w:color w:val="1C3A36"/>
                <w:sz w:val="16"/>
              </w:rPr>
              <w:t>26,643</w:t>
            </w:r>
          </w:p>
        </w:tc>
        <w:tc>
          <w:tcPr>
            <w:tcW w:type="dxa" w:w="1368"/>
          </w:tcPr>
          <w:p>
            <w:pPr>
              <w:spacing w:after="20"/>
              <w:jc w:val="right"/>
            </w:pPr>
            <w:r>
              <w:rPr>
                <w:color w:val="1C3A36"/>
                <w:sz w:val="16"/>
              </w:rPr>
              <w:t>24,834</w:t>
            </w:r>
          </w:p>
        </w:tc>
        <w:tc>
          <w:tcPr>
            <w:tcW w:type="dxa" w:w="4176"/>
          </w:tcPr>
          <w:p>
            <w:pPr>
              <w:spacing w:after="20"/>
              <w:jc w:val="right"/>
            </w:pPr>
            <w:r>
              <w:rPr>
                <w:color w:val="1C3A36"/>
                <w:sz w:val="16"/>
              </w:rPr>
            </w:r>
          </w:p>
        </w:tc>
      </w:tr>
      <w:tr>
        <w:tc>
          <w:tcPr>
            <w:tcW w:type="dxa" w:w="3168"/>
            <w:shd w:val="clear" w:color="auto" w:fill="F6F1E6"/>
          </w:tcPr>
          <w:p>
            <w:pPr>
              <w:spacing w:after="20"/>
            </w:pPr>
            <w:r>
              <w:rPr>
                <w:b/>
                <w:color w:val="1C3A36"/>
                <w:sz w:val="16"/>
              </w:rPr>
              <w:t>Fair value per share (AED)</w:t>
            </w:r>
          </w:p>
        </w:tc>
        <w:tc>
          <w:tcPr>
            <w:tcW w:type="dxa" w:w="1368"/>
            <w:shd w:val="clear" w:color="auto" w:fill="F6F1E6"/>
          </w:tcPr>
          <w:p>
            <w:pPr>
              <w:spacing w:after="20"/>
              <w:jc w:val="right"/>
            </w:pPr>
            <w:r>
              <w:rPr>
                <w:b/>
                <w:color w:val="1C3A36"/>
                <w:sz w:val="16"/>
              </w:rPr>
              <w:t>2.664</w:t>
            </w:r>
          </w:p>
        </w:tc>
        <w:tc>
          <w:tcPr>
            <w:tcW w:type="dxa" w:w="1368"/>
            <w:shd w:val="clear" w:color="auto" w:fill="F6F1E6"/>
          </w:tcPr>
          <w:p>
            <w:pPr>
              <w:spacing w:after="20"/>
              <w:jc w:val="right"/>
            </w:pPr>
            <w:r>
              <w:rPr>
                <w:b/>
                <w:color w:val="1C3A36"/>
                <w:sz w:val="16"/>
              </w:rPr>
              <w:t>2.483</w:t>
            </w:r>
          </w:p>
        </w:tc>
        <w:tc>
          <w:tcPr>
            <w:tcW w:type="dxa" w:w="4176"/>
            <w:shd w:val="clear" w:color="auto" w:fill="F6F1E6"/>
          </w:tcPr>
          <w:p>
            <w:pPr>
              <w:spacing w:after="20"/>
              <w:jc w:val="right"/>
            </w:pPr>
            <w:r>
              <w:rPr>
                <w:b/>
                <w:color w:val="1C3A36"/>
                <w:sz w:val="16"/>
              </w:rPr>
              <w:t>against a spot of 1.50: +78% and +66% respectively</w:t>
            </w:r>
          </w:p>
        </w:tc>
      </w:tr>
    </w:tbl>
    <w:p>
      <w:pPr>
        <w:spacing w:after="40"/>
      </w:pPr>
    </w:p>
    <w:p>
      <w:pPr>
        <w:spacing w:after="200" w:before="0"/>
      </w:pPr>
      <w:r>
        <w:rPr>
          <w:b w:val="0"/>
          <w:i/>
          <w:color w:val="6E7B77"/>
          <w:sz w:val="17"/>
        </w:rPr>
        <w:t>The valuation is struck on the 30 June 2026 reviewed balance sheet against an anchor price five weeks later; no accretion roll is applied across that short window. The difference between the two columns — AED 0.181 per share, 6.8% of the 9% value — is the entire price of the tax question, and it is left visible rather than averaged away.</w:t>
      </w:r>
    </w:p>
    <w:p>
      <w:pPr>
        <w:spacing w:after="80" w:before="200"/>
      </w:pPr>
      <w:r>
        <w:rPr>
          <w:b/>
          <w:i w:val="0"/>
          <w:color w:val="1C3A36"/>
          <w:sz w:val="24"/>
        </w:rPr>
        <w:t>1.2  Book value and sustainable return — the asset lens</w:t>
      </w:r>
    </w:p>
    <w:p>
      <w:pPr>
        <w:spacing w:after="120" w:before="0"/>
      </w:pPr>
      <w:r>
        <w:rPr>
          <w:b w:val="0"/>
          <w:i w:val="0"/>
          <w:color w:val="1C3A36"/>
          <w:sz w:val="21"/>
        </w:rPr>
        <w:t>Book value attributable to shareholders is AED 3,338mn at 30 June 2026, or 0.334 per share — the share trades at 4.5× book. That multiple is not the anomaly it appears: the equity base is small because the assets are largely debt- and customer-deposit-funded and the company has distributed heavily since listing, so the sustainable return on equity is high — 30.5% on the average of the last two year-end equity bases. A justified price-to-book multiple, (return on equity − growth) ÷ (cost of equity − growth), gives 5.9× book at the 7.22% cost of equity and 2.5% growth — AED 1.980 per share.</w:t>
      </w:r>
    </w:p>
    <w:p>
      <w:pPr>
        <w:spacing w:after="120" w:before="0"/>
      </w:pPr>
      <w:r>
        <w:rPr>
          <w:b w:val="0"/>
          <w:i w:val="0"/>
          <w:color w:val="1C3A36"/>
          <w:sz w:val="21"/>
        </w:rPr>
        <w:t>This is the lens most exposed to its own construction: a high-ROE, low-book business makes the justified multiple acutely sensitive to the return assumption (each percentage point of sustainable ROE is worth roughly AED 0.071 per share). It is retained at a 15% weight because it prices the question the other lenses skip — what the installed asset base earns — but it is read as corroboration, not as a primary estimate.</w:t>
      </w:r>
    </w:p>
    <w:p>
      <w:pPr>
        <w:spacing w:after="80" w:before="200"/>
      </w:pPr>
      <w:r>
        <w:rPr>
          <w:b/>
          <w:i w:val="0"/>
          <w:color w:val="1C3A36"/>
          <w:sz w:val="24"/>
        </w:rPr>
        <w:t>1.3  Relative multiples — what the market pays for GCC cooling today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440"/>
        <w:gridCol w:w="5112"/>
      </w:tblGrid>
      <w:tr>
        <w:tc>
          <w:tcPr>
            <w:tcW w:type="dxa" w:w="3528"/>
            <w:shd w:val="clear" w:color="auto" w:fill="EAF0EE"/>
          </w:tcPr>
          <w:p>
            <w:pPr>
              <w:spacing w:after="20"/>
            </w:pPr>
            <w:r>
              <w:rPr>
                <w:b/>
                <w:color w:val="1C3A36"/>
                <w:sz w:val="17"/>
              </w:rPr>
              <w:t>Step</w:t>
            </w:r>
          </w:p>
        </w:tc>
        <w:tc>
          <w:tcPr>
            <w:tcW w:type="dxa" w:w="1440"/>
            <w:shd w:val="clear" w:color="auto" w:fill="EAF0EE"/>
          </w:tcPr>
          <w:p>
            <w:pPr>
              <w:spacing w:after="20"/>
            </w:pPr>
            <w:r>
              <w:rPr>
                <w:b/>
                <w:color w:val="1C3A36"/>
                <w:sz w:val="17"/>
              </w:rPr>
              <w:t>Value</w:t>
            </w:r>
          </w:p>
        </w:tc>
        <w:tc>
          <w:tcPr>
            <w:tcW w:type="dxa" w:w="5112"/>
            <w:shd w:val="clear" w:color="auto" w:fill="EAF0EE"/>
          </w:tcPr>
          <w:p>
            <w:pPr>
              <w:spacing w:after="20"/>
            </w:pPr>
            <w:r>
              <w:rPr>
                <w:b/>
                <w:color w:val="1C3A36"/>
                <w:sz w:val="17"/>
              </w:rPr>
              <w:t>Comment</w:t>
            </w:r>
          </w:p>
        </w:tc>
      </w:tr>
      <w:tr>
        <w:tc>
          <w:tcPr>
            <w:tcW w:type="dxa" w:w="3528"/>
          </w:tcPr>
          <w:p>
            <w:pPr>
              <w:spacing w:after="20"/>
            </w:pPr>
            <w:r>
              <w:rPr>
                <w:color w:val="1C3A36"/>
                <w:sz w:val="17"/>
              </w:rPr>
              <w:t>Tabreed enterprise value / EBITDA (trailing)</w:t>
            </w:r>
          </w:p>
        </w:tc>
        <w:tc>
          <w:tcPr>
            <w:tcW w:type="dxa" w:w="1440"/>
          </w:tcPr>
          <w:p>
            <w:pPr>
              <w:spacing w:after="20"/>
              <w:jc w:val="right"/>
            </w:pPr>
            <w:r>
              <w:rPr>
                <w:color w:val="1C3A36"/>
                <w:sz w:val="17"/>
              </w:rPr>
              <w:t>10.7×</w:t>
            </w:r>
          </w:p>
        </w:tc>
        <w:tc>
          <w:tcPr>
            <w:tcW w:type="dxa" w:w="5112"/>
          </w:tcPr>
          <w:p>
            <w:pPr>
              <w:spacing w:after="20"/>
              <w:jc w:val="right"/>
            </w:pPr>
            <w:r>
              <w:rPr>
                <w:color w:val="1C3A36"/>
                <w:sz w:val="17"/>
              </w:rPr>
              <w:t>the only listed pure district-cooling peer (Dubai Financial Market); derived from its market value plus net debt over 2025 EBITDA, and flagged as derived. Tabreed runs much higher leverage, which is why the comparison is made at the enterprise line rather than on price/earnings alone</w:t>
            </w:r>
          </w:p>
        </w:tc>
      </w:tr>
      <w:tr>
        <w:tc>
          <w:tcPr>
            <w:tcW w:type="dxa" w:w="3528"/>
          </w:tcPr>
          <w:p>
            <w:pPr>
              <w:spacing w:after="20"/>
            </w:pPr>
            <w:r>
              <w:rPr>
                <w:color w:val="1C3A36"/>
                <w:sz w:val="17"/>
              </w:rPr>
              <w:t>Applied to Empower 2026E EBITDA</w:t>
            </w:r>
          </w:p>
        </w:tc>
        <w:tc>
          <w:tcPr>
            <w:tcW w:type="dxa" w:w="1440"/>
          </w:tcPr>
          <w:p>
            <w:pPr>
              <w:spacing w:after="20"/>
              <w:jc w:val="right"/>
            </w:pPr>
            <w:r>
              <w:rPr>
                <w:color w:val="1C3A36"/>
                <w:sz w:val="17"/>
              </w:rPr>
              <w:t>1,702</w:t>
            </w:r>
          </w:p>
        </w:tc>
        <w:tc>
          <w:tcPr>
            <w:tcW w:type="dxa" w:w="5112"/>
          </w:tcPr>
          <w:p>
            <w:pPr>
              <w:spacing w:after="20"/>
              <w:jc w:val="right"/>
            </w:pPr>
            <w:r>
              <w:rPr>
                <w:color w:val="1C3A36"/>
                <w:sz w:val="17"/>
              </w:rPr>
              <w:t>the base-case build, shock year included</w:t>
            </w:r>
          </w:p>
        </w:tc>
      </w:tr>
      <w:tr>
        <w:tc>
          <w:tcPr>
            <w:tcW w:type="dxa" w:w="3528"/>
          </w:tcPr>
          <w:p>
            <w:pPr>
              <w:spacing w:after="20"/>
            </w:pPr>
            <w:r>
              <w:rPr>
                <w:color w:val="1C3A36"/>
                <w:sz w:val="17"/>
              </w:rPr>
              <w:t>Implied enterprise value</w:t>
            </w:r>
          </w:p>
        </w:tc>
        <w:tc>
          <w:tcPr>
            <w:tcW w:type="dxa" w:w="1440"/>
          </w:tcPr>
          <w:p>
            <w:pPr>
              <w:spacing w:after="20"/>
              <w:jc w:val="right"/>
            </w:pPr>
            <w:r>
              <w:rPr>
                <w:color w:val="1C3A36"/>
                <w:sz w:val="17"/>
              </w:rPr>
              <w:t>18,216</w:t>
            </w:r>
          </w:p>
        </w:tc>
        <w:tc>
          <w:tcPr>
            <w:tcW w:type="dxa" w:w="5112"/>
          </w:tcPr>
          <w:p>
            <w:pPr>
              <w:spacing w:after="20"/>
              <w:jc w:val="right"/>
            </w:pPr>
            <w:r>
              <w:rPr>
                <w:color w:val="1C3A36"/>
                <w:sz w:val="17"/>
              </w:rPr>
            </w:r>
          </w:p>
        </w:tc>
      </w:tr>
      <w:tr>
        <w:tc>
          <w:tcPr>
            <w:tcW w:type="dxa" w:w="3528"/>
          </w:tcPr>
          <w:p>
            <w:pPr>
              <w:spacing w:after="20"/>
            </w:pPr>
            <w:r>
              <w:rPr>
                <w:color w:val="1C3A36"/>
                <w:sz w:val="17"/>
              </w:rPr>
              <w:t>Less net debt, plus the side pockets, less minorities</w:t>
            </w:r>
          </w:p>
        </w:tc>
        <w:tc>
          <w:tcPr>
            <w:tcW w:type="dxa" w:w="1440"/>
          </w:tcPr>
          <w:p>
            <w:pPr>
              <w:spacing w:after="20"/>
              <w:jc w:val="right"/>
            </w:pPr>
            <w:r>
              <w:rPr>
                <w:color w:val="1C3A36"/>
                <w:sz w:val="17"/>
              </w:rPr>
              <w:t>—</w:t>
            </w:r>
          </w:p>
        </w:tc>
        <w:tc>
          <w:tcPr>
            <w:tcW w:type="dxa" w:w="5112"/>
          </w:tcPr>
          <w:p>
            <w:pPr>
              <w:spacing w:after="20"/>
              <w:jc w:val="right"/>
            </w:pPr>
            <w:r>
              <w:rPr>
                <w:color w:val="1C3A36"/>
                <w:sz w:val="17"/>
              </w:rPr>
              <w:t>the same bridge as section 1.1</w:t>
            </w:r>
          </w:p>
        </w:tc>
      </w:tr>
      <w:tr>
        <w:tc>
          <w:tcPr>
            <w:tcW w:type="dxa" w:w="3528"/>
            <w:shd w:val="clear" w:color="auto" w:fill="F6F1E6"/>
          </w:tcPr>
          <w:p>
            <w:pPr>
              <w:spacing w:after="20"/>
            </w:pPr>
            <w:r>
              <w:rPr>
                <w:b/>
                <w:color w:val="1C3A36"/>
                <w:sz w:val="17"/>
              </w:rPr>
              <w:t>Implied value per share — EV/EBITDA basis</w:t>
            </w:r>
          </w:p>
        </w:tc>
        <w:tc>
          <w:tcPr>
            <w:tcW w:type="dxa" w:w="1440"/>
            <w:shd w:val="clear" w:color="auto" w:fill="F6F1E6"/>
          </w:tcPr>
          <w:p>
            <w:pPr>
              <w:spacing w:after="20"/>
              <w:jc w:val="right"/>
            </w:pPr>
            <w:r>
              <w:rPr>
                <w:b/>
                <w:color w:val="1C3A36"/>
                <w:sz w:val="17"/>
              </w:rPr>
              <w:t>1.536</w:t>
            </w:r>
          </w:p>
        </w:tc>
        <w:tc>
          <w:tcPr>
            <w:tcW w:type="dxa" w:w="5112"/>
            <w:shd w:val="clear" w:color="auto" w:fill="F6F1E6"/>
          </w:tcPr>
          <w:p>
            <w:pPr>
              <w:spacing w:after="20"/>
              <w:jc w:val="right"/>
            </w:pPr>
            <w:r>
              <w:rPr>
                <w:b/>
                <w:color w:val="1C3A36"/>
                <w:sz w:val="17"/>
              </w:rPr>
              <w:t>+2% against spot</w:t>
            </w:r>
          </w:p>
        </w:tc>
      </w:tr>
      <w:tr>
        <w:tc>
          <w:tcPr>
            <w:tcW w:type="dxa" w:w="3528"/>
          </w:tcPr>
          <w:p>
            <w:pPr>
              <w:spacing w:after="20"/>
            </w:pPr>
            <w:r>
              <w:rPr>
                <w:color w:val="1C3A36"/>
                <w:sz w:val="17"/>
              </w:rPr>
              <w:t>Tabreed price/earnings 16.6× on 2026E attributable profit of 1,025</w:t>
            </w:r>
          </w:p>
        </w:tc>
        <w:tc>
          <w:tcPr>
            <w:tcW w:type="dxa" w:w="1440"/>
          </w:tcPr>
          <w:p>
            <w:pPr>
              <w:spacing w:after="20"/>
              <w:jc w:val="right"/>
            </w:pPr>
            <w:r>
              <w:rPr>
                <w:color w:val="1C3A36"/>
                <w:sz w:val="17"/>
              </w:rPr>
              <w:t>1.701</w:t>
            </w:r>
          </w:p>
        </w:tc>
        <w:tc>
          <w:tcPr>
            <w:tcW w:type="dxa" w:w="5112"/>
          </w:tcPr>
          <w:p>
            <w:pPr>
              <w:spacing w:after="20"/>
              <w:jc w:val="right"/>
            </w:pPr>
            <w:r>
              <w:rPr>
                <w:color w:val="1C3A36"/>
                <w:sz w:val="17"/>
              </w:rPr>
              <w:t>the earnings-basis read; DEWA itself trades near 16.8× as a secondary marker</w:t>
            </w:r>
          </w:p>
        </w:tc>
      </w:tr>
    </w:tbl>
    <w:p>
      <w:pPr>
        <w:spacing w:after="40"/>
      </w:pPr>
    </w:p>
    <w:p>
      <w:pPr>
        <w:spacing w:after="120" w:before="0"/>
      </w:pPr>
      <w:r>
        <w:rPr>
          <w:b w:val="0"/>
          <w:i w:val="0"/>
          <w:color w:val="1C3A36"/>
          <w:sz w:val="21"/>
        </w:rPr>
        <w:t>Read this lens for what it is: a market-regime reading, not an independent fundamental. The peer multiples are themselves struck in a war-discounted market — Tabreed and DEWA fell with the index — so applying them imports the conflict discount rather than testing it. That is exactly why the lens carries 20% weight and why its gap to the cash-flow lens (1.536 against 2.664) is treated in section 4 as information about the market's risk pricing, not as an error in either number.</w:t>
      </w:r>
    </w:p>
    <w:p>
      <w:pPr>
        <w:spacing w:after="80" w:before="200"/>
      </w:pPr>
      <w:r>
        <w:rPr>
          <w:b/>
          <w:i w:val="0"/>
          <w:color w:val="1C3A36"/>
          <w:sz w:val="24"/>
        </w:rPr>
        <w:t>1.4  Normalised earnings power — the unshocked year</w:t>
      </w:r>
    </w:p>
    <w:p>
      <w:pPr>
        <w:spacing w:after="120" w:before="0"/>
      </w:pPr>
      <w:r>
        <w:rPr>
          <w:b w:val="0"/>
          <w:i w:val="0"/>
          <w:color w:val="1C3A36"/>
          <w:sz w:val="21"/>
        </w:rPr>
        <w:t>The question this lens asks: what does 2026 earn if the consumption shock had not happened — usage per connected ton at the 2025 level, everything else unchanged? Revenue would be AED 3,625mn (against 3,503mn shocked), EBITDA 1,731mn, and attributable profit 1,051mn — earnings per share of 0.105. Capitalised at a justified multiple of 19.9× — built from the sustainable return on equity (30.5%), the retention that 2.5% growth requires, and the 7.22% cost of equity — that is AED 2.094 per share (1.956 if the 15% minimum tax applies).</w:t>
      </w:r>
    </w:p>
    <w:p>
      <w:pPr>
        <w:spacing w:after="120" w:before="0"/>
      </w:pPr>
      <w:r>
        <w:rPr>
          <w:b w:val="0"/>
          <w:i w:val="0"/>
          <w:color w:val="1C3A36"/>
          <w:sz w:val="21"/>
        </w:rPr>
        <w:t>The lens deliberately measures the gap between the market's reaction and the earnings arithmetic: the whole shock is worth about AED 122mn of revenue in the year, most of which is passed-through electricity and water cost that disappears with it.</w:t>
      </w:r>
    </w:p>
    <w:p>
      <w:pPr>
        <w:spacing w:after="80" w:before="200"/>
      </w:pPr>
      <w:r>
        <w:rPr>
          <w:b/>
          <w:i w:val="0"/>
          <w:color w:val="1C3A36"/>
          <w:sz w:val="24"/>
        </w:rPr>
        <w:t>1.5  Synthesis — four lenses, one field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728"/>
        <w:gridCol w:w="1728"/>
        <w:gridCol w:w="1296"/>
      </w:tblGrid>
      <w:tr>
        <w:tc>
          <w:tcPr>
            <w:tcW w:type="dxa" w:w="3744"/>
            <w:shd w:val="clear" w:color="auto" w:fill="EAF0EE"/>
          </w:tcPr>
          <w:p>
            <w:pPr>
              <w:spacing w:after="20"/>
            </w:pPr>
            <w:r>
              <w:rPr>
                <w:b/>
                <w:color w:val="1C3A36"/>
                <w:sz w:val="17"/>
              </w:rPr>
              <w:t>Lens</w:t>
            </w:r>
          </w:p>
        </w:tc>
        <w:tc>
          <w:tcPr>
            <w:tcW w:type="dxa" w:w="1728"/>
            <w:shd w:val="clear" w:color="auto" w:fill="EAF0EE"/>
          </w:tcPr>
          <w:p>
            <w:pPr>
              <w:spacing w:after="20"/>
            </w:pPr>
            <w:r>
              <w:rPr>
                <w:b/>
                <w:color w:val="1C3A36"/>
                <w:sz w:val="17"/>
              </w:rPr>
              <w:t>At 9%</w:t>
            </w:r>
          </w:p>
        </w:tc>
        <w:tc>
          <w:tcPr>
            <w:tcW w:type="dxa" w:w="1728"/>
            <w:shd w:val="clear" w:color="auto" w:fill="EAF0EE"/>
          </w:tcPr>
          <w:p>
            <w:pPr>
              <w:spacing w:after="20"/>
            </w:pPr>
            <w:r>
              <w:rPr>
                <w:b/>
                <w:color w:val="1C3A36"/>
                <w:sz w:val="17"/>
              </w:rPr>
              <w:t>At 15%</w:t>
            </w:r>
          </w:p>
        </w:tc>
        <w:tc>
          <w:tcPr>
            <w:tcW w:type="dxa" w:w="1296"/>
            <w:shd w:val="clear" w:color="auto" w:fill="EAF0EE"/>
          </w:tcPr>
          <w:p>
            <w:pPr>
              <w:spacing w:after="20"/>
            </w:pPr>
            <w:r>
              <w:rPr>
                <w:b/>
                <w:color w:val="1C3A36"/>
                <w:sz w:val="17"/>
              </w:rPr>
              <w:t>Weight</w:t>
            </w:r>
          </w:p>
        </w:tc>
      </w:tr>
      <w:tr>
        <w:tc>
          <w:tcPr>
            <w:tcW w:type="dxa" w:w="3744"/>
          </w:tcPr>
          <w:p>
            <w:pPr>
              <w:spacing w:after="20"/>
            </w:pPr>
            <w:r>
              <w:rPr>
                <w:color w:val="1C3A36"/>
                <w:sz w:val="17"/>
              </w:rPr>
              <w:t>Discounted cash flow</w:t>
            </w:r>
          </w:p>
        </w:tc>
        <w:tc>
          <w:tcPr>
            <w:tcW w:type="dxa" w:w="1728"/>
          </w:tcPr>
          <w:p>
            <w:pPr>
              <w:spacing w:after="20"/>
              <w:jc w:val="right"/>
            </w:pPr>
            <w:r>
              <w:rPr>
                <w:color w:val="1C3A36"/>
                <w:sz w:val="17"/>
              </w:rPr>
              <w:t>2.664</w:t>
            </w:r>
          </w:p>
        </w:tc>
        <w:tc>
          <w:tcPr>
            <w:tcW w:type="dxa" w:w="1728"/>
          </w:tcPr>
          <w:p>
            <w:pPr>
              <w:spacing w:after="20"/>
              <w:jc w:val="right"/>
            </w:pPr>
            <w:r>
              <w:rPr>
                <w:color w:val="1C3A36"/>
                <w:sz w:val="17"/>
              </w:rPr>
              <w:t>2.483</w:t>
            </w:r>
          </w:p>
        </w:tc>
        <w:tc>
          <w:tcPr>
            <w:tcW w:type="dxa" w:w="1296"/>
          </w:tcPr>
          <w:p>
            <w:pPr>
              <w:spacing w:after="20"/>
              <w:jc w:val="right"/>
            </w:pPr>
            <w:r>
              <w:rPr>
                <w:color w:val="1C3A36"/>
                <w:sz w:val="17"/>
              </w:rPr>
              <w:t>50%</w:t>
            </w:r>
          </w:p>
        </w:tc>
      </w:tr>
      <w:tr>
        <w:tc>
          <w:tcPr>
            <w:tcW w:type="dxa" w:w="3744"/>
          </w:tcPr>
          <w:p>
            <w:pPr>
              <w:spacing w:after="20"/>
            </w:pPr>
            <w:r>
              <w:rPr>
                <w:color w:val="1C3A36"/>
                <w:sz w:val="17"/>
              </w:rPr>
              <w:t>Relative multiples</w:t>
            </w:r>
          </w:p>
        </w:tc>
        <w:tc>
          <w:tcPr>
            <w:tcW w:type="dxa" w:w="1728"/>
          </w:tcPr>
          <w:p>
            <w:pPr>
              <w:spacing w:after="20"/>
              <w:jc w:val="right"/>
            </w:pPr>
            <w:r>
              <w:rPr>
                <w:color w:val="1C3A36"/>
                <w:sz w:val="17"/>
              </w:rPr>
              <w:t>1.536</w:t>
            </w:r>
          </w:p>
        </w:tc>
        <w:tc>
          <w:tcPr>
            <w:tcW w:type="dxa" w:w="1728"/>
          </w:tcPr>
          <w:p>
            <w:pPr>
              <w:spacing w:after="20"/>
              <w:jc w:val="right"/>
            </w:pPr>
            <w:r>
              <w:rPr>
                <w:color w:val="1C3A36"/>
                <w:sz w:val="17"/>
              </w:rPr>
              <w:t>1.536</w:t>
            </w:r>
          </w:p>
        </w:tc>
        <w:tc>
          <w:tcPr>
            <w:tcW w:type="dxa" w:w="1296"/>
          </w:tcPr>
          <w:p>
            <w:pPr>
              <w:spacing w:after="20"/>
              <w:jc w:val="right"/>
            </w:pPr>
            <w:r>
              <w:rPr>
                <w:color w:val="1C3A36"/>
                <w:sz w:val="17"/>
              </w:rPr>
              <w:t>20%</w:t>
            </w:r>
          </w:p>
        </w:tc>
      </w:tr>
      <w:tr>
        <w:tc>
          <w:tcPr>
            <w:tcW w:type="dxa" w:w="3744"/>
          </w:tcPr>
          <w:p>
            <w:pPr>
              <w:spacing w:after="20"/>
            </w:pPr>
            <w:r>
              <w:rPr>
                <w:color w:val="1C3A36"/>
                <w:sz w:val="17"/>
              </w:rPr>
              <w:t>Normalised earnings power</w:t>
            </w:r>
          </w:p>
        </w:tc>
        <w:tc>
          <w:tcPr>
            <w:tcW w:type="dxa" w:w="1728"/>
          </w:tcPr>
          <w:p>
            <w:pPr>
              <w:spacing w:after="20"/>
              <w:jc w:val="right"/>
            </w:pPr>
            <w:r>
              <w:rPr>
                <w:color w:val="1C3A36"/>
                <w:sz w:val="17"/>
              </w:rPr>
              <w:t>2.094</w:t>
            </w:r>
          </w:p>
        </w:tc>
        <w:tc>
          <w:tcPr>
            <w:tcW w:type="dxa" w:w="1728"/>
          </w:tcPr>
          <w:p>
            <w:pPr>
              <w:spacing w:after="20"/>
              <w:jc w:val="right"/>
            </w:pPr>
            <w:r>
              <w:rPr>
                <w:color w:val="1C3A36"/>
                <w:sz w:val="17"/>
              </w:rPr>
              <w:t>1.956</w:t>
            </w:r>
          </w:p>
        </w:tc>
        <w:tc>
          <w:tcPr>
            <w:tcW w:type="dxa" w:w="1296"/>
          </w:tcPr>
          <w:p>
            <w:pPr>
              <w:spacing w:after="20"/>
              <w:jc w:val="right"/>
            </w:pPr>
            <w:r>
              <w:rPr>
                <w:color w:val="1C3A36"/>
                <w:sz w:val="17"/>
              </w:rPr>
              <w:t>15%</w:t>
            </w:r>
          </w:p>
        </w:tc>
      </w:tr>
      <w:tr>
        <w:tc>
          <w:tcPr>
            <w:tcW w:type="dxa" w:w="3744"/>
          </w:tcPr>
          <w:p>
            <w:pPr>
              <w:spacing w:after="20"/>
            </w:pPr>
            <w:r>
              <w:rPr>
                <w:color w:val="1C3A36"/>
                <w:sz w:val="17"/>
              </w:rPr>
              <w:t>Book value and sustainable return</w:t>
            </w:r>
          </w:p>
        </w:tc>
        <w:tc>
          <w:tcPr>
            <w:tcW w:type="dxa" w:w="1728"/>
          </w:tcPr>
          <w:p>
            <w:pPr>
              <w:spacing w:after="20"/>
              <w:jc w:val="right"/>
            </w:pPr>
            <w:r>
              <w:rPr>
                <w:color w:val="1C3A36"/>
                <w:sz w:val="17"/>
              </w:rPr>
              <w:t>1.980</w:t>
            </w:r>
          </w:p>
        </w:tc>
        <w:tc>
          <w:tcPr>
            <w:tcW w:type="dxa" w:w="1728"/>
          </w:tcPr>
          <w:p>
            <w:pPr>
              <w:spacing w:after="20"/>
              <w:jc w:val="right"/>
            </w:pPr>
            <w:r>
              <w:rPr>
                <w:color w:val="1C3A36"/>
                <w:sz w:val="17"/>
              </w:rPr>
              <w:t>1.980</w:t>
            </w:r>
          </w:p>
        </w:tc>
        <w:tc>
          <w:tcPr>
            <w:tcW w:type="dxa" w:w="1296"/>
          </w:tcPr>
          <w:p>
            <w:pPr>
              <w:spacing w:after="20"/>
              <w:jc w:val="right"/>
            </w:pPr>
            <w:r>
              <w:rPr>
                <w:color w:val="1C3A36"/>
                <w:sz w:val="17"/>
              </w:rPr>
              <w:t>15%</w:t>
            </w:r>
          </w:p>
        </w:tc>
      </w:tr>
      <w:tr>
        <w:tc>
          <w:tcPr>
            <w:tcW w:type="dxa" w:w="3744"/>
            <w:shd w:val="clear" w:color="auto" w:fill="F6F1E6"/>
          </w:tcPr>
          <w:p>
            <w:pPr>
              <w:spacing w:after="20"/>
            </w:pPr>
            <w:r>
              <w:rPr>
                <w:b/>
                <w:color w:val="1C3A36"/>
                <w:sz w:val="17"/>
              </w:rPr>
              <w:t>Weighted central</w:t>
            </w:r>
          </w:p>
        </w:tc>
        <w:tc>
          <w:tcPr>
            <w:tcW w:type="dxa" w:w="1728"/>
            <w:shd w:val="clear" w:color="auto" w:fill="F6F1E6"/>
          </w:tcPr>
          <w:p>
            <w:pPr>
              <w:spacing w:after="20"/>
              <w:jc w:val="right"/>
            </w:pPr>
            <w:r>
              <w:rPr>
                <w:b/>
                <w:color w:val="1C3A36"/>
                <w:sz w:val="17"/>
              </w:rPr>
              <w:t>2.250</w:t>
            </w:r>
          </w:p>
        </w:tc>
        <w:tc>
          <w:tcPr>
            <w:tcW w:type="dxa" w:w="1728"/>
            <w:shd w:val="clear" w:color="auto" w:fill="F6F1E6"/>
          </w:tcPr>
          <w:p>
            <w:pPr>
              <w:spacing w:after="20"/>
              <w:jc w:val="right"/>
            </w:pPr>
            <w:r>
              <w:rPr>
                <w:b/>
                <w:color w:val="1C3A36"/>
                <w:sz w:val="17"/>
              </w:rPr>
              <w:t>2.139</w:t>
            </w:r>
          </w:p>
        </w:tc>
        <w:tc>
          <w:tcPr>
            <w:tcW w:type="dxa" w:w="1296"/>
            <w:shd w:val="clear" w:color="auto" w:fill="F6F1E6"/>
          </w:tcPr>
          <w:p>
            <w:pPr>
              <w:spacing w:after="20"/>
              <w:jc w:val="right"/>
            </w:pPr>
            <w:r>
              <w:rPr>
                <w:b/>
                <w:color w:val="1C3A36"/>
                <w:sz w:val="17"/>
              </w:rPr>
              <w:t>—</w:t>
            </w:r>
          </w:p>
        </w:tc>
      </w:tr>
      <w:tr>
        <w:tc>
          <w:tcPr>
            <w:tcW w:type="dxa" w:w="3744"/>
          </w:tcPr>
          <w:p>
            <w:pPr>
              <w:spacing w:after="20"/>
            </w:pPr>
            <w:r>
              <w:rPr>
                <w:color w:val="1C3A36"/>
                <w:sz w:val="17"/>
              </w:rPr>
              <w:t>Dividend cross-check (unweighted)</w:t>
            </w:r>
          </w:p>
        </w:tc>
        <w:tc>
          <w:tcPr>
            <w:tcW w:type="dxa" w:w="1728"/>
          </w:tcPr>
          <w:p>
            <w:pPr>
              <w:spacing w:after="20"/>
              <w:jc w:val="right"/>
            </w:pPr>
            <w:r>
              <w:rPr>
                <w:color w:val="1C3A36"/>
                <w:sz w:val="17"/>
              </w:rPr>
              <w:t>1.899</w:t>
            </w:r>
          </w:p>
        </w:tc>
        <w:tc>
          <w:tcPr>
            <w:tcW w:type="dxa" w:w="1728"/>
          </w:tcPr>
          <w:p>
            <w:pPr>
              <w:spacing w:after="20"/>
              <w:jc w:val="right"/>
            </w:pPr>
            <w:r>
              <w:rPr>
                <w:color w:val="1C3A36"/>
                <w:sz w:val="17"/>
              </w:rPr>
              <w:t>1.899</w:t>
            </w:r>
          </w:p>
        </w:tc>
        <w:tc>
          <w:tcPr>
            <w:tcW w:type="dxa" w:w="1296"/>
          </w:tcPr>
          <w:p>
            <w:pPr>
              <w:spacing w:after="20"/>
              <w:jc w:val="right"/>
            </w:pPr>
            <w:r>
              <w:rPr>
                <w:color w:val="1C3A36"/>
                <w:sz w:val="17"/>
              </w:rPr>
              <w:t>—</w:t>
            </w:r>
          </w:p>
        </w:tc>
      </w:tr>
    </w:tbl>
    <w:p>
      <w:pPr>
        <w:spacing w:after="40"/>
      </w:pPr>
    </w:p>
    <w:p>
      <w:pPr>
        <w:spacing w:after="120" w:before="0"/>
      </w:pPr>
      <w:r>
        <w:rPr>
          <w:b w:val="0"/>
          <w:i w:val="0"/>
          <w:color w:val="1C3A36"/>
          <w:sz w:val="21"/>
        </w:rPr>
        <w:t>The lenses disagree in an orderly way. The cash-flow model sits highest because it credits the contracted growth backlog and the negative-working-capital funding model in full; the relative lens sits lowest because it imports today's war-discounted market regime; the normalised and book lenses sit between. The weighting leans on the cash-flow model because this is a regulated utility with contracted revenue — the class of business a discounted-cash-flow model prices best — and the field runs 1.737 to 2.714 bear to bull. Both tax columns are carried through every row; nothing is averaged across them.</w:t>
      </w:r>
    </w:p>
    <w:p>
      <w:pPr>
        <w:spacing w:after="80" w:before="200"/>
      </w:pPr>
      <w:r>
        <w:rPr>
          <w:b/>
          <w:i w:val="0"/>
          <w:color w:val="1C3A36"/>
          <w:sz w:val="24"/>
        </w:rPr>
        <w:t>1.6  The drivers — a two-leg unit build, margins as outputs</w:t>
      </w:r>
    </w:p>
    <w:p>
      <w:pPr>
        <w:spacing w:after="40"/>
        <w:jc w:val="center"/>
      </w:pPr>
      <w:r>
        <w:drawing>
          <wp:inline xmlns:a="http://schemas.openxmlformats.org/drawingml/2006/main" xmlns:pic="http://schemas.openxmlformats.org/drawingml/2006/picture">
            <wp:extent cx="6400800" cy="2427890"/>
            <wp:docPr id="3" name="Picture 3"/>
            <wp:cNvGraphicFramePr>
              <a:graphicFrameLocks noChangeAspect="1"/>
            </wp:cNvGraphicFramePr>
            <a:graphic>
              <a:graphicData uri="http://schemas.openxmlformats.org/drawingml/2006/picture">
                <pic:pic>
                  <pic:nvPicPr>
                    <pic:cNvPr id="0" name="fig8_unit.png"/>
                    <pic:cNvPicPr/>
                  </pic:nvPicPr>
                  <pic:blipFill>
                    <a:blip r:embed="rId11"/>
                    <a:stretch>
                      <a:fillRect/>
                    </a:stretch>
                  </pic:blipFill>
                  <pic:spPr>
                    <a:xfrm>
                      <a:off x="0" y="0"/>
                      <a:ext cx="6400800" cy="2427890"/>
                    </a:xfrm>
                    <a:prstGeom prst="rect"/>
                  </pic:spPr>
                </pic:pic>
              </a:graphicData>
            </a:graphic>
          </wp:inline>
        </w:drawing>
      </w:r>
    </w:p>
    <w:p>
      <w:pPr>
        <w:spacing w:after="200" w:before="0"/>
      </w:pPr>
      <w:r>
        <w:rPr>
          <w:b w:val="0"/>
          <w:i/>
          <w:color w:val="6E7B77"/>
          <w:sz w:val="17"/>
        </w:rPr>
        <w:t>Figure 3 — the unit engine: connected capacity, consumption per connected ton and the revenue that falls out of them.</w:t>
      </w:r>
    </w:p>
    <w:p>
      <w:pPr>
        <w:spacing w:after="120" w:before="0"/>
      </w:pPr>
      <w:r>
        <w:rPr>
          <w:b w:val="0"/>
          <w:i w:val="0"/>
          <w:color w:val="1C3A36"/>
          <w:sz w:val="21"/>
        </w:rPr>
        <w:t>Revenue is built from physical units at the finest level the company disclosures allow. The volume driver is CONNECTED CAPACITY, taken from the company's own history and guidance: 1,656k RT at end-2025, 1,707k at 30 June 2026, company guidance of 100–110k of new connections for 2026 (the model uses the midpoint), and a contracted backlog of 311k RT already signed but not yet connected — a pre-sold pipeline that funds the additions assumed for 2027 onward, tapering as the Dubai build-out matures.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128"/>
        <w:gridCol w:w="1128"/>
        <w:gridCol w:w="1128"/>
        <w:gridCol w:w="1128"/>
        <w:gridCol w:w="1128"/>
        <w:gridCol w:w="1129"/>
      </w:tblGrid>
      <w:tr>
        <w:tc>
          <w:tcPr>
            <w:tcW w:type="dxa" w:w="3312"/>
            <w:shd w:val="clear" w:color="auto" w:fill="EAF0EE"/>
          </w:tcPr>
          <w:p>
            <w:pPr>
              <w:spacing w:after="20"/>
            </w:pPr>
            <w:r>
              <w:rPr>
                <w:b/>
                <w:color w:val="1C3A36"/>
                <w:sz w:val="16"/>
              </w:rPr>
              <w:t>Driver (per year)</w:t>
            </w:r>
          </w:p>
        </w:tc>
        <w:tc>
          <w:tcPr>
            <w:tcW w:type="dxa" w:w="1128"/>
            <w:shd w:val="clear" w:color="auto" w:fill="EAF0EE"/>
          </w:tcPr>
          <w:p>
            <w:pPr>
              <w:spacing w:after="20"/>
            </w:pPr>
            <w:r>
              <w:rPr>
                <w:b/>
                <w:color w:val="1C3A36"/>
                <w:sz w:val="16"/>
              </w:rPr>
              <w:t>FY25</w:t>
            </w:r>
          </w:p>
        </w:tc>
        <w:tc>
          <w:tcPr>
            <w:tcW w:type="dxa" w:w="1128"/>
            <w:shd w:val="clear" w:color="auto" w:fill="EAF0EE"/>
          </w:tcPr>
          <w:p>
            <w:pPr>
              <w:spacing w:after="20"/>
            </w:pPr>
            <w:r>
              <w:rPr>
                <w:b/>
                <w:color w:val="1C3A36"/>
                <w:sz w:val="16"/>
              </w:rPr>
              <w:t>FY26</w:t>
            </w:r>
          </w:p>
        </w:tc>
        <w:tc>
          <w:tcPr>
            <w:tcW w:type="dxa" w:w="1128"/>
            <w:shd w:val="clear" w:color="auto" w:fill="EAF0EE"/>
          </w:tcPr>
          <w:p>
            <w:pPr>
              <w:spacing w:after="20"/>
            </w:pPr>
            <w:r>
              <w:rPr>
                <w:b/>
                <w:color w:val="1C3A36"/>
                <w:sz w:val="16"/>
              </w:rPr>
              <w:t>FY27</w:t>
            </w:r>
          </w:p>
        </w:tc>
        <w:tc>
          <w:tcPr>
            <w:tcW w:type="dxa" w:w="1128"/>
            <w:shd w:val="clear" w:color="auto" w:fill="EAF0EE"/>
          </w:tcPr>
          <w:p>
            <w:pPr>
              <w:spacing w:after="20"/>
            </w:pPr>
            <w:r>
              <w:rPr>
                <w:b/>
                <w:color w:val="1C3A36"/>
                <w:sz w:val="16"/>
              </w:rPr>
              <w:t>FY28</w:t>
            </w:r>
          </w:p>
        </w:tc>
        <w:tc>
          <w:tcPr>
            <w:tcW w:type="dxa" w:w="1128"/>
            <w:shd w:val="clear" w:color="auto" w:fill="EAF0EE"/>
          </w:tcPr>
          <w:p>
            <w:pPr>
              <w:spacing w:after="20"/>
            </w:pPr>
            <w:r>
              <w:rPr>
                <w:b/>
                <w:color w:val="1C3A36"/>
                <w:sz w:val="16"/>
              </w:rPr>
              <w:t>FY29</w:t>
            </w:r>
          </w:p>
        </w:tc>
        <w:tc>
          <w:tcPr>
            <w:tcW w:type="dxa" w:w="1129"/>
            <w:shd w:val="clear" w:color="auto" w:fill="EAF0EE"/>
          </w:tcPr>
          <w:p>
            <w:pPr>
              <w:spacing w:after="20"/>
            </w:pPr>
            <w:r>
              <w:rPr>
                <w:b/>
                <w:color w:val="1C3A36"/>
                <w:sz w:val="16"/>
              </w:rPr>
              <w:t>FY30</w:t>
            </w:r>
          </w:p>
        </w:tc>
      </w:tr>
      <w:tr>
        <w:tc>
          <w:tcPr>
            <w:tcW w:type="dxa" w:w="3312"/>
          </w:tcPr>
          <w:p>
            <w:pPr>
              <w:spacing w:after="20"/>
            </w:pPr>
            <w:r>
              <w:rPr>
                <w:color w:val="1C3A36"/>
                <w:sz w:val="16"/>
              </w:rPr>
              <w:t>Connected capacity, year-end (k RT)</w:t>
            </w:r>
          </w:p>
        </w:tc>
        <w:tc>
          <w:tcPr>
            <w:tcW w:type="dxa" w:w="1128"/>
          </w:tcPr>
          <w:p>
            <w:pPr>
              <w:spacing w:after="20"/>
              <w:jc w:val="right"/>
            </w:pPr>
            <w:r>
              <w:rPr>
                <w:color w:val="1C3A36"/>
                <w:sz w:val="16"/>
              </w:rPr>
              <w:t>1,656</w:t>
            </w:r>
          </w:p>
        </w:tc>
        <w:tc>
          <w:tcPr>
            <w:tcW w:type="dxa" w:w="1128"/>
          </w:tcPr>
          <w:p>
            <w:pPr>
              <w:spacing w:after="20"/>
              <w:jc w:val="right"/>
            </w:pPr>
            <w:r>
              <w:rPr>
                <w:color w:val="1C3A36"/>
                <w:sz w:val="16"/>
              </w:rPr>
              <w:t>1,761</w:t>
            </w:r>
          </w:p>
        </w:tc>
        <w:tc>
          <w:tcPr>
            <w:tcW w:type="dxa" w:w="1128"/>
          </w:tcPr>
          <w:p>
            <w:pPr>
              <w:spacing w:after="20"/>
              <w:jc w:val="right"/>
            </w:pPr>
            <w:r>
              <w:rPr>
                <w:color w:val="1C3A36"/>
                <w:sz w:val="16"/>
              </w:rPr>
              <w:t>1,861</w:t>
            </w:r>
          </w:p>
        </w:tc>
        <w:tc>
          <w:tcPr>
            <w:tcW w:type="dxa" w:w="1128"/>
          </w:tcPr>
          <w:p>
            <w:pPr>
              <w:spacing w:after="20"/>
              <w:jc w:val="right"/>
            </w:pPr>
            <w:r>
              <w:rPr>
                <w:color w:val="1C3A36"/>
                <w:sz w:val="16"/>
              </w:rPr>
              <w:t>1,951</w:t>
            </w:r>
          </w:p>
        </w:tc>
        <w:tc>
          <w:tcPr>
            <w:tcW w:type="dxa" w:w="1128"/>
          </w:tcPr>
          <w:p>
            <w:pPr>
              <w:spacing w:after="20"/>
              <w:jc w:val="right"/>
            </w:pPr>
            <w:r>
              <w:rPr>
                <w:color w:val="1C3A36"/>
                <w:sz w:val="16"/>
              </w:rPr>
              <w:t>2,031</w:t>
            </w:r>
          </w:p>
        </w:tc>
        <w:tc>
          <w:tcPr>
            <w:tcW w:type="dxa" w:w="1129"/>
          </w:tcPr>
          <w:p>
            <w:pPr>
              <w:spacing w:after="20"/>
              <w:jc w:val="right"/>
            </w:pPr>
            <w:r>
              <w:rPr>
                <w:color w:val="1C3A36"/>
                <w:sz w:val="16"/>
              </w:rPr>
              <w:t>2,101</w:t>
            </w:r>
          </w:p>
        </w:tc>
      </w:tr>
      <w:tr>
        <w:tc>
          <w:tcPr>
            <w:tcW w:type="dxa" w:w="3312"/>
          </w:tcPr>
          <w:p>
            <w:pPr>
              <w:spacing w:after="20"/>
            </w:pPr>
            <w:r>
              <w:rPr>
                <w:color w:val="1C3A36"/>
                <w:sz w:val="16"/>
              </w:rPr>
              <w:t>New connections in the year (k RT)</w:t>
            </w:r>
          </w:p>
        </w:tc>
        <w:tc>
          <w:tcPr>
            <w:tcW w:type="dxa" w:w="1128"/>
          </w:tcPr>
          <w:p>
            <w:pPr>
              <w:spacing w:after="20"/>
              <w:jc w:val="right"/>
            </w:pPr>
            <w:r>
              <w:rPr>
                <w:color w:val="1C3A36"/>
                <w:sz w:val="16"/>
              </w:rPr>
              <w:t>—</w:t>
            </w:r>
          </w:p>
        </w:tc>
        <w:tc>
          <w:tcPr>
            <w:tcW w:type="dxa" w:w="1128"/>
          </w:tcPr>
          <w:p>
            <w:pPr>
              <w:spacing w:after="20"/>
              <w:jc w:val="right"/>
            </w:pPr>
            <w:r>
              <w:rPr>
                <w:color w:val="1C3A36"/>
                <w:sz w:val="16"/>
              </w:rPr>
              <w:t>105</w:t>
            </w:r>
          </w:p>
        </w:tc>
        <w:tc>
          <w:tcPr>
            <w:tcW w:type="dxa" w:w="1128"/>
          </w:tcPr>
          <w:p>
            <w:pPr>
              <w:spacing w:after="20"/>
              <w:jc w:val="right"/>
            </w:pPr>
            <w:r>
              <w:rPr>
                <w:color w:val="1C3A36"/>
                <w:sz w:val="16"/>
              </w:rPr>
              <w:t>100</w:t>
            </w:r>
          </w:p>
        </w:tc>
        <w:tc>
          <w:tcPr>
            <w:tcW w:type="dxa" w:w="1128"/>
          </w:tcPr>
          <w:p>
            <w:pPr>
              <w:spacing w:after="20"/>
              <w:jc w:val="right"/>
            </w:pPr>
            <w:r>
              <w:rPr>
                <w:color w:val="1C3A36"/>
                <w:sz w:val="16"/>
              </w:rPr>
              <w:t>90</w:t>
            </w:r>
          </w:p>
        </w:tc>
        <w:tc>
          <w:tcPr>
            <w:tcW w:type="dxa" w:w="1128"/>
          </w:tcPr>
          <w:p>
            <w:pPr>
              <w:spacing w:after="20"/>
              <w:jc w:val="right"/>
            </w:pPr>
            <w:r>
              <w:rPr>
                <w:color w:val="1C3A36"/>
                <w:sz w:val="16"/>
              </w:rPr>
              <w:t>80</w:t>
            </w:r>
          </w:p>
        </w:tc>
        <w:tc>
          <w:tcPr>
            <w:tcW w:type="dxa" w:w="1129"/>
          </w:tcPr>
          <w:p>
            <w:pPr>
              <w:spacing w:after="20"/>
              <w:jc w:val="right"/>
            </w:pPr>
            <w:r>
              <w:rPr>
                <w:color w:val="1C3A36"/>
                <w:sz w:val="16"/>
              </w:rPr>
              <w:t>70</w:t>
            </w:r>
          </w:p>
        </w:tc>
      </w:tr>
      <w:tr>
        <w:tc>
          <w:tcPr>
            <w:tcW w:type="dxa" w:w="3312"/>
          </w:tcPr>
          <w:p>
            <w:pPr>
              <w:spacing w:after="20"/>
            </w:pPr>
            <w:r>
              <w:rPr>
                <w:color w:val="1C3A36"/>
                <w:sz w:val="16"/>
              </w:rPr>
              <w:t>Average connected base (k RT)</w:t>
            </w:r>
          </w:p>
        </w:tc>
        <w:tc>
          <w:tcPr>
            <w:tcW w:type="dxa" w:w="1128"/>
          </w:tcPr>
          <w:p>
            <w:pPr>
              <w:spacing w:after="20"/>
              <w:jc w:val="right"/>
            </w:pPr>
            <w:r>
              <w:rPr>
                <w:color w:val="1C3A36"/>
                <w:sz w:val="16"/>
              </w:rPr>
              <w:t>—</w:t>
            </w:r>
          </w:p>
        </w:tc>
        <w:tc>
          <w:tcPr>
            <w:tcW w:type="dxa" w:w="1128"/>
          </w:tcPr>
          <w:p>
            <w:pPr>
              <w:spacing w:after="20"/>
              <w:jc w:val="right"/>
            </w:pPr>
            <w:r>
              <w:rPr>
                <w:color w:val="1C3A36"/>
                <w:sz w:val="16"/>
              </w:rPr>
              <w:t>1,708</w:t>
            </w:r>
          </w:p>
        </w:tc>
        <w:tc>
          <w:tcPr>
            <w:tcW w:type="dxa" w:w="1128"/>
          </w:tcPr>
          <w:p>
            <w:pPr>
              <w:spacing w:after="20"/>
              <w:jc w:val="right"/>
            </w:pPr>
            <w:r>
              <w:rPr>
                <w:color w:val="1C3A36"/>
                <w:sz w:val="16"/>
              </w:rPr>
              <w:t>1,811</w:t>
            </w:r>
          </w:p>
        </w:tc>
        <w:tc>
          <w:tcPr>
            <w:tcW w:type="dxa" w:w="1128"/>
          </w:tcPr>
          <w:p>
            <w:pPr>
              <w:spacing w:after="20"/>
              <w:jc w:val="right"/>
            </w:pPr>
            <w:r>
              <w:rPr>
                <w:color w:val="1C3A36"/>
                <w:sz w:val="16"/>
              </w:rPr>
              <w:t>1,906</w:t>
            </w:r>
          </w:p>
        </w:tc>
        <w:tc>
          <w:tcPr>
            <w:tcW w:type="dxa" w:w="1128"/>
          </w:tcPr>
          <w:p>
            <w:pPr>
              <w:spacing w:after="20"/>
              <w:jc w:val="right"/>
            </w:pPr>
            <w:r>
              <w:rPr>
                <w:color w:val="1C3A36"/>
                <w:sz w:val="16"/>
              </w:rPr>
              <w:t>1,991</w:t>
            </w:r>
          </w:p>
        </w:tc>
        <w:tc>
          <w:tcPr>
            <w:tcW w:type="dxa" w:w="1129"/>
          </w:tcPr>
          <w:p>
            <w:pPr>
              <w:spacing w:after="20"/>
              <w:jc w:val="right"/>
            </w:pPr>
            <w:r>
              <w:rPr>
                <w:color w:val="1C3A36"/>
                <w:sz w:val="16"/>
              </w:rPr>
              <w:t>2,066</w:t>
            </w:r>
          </w:p>
        </w:tc>
      </w:tr>
      <w:tr>
        <w:tc>
          <w:tcPr>
            <w:tcW w:type="dxa" w:w="3312"/>
          </w:tcPr>
          <w:p>
            <w:pPr>
              <w:spacing w:after="20"/>
            </w:pPr>
            <w:r>
              <w:rPr>
                <w:color w:val="1C3A36"/>
                <w:sz w:val="16"/>
              </w:rPr>
              <w:t>Consumption revenue per average RT (AED/yr)</w:t>
            </w:r>
          </w:p>
        </w:tc>
        <w:tc>
          <w:tcPr>
            <w:tcW w:type="dxa" w:w="1128"/>
          </w:tcPr>
          <w:p>
            <w:pPr>
              <w:spacing w:after="20"/>
              <w:jc w:val="right"/>
            </w:pPr>
            <w:r>
              <w:rPr>
                <w:color w:val="1C3A36"/>
                <w:sz w:val="16"/>
              </w:rPr>
              <w:t>1,194</w:t>
            </w:r>
          </w:p>
        </w:tc>
        <w:tc>
          <w:tcPr>
            <w:tcW w:type="dxa" w:w="1128"/>
          </w:tcPr>
          <w:p>
            <w:pPr>
              <w:spacing w:after="20"/>
              <w:jc w:val="right"/>
            </w:pPr>
            <w:r>
              <w:rPr>
                <w:color w:val="1C3A36"/>
                <w:sz w:val="16"/>
              </w:rPr>
              <w:t>1,123</w:t>
            </w:r>
          </w:p>
        </w:tc>
        <w:tc>
          <w:tcPr>
            <w:tcW w:type="dxa" w:w="1128"/>
          </w:tcPr>
          <w:p>
            <w:pPr>
              <w:spacing w:after="20"/>
              <w:jc w:val="right"/>
            </w:pPr>
            <w:r>
              <w:rPr>
                <w:color w:val="1C3A36"/>
                <w:sz w:val="16"/>
              </w:rPr>
              <w:t>1,194</w:t>
            </w:r>
          </w:p>
        </w:tc>
        <w:tc>
          <w:tcPr>
            <w:tcW w:type="dxa" w:w="1128"/>
          </w:tcPr>
          <w:p>
            <w:pPr>
              <w:spacing w:after="20"/>
              <w:jc w:val="right"/>
            </w:pPr>
            <w:r>
              <w:rPr>
                <w:color w:val="1C3A36"/>
                <w:sz w:val="16"/>
              </w:rPr>
              <w:t>1,194</w:t>
            </w:r>
          </w:p>
        </w:tc>
        <w:tc>
          <w:tcPr>
            <w:tcW w:type="dxa" w:w="1128"/>
          </w:tcPr>
          <w:p>
            <w:pPr>
              <w:spacing w:after="20"/>
              <w:jc w:val="right"/>
            </w:pPr>
            <w:r>
              <w:rPr>
                <w:color w:val="1C3A36"/>
                <w:sz w:val="16"/>
              </w:rPr>
              <w:t>1,194</w:t>
            </w:r>
          </w:p>
        </w:tc>
        <w:tc>
          <w:tcPr>
            <w:tcW w:type="dxa" w:w="1129"/>
          </w:tcPr>
          <w:p>
            <w:pPr>
              <w:spacing w:after="20"/>
              <w:jc w:val="right"/>
            </w:pPr>
            <w:r>
              <w:rPr>
                <w:color w:val="1C3A36"/>
                <w:sz w:val="16"/>
              </w:rPr>
              <w:t>1,194</w:t>
            </w:r>
          </w:p>
        </w:tc>
      </w:tr>
      <w:tr>
        <w:tc>
          <w:tcPr>
            <w:tcW w:type="dxa" w:w="3312"/>
          </w:tcPr>
          <w:p>
            <w:pPr>
              <w:spacing w:after="20"/>
            </w:pPr>
            <w:r>
              <w:rPr>
                <w:color w:val="1C3A36"/>
                <w:sz w:val="16"/>
              </w:rPr>
              <w:t>Capacity and other revenue per average RT (AED/yr)</w:t>
            </w:r>
          </w:p>
        </w:tc>
        <w:tc>
          <w:tcPr>
            <w:tcW w:type="dxa" w:w="1128"/>
          </w:tcPr>
          <w:p>
            <w:pPr>
              <w:spacing w:after="20"/>
              <w:jc w:val="right"/>
            </w:pPr>
            <w:r>
              <w:rPr>
                <w:color w:val="1C3A36"/>
                <w:sz w:val="16"/>
              </w:rPr>
              <w:t>918</w:t>
            </w:r>
          </w:p>
        </w:tc>
        <w:tc>
          <w:tcPr>
            <w:tcW w:type="dxa" w:w="1128"/>
          </w:tcPr>
          <w:p>
            <w:pPr>
              <w:spacing w:after="20"/>
              <w:jc w:val="right"/>
            </w:pPr>
            <w:r>
              <w:rPr>
                <w:color w:val="1C3A36"/>
                <w:sz w:val="16"/>
              </w:rPr>
              <w:t>918</w:t>
            </w:r>
          </w:p>
        </w:tc>
        <w:tc>
          <w:tcPr>
            <w:tcW w:type="dxa" w:w="1128"/>
          </w:tcPr>
          <w:p>
            <w:pPr>
              <w:spacing w:after="20"/>
              <w:jc w:val="right"/>
            </w:pPr>
            <w:r>
              <w:rPr>
                <w:color w:val="1C3A36"/>
                <w:sz w:val="16"/>
              </w:rPr>
              <w:t>918</w:t>
            </w:r>
          </w:p>
        </w:tc>
        <w:tc>
          <w:tcPr>
            <w:tcW w:type="dxa" w:w="1128"/>
          </w:tcPr>
          <w:p>
            <w:pPr>
              <w:spacing w:after="20"/>
              <w:jc w:val="right"/>
            </w:pPr>
            <w:r>
              <w:rPr>
                <w:color w:val="1C3A36"/>
                <w:sz w:val="16"/>
              </w:rPr>
              <w:t>918</w:t>
            </w:r>
          </w:p>
        </w:tc>
        <w:tc>
          <w:tcPr>
            <w:tcW w:type="dxa" w:w="1128"/>
          </w:tcPr>
          <w:p>
            <w:pPr>
              <w:spacing w:after="20"/>
              <w:jc w:val="right"/>
            </w:pPr>
            <w:r>
              <w:rPr>
                <w:color w:val="1C3A36"/>
                <w:sz w:val="16"/>
              </w:rPr>
              <w:t>918</w:t>
            </w:r>
          </w:p>
        </w:tc>
        <w:tc>
          <w:tcPr>
            <w:tcW w:type="dxa" w:w="1129"/>
          </w:tcPr>
          <w:p>
            <w:pPr>
              <w:spacing w:after="20"/>
              <w:jc w:val="right"/>
            </w:pPr>
            <w:r>
              <w:rPr>
                <w:color w:val="1C3A36"/>
                <w:sz w:val="16"/>
              </w:rPr>
              <w:t>918</w:t>
            </w:r>
          </w:p>
        </w:tc>
      </w:tr>
    </w:tbl>
    <w:p>
      <w:pPr>
        <w:spacing w:after="40"/>
      </w:pPr>
    </w:p>
    <w:p>
      <w:pPr>
        <w:spacing w:after="200" w:before="0"/>
      </w:pPr>
      <w:r>
        <w:rPr>
          <w:b w:val="0"/>
          <w:i/>
          <w:color w:val="6E7B77"/>
          <w:sz w:val="17"/>
        </w:rPr>
        <w:t>The capacity rate per ton is IMPLIED, not published — no per-ton tariff schedule is disclosed anywhere in the filings — so it is solved from disclosed total revenue, the disclosed consumption figure in the auditor's key-audit-matter section, and the pipes line, then held flat at the regulated tariff. The consumption rate carries the 6% 2026 shock and recovers to the 2025 level through 2027 in the base case — the crux, section 1.7.</w:t>
      </w:r>
    </w:p>
    <w:p>
      <w:pPr>
        <w:spacing w:after="120" w:before="0"/>
      </w:pPr>
      <w:r>
        <w:rPr>
          <w:b w:val="0"/>
          <w:i w:val="0"/>
          <w:color w:val="1C3A36"/>
          <w:sz w:val="21"/>
        </w:rPr>
        <w:t>The cost stack is escalated one class at a time, never on a single blended index. Electricity and water purchased from DEWA — AED 1,468mn in 2025, 76.3% of consumption revenue and 43% of total revenue — moves with its own physical driver, the consumption leg itself (DEWA's slab tariff is flat; its fuel surcharge floats monthly). Staff and other cash operating costs (AED 398mn in 2025 across cost of sales and administration) escalate on a UAE wage path of 2.5% a year. Interest income on the airport concession receivable amortises slowly down. The build reproduces audited 2025 EBITDA of AED 1,642mn exactly before any forecast year is struck.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What the build produces</w:t>
            </w:r>
          </w:p>
        </w:tc>
        <w:tc>
          <w:tcPr>
            <w:tcW w:type="dxa" w:w="1426"/>
            <w:shd w:val="clear" w:color="auto" w:fill="EAF0EE"/>
          </w:tcPr>
          <w:p>
            <w:pPr>
              <w:spacing w:after="20"/>
            </w:pPr>
            <w:r>
              <w:rPr>
                <w:b/>
                <w:color w:val="1C3A36"/>
                <w:sz w:val="16"/>
              </w:rPr>
              <w:t>FY26</w:t>
            </w:r>
          </w:p>
        </w:tc>
        <w:tc>
          <w:tcPr>
            <w:tcW w:type="dxa" w:w="1426"/>
            <w:shd w:val="clear" w:color="auto" w:fill="EAF0EE"/>
          </w:tcPr>
          <w:p>
            <w:pPr>
              <w:spacing w:after="20"/>
            </w:pPr>
            <w:r>
              <w:rPr>
                <w:b/>
                <w:color w:val="1C3A36"/>
                <w:sz w:val="16"/>
              </w:rPr>
              <w:t>FY27</w:t>
            </w:r>
          </w:p>
        </w:tc>
        <w:tc>
          <w:tcPr>
            <w:tcW w:type="dxa" w:w="1426"/>
            <w:shd w:val="clear" w:color="auto" w:fill="EAF0EE"/>
          </w:tcPr>
          <w:p>
            <w:pPr>
              <w:spacing w:after="20"/>
            </w:pPr>
            <w:r>
              <w:rPr>
                <w:b/>
                <w:color w:val="1C3A36"/>
                <w:sz w:val="16"/>
              </w:rPr>
              <w:t>FY28</w:t>
            </w:r>
          </w:p>
        </w:tc>
        <w:tc>
          <w:tcPr>
            <w:tcW w:type="dxa" w:w="1426"/>
            <w:shd w:val="clear" w:color="auto" w:fill="EAF0EE"/>
          </w:tcPr>
          <w:p>
            <w:pPr>
              <w:spacing w:after="20"/>
            </w:pPr>
            <w:r>
              <w:rPr>
                <w:b/>
                <w:color w:val="1C3A36"/>
                <w:sz w:val="16"/>
              </w:rPr>
              <w:t>FY29</w:t>
            </w:r>
          </w:p>
        </w:tc>
        <w:tc>
          <w:tcPr>
            <w:tcW w:type="dxa" w:w="1426"/>
            <w:shd w:val="clear" w:color="auto" w:fill="EAF0EE"/>
          </w:tcPr>
          <w:p>
            <w:pPr>
              <w:spacing w:after="20"/>
            </w:pPr>
            <w:r>
              <w:rPr>
                <w:b/>
                <w:color w:val="1C3A36"/>
                <w:sz w:val="16"/>
              </w:rPr>
              <w:t>FY30</w:t>
            </w:r>
          </w:p>
        </w:tc>
      </w:tr>
      <w:tr>
        <w:tc>
          <w:tcPr>
            <w:tcW w:type="dxa" w:w="2952"/>
          </w:tcPr>
          <w:p>
            <w:pPr>
              <w:spacing w:after="20"/>
            </w:pPr>
            <w:r>
              <w:rPr>
                <w:color w:val="1C3A36"/>
                <w:sz w:val="16"/>
              </w:rPr>
              <w:t>Revenue (AED mn)</w:t>
            </w:r>
          </w:p>
        </w:tc>
        <w:tc>
          <w:tcPr>
            <w:tcW w:type="dxa" w:w="1426"/>
          </w:tcPr>
          <w:p>
            <w:pPr>
              <w:spacing w:after="20"/>
              <w:jc w:val="right"/>
            </w:pPr>
            <w:r>
              <w:rPr>
                <w:color w:val="1C3A36"/>
                <w:sz w:val="16"/>
              </w:rPr>
              <w:t>3,503</w:t>
            </w:r>
          </w:p>
        </w:tc>
        <w:tc>
          <w:tcPr>
            <w:tcW w:type="dxa" w:w="1426"/>
          </w:tcPr>
          <w:p>
            <w:pPr>
              <w:spacing w:after="20"/>
              <w:jc w:val="right"/>
            </w:pPr>
            <w:r>
              <w:rPr>
                <w:color w:val="1C3A36"/>
                <w:sz w:val="16"/>
              </w:rPr>
              <w:t>3,842</w:t>
            </w:r>
          </w:p>
        </w:tc>
        <w:tc>
          <w:tcPr>
            <w:tcW w:type="dxa" w:w="1426"/>
          </w:tcPr>
          <w:p>
            <w:pPr>
              <w:spacing w:after="20"/>
              <w:jc w:val="right"/>
            </w:pPr>
            <w:r>
              <w:rPr>
                <w:color w:val="1C3A36"/>
                <w:sz w:val="16"/>
              </w:rPr>
              <w:t>4,042</w:t>
            </w:r>
          </w:p>
        </w:tc>
        <w:tc>
          <w:tcPr>
            <w:tcW w:type="dxa" w:w="1426"/>
          </w:tcPr>
          <w:p>
            <w:pPr>
              <w:spacing w:after="20"/>
              <w:jc w:val="right"/>
            </w:pPr>
            <w:r>
              <w:rPr>
                <w:color w:val="1C3A36"/>
                <w:sz w:val="16"/>
              </w:rPr>
              <w:t>4,222</w:t>
            </w:r>
          </w:p>
        </w:tc>
        <w:tc>
          <w:tcPr>
            <w:tcW w:type="dxa" w:w="1426"/>
          </w:tcPr>
          <w:p>
            <w:pPr>
              <w:spacing w:after="20"/>
              <w:jc w:val="right"/>
            </w:pPr>
            <w:r>
              <w:rPr>
                <w:color w:val="1C3A36"/>
                <w:sz w:val="16"/>
              </w:rPr>
              <w:t>4,380</w:t>
            </w:r>
          </w:p>
        </w:tc>
      </w:tr>
      <w:tr>
        <w:tc>
          <w:tcPr>
            <w:tcW w:type="dxa" w:w="2952"/>
          </w:tcPr>
          <w:p>
            <w:pPr>
              <w:spacing w:after="20"/>
            </w:pPr>
            <w:r>
              <w:rPr>
                <w:color w:val="1C3A36"/>
                <w:sz w:val="16"/>
              </w:rPr>
              <w:t>EBITDA (AED mn)</w:t>
            </w:r>
          </w:p>
        </w:tc>
        <w:tc>
          <w:tcPr>
            <w:tcW w:type="dxa" w:w="1426"/>
          </w:tcPr>
          <w:p>
            <w:pPr>
              <w:spacing w:after="20"/>
              <w:jc w:val="right"/>
            </w:pPr>
            <w:r>
              <w:rPr>
                <w:color w:val="1C3A36"/>
                <w:sz w:val="16"/>
              </w:rPr>
              <w:t>1,702</w:t>
            </w:r>
          </w:p>
        </w:tc>
        <w:tc>
          <w:tcPr>
            <w:tcW w:type="dxa" w:w="1426"/>
          </w:tcPr>
          <w:p>
            <w:pPr>
              <w:spacing w:after="20"/>
              <w:jc w:val="right"/>
            </w:pPr>
            <w:r>
              <w:rPr>
                <w:color w:val="1C3A36"/>
                <w:sz w:val="16"/>
              </w:rPr>
              <w:t>1,843</w:t>
            </w:r>
          </w:p>
        </w:tc>
        <w:tc>
          <w:tcPr>
            <w:tcW w:type="dxa" w:w="1426"/>
          </w:tcPr>
          <w:p>
            <w:pPr>
              <w:spacing w:after="20"/>
              <w:jc w:val="right"/>
            </w:pPr>
            <w:r>
              <w:rPr>
                <w:color w:val="1C3A36"/>
                <w:sz w:val="16"/>
              </w:rPr>
              <w:t>1,945</w:t>
            </w:r>
          </w:p>
        </w:tc>
        <w:tc>
          <w:tcPr>
            <w:tcW w:type="dxa" w:w="1426"/>
          </w:tcPr>
          <w:p>
            <w:pPr>
              <w:spacing w:after="20"/>
              <w:jc w:val="right"/>
            </w:pPr>
            <w:r>
              <w:rPr>
                <w:color w:val="1C3A36"/>
                <w:sz w:val="16"/>
              </w:rPr>
              <w:t>2,034</w:t>
            </w:r>
          </w:p>
        </w:tc>
        <w:tc>
          <w:tcPr>
            <w:tcW w:type="dxa" w:w="1426"/>
          </w:tcPr>
          <w:p>
            <w:pPr>
              <w:spacing w:after="20"/>
              <w:jc w:val="right"/>
            </w:pPr>
            <w:r>
              <w:rPr>
                <w:color w:val="1C3A36"/>
                <w:sz w:val="16"/>
              </w:rPr>
              <w:t>2,112</w:t>
            </w:r>
          </w:p>
        </w:tc>
      </w:tr>
      <w:tr>
        <w:tc>
          <w:tcPr>
            <w:tcW w:type="dxa" w:w="2952"/>
            <w:shd w:val="clear" w:color="auto" w:fill="F6F1E6"/>
          </w:tcPr>
          <w:p>
            <w:pPr>
              <w:spacing w:after="20"/>
            </w:pPr>
            <w:r>
              <w:rPr>
                <w:b/>
                <w:color w:val="1C3A36"/>
                <w:sz w:val="16"/>
              </w:rPr>
              <w:t>EBITDA margin — an OUTPUT</w:t>
            </w:r>
          </w:p>
        </w:tc>
        <w:tc>
          <w:tcPr>
            <w:tcW w:type="dxa" w:w="1426"/>
            <w:shd w:val="clear" w:color="auto" w:fill="F6F1E6"/>
          </w:tcPr>
          <w:p>
            <w:pPr>
              <w:spacing w:after="20"/>
              <w:jc w:val="right"/>
            </w:pPr>
            <w:r>
              <w:rPr>
                <w:b/>
                <w:color w:val="1C3A36"/>
                <w:sz w:val="16"/>
              </w:rPr>
              <w:t>48.6%</w:t>
            </w:r>
          </w:p>
        </w:tc>
        <w:tc>
          <w:tcPr>
            <w:tcW w:type="dxa" w:w="1426"/>
            <w:shd w:val="clear" w:color="auto" w:fill="F6F1E6"/>
          </w:tcPr>
          <w:p>
            <w:pPr>
              <w:spacing w:after="20"/>
              <w:jc w:val="right"/>
            </w:pPr>
            <w:r>
              <w:rPr>
                <w:b/>
                <w:color w:val="1C3A36"/>
                <w:sz w:val="16"/>
              </w:rPr>
              <w:t>48.0%</w:t>
            </w:r>
          </w:p>
        </w:tc>
        <w:tc>
          <w:tcPr>
            <w:tcW w:type="dxa" w:w="1426"/>
            <w:shd w:val="clear" w:color="auto" w:fill="F6F1E6"/>
          </w:tcPr>
          <w:p>
            <w:pPr>
              <w:spacing w:after="20"/>
              <w:jc w:val="right"/>
            </w:pPr>
            <w:r>
              <w:rPr>
                <w:b/>
                <w:color w:val="1C3A36"/>
                <w:sz w:val="16"/>
              </w:rPr>
              <w:t>48.1%</w:t>
            </w:r>
          </w:p>
        </w:tc>
        <w:tc>
          <w:tcPr>
            <w:tcW w:type="dxa" w:w="1426"/>
            <w:shd w:val="clear" w:color="auto" w:fill="F6F1E6"/>
          </w:tcPr>
          <w:p>
            <w:pPr>
              <w:spacing w:after="20"/>
              <w:jc w:val="right"/>
            </w:pPr>
            <w:r>
              <w:rPr>
                <w:b/>
                <w:color w:val="1C3A36"/>
                <w:sz w:val="16"/>
              </w:rPr>
              <w:t>48.2%</w:t>
            </w:r>
          </w:p>
        </w:tc>
        <w:tc>
          <w:tcPr>
            <w:tcW w:type="dxa" w:w="1426"/>
            <w:shd w:val="clear" w:color="auto" w:fill="F6F1E6"/>
          </w:tcPr>
          <w:p>
            <w:pPr>
              <w:spacing w:after="20"/>
              <w:jc w:val="right"/>
            </w:pPr>
            <w:r>
              <w:rPr>
                <w:b/>
                <w:color w:val="1C3A36"/>
                <w:sz w:val="16"/>
              </w:rPr>
              <w:t>48.2%</w:t>
            </w:r>
          </w:p>
        </w:tc>
      </w:tr>
      <w:tr>
        <w:tc>
          <w:tcPr>
            <w:tcW w:type="dxa" w:w="2952"/>
          </w:tcPr>
          <w:p>
            <w:pPr>
              <w:spacing w:after="20"/>
            </w:pPr>
            <w:r>
              <w:rPr>
                <w:color w:val="1C3A36"/>
                <w:sz w:val="16"/>
              </w:rPr>
              <w:t>Capital expenditure (AED mn)</w:t>
            </w:r>
          </w:p>
        </w:tc>
        <w:tc>
          <w:tcPr>
            <w:tcW w:type="dxa" w:w="1426"/>
          </w:tcPr>
          <w:p>
            <w:pPr>
              <w:spacing w:after="20"/>
              <w:jc w:val="right"/>
            </w:pPr>
            <w:r>
              <w:rPr>
                <w:color w:val="1C3A36"/>
                <w:sz w:val="16"/>
              </w:rPr>
              <w:t>571</w:t>
            </w:r>
          </w:p>
        </w:tc>
        <w:tc>
          <w:tcPr>
            <w:tcW w:type="dxa" w:w="1426"/>
          </w:tcPr>
          <w:p>
            <w:pPr>
              <w:spacing w:after="20"/>
              <w:jc w:val="right"/>
            </w:pPr>
            <w:r>
              <w:rPr>
                <w:color w:val="1C3A36"/>
                <w:sz w:val="16"/>
              </w:rPr>
              <w:t>548</w:t>
            </w:r>
          </w:p>
        </w:tc>
        <w:tc>
          <w:tcPr>
            <w:tcW w:type="dxa" w:w="1426"/>
          </w:tcPr>
          <w:p>
            <w:pPr>
              <w:spacing w:after="20"/>
              <w:jc w:val="right"/>
            </w:pPr>
            <w:r>
              <w:rPr>
                <w:color w:val="1C3A36"/>
                <w:sz w:val="16"/>
              </w:rPr>
              <w:t>501</w:t>
            </w:r>
          </w:p>
        </w:tc>
        <w:tc>
          <w:tcPr>
            <w:tcW w:type="dxa" w:w="1426"/>
          </w:tcPr>
          <w:p>
            <w:pPr>
              <w:spacing w:after="20"/>
              <w:jc w:val="right"/>
            </w:pPr>
            <w:r>
              <w:rPr>
                <w:color w:val="1C3A36"/>
                <w:sz w:val="16"/>
              </w:rPr>
              <w:t>453</w:t>
            </w:r>
          </w:p>
        </w:tc>
        <w:tc>
          <w:tcPr>
            <w:tcW w:type="dxa" w:w="1426"/>
          </w:tcPr>
          <w:p>
            <w:pPr>
              <w:spacing w:after="20"/>
              <w:jc w:val="right"/>
            </w:pPr>
            <w:r>
              <w:rPr>
                <w:color w:val="1C3A36"/>
                <w:sz w:val="16"/>
              </w:rPr>
              <w:t>404</w:t>
            </w:r>
          </w:p>
        </w:tc>
      </w:tr>
      <w:tr>
        <w:tc>
          <w:tcPr>
            <w:tcW w:type="dxa" w:w="2952"/>
          </w:tcPr>
          <w:p>
            <w:pPr>
              <w:spacing w:after="20"/>
            </w:pPr>
            <w:r>
              <w:rPr>
                <w:color w:val="1C3A36"/>
                <w:sz w:val="16"/>
              </w:rPr>
              <w:t>Working capital released (AED mn)</w:t>
            </w:r>
          </w:p>
        </w:tc>
        <w:tc>
          <w:tcPr>
            <w:tcW w:type="dxa" w:w="1426"/>
          </w:tcPr>
          <w:p>
            <w:pPr>
              <w:spacing w:after="20"/>
              <w:jc w:val="right"/>
            </w:pPr>
            <w:r>
              <w:rPr>
                <w:color w:val="1C3A36"/>
                <w:sz w:val="16"/>
              </w:rPr>
              <w:t>43</w:t>
            </w:r>
          </w:p>
        </w:tc>
        <w:tc>
          <w:tcPr>
            <w:tcW w:type="dxa" w:w="1426"/>
          </w:tcPr>
          <w:p>
            <w:pPr>
              <w:spacing w:after="20"/>
              <w:jc w:val="right"/>
            </w:pPr>
            <w:r>
              <w:rPr>
                <w:color w:val="1C3A36"/>
                <w:sz w:val="16"/>
              </w:rPr>
              <w:t>174</w:t>
            </w:r>
          </w:p>
        </w:tc>
        <w:tc>
          <w:tcPr>
            <w:tcW w:type="dxa" w:w="1426"/>
          </w:tcPr>
          <w:p>
            <w:pPr>
              <w:spacing w:after="20"/>
              <w:jc w:val="right"/>
            </w:pPr>
            <w:r>
              <w:rPr>
                <w:color w:val="1C3A36"/>
                <w:sz w:val="16"/>
              </w:rPr>
              <w:t>103</w:t>
            </w:r>
          </w:p>
        </w:tc>
        <w:tc>
          <w:tcPr>
            <w:tcW w:type="dxa" w:w="1426"/>
          </w:tcPr>
          <w:p>
            <w:pPr>
              <w:spacing w:after="20"/>
              <w:jc w:val="right"/>
            </w:pPr>
            <w:r>
              <w:rPr>
                <w:color w:val="1C3A36"/>
                <w:sz w:val="16"/>
              </w:rPr>
              <w:t>92</w:t>
            </w:r>
          </w:p>
        </w:tc>
        <w:tc>
          <w:tcPr>
            <w:tcW w:type="dxa" w:w="1426"/>
          </w:tcPr>
          <w:p>
            <w:pPr>
              <w:spacing w:after="20"/>
              <w:jc w:val="right"/>
            </w:pPr>
            <w:r>
              <w:rPr>
                <w:color w:val="1C3A36"/>
                <w:sz w:val="16"/>
              </w:rPr>
              <w:t>81</w:t>
            </w:r>
          </w:p>
        </w:tc>
      </w:tr>
    </w:tbl>
    <w:p>
      <w:pPr>
        <w:spacing w:after="40"/>
      </w:pPr>
    </w:p>
    <w:p>
      <w:pPr>
        <w:spacing w:after="200" w:before="0"/>
      </w:pPr>
      <w:r>
        <w:rPr>
          <w:b w:val="0"/>
          <w:i/>
          <w:color w:val="6E7B77"/>
          <w:sz w:val="17"/>
        </w:rPr>
        <w:t>The margin path is not assumed: it emerges from the two-leg mix. It dips in the shock year, then recovers toward the audited range (47.6–50.5%) as consumption normalises and the connected base grows into the cost stack.</w:t>
      </w:r>
    </w:p>
    <w:p>
      <w:pPr>
        <w:spacing w:after="80" w:before="200"/>
      </w:pPr>
      <w:r>
        <w:rPr>
          <w:b/>
          <w:i w:val="0"/>
          <w:color w:val="1C3A36"/>
          <w:sz w:val="24"/>
        </w:rPr>
        <w:t>1.7  The crux — does consumption per connected ton recover?</w:t>
      </w:r>
    </w:p>
    <w:p>
      <w:pPr>
        <w:spacing w:after="120" w:before="0"/>
      </w:pPr>
      <w:r>
        <w:rPr>
          <w:b w:val="0"/>
          <w:i w:val="0"/>
          <w:color w:val="1C3A36"/>
          <w:sz w:val="21"/>
        </w:rPr>
        <w:t>Usage per connected ton fell 6% in 2026 on the model's full-year reading of the disclosed half-year figures (equivalent full-load hours were -9% in the half itself). The base case lets it recover to the 2025 level through 2027, on the view that the loss is hospitality-linked and the truce holds. The alternative is computed as a FULL model, not a sensitivity: usage never recovers. The grid below prices every stop between.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1872"/>
        <w:gridCol w:w="2232"/>
        <w:gridCol w:w="1296"/>
      </w:tblGrid>
      <w:tr>
        <w:tc>
          <w:tcPr>
            <w:tcW w:type="dxa" w:w="4104"/>
            <w:shd w:val="clear" w:color="auto" w:fill="EAF0EE"/>
          </w:tcPr>
          <w:p>
            <w:pPr>
              <w:spacing w:after="20"/>
            </w:pPr>
            <w:r>
              <w:rPr>
                <w:b/>
                <w:color w:val="1C3A36"/>
                <w:sz w:val="17"/>
              </w:rPr>
              <w:t>Consumption per connected ton, from 2027</w:t>
            </w:r>
          </w:p>
        </w:tc>
        <w:tc>
          <w:tcPr>
            <w:tcW w:type="dxa" w:w="1872"/>
            <w:shd w:val="clear" w:color="auto" w:fill="EAF0EE"/>
          </w:tcPr>
          <w:p>
            <w:pPr>
              <w:spacing w:after="20"/>
            </w:pPr>
            <w:r>
              <w:rPr>
                <w:b/>
                <w:color w:val="1C3A36"/>
                <w:sz w:val="17"/>
              </w:rPr>
              <w:t>Implied AED per RT</w:t>
            </w:r>
          </w:p>
        </w:tc>
        <w:tc>
          <w:tcPr>
            <w:tcW w:type="dxa" w:w="2232"/>
            <w:shd w:val="clear" w:color="auto" w:fill="EAF0EE"/>
          </w:tcPr>
          <w:p>
            <w:pPr>
              <w:spacing w:after="20"/>
            </w:pPr>
            <w:r>
              <w:rPr>
                <w:b/>
                <w:color w:val="1C3A36"/>
                <w:sz w:val="17"/>
              </w:rPr>
              <w:t>Fair value at 9%</w:t>
            </w:r>
          </w:p>
        </w:tc>
        <w:tc>
          <w:tcPr>
            <w:tcW w:type="dxa" w:w="1296"/>
            <w:shd w:val="clear" w:color="auto" w:fill="EAF0EE"/>
          </w:tcPr>
          <w:p>
            <w:pPr>
              <w:spacing w:after="20"/>
            </w:pPr>
            <w:r>
              <w:rPr>
                <w:b/>
                <w:color w:val="1C3A36"/>
                <w:sz w:val="17"/>
              </w:rPr>
              <w:t>vs base</w:t>
            </w:r>
          </w:p>
        </w:tc>
      </w:tr>
      <w:tr>
        <w:tc>
          <w:tcPr>
            <w:tcW w:type="dxa" w:w="4104"/>
          </w:tcPr>
          <w:p>
            <w:pPr>
              <w:spacing w:after="20"/>
            </w:pPr>
            <w:r>
              <w:rPr>
                <w:color w:val="1C3A36"/>
                <w:sz w:val="17"/>
              </w:rPr>
              <w:t>90% of the 2025 level</w:t>
            </w:r>
          </w:p>
        </w:tc>
        <w:tc>
          <w:tcPr>
            <w:tcW w:type="dxa" w:w="1872"/>
          </w:tcPr>
          <w:p>
            <w:pPr>
              <w:spacing w:after="20"/>
              <w:jc w:val="right"/>
            </w:pPr>
            <w:r>
              <w:rPr>
                <w:color w:val="1C3A36"/>
                <w:sz w:val="17"/>
              </w:rPr>
              <w:t>1,075</w:t>
            </w:r>
          </w:p>
        </w:tc>
        <w:tc>
          <w:tcPr>
            <w:tcW w:type="dxa" w:w="2232"/>
          </w:tcPr>
          <w:p>
            <w:pPr>
              <w:spacing w:after="20"/>
              <w:jc w:val="right"/>
            </w:pPr>
            <w:r>
              <w:rPr>
                <w:color w:val="1C3A36"/>
                <w:sz w:val="17"/>
              </w:rPr>
              <w:t>2.546</w:t>
            </w:r>
          </w:p>
        </w:tc>
        <w:tc>
          <w:tcPr>
            <w:tcW w:type="dxa" w:w="1296"/>
          </w:tcPr>
          <w:p>
            <w:pPr>
              <w:spacing w:after="20"/>
              <w:jc w:val="right"/>
            </w:pPr>
            <w:r>
              <w:rPr>
                <w:color w:val="1C3A36"/>
                <w:sz w:val="17"/>
              </w:rPr>
              <w:t>-4.4%</w:t>
            </w:r>
          </w:p>
        </w:tc>
      </w:tr>
      <w:tr>
        <w:tc>
          <w:tcPr>
            <w:tcW w:type="dxa" w:w="4104"/>
          </w:tcPr>
          <w:p>
            <w:pPr>
              <w:spacing w:after="20"/>
            </w:pPr>
            <w:r>
              <w:rPr>
                <w:color w:val="1C3A36"/>
                <w:sz w:val="17"/>
              </w:rPr>
              <w:t>94% of the 2025 level  — the never-recovers case</w:t>
            </w:r>
          </w:p>
        </w:tc>
        <w:tc>
          <w:tcPr>
            <w:tcW w:type="dxa" w:w="1872"/>
          </w:tcPr>
          <w:p>
            <w:pPr>
              <w:spacing w:after="20"/>
              <w:jc w:val="right"/>
            </w:pPr>
            <w:r>
              <w:rPr>
                <w:color w:val="1C3A36"/>
                <w:sz w:val="17"/>
              </w:rPr>
              <w:t>1,123</w:t>
            </w:r>
          </w:p>
        </w:tc>
        <w:tc>
          <w:tcPr>
            <w:tcW w:type="dxa" w:w="2232"/>
          </w:tcPr>
          <w:p>
            <w:pPr>
              <w:spacing w:after="20"/>
              <w:jc w:val="right"/>
            </w:pPr>
            <w:r>
              <w:rPr>
                <w:color w:val="1C3A36"/>
                <w:sz w:val="17"/>
              </w:rPr>
              <w:t>2.594</w:t>
            </w:r>
          </w:p>
        </w:tc>
        <w:tc>
          <w:tcPr>
            <w:tcW w:type="dxa" w:w="1296"/>
          </w:tcPr>
          <w:p>
            <w:pPr>
              <w:spacing w:after="20"/>
              <w:jc w:val="right"/>
            </w:pPr>
            <w:r>
              <w:rPr>
                <w:color w:val="1C3A36"/>
                <w:sz w:val="17"/>
              </w:rPr>
              <w:t>-2.7%</w:t>
            </w:r>
          </w:p>
        </w:tc>
      </w:tr>
      <w:tr>
        <w:tc>
          <w:tcPr>
            <w:tcW w:type="dxa" w:w="4104"/>
          </w:tcPr>
          <w:p>
            <w:pPr>
              <w:spacing w:after="20"/>
            </w:pPr>
            <w:r>
              <w:rPr>
                <w:color w:val="1C3A36"/>
                <w:sz w:val="17"/>
              </w:rPr>
              <w:t>97% of the 2025 level</w:t>
            </w:r>
          </w:p>
        </w:tc>
        <w:tc>
          <w:tcPr>
            <w:tcW w:type="dxa" w:w="1872"/>
          </w:tcPr>
          <w:p>
            <w:pPr>
              <w:spacing w:after="20"/>
              <w:jc w:val="right"/>
            </w:pPr>
            <w:r>
              <w:rPr>
                <w:color w:val="1C3A36"/>
                <w:sz w:val="17"/>
              </w:rPr>
              <w:t>1,158</w:t>
            </w:r>
          </w:p>
        </w:tc>
        <w:tc>
          <w:tcPr>
            <w:tcW w:type="dxa" w:w="2232"/>
          </w:tcPr>
          <w:p>
            <w:pPr>
              <w:spacing w:after="20"/>
              <w:jc w:val="right"/>
            </w:pPr>
            <w:r>
              <w:rPr>
                <w:color w:val="1C3A36"/>
                <w:sz w:val="17"/>
              </w:rPr>
              <w:t>2.629</w:t>
            </w:r>
          </w:p>
        </w:tc>
        <w:tc>
          <w:tcPr>
            <w:tcW w:type="dxa" w:w="1296"/>
          </w:tcPr>
          <w:p>
            <w:pPr>
              <w:spacing w:after="20"/>
              <w:jc w:val="right"/>
            </w:pPr>
            <w:r>
              <w:rPr>
                <w:color w:val="1C3A36"/>
                <w:sz w:val="17"/>
              </w:rPr>
              <w:t>-1.3%</w:t>
            </w:r>
          </w:p>
        </w:tc>
      </w:tr>
      <w:tr>
        <w:tc>
          <w:tcPr>
            <w:tcW w:type="dxa" w:w="4104"/>
            <w:shd w:val="clear" w:color="auto" w:fill="F6F1E6"/>
          </w:tcPr>
          <w:p>
            <w:pPr>
              <w:spacing w:after="20"/>
            </w:pPr>
            <w:r>
              <w:rPr>
                <w:b/>
                <w:color w:val="1C3A36"/>
                <w:sz w:val="17"/>
              </w:rPr>
              <w:t>100% of the 2025 level  — the base case</w:t>
            </w:r>
          </w:p>
        </w:tc>
        <w:tc>
          <w:tcPr>
            <w:tcW w:type="dxa" w:w="1872"/>
            <w:shd w:val="clear" w:color="auto" w:fill="F6F1E6"/>
          </w:tcPr>
          <w:p>
            <w:pPr>
              <w:spacing w:after="20"/>
              <w:jc w:val="right"/>
            </w:pPr>
            <w:r>
              <w:rPr>
                <w:b/>
                <w:color w:val="1C3A36"/>
                <w:sz w:val="17"/>
              </w:rPr>
              <w:t>1,194</w:t>
            </w:r>
          </w:p>
        </w:tc>
        <w:tc>
          <w:tcPr>
            <w:tcW w:type="dxa" w:w="2232"/>
            <w:shd w:val="clear" w:color="auto" w:fill="F6F1E6"/>
          </w:tcPr>
          <w:p>
            <w:pPr>
              <w:spacing w:after="20"/>
              <w:jc w:val="right"/>
            </w:pPr>
            <w:r>
              <w:rPr>
                <w:b/>
                <w:color w:val="1C3A36"/>
                <w:sz w:val="17"/>
              </w:rPr>
              <w:t>2.664</w:t>
            </w:r>
          </w:p>
        </w:tc>
        <w:tc>
          <w:tcPr>
            <w:tcW w:type="dxa" w:w="1296"/>
            <w:shd w:val="clear" w:color="auto" w:fill="F6F1E6"/>
          </w:tcPr>
          <w:p>
            <w:pPr>
              <w:spacing w:after="20"/>
              <w:jc w:val="right"/>
            </w:pPr>
            <w:r>
              <w:rPr>
                <w:b/>
                <w:color w:val="1C3A36"/>
                <w:sz w:val="17"/>
              </w:rPr>
              <w:t>+0.0%</w:t>
            </w:r>
          </w:p>
        </w:tc>
      </w:tr>
      <w:tr>
        <w:tc>
          <w:tcPr>
            <w:tcW w:type="dxa" w:w="4104"/>
          </w:tcPr>
          <w:p>
            <w:pPr>
              <w:spacing w:after="20"/>
            </w:pPr>
            <w:r>
              <w:rPr>
                <w:color w:val="1C3A36"/>
                <w:sz w:val="17"/>
              </w:rPr>
              <w:t>103% of the 2025 level</w:t>
            </w:r>
          </w:p>
        </w:tc>
        <w:tc>
          <w:tcPr>
            <w:tcW w:type="dxa" w:w="1872"/>
          </w:tcPr>
          <w:p>
            <w:pPr>
              <w:spacing w:after="20"/>
              <w:jc w:val="right"/>
            </w:pPr>
            <w:r>
              <w:rPr>
                <w:color w:val="1C3A36"/>
                <w:sz w:val="17"/>
              </w:rPr>
              <w:t>1,230</w:t>
            </w:r>
          </w:p>
        </w:tc>
        <w:tc>
          <w:tcPr>
            <w:tcW w:type="dxa" w:w="2232"/>
          </w:tcPr>
          <w:p>
            <w:pPr>
              <w:spacing w:after="20"/>
              <w:jc w:val="right"/>
            </w:pPr>
            <w:r>
              <w:rPr>
                <w:color w:val="1C3A36"/>
                <w:sz w:val="17"/>
              </w:rPr>
              <w:t>2.700</w:t>
            </w:r>
          </w:p>
        </w:tc>
        <w:tc>
          <w:tcPr>
            <w:tcW w:type="dxa" w:w="1296"/>
          </w:tcPr>
          <w:p>
            <w:pPr>
              <w:spacing w:after="20"/>
              <w:jc w:val="right"/>
            </w:pPr>
            <w:r>
              <w:rPr>
                <w:color w:val="1C3A36"/>
                <w:sz w:val="17"/>
              </w:rPr>
              <w:t>+1.3%</w:t>
            </w:r>
          </w:p>
        </w:tc>
      </w:tr>
    </w:tbl>
    <w:p>
      <w:pPr>
        <w:spacing w:after="40"/>
      </w:pPr>
    </w:p>
    <w:p>
      <w:pPr>
        <w:spacing w:after="120" w:before="0"/>
      </w:pPr>
      <w:r>
        <w:rPr>
          <w:b w:val="0"/>
          <w:i w:val="0"/>
          <w:color w:val="1C3A36"/>
          <w:sz w:val="21"/>
        </w:rPr>
        <w:t>The finding is the study's headline: permanent loss of the entire shock — the never-recovers case — moves the discounted-cash-flow value from 2.664 to 2.594, just 2.7% (2.416 under the 15% tax framing). The arithmetic reason is the pass-through: about 76% of every dirham of consumption revenue leaves again as electricity and water purchased from DEWA, so the meter's contribution to cash flow is thin. The market's read-through from the consumption miss to the equity — a share price 23% off its high — is larger than the cash-flow arithmetic supports. The capacity charge, not the meter, carries the value; what WOULD move the value is a tariff cut or a stall in connections, which is why sections 5 and 7 watch those, not the weather.</w:t>
      </w:r>
    </w:p>
    <w:p>
      <w:pPr>
        <w:spacing w:after="80" w:before="200"/>
      </w:pPr>
      <w:r>
        <w:rPr>
          <w:b/>
          <w:i w:val="0"/>
          <w:color w:val="1C3A36"/>
          <w:sz w:val="24"/>
        </w:rPr>
        <w:t>1.8  Macro and country — rates, the peg, and the sourced cost of capital</w:t>
      </w:r>
    </w:p>
    <w:p>
      <w:pPr>
        <w:spacing w:after="120" w:before="0"/>
      </w:pPr>
      <w:r>
        <w:rPr>
          <w:b w:val="0"/>
          <w:i w:val="0"/>
          <w:color w:val="1C3A36"/>
          <w:sz w:val="21"/>
        </w:rPr>
        <w:t>The macro frame is unusually clean for an emerging-market study: the dirham is hard-pegged, so the UAE imports the Federal Reserve's path and the currency leg drops out of the valuation entirely. The central bank's base rate stood at 3.65% at the end of July 2026; the federal government's dirham bond programme gives a sovereign curve, and its longest print — the January-2031 tranche auctioned on 30 July 2026 — yields 4.48%. The conflict is the macro event: the market index fell 21.9% peak to trough, GDP guidance was cut from 5.6% to 1.7%, and the equity risk pricing that survives into August is part of what section 1.3 measures.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1512"/>
        <w:gridCol w:w="4824"/>
      </w:tblGrid>
      <w:tr>
        <w:tc>
          <w:tcPr>
            <w:tcW w:type="dxa" w:w="2232"/>
            <w:shd w:val="clear" w:color="auto" w:fill="EAF0EE"/>
          </w:tcPr>
          <w:p>
            <w:pPr>
              <w:spacing w:after="20"/>
            </w:pPr>
            <w:r>
              <w:rPr>
                <w:b/>
                <w:color w:val="1C3A36"/>
                <w:sz w:val="16"/>
              </w:rPr>
              <w:t>Component</w:t>
            </w:r>
          </w:p>
        </w:tc>
        <w:tc>
          <w:tcPr>
            <w:tcW w:type="dxa" w:w="1512"/>
            <w:shd w:val="clear" w:color="auto" w:fill="EAF0EE"/>
          </w:tcPr>
          <w:p>
            <w:pPr>
              <w:spacing w:after="20"/>
            </w:pPr>
            <w:r>
              <w:rPr>
                <w:b/>
                <w:color w:val="1C3A36"/>
                <w:sz w:val="16"/>
              </w:rPr>
              <w:t>Credit-rating basis</w:t>
            </w:r>
          </w:p>
        </w:tc>
        <w:tc>
          <w:tcPr>
            <w:tcW w:type="dxa" w:w="1512"/>
            <w:shd w:val="clear" w:color="auto" w:fill="EAF0EE"/>
          </w:tcPr>
          <w:p>
            <w:pPr>
              <w:spacing w:after="20"/>
            </w:pPr>
            <w:r>
              <w:rPr>
                <w:b/>
                <w:color w:val="1C3A36"/>
                <w:sz w:val="16"/>
              </w:rPr>
              <w:t>Market-spread basis</w:t>
            </w:r>
          </w:p>
        </w:tc>
        <w:tc>
          <w:tcPr>
            <w:tcW w:type="dxa" w:w="4824"/>
            <w:shd w:val="clear" w:color="auto" w:fill="EAF0EE"/>
          </w:tcPr>
          <w:p>
            <w:pPr>
              <w:spacing w:after="20"/>
            </w:pPr>
            <w:r>
              <w:rPr>
                <w:b/>
                <w:color w:val="1C3A36"/>
                <w:sz w:val="16"/>
              </w:rPr>
              <w:t>Construction</w:t>
            </w:r>
          </w:p>
        </w:tc>
      </w:tr>
      <w:tr>
        <w:tc>
          <w:tcPr>
            <w:tcW w:type="dxa" w:w="2232"/>
          </w:tcPr>
          <w:p>
            <w:pPr>
              <w:spacing w:after="20"/>
            </w:pPr>
            <w:r>
              <w:rPr>
                <w:color w:val="1C3A36"/>
                <w:sz w:val="16"/>
              </w:rPr>
              <w:t>Risk-free rate before adjustment</w:t>
            </w:r>
          </w:p>
        </w:tc>
        <w:tc>
          <w:tcPr>
            <w:tcW w:type="dxa" w:w="1512"/>
          </w:tcPr>
          <w:p>
            <w:pPr>
              <w:spacing w:after="20"/>
              <w:jc w:val="right"/>
            </w:pPr>
            <w:r>
              <w:rPr>
                <w:color w:val="1C3A36"/>
                <w:sz w:val="16"/>
              </w:rPr>
              <w:t>4.48%</w:t>
            </w:r>
          </w:p>
        </w:tc>
        <w:tc>
          <w:tcPr>
            <w:tcW w:type="dxa" w:w="1512"/>
          </w:tcPr>
          <w:p>
            <w:pPr>
              <w:spacing w:after="20"/>
              <w:jc w:val="right"/>
            </w:pPr>
            <w:r>
              <w:rPr>
                <w:color w:val="1C3A36"/>
                <w:sz w:val="16"/>
              </w:rPr>
              <w:t>4.48%</w:t>
            </w:r>
          </w:p>
        </w:tc>
        <w:tc>
          <w:tcPr>
            <w:tcW w:type="dxa" w:w="4824"/>
          </w:tcPr>
          <w:p>
            <w:pPr>
              <w:spacing w:after="20"/>
              <w:jc w:val="right"/>
            </w:pPr>
            <w:r>
              <w:rPr>
                <w:color w:val="1C3A36"/>
                <w:sz w:val="16"/>
              </w:rPr>
              <w:t>the longest AED sovereign print (4.4-year tenor; the gap to the five-year-plus cash-flow horizon is flagged as a limitation)</w:t>
            </w:r>
          </w:p>
        </w:tc>
      </w:tr>
      <w:tr>
        <w:tc>
          <w:tcPr>
            <w:tcW w:type="dxa" w:w="2232"/>
          </w:tcPr>
          <w:p>
            <w:pPr>
              <w:spacing w:after="20"/>
            </w:pPr>
            <w:r>
              <w:rPr>
                <w:color w:val="1C3A36"/>
                <w:sz w:val="16"/>
              </w:rPr>
              <w:t>Less the sovereign default spread</w:t>
            </w:r>
          </w:p>
        </w:tc>
        <w:tc>
          <w:tcPr>
            <w:tcW w:type="dxa" w:w="1512"/>
          </w:tcPr>
          <w:p>
            <w:pPr>
              <w:spacing w:after="20"/>
              <w:jc w:val="right"/>
            </w:pPr>
            <w:r>
              <w:rPr>
                <w:color w:val="1C3A36"/>
                <w:sz w:val="16"/>
              </w:rPr>
              <w:t>0.39%</w:t>
            </w:r>
          </w:p>
        </w:tc>
        <w:tc>
          <w:tcPr>
            <w:tcW w:type="dxa" w:w="1512"/>
          </w:tcPr>
          <w:p>
            <w:pPr>
              <w:spacing w:after="20"/>
              <w:jc w:val="right"/>
            </w:pPr>
            <w:r>
              <w:rPr>
                <w:color w:val="1C3A36"/>
                <w:sz w:val="16"/>
              </w:rPr>
              <w:t>0.52%</w:t>
            </w:r>
          </w:p>
        </w:tc>
        <w:tc>
          <w:tcPr>
            <w:tcW w:type="dxa" w:w="4824"/>
          </w:tcPr>
          <w:p>
            <w:pPr>
              <w:spacing w:after="20"/>
              <w:jc w:val="right"/>
            </w:pPr>
            <w:r>
              <w:rPr>
                <w:color w:val="1C3A36"/>
                <w:sz w:val="16"/>
              </w:rPr>
              <w:t>the UAE's own default spread on each basis, from the July-2026 edition of the published country-risk dataset; the market-spread column uses the Abu Dhabi sovereign credit-default swap as the quoted UAE proxy — flagged</w:t>
            </w:r>
          </w:p>
        </w:tc>
      </w:tr>
      <w:tr>
        <w:tc>
          <w:tcPr>
            <w:tcW w:type="dxa" w:w="2232"/>
          </w:tcPr>
          <w:p>
            <w:pPr>
              <w:spacing w:after="20"/>
            </w:pPr>
            <w:r>
              <w:rPr>
                <w:color w:val="1C3A36"/>
                <w:sz w:val="16"/>
              </w:rPr>
              <w:t>Adjusted risk-free rate</w:t>
            </w:r>
          </w:p>
        </w:tc>
        <w:tc>
          <w:tcPr>
            <w:tcW w:type="dxa" w:w="1512"/>
          </w:tcPr>
          <w:p>
            <w:pPr>
              <w:spacing w:after="20"/>
              <w:jc w:val="right"/>
            </w:pPr>
            <w:r>
              <w:rPr>
                <w:color w:val="1C3A36"/>
                <w:sz w:val="16"/>
              </w:rPr>
              <w:t>4.09%</w:t>
            </w:r>
          </w:p>
        </w:tc>
        <w:tc>
          <w:tcPr>
            <w:tcW w:type="dxa" w:w="1512"/>
          </w:tcPr>
          <w:p>
            <w:pPr>
              <w:spacing w:after="20"/>
              <w:jc w:val="right"/>
            </w:pPr>
            <w:r>
              <w:rPr>
                <w:color w:val="1C3A36"/>
                <w:sz w:val="16"/>
              </w:rPr>
              <w:t>3.96%</w:t>
            </w:r>
          </w:p>
        </w:tc>
        <w:tc>
          <w:tcPr>
            <w:tcW w:type="dxa" w:w="4824"/>
          </w:tcPr>
          <w:p>
            <w:pPr>
              <w:spacing w:after="20"/>
              <w:jc w:val="right"/>
            </w:pPr>
            <w:r>
              <w:rPr>
                <w:color w:val="1C3A36"/>
                <w:sz w:val="16"/>
              </w:rPr>
              <w:t>country risk must enter once, through the equity premium — not twice</w:t>
            </w:r>
          </w:p>
        </w:tc>
      </w:tr>
      <w:tr>
        <w:tc>
          <w:tcPr>
            <w:tcW w:type="dxa" w:w="2232"/>
          </w:tcPr>
          <w:p>
            <w:pPr>
              <w:spacing w:after="20"/>
            </w:pPr>
            <w:r>
              <w:rPr>
                <w:color w:val="1C3A36"/>
                <w:sz w:val="16"/>
              </w:rPr>
              <w:t>Beta</w:t>
            </w:r>
          </w:p>
        </w:tc>
        <w:tc>
          <w:tcPr>
            <w:tcW w:type="dxa" w:w="1512"/>
          </w:tcPr>
          <w:p>
            <w:pPr>
              <w:spacing w:after="20"/>
              <w:jc w:val="right"/>
            </w:pPr>
            <w:r>
              <w:rPr>
                <w:color w:val="1C3A36"/>
                <w:sz w:val="16"/>
              </w:rPr>
              <w:t>0.652</w:t>
            </w:r>
          </w:p>
        </w:tc>
        <w:tc>
          <w:tcPr>
            <w:tcW w:type="dxa" w:w="1512"/>
          </w:tcPr>
          <w:p>
            <w:pPr>
              <w:spacing w:after="20"/>
              <w:jc w:val="right"/>
            </w:pPr>
            <w:r>
              <w:rPr>
                <w:color w:val="1C3A36"/>
                <w:sz w:val="16"/>
              </w:rPr>
              <w:t>0.652</w:t>
            </w:r>
          </w:p>
        </w:tc>
        <w:tc>
          <w:tcPr>
            <w:tcW w:type="dxa" w:w="4824"/>
          </w:tcPr>
          <w:p>
            <w:pPr>
              <w:spacing w:after="20"/>
              <w:jc w:val="right"/>
            </w:pPr>
            <w:r>
              <w:rPr>
                <w:color w:val="1C3A36"/>
                <w:sz w:val="16"/>
              </w:rPr>
              <w:t>own-stock weekly regression against the DFM General Index over the full listing window (3.6 years, n=190): R² 0.157, standard error 0.110, 90% interval 0.47–0.83</w:t>
            </w:r>
          </w:p>
        </w:tc>
      </w:tr>
      <w:tr>
        <w:tc>
          <w:tcPr>
            <w:tcW w:type="dxa" w:w="2232"/>
          </w:tcPr>
          <w:p>
            <w:pPr>
              <w:spacing w:after="20"/>
            </w:pPr>
            <w:r>
              <w:rPr>
                <w:color w:val="1C3A36"/>
                <w:sz w:val="16"/>
              </w:rPr>
              <w:t>Equity risk premium</w:t>
            </w:r>
          </w:p>
        </w:tc>
        <w:tc>
          <w:tcPr>
            <w:tcW w:type="dxa" w:w="1512"/>
          </w:tcPr>
          <w:p>
            <w:pPr>
              <w:spacing w:after="20"/>
              <w:jc w:val="right"/>
            </w:pPr>
            <w:r>
              <w:rPr>
                <w:color w:val="1C3A36"/>
                <w:sz w:val="16"/>
              </w:rPr>
              <w:t>4.81%</w:t>
            </w:r>
          </w:p>
        </w:tc>
        <w:tc>
          <w:tcPr>
            <w:tcW w:type="dxa" w:w="1512"/>
          </w:tcPr>
          <w:p>
            <w:pPr>
              <w:spacing w:after="20"/>
              <w:jc w:val="right"/>
            </w:pPr>
            <w:r>
              <w:rPr>
                <w:color w:val="1C3A36"/>
                <w:sz w:val="16"/>
              </w:rPr>
              <w:t>5.01%</w:t>
            </w:r>
          </w:p>
        </w:tc>
        <w:tc>
          <w:tcPr>
            <w:tcW w:type="dxa" w:w="4824"/>
          </w:tcPr>
          <w:p>
            <w:pPr>
              <w:spacing w:after="20"/>
              <w:jc w:val="right"/>
            </w:pPr>
            <w:r>
              <w:rPr>
                <w:color w:val="1C3A36"/>
                <w:sz w:val="16"/>
              </w:rPr>
              <w:t>the UAE total premium on each basis, same dataset — the same basis of spread that was stripped from the risk-free rate is the one added back here</w:t>
            </w:r>
          </w:p>
        </w:tc>
      </w:tr>
      <w:tr>
        <w:tc>
          <w:tcPr>
            <w:tcW w:type="dxa" w:w="2232"/>
            <w:shd w:val="clear" w:color="auto" w:fill="F6F1E6"/>
          </w:tcPr>
          <w:p>
            <w:pPr>
              <w:spacing w:after="20"/>
            </w:pPr>
            <w:r>
              <w:rPr>
                <w:b/>
                <w:color w:val="1C3A36"/>
                <w:sz w:val="16"/>
              </w:rPr>
              <w:t>Cost of equity</w:t>
            </w:r>
          </w:p>
        </w:tc>
        <w:tc>
          <w:tcPr>
            <w:tcW w:type="dxa" w:w="1512"/>
            <w:shd w:val="clear" w:color="auto" w:fill="F6F1E6"/>
          </w:tcPr>
          <w:p>
            <w:pPr>
              <w:spacing w:after="20"/>
              <w:jc w:val="right"/>
            </w:pPr>
            <w:r>
              <w:rPr>
                <w:b/>
                <w:color w:val="1C3A36"/>
                <w:sz w:val="16"/>
              </w:rPr>
              <w:t>7.22%</w:t>
            </w:r>
          </w:p>
        </w:tc>
        <w:tc>
          <w:tcPr>
            <w:tcW w:type="dxa" w:w="1512"/>
            <w:shd w:val="clear" w:color="auto" w:fill="F6F1E6"/>
          </w:tcPr>
          <w:p>
            <w:pPr>
              <w:spacing w:after="20"/>
              <w:jc w:val="right"/>
            </w:pPr>
            <w:r>
              <w:rPr>
                <w:b/>
                <w:color w:val="1C3A36"/>
                <w:sz w:val="16"/>
              </w:rPr>
              <w:t>7.23%</w:t>
            </w:r>
          </w:p>
        </w:tc>
        <w:tc>
          <w:tcPr>
            <w:tcW w:type="dxa" w:w="4824"/>
            <w:shd w:val="clear" w:color="auto" w:fill="F6F1E6"/>
          </w:tcPr>
          <w:p>
            <w:pPr>
              <w:spacing w:after="20"/>
              <w:jc w:val="right"/>
            </w:pPr>
            <w:r>
              <w:rPr>
                <w:b/>
                <w:color w:val="1C3A36"/>
                <w:sz w:val="16"/>
              </w:rPr>
              <w:t>the two constructions CONVERGE to within a basis point — the contested choice of basis is priced and turns out to cost nothing</w:t>
            </w:r>
          </w:p>
        </w:tc>
      </w:tr>
      <w:tr>
        <w:tc>
          <w:tcPr>
            <w:tcW w:type="dxa" w:w="2232"/>
          </w:tcPr>
          <w:p>
            <w:pPr>
              <w:spacing w:after="20"/>
            </w:pPr>
            <w:r>
              <w:rPr>
                <w:color w:val="1C3A36"/>
                <w:sz w:val="16"/>
              </w:rPr>
              <w:t>Cost of debt (marginal)</w:t>
            </w:r>
          </w:p>
        </w:tc>
        <w:tc>
          <w:tcPr>
            <w:tcW w:type="dxa" w:w="1512"/>
          </w:tcPr>
          <w:p>
            <w:pPr>
              <w:spacing w:after="20"/>
              <w:jc w:val="right"/>
            </w:pPr>
            <w:r>
              <w:rPr>
                <w:color w:val="1C3A36"/>
                <w:sz w:val="16"/>
              </w:rPr>
              <w:t>4.92%</w:t>
            </w:r>
          </w:p>
        </w:tc>
        <w:tc>
          <w:tcPr>
            <w:tcW w:type="dxa" w:w="1512"/>
          </w:tcPr>
          <w:p>
            <w:pPr>
              <w:spacing w:after="20"/>
              <w:jc w:val="right"/>
            </w:pPr>
            <w:r>
              <w:rPr>
                <w:color w:val="1C3A36"/>
                <w:sz w:val="16"/>
              </w:rPr>
              <w:t>4.92%</w:t>
            </w:r>
          </w:p>
        </w:tc>
        <w:tc>
          <w:tcPr>
            <w:tcW w:type="dxa" w:w="4824"/>
          </w:tcPr>
          <w:p>
            <w:pPr>
              <w:spacing w:after="20"/>
              <w:jc w:val="right"/>
            </w:pPr>
            <w:r>
              <w:rPr>
                <w:color w:val="1C3A36"/>
                <w:sz w:val="16"/>
              </w:rPr>
              <w:t>the company's OWN 2025 borrowing-cost capitalisation rate, struck on the full refinance of both AED 2.75bn facilities at a reduced margin over EIBOR — see the evidence table below</w:t>
            </w:r>
          </w:p>
        </w:tc>
      </w:tr>
      <w:tr>
        <w:tc>
          <w:tcPr>
            <w:tcW w:type="dxa" w:w="2232"/>
          </w:tcPr>
          <w:p>
            <w:pPr>
              <w:spacing w:after="20"/>
            </w:pPr>
            <w:r>
              <w:rPr>
                <w:color w:val="1C3A36"/>
                <w:sz w:val="16"/>
              </w:rPr>
              <w:t>Weights (equity / debt)</w:t>
            </w:r>
          </w:p>
        </w:tc>
        <w:tc>
          <w:tcPr>
            <w:tcW w:type="dxa" w:w="1512"/>
          </w:tcPr>
          <w:p>
            <w:pPr>
              <w:spacing w:after="20"/>
              <w:jc w:val="right"/>
            </w:pPr>
            <w:r>
              <w:rPr>
                <w:color w:val="1C3A36"/>
                <w:sz w:val="16"/>
              </w:rPr>
              <w:t>83.4% / 16.6%</w:t>
            </w:r>
          </w:p>
        </w:tc>
        <w:tc>
          <w:tcPr>
            <w:tcW w:type="dxa" w:w="1512"/>
          </w:tcPr>
          <w:p>
            <w:pPr>
              <w:spacing w:after="20"/>
              <w:jc w:val="right"/>
            </w:pPr>
            <w:r>
              <w:rPr>
                <w:color w:val="1C3A36"/>
                <w:sz w:val="16"/>
              </w:rPr>
              <w:t>83.4% / 16.6%</w:t>
            </w:r>
          </w:p>
        </w:tc>
        <w:tc>
          <w:tcPr>
            <w:tcW w:type="dxa" w:w="4824"/>
          </w:tcPr>
          <w:p>
            <w:pPr>
              <w:spacing w:after="20"/>
              <w:jc w:val="right"/>
            </w:pPr>
            <w:r>
              <w:rPr>
                <w:color w:val="1C3A36"/>
                <w:sz w:val="16"/>
              </w:rPr>
              <w:t>market value of equity at the anchor price; net debt at the reviewed June-2026 balance sheet</w:t>
            </w:r>
          </w:p>
        </w:tc>
      </w:tr>
      <w:tr>
        <w:tc>
          <w:tcPr>
            <w:tcW w:type="dxa" w:w="2232"/>
            <w:shd w:val="clear" w:color="auto" w:fill="F6F1E6"/>
          </w:tcPr>
          <w:p>
            <w:pPr>
              <w:spacing w:after="20"/>
            </w:pPr>
            <w:r>
              <w:rPr>
                <w:b/>
                <w:color w:val="1C3A36"/>
                <w:sz w:val="16"/>
              </w:rPr>
              <w:t>Cost of capital at 9% tax</w:t>
            </w:r>
          </w:p>
        </w:tc>
        <w:tc>
          <w:tcPr>
            <w:tcW w:type="dxa" w:w="1512"/>
            <w:shd w:val="clear" w:color="auto" w:fill="F6F1E6"/>
          </w:tcPr>
          <w:p>
            <w:pPr>
              <w:spacing w:after="20"/>
              <w:jc w:val="right"/>
            </w:pPr>
            <w:r>
              <w:rPr>
                <w:b/>
                <w:color w:val="1C3A36"/>
                <w:sz w:val="16"/>
              </w:rPr>
              <w:t>6.77%</w:t>
            </w:r>
          </w:p>
        </w:tc>
        <w:tc>
          <w:tcPr>
            <w:tcW w:type="dxa" w:w="1512"/>
            <w:shd w:val="clear" w:color="auto" w:fill="F6F1E6"/>
          </w:tcPr>
          <w:p>
            <w:pPr>
              <w:spacing w:after="20"/>
              <w:jc w:val="right"/>
            </w:pPr>
            <w:r>
              <w:rPr>
                <w:b/>
                <w:color w:val="1C3A36"/>
                <w:sz w:val="16"/>
              </w:rPr>
              <w:t>6.77%</w:t>
            </w:r>
          </w:p>
        </w:tc>
        <w:tc>
          <w:tcPr>
            <w:tcW w:type="dxa" w:w="4824"/>
            <w:shd w:val="clear" w:color="auto" w:fill="F6F1E6"/>
          </w:tcPr>
          <w:p>
            <w:pPr>
              <w:spacing w:after="20"/>
              <w:jc w:val="right"/>
            </w:pPr>
            <w:r>
              <w:rPr>
                <w:b/>
                <w:color w:val="1C3A36"/>
                <w:sz w:val="16"/>
              </w:rPr>
              <w:t>the rate the base case discounts at</w:t>
            </w:r>
          </w:p>
        </w:tc>
      </w:tr>
      <w:tr>
        <w:tc>
          <w:tcPr>
            <w:tcW w:type="dxa" w:w="2232"/>
          </w:tcPr>
          <w:p>
            <w:pPr>
              <w:spacing w:after="20"/>
            </w:pPr>
            <w:r>
              <w:rPr>
                <w:color w:val="1C3A36"/>
                <w:sz w:val="16"/>
              </w:rPr>
              <w:t>Cost of capital at 15% tax</w:t>
            </w:r>
          </w:p>
        </w:tc>
        <w:tc>
          <w:tcPr>
            <w:tcW w:type="dxa" w:w="1512"/>
          </w:tcPr>
          <w:p>
            <w:pPr>
              <w:spacing w:after="20"/>
              <w:jc w:val="right"/>
            </w:pPr>
            <w:r>
              <w:rPr>
                <w:color w:val="1C3A36"/>
                <w:sz w:val="16"/>
              </w:rPr>
              <w:t>6.72%</w:t>
            </w:r>
          </w:p>
        </w:tc>
        <w:tc>
          <w:tcPr>
            <w:tcW w:type="dxa" w:w="1512"/>
          </w:tcPr>
          <w:p>
            <w:pPr>
              <w:spacing w:after="20"/>
              <w:jc w:val="right"/>
            </w:pPr>
            <w:r>
              <w:rPr>
                <w:color w:val="1C3A36"/>
                <w:sz w:val="16"/>
              </w:rPr>
              <w:t>6.72%</w:t>
            </w:r>
          </w:p>
        </w:tc>
        <w:tc>
          <w:tcPr>
            <w:tcW w:type="dxa" w:w="4824"/>
          </w:tcPr>
          <w:p>
            <w:pPr>
              <w:spacing w:after="20"/>
              <w:jc w:val="right"/>
            </w:pPr>
            <w:r>
              <w:rPr>
                <w:color w:val="1C3A36"/>
                <w:sz w:val="16"/>
              </w:rPr>
              <w:t>marginally lower — the tax shield on debt is worth more</w:t>
            </w:r>
          </w:p>
        </w:tc>
      </w:tr>
    </w:tbl>
    <w:p>
      <w:pPr>
        <w:spacing w:after="40"/>
      </w:pPr>
    </w:p>
    <w:p>
      <w:pPr>
        <w:spacing w:after="200" w:before="0"/>
      </w:pPr>
      <w:r>
        <w:rPr>
          <w:b w:val="0"/>
          <w:i/>
          <w:color w:val="6E7B77"/>
          <w:sz w:val="17"/>
        </w:rPr>
        <w:t>No glide path is applied to the cost of debt or the cost of capital: both revolving facilities float over EIBOR, the 2025 refinance already reset the margin, and the forward curve is flat to mildly higher — a glide would be invented, not sourced. The explicit-window rate equals the terminal rate, stated openly.</w:t>
      </w:r>
    </w:p>
    <w:p>
      <w:pPr>
        <w:spacing w:after="80" w:before="200"/>
      </w:pPr>
      <w:r>
        <w:rPr>
          <w:b/>
          <w:i w:val="0"/>
          <w:color w:val="1C3A36"/>
          <w:sz w:val="24"/>
        </w:rPr>
        <w:t>The cost of debt — three pieces of evidence, not an assumption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152"/>
        <w:gridCol w:w="5184"/>
      </w:tblGrid>
      <w:tr>
        <w:tc>
          <w:tcPr>
            <w:tcW w:type="dxa" w:w="3744"/>
            <w:shd w:val="clear" w:color="auto" w:fill="EAF0EE"/>
          </w:tcPr>
          <w:p>
            <w:pPr>
              <w:spacing w:after="20"/>
            </w:pPr>
            <w:r>
              <w:rPr>
                <w:b/>
                <w:color w:val="1C3A36"/>
                <w:sz w:val="16"/>
              </w:rPr>
              <w:t>Evidence</w:t>
            </w:r>
          </w:p>
        </w:tc>
        <w:tc>
          <w:tcPr>
            <w:tcW w:type="dxa" w:w="1152"/>
            <w:shd w:val="clear" w:color="auto" w:fill="EAF0EE"/>
          </w:tcPr>
          <w:p>
            <w:pPr>
              <w:spacing w:after="20"/>
            </w:pPr>
            <w:r>
              <w:rPr>
                <w:b/>
                <w:color w:val="1C3A36"/>
                <w:sz w:val="16"/>
              </w:rPr>
              <w:t>Rate</w:t>
            </w:r>
          </w:p>
        </w:tc>
        <w:tc>
          <w:tcPr>
            <w:tcW w:type="dxa" w:w="5184"/>
            <w:shd w:val="clear" w:color="auto" w:fill="EAF0EE"/>
          </w:tcPr>
          <w:p>
            <w:pPr>
              <w:spacing w:after="20"/>
            </w:pPr>
            <w:r>
              <w:rPr>
                <w:b/>
                <w:color w:val="1C3A36"/>
                <w:sz w:val="16"/>
              </w:rPr>
              <w:t>What it establishes</w:t>
            </w:r>
          </w:p>
        </w:tc>
      </w:tr>
      <w:tr>
        <w:tc>
          <w:tcPr>
            <w:tcW w:type="dxa" w:w="3744"/>
          </w:tcPr>
          <w:p>
            <w:pPr>
              <w:spacing w:after="20"/>
            </w:pPr>
            <w:r>
              <w:rPr>
                <w:color w:val="1C3A36"/>
                <w:sz w:val="16"/>
              </w:rPr>
              <w:t>AED sovereign yield (January-2031 tranche, auctioned 30 July 2026)</w:t>
            </w:r>
          </w:p>
        </w:tc>
        <w:tc>
          <w:tcPr>
            <w:tcW w:type="dxa" w:w="1152"/>
          </w:tcPr>
          <w:p>
            <w:pPr>
              <w:spacing w:after="20"/>
              <w:jc w:val="right"/>
            </w:pPr>
            <w:r>
              <w:rPr>
                <w:color w:val="1C3A36"/>
                <w:sz w:val="16"/>
              </w:rPr>
              <w:t>4.48%</w:t>
            </w:r>
          </w:p>
        </w:tc>
        <w:tc>
          <w:tcPr>
            <w:tcW w:type="dxa" w:w="5184"/>
          </w:tcPr>
          <w:p>
            <w:pPr>
              <w:spacing w:after="20"/>
              <w:jc w:val="right"/>
            </w:pPr>
            <w:r>
              <w:rPr>
                <w:color w:val="1C3A36"/>
                <w:sz w:val="16"/>
              </w:rPr>
              <w:t>the floor: a same-currency corporate cannot sustainably borrow below its sovereign</w:t>
            </w:r>
          </w:p>
        </w:tc>
      </w:tr>
      <w:tr>
        <w:tc>
          <w:tcPr>
            <w:tcW w:type="dxa" w:w="3744"/>
          </w:tcPr>
          <w:p>
            <w:pPr>
              <w:spacing w:after="20"/>
            </w:pPr>
            <w:r>
              <w:rPr>
                <w:color w:val="1C3A36"/>
                <w:sz w:val="16"/>
              </w:rPr>
              <w:t>Empower's own 2025 borrowing-cost capitalisation rate</w:t>
            </w:r>
          </w:p>
        </w:tc>
        <w:tc>
          <w:tcPr>
            <w:tcW w:type="dxa" w:w="1152"/>
          </w:tcPr>
          <w:p>
            <w:pPr>
              <w:spacing w:after="20"/>
              <w:jc w:val="right"/>
            </w:pPr>
            <w:r>
              <w:rPr>
                <w:color w:val="1C3A36"/>
                <w:sz w:val="16"/>
              </w:rPr>
              <w:t>4.92%</w:t>
            </w:r>
          </w:p>
        </w:tc>
        <w:tc>
          <w:tcPr>
            <w:tcW w:type="dxa" w:w="5184"/>
          </w:tcPr>
          <w:p>
            <w:pPr>
              <w:spacing w:after="20"/>
              <w:jc w:val="right"/>
            </w:pPr>
            <w:r>
              <w:rPr>
                <w:color w:val="1C3A36"/>
                <w:sz w:val="16"/>
              </w:rPr>
              <w:t>the company's audited all-in cost on its freshly refinanced book — sits 44bp above the sovereign, as it must; adopted as the marginal cost of debt</w:t>
            </w:r>
          </w:p>
        </w:tc>
      </w:tr>
      <w:tr>
        <w:tc>
          <w:tcPr>
            <w:tcW w:type="dxa" w:w="3744"/>
          </w:tcPr>
          <w:p>
            <w:pPr>
              <w:spacing w:after="20"/>
            </w:pPr>
            <w:r>
              <w:rPr>
                <w:color w:val="1C3A36"/>
                <w:sz w:val="16"/>
              </w:rPr>
              <w:t>The same disclosure a year earlier (2024)</w:t>
            </w:r>
          </w:p>
        </w:tc>
        <w:tc>
          <w:tcPr>
            <w:tcW w:type="dxa" w:w="1152"/>
          </w:tcPr>
          <w:p>
            <w:pPr>
              <w:spacing w:after="20"/>
              <w:jc w:val="right"/>
            </w:pPr>
            <w:r>
              <w:rPr>
                <w:color w:val="1C3A36"/>
                <w:sz w:val="16"/>
              </w:rPr>
              <w:t>5.99%</w:t>
            </w:r>
          </w:p>
        </w:tc>
        <w:tc>
          <w:tcPr>
            <w:tcW w:type="dxa" w:w="5184"/>
          </w:tcPr>
          <w:p>
            <w:pPr>
              <w:spacing w:after="20"/>
              <w:jc w:val="right"/>
            </w:pPr>
            <w:r>
              <w:rPr>
                <w:color w:val="1C3A36"/>
                <w:sz w:val="16"/>
              </w:rPr>
              <w:t>the down-trajectory: the 2025 refinance cut the all-in cost by about 107bp as EIBOR fell and the margin was renegotiated. Three-month EIBOR stood near 3.66% at the study date; the exact contractual margin is not disclosed in any filing (recorded as a documented absence in the bibliography), so the capitalisation rate is the closest disclosed all-in figure</w:t>
            </w:r>
          </w:p>
        </w:tc>
      </w:tr>
    </w:tbl>
    <w:p>
      <w:pPr>
        <w:spacing w:after="40"/>
      </w:pPr>
    </w:p>
    <w:p>
      <w:pPr>
        <w:spacing w:after="160" w:before="0"/>
      </w:pPr>
      <w:r>
        <w:rPr>
          <w:b w:val="0"/>
          <w:i w:val="0"/>
          <w:color w:val="1C3A36"/>
          <w:sz w:val="21"/>
        </w:rPr>
        <w:t>Every contested construction in this section is PRICED rather than asserted: the two premium bases are both computed (they converge); the tax question is carried as two full columns everywhere; the short sovereign tenor and the Abu Dhabi credit-default-swap proxy are flagged in place; and the beta's sampling error is shown so a reader can re-run the cost of equity at either end of the interval (0.47 lifts the fair value, 0.83 lowers it — the direction is worth roughly AED 0.346 per share per half-point of discount rate, per the grid in section 1.9).</w:t>
      </w:r>
    </w:p>
    <w:p>
      <w:pPr>
        <w:spacing w:after="80" w:before="200"/>
      </w:pPr>
      <w:r>
        <w:rPr>
          <w:b/>
          <w:i w:val="0"/>
          <w:color w:val="1C3A36"/>
          <w:sz w:val="24"/>
        </w:rPr>
        <w:t>1.9  Sensitivity — the discount rate, the growth, and the scenarios</w:t>
      </w:r>
    </w:p>
    <w:p>
      <w:pPr>
        <w:spacing w:after="40"/>
        <w:jc w:val="center"/>
      </w:pPr>
      <w:r>
        <w:drawing>
          <wp:inline xmlns:a="http://schemas.openxmlformats.org/drawingml/2006/main" xmlns:pic="http://schemas.openxmlformats.org/drawingml/2006/picture">
            <wp:extent cx="6400800" cy="3200400"/>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6400800" cy="3200400"/>
                    </a:xfrm>
                    <a:prstGeom prst="rect"/>
                  </pic:spPr>
                </pic:pic>
              </a:graphicData>
            </a:graphic>
          </wp:inline>
        </w:drawing>
      </w:r>
    </w:p>
    <w:p>
      <w:pPr>
        <w:spacing w:after="200" w:before="0"/>
      </w:pPr>
      <w:r>
        <w:rPr>
          <w:b w:val="0"/>
          <w:i/>
          <w:color w:val="6E7B77"/>
          <w:sz w:val="17"/>
        </w:rPr>
        <w:t>Figure 4 — fair value per share against cost of capital and terminal growth; the crux grid alongside.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69"/>
        <w:gridCol w:w="1469"/>
        <w:gridCol w:w="1469"/>
        <w:gridCol w:w="1469"/>
        <w:gridCol w:w="1469"/>
      </w:tblGrid>
      <w:tr>
        <w:tc>
          <w:tcPr>
            <w:tcW w:type="dxa" w:w="2736"/>
            <w:shd w:val="clear" w:color="auto" w:fill="EAF0EE"/>
          </w:tcPr>
          <w:p>
            <w:pPr>
              <w:spacing w:after="20"/>
            </w:pPr>
            <w:r>
              <w:rPr>
                <w:b/>
                <w:color w:val="1C3A36"/>
                <w:sz w:val="16"/>
              </w:rPr>
              <w:t>Fair value at 9% (AED/share)</w:t>
            </w:r>
          </w:p>
        </w:tc>
        <w:tc>
          <w:tcPr>
            <w:tcW w:type="dxa" w:w="1469"/>
            <w:shd w:val="clear" w:color="auto" w:fill="EAF0EE"/>
          </w:tcPr>
          <w:p>
            <w:pPr>
              <w:spacing w:after="20"/>
            </w:pPr>
            <w:r>
              <w:rPr>
                <w:b/>
                <w:color w:val="1C3A36"/>
                <w:sz w:val="16"/>
              </w:rPr>
              <w:t>g = 1.5%</w:t>
            </w:r>
          </w:p>
        </w:tc>
        <w:tc>
          <w:tcPr>
            <w:tcW w:type="dxa" w:w="1469"/>
            <w:shd w:val="clear" w:color="auto" w:fill="EAF0EE"/>
          </w:tcPr>
          <w:p>
            <w:pPr>
              <w:spacing w:after="20"/>
            </w:pPr>
            <w:r>
              <w:rPr>
                <w:b/>
                <w:color w:val="1C3A36"/>
                <w:sz w:val="16"/>
              </w:rPr>
              <w:t>g = 2.0%</w:t>
            </w:r>
          </w:p>
        </w:tc>
        <w:tc>
          <w:tcPr>
            <w:tcW w:type="dxa" w:w="1469"/>
            <w:shd w:val="clear" w:color="auto" w:fill="EAF0EE"/>
          </w:tcPr>
          <w:p>
            <w:pPr>
              <w:spacing w:after="20"/>
            </w:pPr>
            <w:r>
              <w:rPr>
                <w:b/>
                <w:color w:val="1C3A36"/>
                <w:sz w:val="16"/>
              </w:rPr>
              <w:t>g = 2.5%</w:t>
            </w:r>
          </w:p>
        </w:tc>
        <w:tc>
          <w:tcPr>
            <w:tcW w:type="dxa" w:w="1469"/>
            <w:shd w:val="clear" w:color="auto" w:fill="EAF0EE"/>
          </w:tcPr>
          <w:p>
            <w:pPr>
              <w:spacing w:after="20"/>
            </w:pPr>
            <w:r>
              <w:rPr>
                <w:b/>
                <w:color w:val="1C3A36"/>
                <w:sz w:val="16"/>
              </w:rPr>
              <w:t>g = 3.0%</w:t>
            </w:r>
          </w:p>
        </w:tc>
        <w:tc>
          <w:tcPr>
            <w:tcW w:type="dxa" w:w="1469"/>
            <w:shd w:val="clear" w:color="auto" w:fill="EAF0EE"/>
          </w:tcPr>
          <w:p>
            <w:pPr>
              <w:spacing w:after="20"/>
            </w:pPr>
            <w:r>
              <w:rPr>
                <w:b/>
                <w:color w:val="1C3A36"/>
                <w:sz w:val="16"/>
              </w:rPr>
              <w:t>g = 3.5%</w:t>
            </w:r>
          </w:p>
        </w:tc>
      </w:tr>
      <w:tr>
        <w:tc>
          <w:tcPr>
            <w:tcW w:type="dxa" w:w="2736"/>
          </w:tcPr>
          <w:p>
            <w:pPr>
              <w:spacing w:after="20"/>
            </w:pPr>
            <w:r>
              <w:rPr>
                <w:color w:val="1C3A36"/>
                <w:sz w:val="16"/>
              </w:rPr>
              <w:t>Cost of capital 5.77%</w:t>
            </w:r>
          </w:p>
        </w:tc>
        <w:tc>
          <w:tcPr>
            <w:tcW w:type="dxa" w:w="1469"/>
          </w:tcPr>
          <w:p>
            <w:pPr>
              <w:spacing w:after="20"/>
              <w:jc w:val="right"/>
            </w:pPr>
            <w:r>
              <w:rPr>
                <w:color w:val="1C3A36"/>
                <w:sz w:val="16"/>
              </w:rPr>
              <w:t>2.889</w:t>
            </w:r>
          </w:p>
        </w:tc>
        <w:tc>
          <w:tcPr>
            <w:tcW w:type="dxa" w:w="1469"/>
          </w:tcPr>
          <w:p>
            <w:pPr>
              <w:spacing w:after="20"/>
              <w:jc w:val="right"/>
            </w:pPr>
            <w:r>
              <w:rPr>
                <w:color w:val="1C3A36"/>
                <w:sz w:val="16"/>
              </w:rPr>
              <w:t>3.178</w:t>
            </w:r>
          </w:p>
        </w:tc>
        <w:tc>
          <w:tcPr>
            <w:tcW w:type="dxa" w:w="1469"/>
          </w:tcPr>
          <w:p>
            <w:pPr>
              <w:spacing w:after="20"/>
              <w:jc w:val="right"/>
            </w:pPr>
            <w:r>
              <w:rPr>
                <w:color w:val="1C3A36"/>
                <w:sz w:val="16"/>
              </w:rPr>
              <w:t>3.555</w:t>
            </w:r>
          </w:p>
        </w:tc>
        <w:tc>
          <w:tcPr>
            <w:tcW w:type="dxa" w:w="1469"/>
          </w:tcPr>
          <w:p>
            <w:pPr>
              <w:spacing w:after="20"/>
              <w:jc w:val="right"/>
            </w:pPr>
            <w:r>
              <w:rPr>
                <w:color w:val="1C3A36"/>
                <w:sz w:val="16"/>
              </w:rPr>
              <w:t>4.067</w:t>
            </w:r>
          </w:p>
        </w:tc>
        <w:tc>
          <w:tcPr>
            <w:tcW w:type="dxa" w:w="1469"/>
          </w:tcPr>
          <w:p>
            <w:pPr>
              <w:spacing w:after="20"/>
              <w:jc w:val="right"/>
            </w:pPr>
            <w:r>
              <w:rPr>
                <w:color w:val="1C3A36"/>
                <w:sz w:val="16"/>
              </w:rPr>
              <w:t>4.804</w:t>
            </w:r>
          </w:p>
        </w:tc>
      </w:tr>
      <w:tr>
        <w:tc>
          <w:tcPr>
            <w:tcW w:type="dxa" w:w="2736"/>
          </w:tcPr>
          <w:p>
            <w:pPr>
              <w:spacing w:after="20"/>
            </w:pPr>
            <w:r>
              <w:rPr>
                <w:color w:val="1C3A36"/>
                <w:sz w:val="16"/>
              </w:rPr>
              <w:t>Cost of capital 6.27%</w:t>
            </w:r>
          </w:p>
        </w:tc>
        <w:tc>
          <w:tcPr>
            <w:tcW w:type="dxa" w:w="1469"/>
          </w:tcPr>
          <w:p>
            <w:pPr>
              <w:spacing w:after="20"/>
              <w:jc w:val="right"/>
            </w:pPr>
            <w:r>
              <w:rPr>
                <w:color w:val="1C3A36"/>
                <w:sz w:val="16"/>
              </w:rPr>
              <w:t>2.557</w:t>
            </w:r>
          </w:p>
        </w:tc>
        <w:tc>
          <w:tcPr>
            <w:tcW w:type="dxa" w:w="1469"/>
          </w:tcPr>
          <w:p>
            <w:pPr>
              <w:spacing w:after="20"/>
              <w:jc w:val="right"/>
            </w:pPr>
            <w:r>
              <w:rPr>
                <w:color w:val="1C3A36"/>
                <w:sz w:val="16"/>
              </w:rPr>
              <w:t>2.775</w:t>
            </w:r>
          </w:p>
        </w:tc>
        <w:tc>
          <w:tcPr>
            <w:tcW w:type="dxa" w:w="1469"/>
          </w:tcPr>
          <w:p>
            <w:pPr>
              <w:spacing w:after="20"/>
              <w:jc w:val="right"/>
            </w:pPr>
            <w:r>
              <w:rPr>
                <w:color w:val="1C3A36"/>
                <w:sz w:val="16"/>
              </w:rPr>
              <w:t>3.051</w:t>
            </w:r>
          </w:p>
        </w:tc>
        <w:tc>
          <w:tcPr>
            <w:tcW w:type="dxa" w:w="1469"/>
          </w:tcPr>
          <w:p>
            <w:pPr>
              <w:spacing w:after="20"/>
              <w:jc w:val="right"/>
            </w:pPr>
            <w:r>
              <w:rPr>
                <w:color w:val="1C3A36"/>
                <w:sz w:val="16"/>
              </w:rPr>
              <w:t>3.410</w:t>
            </w:r>
          </w:p>
        </w:tc>
        <w:tc>
          <w:tcPr>
            <w:tcW w:type="dxa" w:w="1469"/>
          </w:tcPr>
          <w:p>
            <w:pPr>
              <w:spacing w:after="20"/>
              <w:jc w:val="right"/>
            </w:pPr>
            <w:r>
              <w:rPr>
                <w:color w:val="1C3A36"/>
                <w:sz w:val="16"/>
              </w:rPr>
              <w:t>3.898</w:t>
            </w:r>
          </w:p>
        </w:tc>
      </w:tr>
      <w:tr>
        <w:tc>
          <w:tcPr>
            <w:tcW w:type="dxa" w:w="2736"/>
            <w:shd w:val="clear" w:color="auto" w:fill="F6F1E6"/>
          </w:tcPr>
          <w:p>
            <w:pPr>
              <w:spacing w:after="20"/>
            </w:pPr>
            <w:r>
              <w:rPr>
                <w:b/>
                <w:color w:val="1C3A36"/>
                <w:sz w:val="16"/>
              </w:rPr>
              <w:t>Cost of capital 6.77%  (base)</w:t>
            </w:r>
          </w:p>
        </w:tc>
        <w:tc>
          <w:tcPr>
            <w:tcW w:type="dxa" w:w="1469"/>
            <w:shd w:val="clear" w:color="auto" w:fill="F6F1E6"/>
          </w:tcPr>
          <w:p>
            <w:pPr>
              <w:spacing w:after="20"/>
              <w:jc w:val="right"/>
            </w:pPr>
            <w:r>
              <w:rPr>
                <w:b/>
                <w:color w:val="1C3A36"/>
                <w:sz w:val="16"/>
              </w:rPr>
              <w:t>2.287</w:t>
            </w:r>
          </w:p>
        </w:tc>
        <w:tc>
          <w:tcPr>
            <w:tcW w:type="dxa" w:w="1469"/>
            <w:shd w:val="clear" w:color="auto" w:fill="F6F1E6"/>
          </w:tcPr>
          <w:p>
            <w:pPr>
              <w:spacing w:after="20"/>
              <w:jc w:val="right"/>
            </w:pPr>
            <w:r>
              <w:rPr>
                <w:b/>
                <w:color w:val="1C3A36"/>
                <w:sz w:val="16"/>
              </w:rPr>
              <w:t>2.456</w:t>
            </w:r>
          </w:p>
        </w:tc>
        <w:tc>
          <w:tcPr>
            <w:tcW w:type="dxa" w:w="1469"/>
            <w:shd w:val="clear" w:color="auto" w:fill="F6F1E6"/>
          </w:tcPr>
          <w:p>
            <w:pPr>
              <w:spacing w:after="20"/>
              <w:jc w:val="right"/>
            </w:pPr>
            <w:r>
              <w:rPr>
                <w:b/>
                <w:color w:val="1C3A36"/>
                <w:sz w:val="16"/>
              </w:rPr>
              <w:t>2.664</w:t>
            </w:r>
          </w:p>
        </w:tc>
        <w:tc>
          <w:tcPr>
            <w:tcW w:type="dxa" w:w="1469"/>
            <w:shd w:val="clear" w:color="auto" w:fill="F6F1E6"/>
          </w:tcPr>
          <w:p>
            <w:pPr>
              <w:spacing w:after="20"/>
              <w:jc w:val="right"/>
            </w:pPr>
            <w:r>
              <w:rPr>
                <w:b/>
                <w:color w:val="1C3A36"/>
                <w:sz w:val="16"/>
              </w:rPr>
              <w:t>2.927</w:t>
            </w:r>
          </w:p>
        </w:tc>
        <w:tc>
          <w:tcPr>
            <w:tcW w:type="dxa" w:w="1469"/>
            <w:shd w:val="clear" w:color="auto" w:fill="F6F1E6"/>
          </w:tcPr>
          <w:p>
            <w:pPr>
              <w:spacing w:after="20"/>
              <w:jc w:val="right"/>
            </w:pPr>
            <w:r>
              <w:rPr>
                <w:b/>
                <w:color w:val="1C3A36"/>
                <w:sz w:val="16"/>
              </w:rPr>
              <w:t>3.269</w:t>
            </w:r>
          </w:p>
        </w:tc>
      </w:tr>
      <w:tr>
        <w:tc>
          <w:tcPr>
            <w:tcW w:type="dxa" w:w="2736"/>
          </w:tcPr>
          <w:p>
            <w:pPr>
              <w:spacing w:after="20"/>
            </w:pPr>
            <w:r>
              <w:rPr>
                <w:color w:val="1C3A36"/>
                <w:sz w:val="16"/>
              </w:rPr>
              <w:t>Cost of capital 7.27%</w:t>
            </w:r>
          </w:p>
        </w:tc>
        <w:tc>
          <w:tcPr>
            <w:tcW w:type="dxa" w:w="1469"/>
          </w:tcPr>
          <w:p>
            <w:pPr>
              <w:spacing w:after="20"/>
              <w:jc w:val="right"/>
            </w:pPr>
            <w:r>
              <w:rPr>
                <w:color w:val="1C3A36"/>
                <w:sz w:val="16"/>
              </w:rPr>
              <w:t>2.065</w:t>
            </w:r>
          </w:p>
        </w:tc>
        <w:tc>
          <w:tcPr>
            <w:tcW w:type="dxa" w:w="1469"/>
          </w:tcPr>
          <w:p>
            <w:pPr>
              <w:spacing w:after="20"/>
              <w:jc w:val="right"/>
            </w:pPr>
            <w:r>
              <w:rPr>
                <w:color w:val="1C3A36"/>
                <w:sz w:val="16"/>
              </w:rPr>
              <w:t>2.198</w:t>
            </w:r>
          </w:p>
        </w:tc>
        <w:tc>
          <w:tcPr>
            <w:tcW w:type="dxa" w:w="1469"/>
          </w:tcPr>
          <w:p>
            <w:pPr>
              <w:spacing w:after="20"/>
              <w:jc w:val="right"/>
            </w:pPr>
            <w:r>
              <w:rPr>
                <w:color w:val="1C3A36"/>
                <w:sz w:val="16"/>
              </w:rPr>
              <w:t>2.359</w:t>
            </w:r>
          </w:p>
        </w:tc>
        <w:tc>
          <w:tcPr>
            <w:tcW w:type="dxa" w:w="1469"/>
          </w:tcPr>
          <w:p>
            <w:pPr>
              <w:spacing w:after="20"/>
              <w:jc w:val="right"/>
            </w:pPr>
            <w:r>
              <w:rPr>
                <w:color w:val="1C3A36"/>
                <w:sz w:val="16"/>
              </w:rPr>
              <w:t>2.557</w:t>
            </w:r>
          </w:p>
        </w:tc>
        <w:tc>
          <w:tcPr>
            <w:tcW w:type="dxa" w:w="1469"/>
          </w:tcPr>
          <w:p>
            <w:pPr>
              <w:spacing w:after="20"/>
              <w:jc w:val="right"/>
            </w:pPr>
            <w:r>
              <w:rPr>
                <w:color w:val="1C3A36"/>
                <w:sz w:val="16"/>
              </w:rPr>
              <w:t>2.807</w:t>
            </w:r>
          </w:p>
        </w:tc>
      </w:tr>
      <w:tr>
        <w:tc>
          <w:tcPr>
            <w:tcW w:type="dxa" w:w="2736"/>
          </w:tcPr>
          <w:p>
            <w:pPr>
              <w:spacing w:after="20"/>
            </w:pPr>
            <w:r>
              <w:rPr>
                <w:color w:val="1C3A36"/>
                <w:sz w:val="16"/>
              </w:rPr>
              <w:t>Cost of capital 7.77%</w:t>
            </w:r>
          </w:p>
        </w:tc>
        <w:tc>
          <w:tcPr>
            <w:tcW w:type="dxa" w:w="1469"/>
          </w:tcPr>
          <w:p>
            <w:pPr>
              <w:spacing w:after="20"/>
              <w:jc w:val="right"/>
            </w:pPr>
            <w:r>
              <w:rPr>
                <w:color w:val="1C3A36"/>
                <w:sz w:val="16"/>
              </w:rPr>
              <w:t>1.877</w:t>
            </w:r>
          </w:p>
        </w:tc>
        <w:tc>
          <w:tcPr>
            <w:tcW w:type="dxa" w:w="1469"/>
          </w:tcPr>
          <w:p>
            <w:pPr>
              <w:spacing w:after="20"/>
              <w:jc w:val="right"/>
            </w:pPr>
            <w:r>
              <w:rPr>
                <w:color w:val="1C3A36"/>
                <w:sz w:val="16"/>
              </w:rPr>
              <w:t>1.984</w:t>
            </w:r>
          </w:p>
        </w:tc>
        <w:tc>
          <w:tcPr>
            <w:tcW w:type="dxa" w:w="1469"/>
          </w:tcPr>
          <w:p>
            <w:pPr>
              <w:spacing w:after="20"/>
              <w:jc w:val="right"/>
            </w:pPr>
            <w:r>
              <w:rPr>
                <w:color w:val="1C3A36"/>
                <w:sz w:val="16"/>
              </w:rPr>
              <w:t>2.111</w:t>
            </w:r>
          </w:p>
        </w:tc>
        <w:tc>
          <w:tcPr>
            <w:tcW w:type="dxa" w:w="1469"/>
          </w:tcPr>
          <w:p>
            <w:pPr>
              <w:spacing w:after="20"/>
              <w:jc w:val="right"/>
            </w:pPr>
            <w:r>
              <w:rPr>
                <w:color w:val="1C3A36"/>
                <w:sz w:val="16"/>
              </w:rPr>
              <w:t>2.264</w:t>
            </w:r>
          </w:p>
        </w:tc>
        <w:tc>
          <w:tcPr>
            <w:tcW w:type="dxa" w:w="1469"/>
          </w:tcPr>
          <w:p>
            <w:pPr>
              <w:spacing w:after="20"/>
              <w:jc w:val="right"/>
            </w:pPr>
            <w:r>
              <w:rPr>
                <w:color w:val="1C3A36"/>
                <w:sz w:val="16"/>
              </w:rPr>
              <w:t>2.452</w:t>
            </w:r>
          </w:p>
        </w:tc>
      </w:tr>
    </w:tbl>
    <w:p>
      <w:pPr>
        <w:spacing w:after="40"/>
      </w:pPr>
    </w:p>
    <w:p>
      <w:pPr>
        <w:spacing w:after="200" w:before="0"/>
      </w:pPr>
      <w:r>
        <w:rPr>
          <w:b w:val="0"/>
          <w:i/>
          <w:color w:val="6E7B77"/>
          <w:sz w:val="17"/>
        </w:rPr>
        <w:t>The base cell (2.664) sits at 6.77% and 2.5%. A half-point of discount rate is worth roughly AED 0.346 per share — more than the entire consumption crux — which is the honest hierarchy of what matters in this valuation: rate, tax, tariff, then usage.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16"/>
        <w:gridCol w:w="6048"/>
        <w:gridCol w:w="2016"/>
      </w:tblGrid>
      <w:tr>
        <w:tc>
          <w:tcPr>
            <w:tcW w:type="dxa" w:w="2016"/>
            <w:shd w:val="clear" w:color="auto" w:fill="EAF0EE"/>
          </w:tcPr>
          <w:p>
            <w:pPr>
              <w:spacing w:after="20"/>
            </w:pPr>
            <w:r>
              <w:rPr>
                <w:b/>
                <w:color w:val="1C3A36"/>
                <w:sz w:val="16"/>
              </w:rPr>
              <w:t>Scenario</w:t>
            </w:r>
          </w:p>
        </w:tc>
        <w:tc>
          <w:tcPr>
            <w:tcW w:type="dxa" w:w="6048"/>
            <w:shd w:val="clear" w:color="auto" w:fill="EAF0EE"/>
          </w:tcPr>
          <w:p>
            <w:pPr>
              <w:spacing w:after="20"/>
            </w:pPr>
            <w:r>
              <w:rPr>
                <w:b/>
                <w:color w:val="1C3A36"/>
                <w:sz w:val="16"/>
              </w:rPr>
              <w:t>What is assumed</w:t>
            </w:r>
          </w:p>
        </w:tc>
        <w:tc>
          <w:tcPr>
            <w:tcW w:type="dxa" w:w="2016"/>
            <w:shd w:val="clear" w:color="auto" w:fill="EAF0EE"/>
          </w:tcPr>
          <w:p>
            <w:pPr>
              <w:spacing w:after="20"/>
            </w:pPr>
            <w:r>
              <w:rPr>
                <w:b/>
                <w:color w:val="1C3A36"/>
                <w:sz w:val="16"/>
              </w:rPr>
              <w:t>Fair value (AED/share)</w:t>
            </w:r>
          </w:p>
        </w:tc>
      </w:tr>
      <w:tr>
        <w:tc>
          <w:tcPr>
            <w:tcW w:type="dxa" w:w="2016"/>
          </w:tcPr>
          <w:p>
            <w:pPr>
              <w:spacing w:after="20"/>
            </w:pPr>
            <w:r>
              <w:rPr>
                <w:color w:val="1C3A36"/>
                <w:sz w:val="16"/>
              </w:rPr>
              <w:t>Bear — war re-escalation</w:t>
            </w:r>
          </w:p>
        </w:tc>
        <w:tc>
          <w:tcPr>
            <w:tcW w:type="dxa" w:w="6048"/>
          </w:tcPr>
          <w:p>
            <w:pPr>
              <w:spacing w:after="20"/>
              <w:jc w:val="right"/>
            </w:pPr>
            <w:r>
              <w:rPr>
                <w:color w:val="1C3A36"/>
                <w:sz w:val="16"/>
              </w:rPr>
              <w:t>usage falls a further 6% in 2027 and never recovers; new connections halve (the pipeline freezes); the 15% minimum tax lands; the cost of equity rises 100bp as the market re-prices UAE risk</w:t>
            </w:r>
          </w:p>
        </w:tc>
        <w:tc>
          <w:tcPr>
            <w:tcW w:type="dxa" w:w="2016"/>
          </w:tcPr>
          <w:p>
            <w:pPr>
              <w:spacing w:after="20"/>
              <w:jc w:val="right"/>
            </w:pPr>
            <w:r>
              <w:rPr>
                <w:color w:val="1C3A36"/>
                <w:sz w:val="16"/>
              </w:rPr>
              <w:t>1.737</w:t>
            </w:r>
          </w:p>
        </w:tc>
      </w:tr>
      <w:tr>
        <w:tc>
          <w:tcPr>
            <w:tcW w:type="dxa" w:w="2016"/>
            <w:shd w:val="clear" w:color="auto" w:fill="F6F1E6"/>
          </w:tcPr>
          <w:p>
            <w:pPr>
              <w:spacing w:after="20"/>
            </w:pPr>
            <w:r>
              <w:rPr>
                <w:b/>
                <w:color w:val="1C3A36"/>
                <w:sz w:val="16"/>
              </w:rPr>
              <w:t>Base</w:t>
            </w:r>
          </w:p>
        </w:tc>
        <w:tc>
          <w:tcPr>
            <w:tcW w:type="dxa" w:w="6048"/>
            <w:shd w:val="clear" w:color="auto" w:fill="F6F1E6"/>
          </w:tcPr>
          <w:p>
            <w:pPr>
              <w:spacing w:after="20"/>
              <w:jc w:val="right"/>
            </w:pPr>
            <w:r>
              <w:rPr>
                <w:b/>
                <w:color w:val="1C3A36"/>
                <w:sz w:val="16"/>
              </w:rPr>
              <w:t>recovery through 2027, guidance-midpoint connections, both tax framings published</w:t>
            </w:r>
          </w:p>
        </w:tc>
        <w:tc>
          <w:tcPr>
            <w:tcW w:type="dxa" w:w="2016"/>
            <w:shd w:val="clear" w:color="auto" w:fill="F6F1E6"/>
          </w:tcPr>
          <w:p>
            <w:pPr>
              <w:spacing w:after="20"/>
              <w:jc w:val="right"/>
            </w:pPr>
            <w:r>
              <w:rPr>
                <w:b/>
                <w:color w:val="1C3A36"/>
                <w:sz w:val="16"/>
              </w:rPr>
              <w:t>2.250 / 2.139</w:t>
            </w:r>
          </w:p>
        </w:tc>
      </w:tr>
      <w:tr>
        <w:tc>
          <w:tcPr>
            <w:tcW w:type="dxa" w:w="2016"/>
          </w:tcPr>
          <w:p>
            <w:pPr>
              <w:spacing w:after="20"/>
            </w:pPr>
            <w:r>
              <w:rPr>
                <w:color w:val="1C3A36"/>
                <w:sz w:val="16"/>
              </w:rPr>
              <w:t>Bull — full recovery</w:t>
            </w:r>
          </w:p>
        </w:tc>
        <w:tc>
          <w:tcPr>
            <w:tcW w:type="dxa" w:w="6048"/>
          </w:tcPr>
          <w:p>
            <w:pPr>
              <w:spacing w:after="20"/>
              <w:jc w:val="right"/>
            </w:pPr>
            <w:r>
              <w:rPr>
                <w:color w:val="1C3A36"/>
                <w:sz w:val="16"/>
              </w:rPr>
              <w:t>usage recovers fully; connections run at the top of guidance (110k RT a year); 9% tax</w:t>
            </w:r>
          </w:p>
        </w:tc>
        <w:tc>
          <w:tcPr>
            <w:tcW w:type="dxa" w:w="2016"/>
          </w:tcPr>
          <w:p>
            <w:pPr>
              <w:spacing w:after="20"/>
              <w:jc w:val="right"/>
            </w:pPr>
            <w:r>
              <w:rPr>
                <w:color w:val="1C3A36"/>
                <w:sz w:val="16"/>
              </w:rPr>
              <w:t>2.714</w:t>
            </w:r>
          </w:p>
        </w:tc>
      </w:tr>
    </w:tbl>
    <w:p>
      <w:pPr>
        <w:spacing w:after="40"/>
      </w:pPr>
    </w:p>
    <w:p>
      <w:pPr>
        <w:spacing w:after="200" w:before="0"/>
      </w:pPr>
      <w:r>
        <w:rPr>
          <w:b w:val="0"/>
          <w:i/>
          <w:color w:val="6E7B77"/>
          <w:sz w:val="17"/>
        </w:rPr>
        <w:t>The bear and bull are full model re-runs — unit paths, cost stack, discount rate and tax all moved together — not lens blends or grid look-ups.</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400800" cy="3004457"/>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400800" cy="3004457"/>
                    </a:xfrm>
                    <a:prstGeom prst="rect"/>
                  </pic:spPr>
                </pic:pic>
              </a:graphicData>
            </a:graphic>
          </wp:inline>
        </w:drawing>
      </w:r>
    </w:p>
    <w:p>
      <w:pPr>
        <w:spacing w:after="200" w:before="0"/>
      </w:pPr>
      <w:r>
        <w:rPr>
          <w:b w:val="0"/>
          <w:i/>
          <w:color w:val="6E7B77"/>
          <w:sz w:val="17"/>
        </w:rPr>
        <w:t>Figure 5 — price against the 20-, 50- and 200-session moving averages, with the support and resistance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760"/>
      </w:tblGrid>
      <w:tr>
        <w:tc>
          <w:tcPr>
            <w:tcW w:type="dxa" w:w="2664"/>
            <w:shd w:val="clear" w:color="auto" w:fill="EAF0EE"/>
          </w:tcPr>
          <w:p>
            <w:pPr>
              <w:spacing w:after="20"/>
            </w:pPr>
            <w:r>
              <w:rPr>
                <w:b/>
                <w:color w:val="1C3A36"/>
                <w:sz w:val="17"/>
              </w:rPr>
              <w:t>Marker</w:t>
            </w:r>
          </w:p>
        </w:tc>
        <w:tc>
          <w:tcPr>
            <w:tcW w:type="dxa" w:w="1656"/>
            <w:shd w:val="clear" w:color="auto" w:fill="EAF0EE"/>
          </w:tcPr>
          <w:p>
            <w:pPr>
              <w:spacing w:after="20"/>
            </w:pPr>
            <w:r>
              <w:rPr>
                <w:b/>
                <w:color w:val="1C3A36"/>
                <w:sz w:val="17"/>
              </w:rPr>
              <w:t>Level (AED)</w:t>
            </w:r>
          </w:p>
        </w:tc>
        <w:tc>
          <w:tcPr>
            <w:tcW w:type="dxa" w:w="5760"/>
            <w:shd w:val="clear" w:color="auto" w:fill="EAF0EE"/>
          </w:tcPr>
          <w:p>
            <w:pPr>
              <w:spacing w:after="20"/>
            </w:pPr>
            <w:r>
              <w:rPr>
                <w:b/>
                <w:color w:val="1C3A36"/>
                <w:sz w:val="17"/>
              </w:rPr>
              <w:t>Reading</w:t>
            </w:r>
          </w:p>
        </w:tc>
      </w:tr>
      <w:tr>
        <w:tc>
          <w:tcPr>
            <w:tcW w:type="dxa" w:w="2664"/>
          </w:tcPr>
          <w:p>
            <w:pPr>
              <w:spacing w:after="20"/>
            </w:pPr>
            <w:r>
              <w:rPr>
                <w:color w:val="1C3A36"/>
                <w:sz w:val="17"/>
              </w:rPr>
              <w:t>Last close (7 August 2026)</w:t>
            </w:r>
          </w:p>
        </w:tc>
        <w:tc>
          <w:tcPr>
            <w:tcW w:type="dxa" w:w="1656"/>
          </w:tcPr>
          <w:p>
            <w:pPr>
              <w:spacing w:after="20"/>
              <w:jc w:val="right"/>
            </w:pPr>
            <w:r>
              <w:rPr>
                <w:color w:val="1C3A36"/>
                <w:sz w:val="17"/>
              </w:rPr>
              <w:t>1.50</w:t>
            </w:r>
          </w:p>
        </w:tc>
        <w:tc>
          <w:tcPr>
            <w:tcW w:type="dxa" w:w="5760"/>
          </w:tcPr>
          <w:p>
            <w:pPr>
              <w:spacing w:after="20"/>
              <w:jc w:val="right"/>
            </w:pPr>
            <w:r>
              <w:rPr>
                <w:color w:val="1C3A36"/>
                <w:sz w:val="17"/>
              </w:rPr>
              <w:t>the anchor for everything in this study</w:t>
            </w:r>
          </w:p>
        </w:tc>
      </w:tr>
      <w:tr>
        <w:tc>
          <w:tcPr>
            <w:tcW w:type="dxa" w:w="2664"/>
          </w:tcPr>
          <w:p>
            <w:pPr>
              <w:spacing w:after="20"/>
            </w:pPr>
            <w:r>
              <w:rPr>
                <w:color w:val="1C3A36"/>
                <w:sz w:val="17"/>
              </w:rPr>
              <w:t>20-session average</w:t>
            </w:r>
          </w:p>
        </w:tc>
        <w:tc>
          <w:tcPr>
            <w:tcW w:type="dxa" w:w="1656"/>
          </w:tcPr>
          <w:p>
            <w:pPr>
              <w:spacing w:after="20"/>
              <w:jc w:val="right"/>
            </w:pPr>
            <w:r>
              <w:rPr>
                <w:color w:val="1C3A36"/>
                <w:sz w:val="17"/>
              </w:rPr>
              <w:t>1.60</w:t>
            </w:r>
          </w:p>
        </w:tc>
        <w:tc>
          <w:tcPr>
            <w:tcW w:type="dxa" w:w="5760"/>
          </w:tcPr>
          <w:p>
            <w:pPr>
              <w:spacing w:after="20"/>
              <w:jc w:val="right"/>
            </w:pPr>
            <w:r>
              <w:rPr>
                <w:color w:val="1C3A36"/>
                <w:sz w:val="17"/>
              </w:rPr>
              <w:t>price is -6.0% against it; the average is falling</w:t>
            </w:r>
          </w:p>
        </w:tc>
      </w:tr>
      <w:tr>
        <w:tc>
          <w:tcPr>
            <w:tcW w:type="dxa" w:w="2664"/>
          </w:tcPr>
          <w:p>
            <w:pPr>
              <w:spacing w:after="20"/>
            </w:pPr>
            <w:r>
              <w:rPr>
                <w:color w:val="1C3A36"/>
                <w:sz w:val="17"/>
              </w:rPr>
              <w:t>50-session average</w:t>
            </w:r>
          </w:p>
        </w:tc>
        <w:tc>
          <w:tcPr>
            <w:tcW w:type="dxa" w:w="1656"/>
          </w:tcPr>
          <w:p>
            <w:pPr>
              <w:spacing w:after="20"/>
              <w:jc w:val="right"/>
            </w:pPr>
            <w:r>
              <w:rPr>
                <w:color w:val="1C3A36"/>
                <w:sz w:val="17"/>
              </w:rPr>
              <w:t>1.62</w:t>
            </w:r>
          </w:p>
        </w:tc>
        <w:tc>
          <w:tcPr>
            <w:tcW w:type="dxa" w:w="5760"/>
          </w:tcPr>
          <w:p>
            <w:pPr>
              <w:spacing w:after="20"/>
              <w:jc w:val="right"/>
            </w:pPr>
            <w:r>
              <w:rPr>
                <w:color w:val="1C3A36"/>
                <w:sz w:val="17"/>
              </w:rPr>
              <w:t>price is -7.6% against it; flat</w:t>
            </w:r>
          </w:p>
        </w:tc>
      </w:tr>
      <w:tr>
        <w:tc>
          <w:tcPr>
            <w:tcW w:type="dxa" w:w="2664"/>
          </w:tcPr>
          <w:p>
            <w:pPr>
              <w:spacing w:after="20"/>
            </w:pPr>
            <w:r>
              <w:rPr>
                <w:color w:val="1C3A36"/>
                <w:sz w:val="17"/>
              </w:rPr>
              <w:t>200-session average</w:t>
            </w:r>
          </w:p>
        </w:tc>
        <w:tc>
          <w:tcPr>
            <w:tcW w:type="dxa" w:w="1656"/>
          </w:tcPr>
          <w:p>
            <w:pPr>
              <w:spacing w:after="20"/>
              <w:jc w:val="right"/>
            </w:pPr>
            <w:r>
              <w:rPr>
                <w:color w:val="1C3A36"/>
                <w:sz w:val="17"/>
              </w:rPr>
              <w:t>1.62</w:t>
            </w:r>
          </w:p>
        </w:tc>
        <w:tc>
          <w:tcPr>
            <w:tcW w:type="dxa" w:w="5760"/>
          </w:tcPr>
          <w:p>
            <w:pPr>
              <w:spacing w:after="20"/>
              <w:jc w:val="right"/>
            </w:pPr>
            <w:r>
              <w:rPr>
                <w:color w:val="1C3A36"/>
                <w:sz w:val="17"/>
              </w:rPr>
              <w:t>price is -7.1% against it; flat</w:t>
            </w:r>
          </w:p>
        </w:tc>
      </w:tr>
      <w:tr>
        <w:tc>
          <w:tcPr>
            <w:tcW w:type="dxa" w:w="2664"/>
          </w:tcPr>
          <w:p>
            <w:pPr>
              <w:spacing w:after="20"/>
            </w:pPr>
            <w:r>
              <w:rPr>
                <w:color w:val="1C3A36"/>
                <w:sz w:val="17"/>
              </w:rPr>
              <w:t>Momentum (14-session RSI)</w:t>
            </w:r>
          </w:p>
        </w:tc>
        <w:tc>
          <w:tcPr>
            <w:tcW w:type="dxa" w:w="1656"/>
          </w:tcPr>
          <w:p>
            <w:pPr>
              <w:spacing w:after="20"/>
              <w:jc w:val="right"/>
            </w:pPr>
            <w:r>
              <w:rPr>
                <w:color w:val="1C3A36"/>
                <w:sz w:val="17"/>
              </w:rPr>
              <w:t>29</w:t>
            </w:r>
          </w:p>
        </w:tc>
        <w:tc>
          <w:tcPr>
            <w:tcW w:type="dxa" w:w="5760"/>
          </w:tcPr>
          <w:p>
            <w:pPr>
              <w:spacing w:after="20"/>
              <w:jc w:val="right"/>
            </w:pPr>
            <w:r>
              <w:rPr>
                <w:color w:val="1C3A36"/>
                <w:sz w:val="17"/>
              </w:rPr>
              <w:t>washed out — a reading under 30 marks the sell-off as stretched by its own recent standards</w:t>
            </w:r>
          </w:p>
        </w:tc>
      </w:tr>
      <w:tr>
        <w:tc>
          <w:tcPr>
            <w:tcW w:type="dxa" w:w="2664"/>
          </w:tcPr>
          <w:p>
            <w:pPr>
              <w:spacing w:after="20"/>
            </w:pPr>
            <w:r>
              <w:rPr>
                <w:color w:val="1C3A36"/>
                <w:sz w:val="17"/>
              </w:rPr>
              <w:t>MACD (12·26·9)</w:t>
            </w:r>
          </w:p>
        </w:tc>
        <w:tc>
          <w:tcPr>
            <w:tcW w:type="dxa" w:w="1656"/>
          </w:tcPr>
          <w:p>
            <w:pPr>
              <w:spacing w:after="20"/>
              <w:jc w:val="right"/>
            </w:pPr>
            <w:r>
              <w:rPr>
                <w:color w:val="1C3A36"/>
                <w:sz w:val="17"/>
              </w:rPr>
              <w:t>-0.020</w:t>
            </w:r>
          </w:p>
        </w:tc>
        <w:tc>
          <w:tcPr>
            <w:tcW w:type="dxa" w:w="5760"/>
          </w:tcPr>
          <w:p>
            <w:pPr>
              <w:spacing w:after="20"/>
              <w:jc w:val="right"/>
            </w:pPr>
            <w:r>
              <w:rPr>
                <w:color w:val="1C3A36"/>
                <w:sz w:val="17"/>
              </w:rPr>
              <w:t>negative and still falling — the down-move has not yet lost momentum</w:t>
            </w:r>
          </w:p>
        </w:tc>
      </w:tr>
      <w:tr>
        <w:tc>
          <w:tcPr>
            <w:tcW w:type="dxa" w:w="2664"/>
          </w:tcPr>
          <w:p>
            <w:pPr>
              <w:spacing w:after="20"/>
            </w:pPr>
            <w:r>
              <w:rPr>
                <w:color w:val="1C3A36"/>
                <w:sz w:val="17"/>
              </w:rPr>
              <w:t>Average true range (14-session)</w:t>
            </w:r>
          </w:p>
        </w:tc>
        <w:tc>
          <w:tcPr>
            <w:tcW w:type="dxa" w:w="1656"/>
          </w:tcPr>
          <w:p>
            <w:pPr>
              <w:spacing w:after="20"/>
              <w:jc w:val="right"/>
            </w:pPr>
            <w:r>
              <w:rPr>
                <w:color w:val="1C3A36"/>
                <w:sz w:val="17"/>
              </w:rPr>
              <w:t>2.3%</w:t>
            </w:r>
          </w:p>
        </w:tc>
        <w:tc>
          <w:tcPr>
            <w:tcW w:type="dxa" w:w="5760"/>
          </w:tcPr>
          <w:p>
            <w:pPr>
              <w:spacing w:after="20"/>
              <w:jc w:val="right"/>
            </w:pPr>
            <w:r>
              <w:rPr>
                <w:color w:val="1C3A36"/>
                <w:sz w:val="17"/>
              </w:rPr>
              <w:t>of price per session — a normal tape, not a dislocated one</w:t>
            </w:r>
          </w:p>
        </w:tc>
      </w:tr>
      <w:tr>
        <w:tc>
          <w:tcPr>
            <w:tcW w:type="dxa" w:w="2664"/>
          </w:tcPr>
          <w:p>
            <w:pPr>
              <w:spacing w:after="20"/>
            </w:pPr>
            <w:r>
              <w:rPr>
                <w:color w:val="1C3A36"/>
                <w:sz w:val="17"/>
              </w:rPr>
              <w:t>52-week range</w:t>
            </w:r>
          </w:p>
        </w:tc>
        <w:tc>
          <w:tcPr>
            <w:tcW w:type="dxa" w:w="1656"/>
          </w:tcPr>
          <w:p>
            <w:pPr>
              <w:spacing w:after="20"/>
              <w:jc w:val="right"/>
            </w:pPr>
            <w:r>
              <w:rPr>
                <w:color w:val="1C3A36"/>
                <w:sz w:val="17"/>
              </w:rPr>
              <w:t>1.48 – 1.96</w:t>
            </w:r>
          </w:p>
        </w:tc>
        <w:tc>
          <w:tcPr>
            <w:tcW w:type="dxa" w:w="5760"/>
          </w:tcPr>
          <w:p>
            <w:pPr>
              <w:spacing w:after="20"/>
              <w:jc w:val="right"/>
            </w:pPr>
            <w:r>
              <w:rPr>
                <w:color w:val="1C3A36"/>
                <w:sz w:val="17"/>
              </w:rPr>
              <w:t>the close sits 23% below the high and 1% above the low</w:t>
            </w:r>
          </w:p>
        </w:tc>
      </w:tr>
      <w:tr>
        <w:tc>
          <w:tcPr>
            <w:tcW w:type="dxa" w:w="2664"/>
          </w:tcPr>
          <w:p>
            <w:pPr>
              <w:spacing w:after="20"/>
            </w:pPr>
            <w:r>
              <w:rPr>
                <w:color w:val="1C3A36"/>
                <w:sz w:val="17"/>
              </w:rPr>
              <w:t>Resistance</w:t>
            </w:r>
          </w:p>
        </w:tc>
        <w:tc>
          <w:tcPr>
            <w:tcW w:type="dxa" w:w="1656"/>
          </w:tcPr>
          <w:p>
            <w:pPr>
              <w:spacing w:after="20"/>
              <w:jc w:val="right"/>
            </w:pPr>
            <w:r>
              <w:rPr>
                <w:color w:val="1C3A36"/>
                <w:sz w:val="17"/>
              </w:rPr>
              <w:t>1.56 / 1.61 / 1.68</w:t>
            </w:r>
          </w:p>
        </w:tc>
        <w:tc>
          <w:tcPr>
            <w:tcW w:type="dxa" w:w="5760"/>
          </w:tcPr>
          <w:p>
            <w:pPr>
              <w:spacing w:after="20"/>
              <w:jc w:val="right"/>
            </w:pPr>
            <w:r>
              <w:rPr>
                <w:color w:val="1C3A36"/>
                <w:sz w:val="17"/>
              </w:rPr>
              <w:t>nearest first, from recency-weighted swing clusters</w:t>
            </w:r>
          </w:p>
        </w:tc>
      </w:tr>
      <w:tr>
        <w:tc>
          <w:tcPr>
            <w:tcW w:type="dxa" w:w="2664"/>
          </w:tcPr>
          <w:p>
            <w:pPr>
              <w:spacing w:after="20"/>
            </w:pPr>
            <w:r>
              <w:rPr>
                <w:color w:val="1C3A36"/>
                <w:sz w:val="17"/>
              </w:rPr>
              <w:t>Support</w:t>
            </w:r>
          </w:p>
        </w:tc>
        <w:tc>
          <w:tcPr>
            <w:tcW w:type="dxa" w:w="1656"/>
          </w:tcPr>
          <w:p>
            <w:pPr>
              <w:spacing w:after="20"/>
              <w:jc w:val="right"/>
            </w:pPr>
            <w:r>
              <w:rPr>
                <w:color w:val="1C3A36"/>
                <w:sz w:val="17"/>
              </w:rPr>
              <w:t>1.47 / 1.40 / 1.30</w:t>
            </w:r>
          </w:p>
        </w:tc>
        <w:tc>
          <w:tcPr>
            <w:tcW w:type="dxa" w:w="5760"/>
          </w:tcPr>
          <w:p>
            <w:pPr>
              <w:spacing w:after="20"/>
              <w:jc w:val="right"/>
            </w:pPr>
            <w:r>
              <w:rPr>
                <w:color w:val="1C3A36"/>
                <w:sz w:val="17"/>
              </w:rPr>
              <w:t>nearest first; the second and third are round-number shelves</w:t>
            </w:r>
          </w:p>
        </w:tc>
      </w:tr>
    </w:tbl>
    <w:p>
      <w:pPr>
        <w:spacing w:after="40"/>
      </w:pPr>
    </w:p>
    <w:p>
      <w:pPr>
        <w:spacing w:after="120" w:before="0"/>
      </w:pPr>
      <w:r>
        <w:rPr>
          <w:b w:val="0"/>
          <w:i w:val="0"/>
          <w:color w:val="1C3A36"/>
          <w:sz w:val="21"/>
        </w:rPr>
        <w:t>The price closed 1.50 below a falling 20-day (1.60), a flat 50-day (1.62) and a flat 200-day (1.62). Momentum is washed out: RSI(14) is ~29 and the daily ATR near 0.03 (~2.3%) points to a normal tape. MACD (12·26·9) is negative and still falling (−0.02 / −0.01 / −0.01). The 50-day crossed above the 200-day 16 sessions ago — a fresh golden-cross, a momentum-regime change rather than noise inside an intact trend. Over the last year it has ranged 1.48–1.96; the last close sits 23% below that high and 1% above that low.</w:t>
      </w:r>
    </w:p>
    <w:p>
      <w:pPr>
        <w:spacing w:after="200" w:before="0"/>
      </w:pPr>
      <w:r>
        <w:rPr>
          <w:b w:val="0"/>
          <w:i w:val="0"/>
          <w:color w:val="1C3A36"/>
          <w:sz w:val="21"/>
        </w:rPr>
        <w:t>One configuration deserves its own sentence: the 50-session average crossed ABOVE the 200-session 16 sessions ago — a golden cross, conventionally a regime-change signal — and it sits oddly against a price that has since sold off below the whole stack. The cross reflects the spring recovery from the war trough; the sell-off is the August earnings reaction. When a trend signal and the tape disagree this directly, the tape is the fresher fact. A daily close back above 1.56 would clear the nearest resistance and open the 1.68 zone. A close below 1.47 would break the nearest support and open the 1.30 zone.</w:t>
      </w:r>
    </w:p>
    <w:p>
      <w:pPr>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not what the business is worth, but where the share price could plausibly trade in one and three months given how this share actually moves. Fifty thousand price paths are simulated from a volatility model fitted to the daily trading range, with a fat-tailed shock distribution and a drift anchored to the cost of carry — the local deposit rate less the 5.8% dividend yield, which is why the median path sits a shade below spot. It carries no directional view, and it is never blended with the fair-value work above.</w:t>
      </w:r>
    </w:p>
    <w:p>
      <w:pPr>
        <w:spacing w:after="120" w:before="0"/>
      </w:pPr>
      <w:r>
        <w:rPr>
          <w:b w:val="0"/>
          <w:i w:val="0"/>
          <w:color w:val="1C3A36"/>
          <w:sz w:val="21"/>
        </w:rPr>
        <w:t>The widths are calibrated rather than assumed, and the evidence is stated plainly. The probability bands are calibrated on the UAE market panel (18 names, walk-forward tested with each forecast made using only data available before it); the panel's forecast accuracy is statistically indistinguishable from — marginally ahead of — a benchmark random walk anchored on the same cost of carry. For Empower itself only 10 non-overlapping three-month windows exist since the late-2022 listing. On those windows every realised outcome fell INSIDE the 80% band, and the centring is clean (the average percentile of the realised outcomes was 0.46, statistically uniform on the standard tests). The bands as published are, if anywhere, conservative — about 28% wider than this stock's own short history would warrant, and that width has a cost: on those same windows the bands scored a few percent behind the benchmark on average sharpness, the price of never missing. A reader should treat the intervals as honest but wide.</w:t>
      </w:r>
    </w:p>
    <w:p>
      <w:pPr>
        <w:spacing w:after="40"/>
        <w:jc w:val="center"/>
      </w:pPr>
      <w:r>
        <w:drawing>
          <wp:inline xmlns:a="http://schemas.openxmlformats.org/drawingml/2006/main" xmlns:pic="http://schemas.openxmlformats.org/drawingml/2006/picture">
            <wp:extent cx="6400800" cy="2873829"/>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400800" cy="2873829"/>
                    </a:xfrm>
                    <a:prstGeom prst="rect"/>
                  </pic:spPr>
                </pic:pic>
              </a:graphicData>
            </a:graphic>
          </wp:inline>
        </w:drawing>
      </w:r>
    </w:p>
    <w:p>
      <w:pPr>
        <w:spacing w:after="200" w:before="0"/>
      </w:pPr>
      <w:r>
        <w:rPr>
          <w:b w:val="0"/>
          <w:i/>
          <w:color w:val="6E7B77"/>
          <w:sz w:val="17"/>
        </w:rPr>
        <w:t>Figure 6 — the forward price cone to three months. The dashed lines mark the fundamental central estimates (2.250 and 2.139); the dotted line is the spot of 1.50.</w:t>
      </w:r>
    </w:p>
    <w:p>
      <w:pPr>
        <w:spacing w:after="80" w:before="200"/>
      </w:pPr>
      <w:r>
        <w:rPr>
          <w:b/>
          <w:i w:val="0"/>
          <w:color w:val="1C3A36"/>
          <w:sz w:val="24"/>
        </w:rPr>
        <w:t>Percentile map (AED/share)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152"/>
        <w:gridCol w:w="1152"/>
        <w:gridCol w:w="1152"/>
        <w:gridCol w:w="1152"/>
        <w:gridCol w:w="1152"/>
        <w:gridCol w:w="1800"/>
      </w:tblGrid>
      <w:tr>
        <w:tc>
          <w:tcPr>
            <w:tcW w:type="dxa" w:w="2520"/>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800"/>
            <w:shd w:val="clear" w:color="auto" w:fill="EAF0EE"/>
          </w:tcPr>
          <w:p>
            <w:pPr>
              <w:spacing w:after="20"/>
            </w:pPr>
            <w:r>
              <w:rPr>
                <w:b/>
                <w:color w:val="1C3A36"/>
                <w:sz w:val="17"/>
              </w:rPr>
              <w:t>Probability above spot</w:t>
            </w:r>
          </w:p>
        </w:tc>
      </w:tr>
      <w:tr>
        <w:tc>
          <w:tcPr>
            <w:tcW w:type="dxa" w:w="2520"/>
          </w:tcPr>
          <w:p>
            <w:pPr>
              <w:spacing w:after="20"/>
            </w:pPr>
            <w:r>
              <w:rPr>
                <w:color w:val="1C3A36"/>
                <w:sz w:val="17"/>
              </w:rPr>
              <w:t>1 month (to 2026-09-07)</w:t>
            </w:r>
          </w:p>
        </w:tc>
        <w:tc>
          <w:tcPr>
            <w:tcW w:type="dxa" w:w="1152"/>
          </w:tcPr>
          <w:p>
            <w:pPr>
              <w:spacing w:after="20"/>
              <w:jc w:val="right"/>
            </w:pPr>
            <w:r>
              <w:rPr>
                <w:color w:val="1C3A36"/>
                <w:sz w:val="17"/>
              </w:rPr>
              <w:t>1.31</w:t>
            </w:r>
          </w:p>
        </w:tc>
        <w:tc>
          <w:tcPr>
            <w:tcW w:type="dxa" w:w="1152"/>
          </w:tcPr>
          <w:p>
            <w:pPr>
              <w:spacing w:after="20"/>
              <w:jc w:val="right"/>
            </w:pPr>
            <w:r>
              <w:rPr>
                <w:color w:val="1C3A36"/>
                <w:sz w:val="17"/>
              </w:rPr>
              <w:t>1.42</w:t>
            </w:r>
          </w:p>
        </w:tc>
        <w:tc>
          <w:tcPr>
            <w:tcW w:type="dxa" w:w="1152"/>
          </w:tcPr>
          <w:p>
            <w:pPr>
              <w:spacing w:after="20"/>
              <w:jc w:val="right"/>
            </w:pPr>
            <w:r>
              <w:rPr>
                <w:color w:val="1C3A36"/>
                <w:sz w:val="17"/>
              </w:rPr>
              <w:t>1.50</w:t>
            </w:r>
          </w:p>
        </w:tc>
        <w:tc>
          <w:tcPr>
            <w:tcW w:type="dxa" w:w="1152"/>
          </w:tcPr>
          <w:p>
            <w:pPr>
              <w:spacing w:after="20"/>
              <w:jc w:val="right"/>
            </w:pPr>
            <w:r>
              <w:rPr>
                <w:color w:val="1C3A36"/>
                <w:sz w:val="17"/>
              </w:rPr>
              <w:t>1.58</w:t>
            </w:r>
          </w:p>
        </w:tc>
        <w:tc>
          <w:tcPr>
            <w:tcW w:type="dxa" w:w="1152"/>
          </w:tcPr>
          <w:p>
            <w:pPr>
              <w:spacing w:after="20"/>
              <w:jc w:val="right"/>
            </w:pPr>
            <w:r>
              <w:rPr>
                <w:color w:val="1C3A36"/>
                <w:sz w:val="17"/>
              </w:rPr>
              <w:t>1.71</w:t>
            </w:r>
          </w:p>
        </w:tc>
        <w:tc>
          <w:tcPr>
            <w:tcW w:type="dxa" w:w="1800"/>
          </w:tcPr>
          <w:p>
            <w:pPr>
              <w:spacing w:after="20"/>
              <w:jc w:val="right"/>
            </w:pPr>
            <w:r>
              <w:rPr>
                <w:color w:val="1C3A36"/>
                <w:sz w:val="17"/>
              </w:rPr>
              <w:t>49%</w:t>
            </w:r>
          </w:p>
        </w:tc>
      </w:tr>
      <w:tr>
        <w:tc>
          <w:tcPr>
            <w:tcW w:type="dxa" w:w="2520"/>
          </w:tcPr>
          <w:p>
            <w:pPr>
              <w:spacing w:after="20"/>
            </w:pPr>
            <w:r>
              <w:rPr>
                <w:color w:val="1C3A36"/>
                <w:sz w:val="17"/>
              </w:rPr>
              <w:t>3 months (to 2026-11-09)</w:t>
            </w:r>
          </w:p>
        </w:tc>
        <w:tc>
          <w:tcPr>
            <w:tcW w:type="dxa" w:w="1152"/>
          </w:tcPr>
          <w:p>
            <w:pPr>
              <w:spacing w:after="20"/>
              <w:jc w:val="right"/>
            </w:pPr>
            <w:r>
              <w:rPr>
                <w:color w:val="1C3A36"/>
                <w:sz w:val="17"/>
              </w:rPr>
              <w:t>1.16</w:t>
            </w:r>
          </w:p>
        </w:tc>
        <w:tc>
          <w:tcPr>
            <w:tcW w:type="dxa" w:w="1152"/>
          </w:tcPr>
          <w:p>
            <w:pPr>
              <w:spacing w:after="20"/>
              <w:jc w:val="right"/>
            </w:pPr>
            <w:r>
              <w:rPr>
                <w:color w:val="1C3A36"/>
                <w:sz w:val="17"/>
              </w:rPr>
              <w:t>1.36</w:t>
            </w:r>
          </w:p>
        </w:tc>
        <w:tc>
          <w:tcPr>
            <w:tcW w:type="dxa" w:w="1152"/>
          </w:tcPr>
          <w:p>
            <w:pPr>
              <w:spacing w:after="20"/>
              <w:jc w:val="right"/>
            </w:pPr>
            <w:r>
              <w:rPr>
                <w:color w:val="1C3A36"/>
                <w:sz w:val="17"/>
              </w:rPr>
              <w:t>1.49</w:t>
            </w:r>
          </w:p>
        </w:tc>
        <w:tc>
          <w:tcPr>
            <w:tcW w:type="dxa" w:w="1152"/>
          </w:tcPr>
          <w:p>
            <w:pPr>
              <w:spacing w:after="20"/>
              <w:jc w:val="right"/>
            </w:pPr>
            <w:r>
              <w:rPr>
                <w:color w:val="1C3A36"/>
                <w:sz w:val="17"/>
              </w:rPr>
              <w:t>1.64</w:t>
            </w:r>
          </w:p>
        </w:tc>
        <w:tc>
          <w:tcPr>
            <w:tcW w:type="dxa" w:w="1152"/>
          </w:tcPr>
          <w:p>
            <w:pPr>
              <w:spacing w:after="20"/>
              <w:jc w:val="right"/>
            </w:pPr>
            <w:r>
              <w:rPr>
                <w:color w:val="1C3A36"/>
                <w:sz w:val="17"/>
              </w:rPr>
              <w:t>1.92</w:t>
            </w:r>
          </w:p>
        </w:tc>
        <w:tc>
          <w:tcPr>
            <w:tcW w:type="dxa" w:w="1800"/>
          </w:tcPr>
          <w:p>
            <w:pPr>
              <w:spacing w:after="20"/>
              <w:jc w:val="right"/>
            </w:pPr>
            <w:r>
              <w:rPr>
                <w:color w:val="1C3A36"/>
                <w:sz w:val="17"/>
              </w:rPr>
              <w:t>49%</w:t>
            </w:r>
          </w:p>
        </w:tc>
      </w:tr>
    </w:tbl>
    <w:p>
      <w:pPr>
        <w:spacing w:after="40"/>
      </w:pPr>
    </w:p>
    <w:p>
      <w:pPr>
        <w:spacing w:after="40"/>
        <w:jc w:val="center"/>
      </w:pPr>
      <w:r>
        <w:drawing>
          <wp:inline xmlns:a="http://schemas.openxmlformats.org/drawingml/2006/main" xmlns:pic="http://schemas.openxmlformats.org/drawingml/2006/picture">
            <wp:extent cx="4846320" cy="2085045"/>
            <wp:docPr id="7" name="Picture 7"/>
            <wp:cNvGraphicFramePr>
              <a:graphicFrameLocks noChangeAspect="1"/>
            </wp:cNvGraphicFramePr>
            <a:graphic>
              <a:graphicData uri="http://schemas.openxmlformats.org/drawingml/2006/picture">
                <pic:pic>
                  <pic:nvPicPr>
                    <pic:cNvPr id="0" name="fig5_dist.png"/>
                    <pic:cNvPicPr/>
                  </pic:nvPicPr>
                  <pic:blipFill>
                    <a:blip r:embed="rId15"/>
                    <a:stretch>
                      <a:fillRect/>
                    </a:stretch>
                  </pic:blipFill>
                  <pic:spPr>
                    <a:xfrm>
                      <a:off x="0" y="0"/>
                      <a:ext cx="4846320" cy="2085045"/>
                    </a:xfrm>
                    <a:prstGeom prst="rect"/>
                  </pic:spPr>
                </pic:pic>
              </a:graphicData>
            </a:graphic>
          </wp:inline>
        </w:drawing>
      </w:r>
    </w:p>
    <w:p>
      <w:pPr>
        <w:spacing w:after="200" w:before="0"/>
      </w:pPr>
      <w:r>
        <w:rPr>
          <w:b w:val="0"/>
          <w:i/>
          <w:color w:val="6E7B77"/>
          <w:sz w:val="17"/>
        </w:rPr>
        <w:t>Figure 7 — the one-month price distribution.</w:t>
      </w:r>
    </w:p>
    <w:p>
      <w:pPr>
        <w:spacing w:after="40"/>
        <w:jc w:val="center"/>
      </w:pPr>
      <w:r>
        <w:drawing>
          <wp:inline xmlns:a="http://schemas.openxmlformats.org/drawingml/2006/main" xmlns:pic="http://schemas.openxmlformats.org/drawingml/2006/picture">
            <wp:extent cx="4846320" cy="2085045"/>
            <wp:docPr id="8" name="Picture 8"/>
            <wp:cNvGraphicFramePr>
              <a:graphicFrameLocks noChangeAspect="1"/>
            </wp:cNvGraphicFramePr>
            <a:graphic>
              <a:graphicData uri="http://schemas.openxmlformats.org/drawingml/2006/picture">
                <pic:pic>
                  <pic:nvPicPr>
                    <pic:cNvPr id="0" name="fig6_dist.png"/>
                    <pic:cNvPicPr/>
                  </pic:nvPicPr>
                  <pic:blipFill>
                    <a:blip r:embed="rId16"/>
                    <a:stretch>
                      <a:fillRect/>
                    </a:stretch>
                  </pic:blipFill>
                  <pic:spPr>
                    <a:xfrm>
                      <a:off x="0" y="0"/>
                      <a:ext cx="4846320" cy="2085045"/>
                    </a:xfrm>
                    <a:prstGeom prst="rect"/>
                  </pic:spPr>
                </pic:pic>
              </a:graphicData>
            </a:graphic>
          </wp:inline>
        </w:drawing>
      </w:r>
    </w:p>
    <w:p>
      <w:pPr>
        <w:spacing w:after="200" w:before="0"/>
      </w:pPr>
      <w:r>
        <w:rPr>
          <w:b w:val="0"/>
          <w:i/>
          <w:color w:val="6E7B77"/>
          <w:sz w:val="17"/>
        </w:rPr>
        <w:t>Figure 8 — the three-month price distribution.</w:t>
      </w:r>
    </w:p>
    <w:p>
      <w:pPr>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c>
          <w:tcPr>
            <w:tcW w:type="dxa" w:w="4752"/>
            <w:shd w:val="clear" w:color="auto" w:fill="EAF0EE"/>
          </w:tcPr>
          <w:p>
            <w:pPr>
              <w:spacing w:after="20"/>
            </w:pPr>
            <w:r>
              <w:rPr>
                <w:b/>
                <w:color w:val="1C3A36"/>
                <w:sz w:val="17"/>
              </w:rPr>
              <w:t>Event</w:t>
            </w:r>
          </w:p>
        </w:tc>
        <w:tc>
          <w:tcPr>
            <w:tcW w:type="dxa" w:w="1944"/>
            <w:shd w:val="clear" w:color="auto" w:fill="EAF0EE"/>
          </w:tcPr>
          <w:p>
            <w:pPr>
              <w:spacing w:after="20"/>
            </w:pPr>
            <w:r>
              <w:rPr>
                <w:b/>
                <w:color w:val="1C3A36"/>
                <w:sz w:val="17"/>
              </w:rPr>
              <w:t>1 month</w:t>
            </w:r>
          </w:p>
        </w:tc>
        <w:tc>
          <w:tcPr>
            <w:tcW w:type="dxa" w:w="1944"/>
            <w:shd w:val="clear" w:color="auto" w:fill="EAF0EE"/>
          </w:tcPr>
          <w:p>
            <w:pPr>
              <w:spacing w:after="20"/>
            </w:pPr>
            <w:r>
              <w:rPr>
                <w:b/>
                <w:color w:val="1C3A36"/>
                <w:sz w:val="17"/>
              </w:rPr>
              <w:t>3 months</w:t>
            </w:r>
          </w:p>
        </w:tc>
      </w:tr>
      <w:tr>
        <w:tc>
          <w:tcPr>
            <w:tcW w:type="dxa" w:w="4752"/>
          </w:tcPr>
          <w:p>
            <w:pPr>
              <w:spacing w:after="20"/>
            </w:pPr>
            <w:r>
              <w:rPr>
                <w:color w:val="1C3A36"/>
                <w:sz w:val="17"/>
              </w:rPr>
              <w:t>Finishes 10% or more above spot</w:t>
            </w:r>
          </w:p>
        </w:tc>
        <w:tc>
          <w:tcPr>
            <w:tcW w:type="dxa" w:w="1944"/>
          </w:tcPr>
          <w:p>
            <w:pPr>
              <w:spacing w:after="20"/>
              <w:jc w:val="right"/>
            </w:pPr>
            <w:r>
              <w:rPr>
                <w:color w:val="1C3A36"/>
                <w:sz w:val="17"/>
              </w:rPr>
              <w:t>11%</w:t>
            </w:r>
          </w:p>
        </w:tc>
        <w:tc>
          <w:tcPr>
            <w:tcW w:type="dxa" w:w="1944"/>
          </w:tcPr>
          <w:p>
            <w:pPr>
              <w:spacing w:after="20"/>
              <w:jc w:val="right"/>
            </w:pPr>
            <w:r>
              <w:rPr>
                <w:color w:val="1C3A36"/>
                <w:sz w:val="17"/>
              </w:rPr>
              <w:t>24%</w:t>
            </w:r>
          </w:p>
        </w:tc>
      </w:tr>
      <w:tr>
        <w:tc>
          <w:tcPr>
            <w:tcW w:type="dxa" w:w="4752"/>
          </w:tcPr>
          <w:p>
            <w:pPr>
              <w:spacing w:after="20"/>
            </w:pPr>
            <w:r>
              <w:rPr>
                <w:color w:val="1C3A36"/>
                <w:sz w:val="17"/>
              </w:rPr>
              <w:t>Finishes 10% or more below spot</w:t>
            </w:r>
          </w:p>
        </w:tc>
        <w:tc>
          <w:tcPr>
            <w:tcW w:type="dxa" w:w="1944"/>
          </w:tcPr>
          <w:p>
            <w:pPr>
              <w:spacing w:after="20"/>
              <w:jc w:val="right"/>
            </w:pPr>
            <w:r>
              <w:rPr>
                <w:color w:val="1C3A36"/>
                <w:sz w:val="17"/>
              </w:rPr>
              <w:t>10%</w:t>
            </w:r>
          </w:p>
        </w:tc>
        <w:tc>
          <w:tcPr>
            <w:tcW w:type="dxa" w:w="1944"/>
          </w:tcPr>
          <w:p>
            <w:pPr>
              <w:spacing w:after="20"/>
              <w:jc w:val="right"/>
            </w:pPr>
            <w:r>
              <w:rPr>
                <w:color w:val="1C3A36"/>
                <w:sz w:val="17"/>
              </w:rPr>
              <w:t>24%</w:t>
            </w:r>
          </w:p>
        </w:tc>
      </w:tr>
      <w:tr>
        <w:tc>
          <w:tcPr>
            <w:tcW w:type="dxa" w:w="4752"/>
          </w:tcPr>
          <w:p>
            <w:pPr>
              <w:spacing w:after="20"/>
            </w:pPr>
            <w:r>
              <w:rPr>
                <w:color w:val="1C3A36"/>
                <w:sz w:val="17"/>
              </w:rPr>
              <w:t>Touches 10% above spot at any point</w:t>
            </w:r>
          </w:p>
        </w:tc>
        <w:tc>
          <w:tcPr>
            <w:tcW w:type="dxa" w:w="1944"/>
          </w:tcPr>
          <w:p>
            <w:pPr>
              <w:spacing w:after="20"/>
              <w:jc w:val="right"/>
            </w:pPr>
            <w:r>
              <w:rPr>
                <w:color w:val="1C3A36"/>
                <w:sz w:val="17"/>
              </w:rPr>
              <w:t>18%</w:t>
            </w:r>
          </w:p>
        </w:tc>
        <w:tc>
          <w:tcPr>
            <w:tcW w:type="dxa" w:w="1944"/>
          </w:tcPr>
          <w:p>
            <w:pPr>
              <w:spacing w:after="20"/>
              <w:jc w:val="right"/>
            </w:pPr>
            <w:r>
              <w:rPr>
                <w:color w:val="1C3A36"/>
                <w:sz w:val="17"/>
              </w:rPr>
              <w:t>45%</w:t>
            </w:r>
          </w:p>
        </w:tc>
      </w:tr>
      <w:tr>
        <w:tc>
          <w:tcPr>
            <w:tcW w:type="dxa" w:w="4752"/>
          </w:tcPr>
          <w:p>
            <w:pPr>
              <w:spacing w:after="20"/>
            </w:pPr>
            <w:r>
              <w:rPr>
                <w:color w:val="1C3A36"/>
                <w:sz w:val="17"/>
              </w:rPr>
              <w:t>Touches 10% below spot at any point</w:t>
            </w:r>
          </w:p>
        </w:tc>
        <w:tc>
          <w:tcPr>
            <w:tcW w:type="dxa" w:w="1944"/>
          </w:tcPr>
          <w:p>
            <w:pPr>
              <w:spacing w:after="20"/>
              <w:jc w:val="right"/>
            </w:pPr>
            <w:r>
              <w:rPr>
                <w:color w:val="1C3A36"/>
                <w:sz w:val="17"/>
              </w:rPr>
              <w:t>16%</w:t>
            </w:r>
          </w:p>
        </w:tc>
        <w:tc>
          <w:tcPr>
            <w:tcW w:type="dxa" w:w="1944"/>
          </w:tcPr>
          <w:p>
            <w:pPr>
              <w:spacing w:after="20"/>
              <w:jc w:val="right"/>
            </w:pPr>
            <w:r>
              <w:rPr>
                <w:color w:val="1C3A36"/>
                <w:sz w:val="17"/>
              </w:rPr>
              <w:t>43%</w:t>
            </w:r>
          </w:p>
        </w:tc>
      </w:tr>
    </w:tbl>
    <w:p>
      <w:pPr>
        <w:spacing w:after="40"/>
      </w:pPr>
    </w:p>
    <w:p>
      <w:pPr>
        <w:spacing w:after="200" w:before="0"/>
      </w:pPr>
      <w:r>
        <w:rPr>
          <w:b w:val="0"/>
          <w:i/>
          <w:color w:val="6E7B77"/>
          <w:sz w:val="17"/>
        </w:rPr>
        <w:t>Touch probabilities exceed finish probabilities because a path can visit a level and come back. The anchor volatility is about 32% annualised — elevated for a regulated utility, which is itself a statement about the conflict regime the share is trading in.</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312"/>
        <w:gridCol w:w="4104"/>
      </w:tblGrid>
      <w:tr>
        <w:tc>
          <w:tcPr>
            <w:tcW w:type="dxa" w:w="2664"/>
            <w:shd w:val="clear" w:color="auto" w:fill="EAF0EE"/>
          </w:tcPr>
          <w:p>
            <w:pPr>
              <w:spacing w:after="20"/>
            </w:pPr>
            <w:r>
              <w:rPr>
                <w:b/>
                <w:color w:val="1C3A36"/>
                <w:sz w:val="16"/>
              </w:rPr>
              <w:t>Read</w:t>
            </w:r>
          </w:p>
        </w:tc>
        <w:tc>
          <w:tcPr>
            <w:tcW w:type="dxa" w:w="3312"/>
            <w:shd w:val="clear" w:color="auto" w:fill="EAF0EE"/>
          </w:tcPr>
          <w:p>
            <w:pPr>
              <w:spacing w:after="20"/>
            </w:pPr>
            <w:r>
              <w:rPr>
                <w:b/>
                <w:color w:val="1C3A36"/>
                <w:sz w:val="16"/>
              </w:rPr>
              <w:t>What it says</w:t>
            </w:r>
          </w:p>
        </w:tc>
        <w:tc>
          <w:tcPr>
            <w:tcW w:type="dxa" w:w="4104"/>
            <w:shd w:val="clear" w:color="auto" w:fill="EAF0EE"/>
          </w:tcPr>
          <w:p>
            <w:pPr>
              <w:spacing w:after="20"/>
            </w:pPr>
            <w:r>
              <w:rPr>
                <w:b/>
                <w:color w:val="1C3A36"/>
                <w:sz w:val="16"/>
              </w:rPr>
              <w:t>What it assumes</w:t>
            </w:r>
          </w:p>
        </w:tc>
      </w:tr>
      <w:tr>
        <w:tc>
          <w:tcPr>
            <w:tcW w:type="dxa" w:w="2664"/>
          </w:tcPr>
          <w:p>
            <w:pPr>
              <w:spacing w:after="20"/>
            </w:pPr>
            <w:r>
              <w:rPr>
                <w:color w:val="1C3A36"/>
                <w:sz w:val="16"/>
              </w:rPr>
              <w:t>Cash flow (primary)</w:t>
            </w:r>
          </w:p>
        </w:tc>
        <w:tc>
          <w:tcPr>
            <w:tcW w:type="dxa" w:w="3312"/>
          </w:tcPr>
          <w:p>
            <w:pPr>
              <w:spacing w:after="20"/>
              <w:jc w:val="right"/>
            </w:pPr>
            <w:r>
              <w:rPr>
                <w:color w:val="1C3A36"/>
                <w:sz w:val="16"/>
              </w:rPr>
              <w:t>AED 2.664 / 2.483 by tax framing, +78% / +66% against the market</w:t>
            </w:r>
          </w:p>
        </w:tc>
        <w:tc>
          <w:tcPr>
            <w:tcW w:type="dxa" w:w="4104"/>
          </w:tcPr>
          <w:p>
            <w:pPr>
              <w:spacing w:after="20"/>
              <w:jc w:val="right"/>
            </w:pPr>
            <w:r>
              <w:rPr>
                <w:color w:val="1C3A36"/>
                <w:sz w:val="16"/>
              </w:rPr>
              <w:t>the tariff stays flat but is not cut; the contracted backlog connects; the crux recovers (and barely matters if it does not)</w:t>
            </w:r>
          </w:p>
        </w:tc>
      </w:tr>
      <w:tr>
        <w:tc>
          <w:tcPr>
            <w:tcW w:type="dxa" w:w="2664"/>
          </w:tcPr>
          <w:p>
            <w:pPr>
              <w:spacing w:after="20"/>
            </w:pPr>
            <w:r>
              <w:rPr>
                <w:color w:val="1C3A36"/>
                <w:sz w:val="16"/>
              </w:rPr>
              <w:t>Weighted central</w:t>
            </w:r>
          </w:p>
        </w:tc>
        <w:tc>
          <w:tcPr>
            <w:tcW w:type="dxa" w:w="3312"/>
          </w:tcPr>
          <w:p>
            <w:pPr>
              <w:spacing w:after="20"/>
              <w:jc w:val="right"/>
            </w:pPr>
            <w:r>
              <w:rPr>
                <w:color w:val="1C3A36"/>
                <w:sz w:val="16"/>
              </w:rPr>
              <w:t>AED 2.250 / 2.139, +50% / +43%</w:t>
            </w:r>
          </w:p>
        </w:tc>
        <w:tc>
          <w:tcPr>
            <w:tcW w:type="dxa" w:w="4104"/>
          </w:tcPr>
          <w:p>
            <w:pPr>
              <w:spacing w:after="20"/>
              <w:jc w:val="right"/>
            </w:pPr>
            <w:r>
              <w:rPr>
                <w:color w:val="1C3A36"/>
                <w:sz w:val="16"/>
              </w:rPr>
              <w:t>a fifth of the weight deliberately given to today's war-discounted market regime through the relative lens</w:t>
            </w:r>
          </w:p>
        </w:tc>
      </w:tr>
      <w:tr>
        <w:tc>
          <w:tcPr>
            <w:tcW w:type="dxa" w:w="2664"/>
          </w:tcPr>
          <w:p>
            <w:pPr>
              <w:spacing w:after="20"/>
            </w:pPr>
            <w:r>
              <w:rPr>
                <w:color w:val="1C3A36"/>
                <w:sz w:val="16"/>
              </w:rPr>
              <w:t>Relative multiples</w:t>
            </w:r>
          </w:p>
        </w:tc>
        <w:tc>
          <w:tcPr>
            <w:tcW w:type="dxa" w:w="3312"/>
          </w:tcPr>
          <w:p>
            <w:pPr>
              <w:spacing w:after="20"/>
              <w:jc w:val="right"/>
            </w:pPr>
            <w:r>
              <w:rPr>
                <w:color w:val="1C3A36"/>
                <w:sz w:val="16"/>
              </w:rPr>
              <w:t>AED 1.536, +2%</w:t>
            </w:r>
          </w:p>
        </w:tc>
        <w:tc>
          <w:tcPr>
            <w:tcW w:type="dxa" w:w="4104"/>
          </w:tcPr>
          <w:p>
            <w:pPr>
              <w:spacing w:after="20"/>
              <w:jc w:val="right"/>
            </w:pPr>
            <w:r>
              <w:rPr>
                <w:color w:val="1C3A36"/>
                <w:sz w:val="16"/>
              </w:rPr>
              <w:t>the current GCC utility pricing regime is the right regime to capitalise</w:t>
            </w:r>
          </w:p>
        </w:tc>
      </w:tr>
      <w:tr>
        <w:tc>
          <w:tcPr>
            <w:tcW w:type="dxa" w:w="2664"/>
          </w:tcPr>
          <w:p>
            <w:pPr>
              <w:spacing w:after="20"/>
            </w:pPr>
            <w:r>
              <w:rPr>
                <w:color w:val="1C3A36"/>
                <w:sz w:val="16"/>
              </w:rPr>
              <w:t>The market</w:t>
            </w:r>
          </w:p>
        </w:tc>
        <w:tc>
          <w:tcPr>
            <w:tcW w:type="dxa" w:w="3312"/>
          </w:tcPr>
          <w:p>
            <w:pPr>
              <w:spacing w:after="20"/>
              <w:jc w:val="right"/>
            </w:pPr>
            <w:r>
              <w:rPr>
                <w:color w:val="1C3A36"/>
                <w:sz w:val="16"/>
              </w:rPr>
              <w:t>1.50</w:t>
            </w:r>
          </w:p>
        </w:tc>
        <w:tc>
          <w:tcPr>
            <w:tcW w:type="dxa" w:w="4104"/>
          </w:tcPr>
          <w:p>
            <w:pPr>
              <w:spacing w:after="20"/>
              <w:jc w:val="right"/>
            </w:pPr>
            <w:r>
              <w:rPr>
                <w:color w:val="1C3A36"/>
                <w:sz w:val="16"/>
              </w:rPr>
              <w:t>revealed preference of the marginal seller in a conflict summer, after a weak volume quarter</w:t>
            </w:r>
          </w:p>
        </w:tc>
      </w:tr>
      <w:tr>
        <w:tc>
          <w:tcPr>
            <w:tcW w:type="dxa" w:w="2664"/>
          </w:tcPr>
          <w:p>
            <w:pPr>
              <w:spacing w:after="20"/>
            </w:pPr>
            <w:r>
              <w:rPr>
                <w:color w:val="1C3A36"/>
                <w:sz w:val="16"/>
              </w:rPr>
              <w:t>DEWA control purchase (reference)</w:t>
            </w:r>
          </w:p>
        </w:tc>
        <w:tc>
          <w:tcPr>
            <w:tcW w:type="dxa" w:w="3312"/>
          </w:tcPr>
          <w:p>
            <w:pPr>
              <w:spacing w:after="20"/>
              <w:jc w:val="right"/>
            </w:pPr>
            <w:r>
              <w:rPr>
                <w:color w:val="1C3A36"/>
                <w:sz w:val="16"/>
              </w:rPr>
              <w:t>AED 2.16, +44% above spot</w:t>
            </w:r>
          </w:p>
        </w:tc>
        <w:tc>
          <w:tcPr>
            <w:tcW w:type="dxa" w:w="4104"/>
          </w:tcPr>
          <w:p>
            <w:pPr>
              <w:spacing w:after="20"/>
              <w:jc w:val="right"/>
            </w:pPr>
            <w:r>
              <w:rPr>
                <w:color w:val="1C3A36"/>
                <w:sz w:val="16"/>
              </w:rPr>
              <w:t>what the controlling shareholder paid a related party for control economics in February — bounds the question from above, proves nothing about minority value</w:t>
            </w:r>
          </w:p>
        </w:tc>
      </w:tr>
      <w:tr>
        <w:tc>
          <w:tcPr>
            <w:tcW w:type="dxa" w:w="2664"/>
          </w:tcPr>
          <w:p>
            <w:pPr>
              <w:spacing w:after="20"/>
            </w:pPr>
            <w:r>
              <w:rPr>
                <w:color w:val="1C3A36"/>
                <w:sz w:val="16"/>
              </w:rPr>
              <w:t>Three-month price map</w:t>
            </w:r>
          </w:p>
        </w:tc>
        <w:tc>
          <w:tcPr>
            <w:tcW w:type="dxa" w:w="3312"/>
          </w:tcPr>
          <w:p>
            <w:pPr>
              <w:spacing w:after="20"/>
              <w:jc w:val="right"/>
            </w:pPr>
            <w:r>
              <w:rPr>
                <w:color w:val="1C3A36"/>
                <w:sz w:val="16"/>
              </w:rPr>
              <w:t>median 1.49, 49% chance of finishing above spot</w:t>
            </w:r>
          </w:p>
        </w:tc>
        <w:tc>
          <w:tcPr>
            <w:tcW w:type="dxa" w:w="4104"/>
          </w:tcPr>
          <w:p>
            <w:pPr>
              <w:spacing w:after="20"/>
              <w:jc w:val="right"/>
            </w:pPr>
            <w:r>
              <w:rPr>
                <w:color w:val="1C3A36"/>
                <w:sz w:val="16"/>
              </w:rPr>
              <w:t>volatility persists as it has; no view on value</w:t>
            </w:r>
          </w:p>
        </w:tc>
      </w:tr>
    </w:tbl>
    <w:p>
      <w:pPr>
        <w:spacing w:after="40"/>
      </w:pPr>
    </w:p>
    <w:p>
      <w:pPr>
        <w:spacing w:after="120" w:before="0"/>
      </w:pPr>
      <w:r>
        <w:rPr>
          <w:b w:val="0"/>
          <w:i w:val="0"/>
          <w:color w:val="1C3A36"/>
          <w:sz w:val="21"/>
        </w:rPr>
        <w:t>The reading we take from this: the market is pricing the consumption shock as if it were a structural impairment of the profit pool, and the cash-flow arithmetic says it is not — the pool sits in the contracted capacity charge, which grew through the war half. The genuine open questions are the ones the market prices less visibly: whether the 15% minimum tax reaches the company (0.181 per share, published as its own column), and whether the regulator's next tariff review stays flat (not priced — flagged as the model's single most valuable assumption). Between the 2.139 central under the harsher tax framing and the 1.50 market price lies the war discount itself; a reader who expects the conflict regime to persist should weight the relative lens harder, and the field published here lets them.</w:t>
      </w:r>
    </w:p>
    <w:p>
      <w:pPr>
        <w:spacing w:after="200" w:before="0"/>
      </w:pPr>
      <w:r>
        <w:rPr>
          <w:b w:val="0"/>
          <w:i w:val="0"/>
          <w:color w:val="1C3A36"/>
          <w:sz w:val="21"/>
        </w:rPr>
        <w:t>No rating and no price target is expressed here or anywhere else in this document. The output is a range and a distribution.</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960"/>
        <w:gridCol w:w="3960"/>
      </w:tblGrid>
      <w:tr>
        <w:tc>
          <w:tcPr>
            <w:tcW w:type="dxa" w:w="2160"/>
            <w:shd w:val="clear" w:color="auto" w:fill="EAF0EE"/>
          </w:tcPr>
          <w:p>
            <w:pPr>
              <w:spacing w:after="20"/>
            </w:pPr>
            <w:r>
              <w:rPr>
                <w:b/>
                <w:color w:val="1C3A36"/>
                <w:sz w:val="16"/>
              </w:rPr>
              <w:t>Catalyst</w:t>
            </w:r>
          </w:p>
        </w:tc>
        <w:tc>
          <w:tcPr>
            <w:tcW w:type="dxa" w:w="3960"/>
            <w:shd w:val="clear" w:color="auto" w:fill="EAF0EE"/>
          </w:tcPr>
          <w:p>
            <w:pPr>
              <w:spacing w:after="20"/>
            </w:pPr>
            <w:r>
              <w:rPr>
                <w:b/>
                <w:color w:val="1C3A36"/>
                <w:sz w:val="16"/>
              </w:rPr>
              <w:t>Why it matters</w:t>
            </w:r>
          </w:p>
        </w:tc>
        <w:tc>
          <w:tcPr>
            <w:tcW w:type="dxa" w:w="3960"/>
            <w:shd w:val="clear" w:color="auto" w:fill="EAF0EE"/>
          </w:tcPr>
          <w:p>
            <w:pPr>
              <w:spacing w:after="20"/>
            </w:pPr>
            <w:r>
              <w:rPr>
                <w:b/>
                <w:color w:val="1C3A36"/>
                <w:sz w:val="16"/>
              </w:rPr>
              <w:t>What to watch</w:t>
            </w:r>
          </w:p>
        </w:tc>
      </w:tr>
      <w:tr>
        <w:tc>
          <w:tcPr>
            <w:tcW w:type="dxa" w:w="2160"/>
          </w:tcPr>
          <w:p>
            <w:pPr>
              <w:spacing w:after="20"/>
            </w:pPr>
            <w:r>
              <w:rPr>
                <w:color w:val="1C3A36"/>
                <w:sz w:val="16"/>
              </w:rPr>
              <w:t>Truce durability</w:t>
            </w:r>
          </w:p>
        </w:tc>
        <w:tc>
          <w:tcPr>
            <w:tcW w:type="dxa" w:w="3960"/>
          </w:tcPr>
          <w:p>
            <w:pPr>
              <w:spacing w:after="20"/>
              <w:jc w:val="right"/>
            </w:pPr>
            <w:r>
              <w:rPr>
                <w:color w:val="1C3A36"/>
                <w:sz w:val="16"/>
              </w:rPr>
              <w:t>the whole 2026 demand shock transmits through hospitality occupancy; re-escalation onto UAE soil is the bear case, de-escalation unwinds the market's regime discount</w:t>
            </w:r>
          </w:p>
        </w:tc>
        <w:tc>
          <w:tcPr>
            <w:tcW w:type="dxa" w:w="3960"/>
          </w:tcPr>
          <w:p>
            <w:pPr>
              <w:spacing w:after="20"/>
              <w:jc w:val="right"/>
            </w:pPr>
            <w:r>
              <w:rPr>
                <w:color w:val="1C3A36"/>
                <w:sz w:val="16"/>
              </w:rPr>
              <w:t>incident tempo against the April ceasefire framework; any strike on Dubai infrastructure</w:t>
            </w:r>
          </w:p>
        </w:tc>
      </w:tr>
      <w:tr>
        <w:tc>
          <w:tcPr>
            <w:tcW w:type="dxa" w:w="2160"/>
          </w:tcPr>
          <w:p>
            <w:pPr>
              <w:spacing w:after="20"/>
            </w:pPr>
            <w:r>
              <w:rPr>
                <w:color w:val="1C3A36"/>
                <w:sz w:val="16"/>
              </w:rPr>
              <w:t>Third-quarter 2026 results (November)</w:t>
            </w:r>
          </w:p>
        </w:tc>
        <w:tc>
          <w:tcPr>
            <w:tcW w:type="dxa" w:w="3960"/>
          </w:tcPr>
          <w:p>
            <w:pPr>
              <w:spacing w:after="20"/>
              <w:jc w:val="right"/>
            </w:pPr>
            <w:r>
              <w:rPr>
                <w:color w:val="1C3A36"/>
                <w:sz w:val="16"/>
              </w:rPr>
              <w:t>the first FULL summer quarter carrying the consumption shock — the highest-usage months of the year</w:t>
            </w:r>
          </w:p>
        </w:tc>
        <w:tc>
          <w:tcPr>
            <w:tcW w:type="dxa" w:w="3960"/>
          </w:tcPr>
          <w:p>
            <w:pPr>
              <w:spacing w:after="20"/>
              <w:jc w:val="right"/>
            </w:pPr>
            <w:r>
              <w:rPr>
                <w:color w:val="1C3A36"/>
                <w:sz w:val="16"/>
              </w:rPr>
              <w:t>equivalent full-load hours against the 698-hour first-half print; whether capacity revenue keeps growing through it</w:t>
            </w:r>
          </w:p>
        </w:tc>
      </w:tr>
      <w:tr>
        <w:tc>
          <w:tcPr>
            <w:tcW w:type="dxa" w:w="2160"/>
          </w:tcPr>
          <w:p>
            <w:pPr>
              <w:spacing w:after="20"/>
            </w:pPr>
            <w:r>
              <w:rPr>
                <w:color w:val="1C3A36"/>
                <w:sz w:val="16"/>
              </w:rPr>
              <w:t>October dividend instalment</w:t>
            </w:r>
          </w:p>
        </w:tc>
        <w:tc>
          <w:tcPr>
            <w:tcW w:type="dxa" w:w="3960"/>
          </w:tcPr>
          <w:p>
            <w:pPr>
              <w:spacing w:after="20"/>
              <w:jc w:val="right"/>
            </w:pPr>
            <w:r>
              <w:rPr>
                <w:color w:val="1C3A36"/>
                <w:sz w:val="16"/>
              </w:rPr>
              <w:t>half the committed AED 875mn; the payout is covered almost exactly, so any hesitation is information</w:t>
            </w:r>
          </w:p>
        </w:tc>
        <w:tc>
          <w:tcPr>
            <w:tcW w:type="dxa" w:w="3960"/>
          </w:tcPr>
          <w:p>
            <w:pPr>
              <w:spacing w:after="20"/>
              <w:jc w:val="right"/>
            </w:pPr>
            <w:r>
              <w:rPr>
                <w:color w:val="1C3A36"/>
                <w:sz w:val="16"/>
              </w:rPr>
              <w:t>confirmation of the instalment and any wording change on the 2027 policy</w:t>
            </w:r>
          </w:p>
        </w:tc>
      </w:tr>
      <w:tr>
        <w:tc>
          <w:tcPr>
            <w:tcW w:type="dxa" w:w="2160"/>
          </w:tcPr>
          <w:p>
            <w:pPr>
              <w:spacing w:after="20"/>
            </w:pPr>
            <w:r>
              <w:rPr>
                <w:color w:val="1C3A36"/>
                <w:sz w:val="16"/>
              </w:rPr>
              <w:t>Minimum-tax clarification</w:t>
            </w:r>
          </w:p>
        </w:tc>
        <w:tc>
          <w:tcPr>
            <w:tcW w:type="dxa" w:w="3960"/>
          </w:tcPr>
          <w:p>
            <w:pPr>
              <w:spacing w:after="20"/>
              <w:jc w:val="right"/>
            </w:pPr>
            <w:r>
              <w:rPr>
                <w:color w:val="1C3A36"/>
                <w:sz w:val="16"/>
              </w:rPr>
              <w:t>whether DEWA-group consolidation sweeps Empower into the 15% regime — worth AED 0.181 per share on the primary lens, published here as its own column</w:t>
            </w:r>
          </w:p>
        </w:tc>
        <w:tc>
          <w:tcPr>
            <w:tcW w:type="dxa" w:w="3960"/>
          </w:tcPr>
          <w:p>
            <w:pPr>
              <w:spacing w:after="20"/>
              <w:jc w:val="right"/>
            </w:pPr>
            <w:r>
              <w:rPr>
                <w:color w:val="1C3A36"/>
                <w:sz w:val="16"/>
              </w:rPr>
              <w:t>Ministry of Finance guidance on domestic minimum top-up tax scope for government-group entities; the tax note of the 2026 annual filing</w:t>
            </w:r>
          </w:p>
        </w:tc>
      </w:tr>
      <w:tr>
        <w:tc>
          <w:tcPr>
            <w:tcW w:type="dxa" w:w="2160"/>
          </w:tcPr>
          <w:p>
            <w:pPr>
              <w:spacing w:after="20"/>
            </w:pPr>
            <w:r>
              <w:rPr>
                <w:color w:val="1C3A36"/>
                <w:sz w:val="16"/>
              </w:rPr>
              <w:t>Connection pace</w:t>
            </w:r>
          </w:p>
        </w:tc>
        <w:tc>
          <w:tcPr>
            <w:tcW w:type="dxa" w:w="3960"/>
          </w:tcPr>
          <w:p>
            <w:pPr>
              <w:spacing w:after="20"/>
              <w:jc w:val="right"/>
            </w:pPr>
            <w:r>
              <w:rPr>
                <w:color w:val="1C3A36"/>
                <w:sz w:val="16"/>
              </w:rPr>
              <w:t>the volume driver: guidance is 100–110k RT of 2026 connections against a 311k RT contracted backlog</w:t>
            </w:r>
          </w:p>
        </w:tc>
        <w:tc>
          <w:tcPr>
            <w:tcW w:type="dxa" w:w="3960"/>
          </w:tcPr>
          <w:p>
            <w:pPr>
              <w:spacing w:after="20"/>
              <w:jc w:val="right"/>
            </w:pPr>
            <w:r>
              <w:rPr>
                <w:color w:val="1C3A36"/>
                <w:sz w:val="16"/>
              </w:rPr>
              <w:t>connected and contracted capacity in each results deck; the fifth Business Bay plant award moving to construction</w:t>
            </w:r>
          </w:p>
        </w:tc>
      </w:tr>
      <w:tr>
        <w:tc>
          <w:tcPr>
            <w:tcW w:type="dxa" w:w="2160"/>
          </w:tcPr>
          <w:p>
            <w:pPr>
              <w:spacing w:after="20"/>
            </w:pPr>
            <w:r>
              <w:rPr>
                <w:color w:val="1C3A36"/>
                <w:sz w:val="16"/>
              </w:rPr>
              <w:t>The 2027 tariff round</w:t>
            </w:r>
          </w:p>
        </w:tc>
        <w:tc>
          <w:tcPr>
            <w:tcW w:type="dxa" w:w="3960"/>
          </w:tcPr>
          <w:p>
            <w:pPr>
              <w:spacing w:after="20"/>
              <w:jc w:val="right"/>
            </w:pPr>
            <w:r>
              <w:rPr>
                <w:color w:val="1C3A36"/>
                <w:sz w:val="16"/>
              </w:rPr>
              <w:t>the flat regulated tariff is the single most valuable assumption in the model; a cut at review would do what no consumption shock can</w:t>
            </w:r>
          </w:p>
        </w:tc>
        <w:tc>
          <w:tcPr>
            <w:tcW w:type="dxa" w:w="3960"/>
          </w:tcPr>
          <w:p>
            <w:pPr>
              <w:spacing w:after="20"/>
              <w:jc w:val="right"/>
            </w:pPr>
            <w:r>
              <w:rPr>
                <w:color w:val="1C3A36"/>
                <w:sz w:val="16"/>
              </w:rPr>
              <w:t>any Regulatory and Supervisory Bureau consultation or Executive Council resolution touching district-cooling tariffs</w:t>
            </w:r>
          </w:p>
        </w:tc>
      </w:tr>
      <w:tr>
        <w:tc>
          <w:tcPr>
            <w:tcW w:type="dxa" w:w="2160"/>
          </w:tcPr>
          <w:p>
            <w:pPr>
              <w:spacing w:after="20"/>
            </w:pPr>
            <w:r>
              <w:rPr>
                <w:color w:val="1C3A36"/>
                <w:sz w:val="16"/>
              </w:rPr>
              <w:t>DEWA's intentions at 80%</w:t>
            </w:r>
          </w:p>
        </w:tc>
        <w:tc>
          <w:tcPr>
            <w:tcW w:type="dxa" w:w="3960"/>
          </w:tcPr>
          <w:p>
            <w:pPr>
              <w:spacing w:after="20"/>
              <w:jc w:val="right"/>
            </w:pPr>
            <w:r>
              <w:rPr>
                <w:color w:val="1C3A36"/>
                <w:sz w:val="16"/>
              </w:rPr>
              <w:t>further buy-in or squeeze-out speculation is NOT modelled; what is real today is a thinner float, index-weight mechanics and reduced liquidity</w:t>
            </w:r>
          </w:p>
        </w:tc>
        <w:tc>
          <w:tcPr>
            <w:tcW w:type="dxa" w:w="3960"/>
          </w:tcPr>
          <w:p>
            <w:pPr>
              <w:spacing w:after="20"/>
              <w:jc w:val="right"/>
            </w:pPr>
            <w:r>
              <w:rPr>
                <w:color w:val="1C3A36"/>
                <w:sz w:val="16"/>
              </w:rPr>
              <w:t>any disclosure of stake changes; index-provider treatment of the reduced float</w:t>
            </w:r>
          </w:p>
        </w:tc>
      </w:tr>
    </w:tbl>
    <w:p>
      <w:pPr>
        <w:spacing w:after="40"/>
      </w:pPr>
    </w:p>
    <w:p>
      <w:pPr>
        <w:spacing w:after="120" w:before="280"/>
      </w:pPr>
      <w:r>
        <w:rPr>
          <w:b/>
          <w:i w:val="0"/>
          <w:color w:val="1C3A36"/>
          <w:sz w:val="30"/>
        </w:rPr>
        <w:t>6  Reading the probability zones</w:t>
      </w:r>
    </w:p>
    <w:p>
      <w:pPr>
        <w:spacing w:after="120" w:before="0"/>
      </w:pPr>
      <w:r>
        <w:rPr>
          <w:b w:val="0"/>
          <w:i w:val="0"/>
          <w:color w:val="1C3A36"/>
          <w:sz w:val="21"/>
        </w:rPr>
        <w:t>The three-month distribution has a median of 1.49 and a 5th-to-95th span of 1.16 to 1.92. Read the span honestly: the model considers a -22% move and a +28% move equally unremarkable tail outcomes over a single quarter of a conflict-regime tape.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520"/>
        <w:gridCol w:w="5040"/>
      </w:tblGrid>
      <w:tr>
        <w:tc>
          <w:tcPr>
            <w:tcW w:type="dxa" w:w="2520"/>
            <w:shd w:val="clear" w:color="auto" w:fill="EAF0EE"/>
          </w:tcPr>
          <w:p>
            <w:pPr>
              <w:spacing w:after="20"/>
            </w:pPr>
            <w:r>
              <w:rPr>
                <w:b/>
                <w:color w:val="1C3A36"/>
                <w:sz w:val="16"/>
              </w:rPr>
              <w:t>Zone</w:t>
            </w:r>
          </w:p>
        </w:tc>
        <w:tc>
          <w:tcPr>
            <w:tcW w:type="dxa" w:w="2520"/>
            <w:shd w:val="clear" w:color="auto" w:fill="EAF0EE"/>
          </w:tcPr>
          <w:p>
            <w:pPr>
              <w:spacing w:after="20"/>
            </w:pPr>
            <w:r>
              <w:rPr>
                <w:b/>
                <w:color w:val="1C3A36"/>
                <w:sz w:val="16"/>
              </w:rPr>
              <w:t>Three-month range (AED)</w:t>
            </w:r>
          </w:p>
        </w:tc>
        <w:tc>
          <w:tcPr>
            <w:tcW w:type="dxa" w:w="5040"/>
            <w:shd w:val="clear" w:color="auto" w:fill="EAF0EE"/>
          </w:tcPr>
          <w:p>
            <w:pPr>
              <w:spacing w:after="20"/>
            </w:pPr>
            <w:r>
              <w:rPr>
                <w:b/>
                <w:color w:val="1C3A36"/>
                <w:sz w:val="16"/>
              </w:rPr>
              <w:t>How to read it</w:t>
            </w:r>
          </w:p>
        </w:tc>
      </w:tr>
      <w:tr>
        <w:tc>
          <w:tcPr>
            <w:tcW w:type="dxa" w:w="2520"/>
          </w:tcPr>
          <w:p>
            <w:pPr>
              <w:spacing w:after="20"/>
            </w:pPr>
            <w:r>
              <w:rPr>
                <w:color w:val="1C3A36"/>
                <w:sz w:val="16"/>
              </w:rPr>
              <w:t>Lower tail</w:t>
            </w:r>
          </w:p>
        </w:tc>
        <w:tc>
          <w:tcPr>
            <w:tcW w:type="dxa" w:w="2520"/>
          </w:tcPr>
          <w:p>
            <w:pPr>
              <w:spacing w:after="20"/>
              <w:jc w:val="right"/>
            </w:pPr>
            <w:r>
              <w:rPr>
                <w:color w:val="1C3A36"/>
                <w:sz w:val="16"/>
              </w:rPr>
              <w:t>below 1.16</w:t>
            </w:r>
          </w:p>
        </w:tc>
        <w:tc>
          <w:tcPr>
            <w:tcW w:type="dxa" w:w="5040"/>
          </w:tcPr>
          <w:p>
            <w:pPr>
              <w:spacing w:after="20"/>
              <w:jc w:val="right"/>
            </w:pPr>
            <w:r>
              <w:rPr>
                <w:color w:val="1C3A36"/>
                <w:sz w:val="16"/>
              </w:rPr>
              <w:t>a 1-in-20 outcome; would need a genuine shock — re-escalation onto UAE soil, a tariff-review surprise, or a dividend wobble</w:t>
            </w:r>
          </w:p>
        </w:tc>
      </w:tr>
      <w:tr>
        <w:tc>
          <w:tcPr>
            <w:tcW w:type="dxa" w:w="2520"/>
          </w:tcPr>
          <w:p>
            <w:pPr>
              <w:spacing w:after="20"/>
            </w:pPr>
            <w:r>
              <w:rPr>
                <w:color w:val="1C3A36"/>
                <w:sz w:val="16"/>
              </w:rPr>
              <w:t>Lower half of the central band</w:t>
            </w:r>
          </w:p>
        </w:tc>
        <w:tc>
          <w:tcPr>
            <w:tcW w:type="dxa" w:w="2520"/>
          </w:tcPr>
          <w:p>
            <w:pPr>
              <w:spacing w:after="20"/>
              <w:jc w:val="right"/>
            </w:pPr>
            <w:r>
              <w:rPr>
                <w:color w:val="1C3A36"/>
                <w:sz w:val="16"/>
              </w:rPr>
              <w:t>1.36 – 1.49</w:t>
            </w:r>
          </w:p>
        </w:tc>
        <w:tc>
          <w:tcPr>
            <w:tcW w:type="dxa" w:w="5040"/>
          </w:tcPr>
          <w:p>
            <w:pPr>
              <w:spacing w:after="20"/>
              <w:jc w:val="right"/>
            </w:pPr>
            <w:r>
              <w:rPr>
                <w:color w:val="1C3A36"/>
                <w:sz w:val="16"/>
              </w:rPr>
              <w:t>ordinary drift lower; the market continuing to price the war regime</w:t>
            </w:r>
          </w:p>
        </w:tc>
      </w:tr>
      <w:tr>
        <w:tc>
          <w:tcPr>
            <w:tcW w:type="dxa" w:w="2520"/>
          </w:tcPr>
          <w:p>
            <w:pPr>
              <w:spacing w:after="20"/>
            </w:pPr>
            <w:r>
              <w:rPr>
                <w:color w:val="1C3A36"/>
                <w:sz w:val="16"/>
              </w:rPr>
              <w:t>Upper half of the central band</w:t>
            </w:r>
          </w:p>
        </w:tc>
        <w:tc>
          <w:tcPr>
            <w:tcW w:type="dxa" w:w="2520"/>
          </w:tcPr>
          <w:p>
            <w:pPr>
              <w:spacing w:after="20"/>
              <w:jc w:val="right"/>
            </w:pPr>
            <w:r>
              <w:rPr>
                <w:color w:val="1C3A36"/>
                <w:sz w:val="16"/>
              </w:rPr>
              <w:t>1.49 – 1.64</w:t>
            </w:r>
          </w:p>
        </w:tc>
        <w:tc>
          <w:tcPr>
            <w:tcW w:type="dxa" w:w="5040"/>
          </w:tcPr>
          <w:p>
            <w:pPr>
              <w:spacing w:after="20"/>
              <w:jc w:val="right"/>
            </w:pPr>
            <w:r>
              <w:rPr>
                <w:color w:val="1C3A36"/>
                <w:sz w:val="16"/>
              </w:rPr>
              <w:t>ordinary drift higher; a quiet summer and the October instalment arriving on schedule</w:t>
            </w:r>
          </w:p>
        </w:tc>
      </w:tr>
      <w:tr>
        <w:tc>
          <w:tcPr>
            <w:tcW w:type="dxa" w:w="2520"/>
          </w:tcPr>
          <w:p>
            <w:pPr>
              <w:spacing w:after="20"/>
            </w:pPr>
            <w:r>
              <w:rPr>
                <w:color w:val="1C3A36"/>
                <w:sz w:val="16"/>
              </w:rPr>
              <w:t>Upper tail</w:t>
            </w:r>
          </w:p>
        </w:tc>
        <w:tc>
          <w:tcPr>
            <w:tcW w:type="dxa" w:w="2520"/>
          </w:tcPr>
          <w:p>
            <w:pPr>
              <w:spacing w:after="20"/>
              <w:jc w:val="right"/>
            </w:pPr>
            <w:r>
              <w:rPr>
                <w:color w:val="1C3A36"/>
                <w:sz w:val="16"/>
              </w:rPr>
              <w:t>above 1.92</w:t>
            </w:r>
          </w:p>
        </w:tc>
        <w:tc>
          <w:tcPr>
            <w:tcW w:type="dxa" w:w="5040"/>
          </w:tcPr>
          <w:p>
            <w:pPr>
              <w:spacing w:after="20"/>
              <w:jc w:val="right"/>
            </w:pPr>
            <w:r>
              <w:rPr>
                <w:color w:val="1C3A36"/>
                <w:sz w:val="16"/>
              </w:rPr>
              <w:t>a 1-in-20 outcome; would need visible de-escalation or a re-rating of the sector</w:t>
            </w:r>
          </w:p>
        </w:tc>
      </w:tr>
      <w:tr>
        <w:tc>
          <w:tcPr>
            <w:tcW w:type="dxa" w:w="2520"/>
          </w:tcPr>
          <w:p>
            <w:pPr>
              <w:spacing w:after="20"/>
            </w:pPr>
            <w:r>
              <w:rPr>
                <w:color w:val="1C3A36"/>
                <w:sz w:val="16"/>
              </w:rPr>
              <w:t>Where the fundamental centrals sit</w:t>
            </w:r>
          </w:p>
        </w:tc>
        <w:tc>
          <w:tcPr>
            <w:tcW w:type="dxa" w:w="2520"/>
          </w:tcPr>
          <w:p>
            <w:pPr>
              <w:spacing w:after="20"/>
              <w:jc w:val="right"/>
            </w:pPr>
            <w:r>
              <w:rPr>
                <w:color w:val="1C3A36"/>
                <w:sz w:val="16"/>
              </w:rPr>
              <w:t>2.139 / 2.250</w:t>
            </w:r>
          </w:p>
        </w:tc>
        <w:tc>
          <w:tcPr>
            <w:tcW w:type="dxa" w:w="5040"/>
          </w:tcPr>
          <w:p>
            <w:pPr>
              <w:spacing w:after="20"/>
              <w:jc w:val="right"/>
            </w:pPr>
            <w:r>
              <w:rPr>
                <w:color w:val="1C3A36"/>
                <w:sz w:val="16"/>
              </w:rPr>
              <w:t>BOTH tax framings sit above even the 95th percentile (1.92) of the three-month distribution — the price map and the valuation genuinely disagree, and stating that gap at its full size is the point: nothing in the volatility structure suggests the gap closes within a quarter</w:t>
            </w:r>
          </w:p>
        </w:tc>
      </w:tr>
    </w:tbl>
    <w:p>
      <w:pPr>
        <w:spacing w:after="40"/>
      </w:pPr>
    </w:p>
    <w:p>
      <w:pPr>
        <w:spacing w:after="120" w:before="280"/>
      </w:pPr>
      <w:r>
        <w:rPr>
          <w:b/>
          <w:i w:val="0"/>
          <w:color w:val="1C3A36"/>
          <w:sz w:val="30"/>
        </w:rPr>
        <w:t>7  Caveats and what would change our mind</w:t>
      </w:r>
    </w:p>
    <w:p>
      <w:pPr>
        <w:pStyle w:val="ListBullet"/>
        <w:spacing w:after="60"/>
      </w:pPr>
      <w:r>
        <w:rPr>
          <w:b/>
          <w:color w:val="1C3A36"/>
          <w:sz w:val="21"/>
        </w:rPr>
        <w:t xml:space="preserve">Consumption failing to recover in the 2027 prints. </w:t>
      </w:r>
      <w:r>
        <w:rPr>
          <w:color w:val="1C3A36"/>
          <w:sz w:val="21"/>
        </w:rPr>
        <w:t>The base case restores usage per connected ton to the 2025 level through 2027. The full never-recovers model costs only 2.7% on the primary lens, so this is a watch-item rather than a value risk — but two consecutive halves with equivalent full-load hours below the 2026 trough would put the shock outside anything hospitality-linked, and the recovery assumption should then be abandoned, not stretched.</w:t>
      </w:r>
    </w:p>
    <w:p>
      <w:pPr>
        <w:pStyle w:val="ListBullet"/>
        <w:spacing w:after="60"/>
      </w:pPr>
      <w:r>
        <w:rPr>
          <w:b/>
          <w:color w:val="1C3A36"/>
          <w:sz w:val="21"/>
        </w:rPr>
        <w:t xml:space="preserve">The minimum tax being confirmed. </w:t>
      </w:r>
      <w:r>
        <w:rPr>
          <w:color w:val="1C3A36"/>
          <w:sz w:val="21"/>
        </w:rPr>
        <w:t>If the 15% domestic minimum top-up tax is confirmed to reach Empower through DEWA-group consolidation, shift weight to the 15% column published throughout — the work is already done; nothing needs re-estimating.</w:t>
      </w:r>
    </w:p>
    <w:p>
      <w:pPr>
        <w:pStyle w:val="ListBullet"/>
        <w:spacing w:after="60"/>
      </w:pPr>
      <w:r>
        <w:rPr>
          <w:b/>
          <w:color w:val="1C3A36"/>
          <w:sz w:val="21"/>
        </w:rPr>
        <w:t xml:space="preserve">War re-escalation onto UAE soil. </w:t>
      </w:r>
      <w:r>
        <w:rPr>
          <w:color w:val="1C3A36"/>
          <w:sz w:val="21"/>
        </w:rPr>
        <w:t>The bear machinery is explicit: usage down a further 6% and never recovering, connections halved, the harsher tax, and 100bp on the cost of equity — AED 1.737 per share. A reader can adopt it wholesale rather than improvising a discount.</w:t>
      </w:r>
    </w:p>
    <w:p>
      <w:pPr>
        <w:pStyle w:val="ListBullet"/>
        <w:spacing w:after="60"/>
      </w:pPr>
      <w:r>
        <w:rPr>
          <w:b/>
          <w:color w:val="1C3A36"/>
          <w:sz w:val="21"/>
        </w:rPr>
        <w:t xml:space="preserve">A tariff cut at a regulatory review. </w:t>
      </w:r>
      <w:r>
        <w:rPr>
          <w:color w:val="1C3A36"/>
          <w:sz w:val="21"/>
        </w:rPr>
        <w:t>The flat regulated tariff is the single most valuable assumption in the model — it underwrites the capacity charge that carries 80.8% of the enterprise value into the terminal. No cut occurred in the 2024–26 record swept here, but the model contains no machinery for one, deliberately: it would be a regime change, to be re-modelled, not sensitised.</w:t>
      </w:r>
    </w:p>
    <w:p>
      <w:pPr>
        <w:pStyle w:val="ListBullet"/>
        <w:spacing w:after="60"/>
      </w:pPr>
      <w:r>
        <w:rPr>
          <w:b/>
          <w:color w:val="1C3A36"/>
          <w:sz w:val="21"/>
        </w:rPr>
        <w:t xml:space="preserve">Construction limitations, stated. </w:t>
      </w:r>
      <w:r>
        <w:rPr>
          <w:color w:val="1C3A36"/>
          <w:sz w:val="21"/>
        </w:rPr>
        <w:t>The sovereign anchor is a 4.4-year bond against five-plus years of cash flows (the longest AED print available); the index series behind the beta regression is an aggregator pull with roughly a fifth of sessions missing, absorbed by weekly sampling and flagged in the bibliography; and the first-half revenue-mix percentages (40/49/11) come from the investor deck, not the audited notes — the audited statements disclose only the consumption figure, in the auditor's key-audit-matter section.</w:t>
      </w:r>
    </w:p>
    <w:p>
      <w:pPr>
        <w:pStyle w:val="ListBullet"/>
        <w:spacing w:after="60"/>
      </w:pPr>
      <w:r>
        <w:rPr>
          <w:b/>
          <w:color w:val="1C3A36"/>
          <w:sz w:val="21"/>
        </w:rPr>
        <w:t xml:space="preserve">Related-party concentration. </w:t>
      </w:r>
      <w:r>
        <w:rPr>
          <w:color w:val="1C3A36"/>
          <w:sz w:val="21"/>
        </w:rPr>
        <w:t>The 80% owner is also the sole supplier of the largest cost line and the counterparty of the 2026 control transaction. Tariff bargaining, input pricing and any future buy-in all run through one related party. This is a governance fact, not an allegation, and it is one reason the relative lens and the scenario field are published alongside the model rather than folded into it.</w:t>
      </w:r>
    </w:p>
    <w:p>
      <w:pPr>
        <w:pStyle w:val="ListBullet"/>
        <w:spacing w:after="60"/>
      </w:pPr>
      <w:r>
        <w:rPr>
          <w:b/>
          <w:color w:val="1C3A36"/>
          <w:sz w:val="21"/>
        </w:rPr>
        <w:t xml:space="preserve">What would change our mind, specifically. </w:t>
      </w:r>
      <w:r>
        <w:rPr>
          <w:color w:val="1C3A36"/>
          <w:sz w:val="21"/>
        </w:rPr>
        <w:t>Upward: visible de-escalation; the minimum-tax question resolving at 9%; connections printing at or above the top of guidance. Downward: a tariff-review consultation proposing cuts; equivalent full-load hours below the 2026 trough for two consecutive halves; the dividend reset below the committed AED 875mn.</w:t>
      </w:r>
    </w:p>
    <w:p>
      <w:pPr>
        <w:spacing w:after="160" w:before="0"/>
      </w:pPr>
      <w:r>
        <w:rPr>
          <w:b w:val="0"/>
          <w:i w:val="0"/>
          <w:color w:val="1C3A36"/>
          <w:sz w:val="21"/>
        </w:rPr>
      </w:r>
    </w:p>
    <w:p>
      <w:pPr>
        <w:spacing w:after="120" w:before="280"/>
      </w:pPr>
      <w:r>
        <w:rPr>
          <w:b/>
          <w:i w:val="0"/>
          <w:color w:val="1C3A36"/>
          <w:sz w:val="30"/>
        </w:rPr>
        <w:t>Appendix A  Financial statements</w:t>
      </w:r>
    </w:p>
    <w:p>
      <w:pPr>
        <w:spacing w:after="80" w:before="200"/>
      </w:pPr>
      <w:r>
        <w:rPr>
          <w:b/>
          <w:i w:val="0"/>
          <w:color w:val="1C3A36"/>
          <w:sz w:val="24"/>
        </w:rPr>
        <w:t>A.1  Income statement — three years audited and five years forecast (consolidated,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918"/>
        <w:gridCol w:w="918"/>
        <w:gridCol w:w="918"/>
        <w:gridCol w:w="918"/>
        <w:gridCol w:w="918"/>
        <w:gridCol w:w="918"/>
        <w:gridCol w:w="918"/>
        <w:gridCol w:w="918"/>
      </w:tblGrid>
      <w:tr>
        <w:tc>
          <w:tcPr>
            <w:tcW w:type="dxa" w:w="2736"/>
            <w:shd w:val="clear" w:color="auto" w:fill="EAF0EE"/>
          </w:tcPr>
          <w:p>
            <w:pPr>
              <w:spacing w:after="20"/>
            </w:pPr>
            <w:r>
              <w:rPr>
                <w:b/>
                <w:color w:val="1C3A36"/>
                <w:sz w:val="15"/>
              </w:rPr>
              <w:t>AED mn</w:t>
            </w:r>
          </w:p>
        </w:tc>
        <w:tc>
          <w:tcPr>
            <w:tcW w:type="dxa" w:w="918"/>
            <w:shd w:val="clear" w:color="auto" w:fill="EAF0EE"/>
          </w:tcPr>
          <w:p>
            <w:pPr>
              <w:spacing w:after="20"/>
            </w:pPr>
            <w:r>
              <w:rPr>
                <w:b/>
                <w:color w:val="1C3A36"/>
                <w:sz w:val="15"/>
              </w:rPr>
              <w:t>FY2023</w:t>
            </w:r>
          </w:p>
        </w:tc>
        <w:tc>
          <w:tcPr>
            <w:tcW w:type="dxa" w:w="918"/>
            <w:shd w:val="clear" w:color="auto" w:fill="EAF0EE"/>
          </w:tcPr>
          <w:p>
            <w:pPr>
              <w:spacing w:after="20"/>
            </w:pPr>
            <w:r>
              <w:rPr>
                <w:b/>
                <w:color w:val="1C3A36"/>
                <w:sz w:val="15"/>
              </w:rPr>
              <w:t>FY2024</w:t>
            </w:r>
          </w:p>
        </w:tc>
        <w:tc>
          <w:tcPr>
            <w:tcW w:type="dxa" w:w="918"/>
            <w:shd w:val="clear" w:color="auto" w:fill="EAF0EE"/>
          </w:tcPr>
          <w:p>
            <w:pPr>
              <w:spacing w:after="20"/>
            </w:pPr>
            <w:r>
              <w:rPr>
                <w:b/>
                <w:color w:val="1C3A36"/>
                <w:sz w:val="15"/>
              </w:rPr>
              <w:t>FY2025</w:t>
            </w:r>
          </w:p>
        </w:tc>
        <w:tc>
          <w:tcPr>
            <w:tcW w:type="dxa" w:w="918"/>
            <w:shd w:val="clear" w:color="auto" w:fill="EAF0EE"/>
          </w:tcPr>
          <w:p>
            <w:pPr>
              <w:spacing w:after="20"/>
            </w:pPr>
            <w:r>
              <w:rPr>
                <w:b/>
                <w:color w:val="1C3A36"/>
                <w:sz w:val="15"/>
              </w:rPr>
              <w:t>FY26</w:t>
            </w:r>
          </w:p>
        </w:tc>
        <w:tc>
          <w:tcPr>
            <w:tcW w:type="dxa" w:w="918"/>
            <w:shd w:val="clear" w:color="auto" w:fill="EAF0EE"/>
          </w:tcPr>
          <w:p>
            <w:pPr>
              <w:spacing w:after="20"/>
            </w:pPr>
            <w:r>
              <w:rPr>
                <w:b/>
                <w:color w:val="1C3A36"/>
                <w:sz w:val="15"/>
              </w:rPr>
              <w:t>FY27</w:t>
            </w:r>
          </w:p>
        </w:tc>
        <w:tc>
          <w:tcPr>
            <w:tcW w:type="dxa" w:w="918"/>
            <w:shd w:val="clear" w:color="auto" w:fill="EAF0EE"/>
          </w:tcPr>
          <w:p>
            <w:pPr>
              <w:spacing w:after="20"/>
            </w:pPr>
            <w:r>
              <w:rPr>
                <w:b/>
                <w:color w:val="1C3A36"/>
                <w:sz w:val="15"/>
              </w:rPr>
              <w:t>FY28</w:t>
            </w:r>
          </w:p>
        </w:tc>
        <w:tc>
          <w:tcPr>
            <w:tcW w:type="dxa" w:w="918"/>
            <w:shd w:val="clear" w:color="auto" w:fill="EAF0EE"/>
          </w:tcPr>
          <w:p>
            <w:pPr>
              <w:spacing w:after="20"/>
            </w:pPr>
            <w:r>
              <w:rPr>
                <w:b/>
                <w:color w:val="1C3A36"/>
                <w:sz w:val="15"/>
              </w:rPr>
              <w:t>FY29</w:t>
            </w:r>
          </w:p>
        </w:tc>
        <w:tc>
          <w:tcPr>
            <w:tcW w:type="dxa" w:w="918"/>
            <w:shd w:val="clear" w:color="auto" w:fill="EAF0EE"/>
          </w:tcPr>
          <w:p>
            <w:pPr>
              <w:spacing w:after="20"/>
            </w:pPr>
            <w:r>
              <w:rPr>
                <w:b/>
                <w:color w:val="1C3A36"/>
                <w:sz w:val="15"/>
              </w:rPr>
              <w:t>FY30</w:t>
            </w:r>
          </w:p>
        </w:tc>
      </w:tr>
      <w:tr>
        <w:tc>
          <w:tcPr>
            <w:tcW w:type="dxa" w:w="2736"/>
          </w:tcPr>
          <w:p>
            <w:pPr>
              <w:spacing w:after="20"/>
            </w:pPr>
            <w:r>
              <w:rPr>
                <w:color w:val="1C3A36"/>
                <w:sz w:val="15"/>
              </w:rPr>
              <w:t>Revenue</w:t>
            </w:r>
          </w:p>
        </w:tc>
        <w:tc>
          <w:tcPr>
            <w:tcW w:type="dxa" w:w="918"/>
          </w:tcPr>
          <w:p>
            <w:pPr>
              <w:spacing w:after="20"/>
              <w:jc w:val="right"/>
            </w:pPr>
            <w:r>
              <w:rPr>
                <w:color w:val="1C3A36"/>
                <w:sz w:val="15"/>
              </w:rPr>
              <w:t>3,035</w:t>
            </w:r>
          </w:p>
        </w:tc>
        <w:tc>
          <w:tcPr>
            <w:tcW w:type="dxa" w:w="918"/>
          </w:tcPr>
          <w:p>
            <w:pPr>
              <w:spacing w:after="20"/>
              <w:jc w:val="right"/>
            </w:pPr>
            <w:r>
              <w:rPr>
                <w:color w:val="1C3A36"/>
                <w:sz w:val="15"/>
              </w:rPr>
              <w:t>3,260</w:t>
            </w:r>
          </w:p>
        </w:tc>
        <w:tc>
          <w:tcPr>
            <w:tcW w:type="dxa" w:w="918"/>
          </w:tcPr>
          <w:p>
            <w:pPr>
              <w:spacing w:after="20"/>
              <w:jc w:val="right"/>
            </w:pPr>
            <w:r>
              <w:rPr>
                <w:color w:val="1C3A36"/>
                <w:sz w:val="15"/>
              </w:rPr>
              <w:t>3,419</w:t>
            </w:r>
          </w:p>
        </w:tc>
        <w:tc>
          <w:tcPr>
            <w:tcW w:type="dxa" w:w="918"/>
          </w:tcPr>
          <w:p>
            <w:pPr>
              <w:spacing w:after="20"/>
              <w:jc w:val="right"/>
            </w:pPr>
            <w:r>
              <w:rPr>
                <w:color w:val="1C3A36"/>
                <w:sz w:val="15"/>
              </w:rPr>
              <w:t>3,503</w:t>
            </w:r>
          </w:p>
        </w:tc>
        <w:tc>
          <w:tcPr>
            <w:tcW w:type="dxa" w:w="918"/>
          </w:tcPr>
          <w:p>
            <w:pPr>
              <w:spacing w:after="20"/>
              <w:jc w:val="right"/>
            </w:pPr>
            <w:r>
              <w:rPr>
                <w:color w:val="1C3A36"/>
                <w:sz w:val="15"/>
              </w:rPr>
              <w:t>3,842</w:t>
            </w:r>
          </w:p>
        </w:tc>
        <w:tc>
          <w:tcPr>
            <w:tcW w:type="dxa" w:w="918"/>
          </w:tcPr>
          <w:p>
            <w:pPr>
              <w:spacing w:after="20"/>
              <w:jc w:val="right"/>
            </w:pPr>
            <w:r>
              <w:rPr>
                <w:color w:val="1C3A36"/>
                <w:sz w:val="15"/>
              </w:rPr>
              <w:t>4,042</w:t>
            </w:r>
          </w:p>
        </w:tc>
        <w:tc>
          <w:tcPr>
            <w:tcW w:type="dxa" w:w="918"/>
          </w:tcPr>
          <w:p>
            <w:pPr>
              <w:spacing w:after="20"/>
              <w:jc w:val="right"/>
            </w:pPr>
            <w:r>
              <w:rPr>
                <w:color w:val="1C3A36"/>
                <w:sz w:val="15"/>
              </w:rPr>
              <w:t>4,222</w:t>
            </w:r>
          </w:p>
        </w:tc>
        <w:tc>
          <w:tcPr>
            <w:tcW w:type="dxa" w:w="918"/>
          </w:tcPr>
          <w:p>
            <w:pPr>
              <w:spacing w:after="20"/>
              <w:jc w:val="right"/>
            </w:pPr>
            <w:r>
              <w:rPr>
                <w:color w:val="1C3A36"/>
                <w:sz w:val="15"/>
              </w:rPr>
              <w:t>4,380</w:t>
            </w:r>
          </w:p>
        </w:tc>
      </w:tr>
      <w:tr>
        <w:tc>
          <w:tcPr>
            <w:tcW w:type="dxa" w:w="2736"/>
          </w:tcPr>
          <w:p>
            <w:pPr>
              <w:spacing w:after="20"/>
            </w:pPr>
            <w:r>
              <w:rPr>
                <w:color w:val="1C3A36"/>
                <w:sz w:val="15"/>
              </w:rPr>
              <w:t>Interest income on the concession receivable</w:t>
            </w:r>
          </w:p>
        </w:tc>
        <w:tc>
          <w:tcPr>
            <w:tcW w:type="dxa" w:w="918"/>
          </w:tcPr>
          <w:p>
            <w:pPr>
              <w:spacing w:after="20"/>
              <w:jc w:val="right"/>
            </w:pPr>
            <w:r>
              <w:rPr>
                <w:color w:val="1C3A36"/>
                <w:sz w:val="15"/>
              </w:rPr>
              <w:t>39</w:t>
            </w:r>
          </w:p>
        </w:tc>
        <w:tc>
          <w:tcPr>
            <w:tcW w:type="dxa" w:w="918"/>
          </w:tcPr>
          <w:p>
            <w:pPr>
              <w:spacing w:after="20"/>
              <w:jc w:val="right"/>
            </w:pPr>
            <w:r>
              <w:rPr>
                <w:color w:val="1C3A36"/>
                <w:sz w:val="15"/>
              </w:rPr>
              <w:t>59</w:t>
            </w:r>
          </w:p>
        </w:tc>
        <w:tc>
          <w:tcPr>
            <w:tcW w:type="dxa" w:w="918"/>
          </w:tcPr>
          <w:p>
            <w:pPr>
              <w:spacing w:after="20"/>
              <w:jc w:val="right"/>
            </w:pPr>
            <w:r>
              <w:rPr>
                <w:color w:val="1C3A36"/>
                <w:sz w:val="15"/>
              </w:rPr>
              <w:t>58</w:t>
            </w:r>
          </w:p>
        </w:tc>
        <w:tc>
          <w:tcPr>
            <w:tcW w:type="dxa" w:w="918"/>
          </w:tcPr>
          <w:p>
            <w:pPr>
              <w:spacing w:after="20"/>
              <w:jc w:val="right"/>
            </w:pPr>
            <w:r>
              <w:rPr>
                <w:color w:val="1C3A36"/>
                <w:sz w:val="15"/>
              </w:rPr>
              <w:t>57</w:t>
            </w:r>
          </w:p>
        </w:tc>
        <w:tc>
          <w:tcPr>
            <w:tcW w:type="dxa" w:w="918"/>
          </w:tcPr>
          <w:p>
            <w:pPr>
              <w:spacing w:after="20"/>
              <w:jc w:val="right"/>
            </w:pPr>
            <w:r>
              <w:rPr>
                <w:color w:val="1C3A36"/>
                <w:sz w:val="15"/>
              </w:rPr>
              <w:t>55</w:t>
            </w:r>
          </w:p>
        </w:tc>
        <w:tc>
          <w:tcPr>
            <w:tcW w:type="dxa" w:w="918"/>
          </w:tcPr>
          <w:p>
            <w:pPr>
              <w:spacing w:after="20"/>
              <w:jc w:val="right"/>
            </w:pPr>
            <w:r>
              <w:rPr>
                <w:color w:val="1C3A36"/>
                <w:sz w:val="15"/>
              </w:rPr>
              <w:t>53</w:t>
            </w:r>
          </w:p>
        </w:tc>
        <w:tc>
          <w:tcPr>
            <w:tcW w:type="dxa" w:w="918"/>
          </w:tcPr>
          <w:p>
            <w:pPr>
              <w:spacing w:after="20"/>
              <w:jc w:val="right"/>
            </w:pPr>
            <w:r>
              <w:rPr>
                <w:color w:val="1C3A36"/>
                <w:sz w:val="15"/>
              </w:rPr>
              <w:t>52</w:t>
            </w:r>
          </w:p>
        </w:tc>
        <w:tc>
          <w:tcPr>
            <w:tcW w:type="dxa" w:w="918"/>
          </w:tcPr>
          <w:p>
            <w:pPr>
              <w:spacing w:after="20"/>
              <w:jc w:val="right"/>
            </w:pPr>
            <w:r>
              <w:rPr>
                <w:color w:val="1C3A36"/>
                <w:sz w:val="15"/>
              </w:rPr>
              <w:t>50</w:t>
            </w:r>
          </w:p>
        </w:tc>
      </w:tr>
      <w:tr>
        <w:tc>
          <w:tcPr>
            <w:tcW w:type="dxa" w:w="2736"/>
          </w:tcPr>
          <w:p>
            <w:pPr>
              <w:spacing w:after="20"/>
            </w:pPr>
            <w:r>
              <w:rPr>
                <w:color w:val="1C3A36"/>
                <w:sz w:val="15"/>
              </w:rPr>
              <w:t>Cost of sales</w:t>
            </w:r>
          </w:p>
        </w:tc>
        <w:tc>
          <w:tcPr>
            <w:tcW w:type="dxa" w:w="918"/>
          </w:tcPr>
          <w:p>
            <w:pPr>
              <w:spacing w:after="20"/>
              <w:jc w:val="right"/>
            </w:pPr>
            <w:r>
              <w:rPr>
                <w:color w:val="1C3A36"/>
                <w:sz w:val="15"/>
              </w:rPr>
              <w:t>(1,741)</w:t>
            </w:r>
          </w:p>
        </w:tc>
        <w:tc>
          <w:tcPr>
            <w:tcW w:type="dxa" w:w="918"/>
          </w:tcPr>
          <w:p>
            <w:pPr>
              <w:spacing w:after="20"/>
              <w:jc w:val="right"/>
            </w:pPr>
            <w:r>
              <w:rPr>
                <w:color w:val="1C3A36"/>
                <w:sz w:val="15"/>
              </w:rPr>
              <w:t>(1,917)</w:t>
            </w:r>
          </w:p>
        </w:tc>
        <w:tc>
          <w:tcPr>
            <w:tcW w:type="dxa" w:w="918"/>
          </w:tcPr>
          <w:p>
            <w:pPr>
              <w:spacing w:after="20"/>
              <w:jc w:val="right"/>
            </w:pPr>
            <w:r>
              <w:rPr>
                <w:color w:val="1C3A36"/>
                <w:sz w:val="15"/>
              </w:rPr>
              <w:t>(1,989)</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r>
      <w:tr>
        <w:tc>
          <w:tcPr>
            <w:tcW w:type="dxa" w:w="2736"/>
          </w:tcPr>
          <w:p>
            <w:pPr>
              <w:spacing w:after="20"/>
            </w:pPr>
            <w:r>
              <w:rPr>
                <w:color w:val="1C3A36"/>
                <w:sz w:val="15"/>
              </w:rPr>
              <w:t>Gross profit</w:t>
            </w:r>
          </w:p>
        </w:tc>
        <w:tc>
          <w:tcPr>
            <w:tcW w:type="dxa" w:w="918"/>
          </w:tcPr>
          <w:p>
            <w:pPr>
              <w:spacing w:after="20"/>
              <w:jc w:val="right"/>
            </w:pPr>
            <w:r>
              <w:rPr>
                <w:color w:val="1C3A36"/>
                <w:sz w:val="15"/>
              </w:rPr>
              <w:t>1,333</w:t>
            </w:r>
          </w:p>
        </w:tc>
        <w:tc>
          <w:tcPr>
            <w:tcW w:type="dxa" w:w="918"/>
          </w:tcPr>
          <w:p>
            <w:pPr>
              <w:spacing w:after="20"/>
              <w:jc w:val="right"/>
            </w:pPr>
            <w:r>
              <w:rPr>
                <w:color w:val="1C3A36"/>
                <w:sz w:val="15"/>
              </w:rPr>
              <w:t>1,402</w:t>
            </w:r>
          </w:p>
        </w:tc>
        <w:tc>
          <w:tcPr>
            <w:tcW w:type="dxa" w:w="918"/>
          </w:tcPr>
          <w:p>
            <w:pPr>
              <w:spacing w:after="20"/>
              <w:jc w:val="right"/>
            </w:pPr>
            <w:r>
              <w:rPr>
                <w:color w:val="1C3A36"/>
                <w:sz w:val="15"/>
              </w:rPr>
              <w:t>1,488</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r>
      <w:tr>
        <w:tc>
          <w:tcPr>
            <w:tcW w:type="dxa" w:w="2736"/>
          </w:tcPr>
          <w:p>
            <w:pPr>
              <w:spacing w:after="20"/>
            </w:pPr>
            <w:r>
              <w:rPr>
                <w:color w:val="1C3A36"/>
                <w:sz w:val="15"/>
              </w:rPr>
              <w:t>General and administrative expenses</w:t>
            </w:r>
          </w:p>
        </w:tc>
        <w:tc>
          <w:tcPr>
            <w:tcW w:type="dxa" w:w="918"/>
          </w:tcPr>
          <w:p>
            <w:pPr>
              <w:spacing w:after="20"/>
              <w:jc w:val="right"/>
            </w:pPr>
            <w:r>
              <w:rPr>
                <w:color w:val="1C3A36"/>
                <w:sz w:val="15"/>
              </w:rPr>
              <w:t>(220)</w:t>
            </w:r>
          </w:p>
        </w:tc>
        <w:tc>
          <w:tcPr>
            <w:tcW w:type="dxa" w:w="918"/>
          </w:tcPr>
          <w:p>
            <w:pPr>
              <w:spacing w:after="20"/>
              <w:jc w:val="right"/>
            </w:pPr>
            <w:r>
              <w:rPr>
                <w:color w:val="1C3A36"/>
                <w:sz w:val="15"/>
              </w:rPr>
              <w:t>(235)</w:t>
            </w:r>
          </w:p>
        </w:tc>
        <w:tc>
          <w:tcPr>
            <w:tcW w:type="dxa" w:w="918"/>
          </w:tcPr>
          <w:p>
            <w:pPr>
              <w:spacing w:after="20"/>
              <w:jc w:val="right"/>
            </w:pPr>
            <w:r>
              <w:rPr>
                <w:color w:val="1C3A36"/>
                <w:sz w:val="15"/>
              </w:rPr>
              <w:t>(247)</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r>
      <w:tr>
        <w:tc>
          <w:tcPr>
            <w:tcW w:type="dxa" w:w="2736"/>
          </w:tcPr>
          <w:p>
            <w:pPr>
              <w:spacing w:after="20"/>
            </w:pPr>
            <w:r>
              <w:rPr>
                <w:color w:val="1C3A36"/>
                <w:sz w:val="15"/>
              </w:rPr>
              <w:t>Operating profit</w:t>
            </w:r>
          </w:p>
        </w:tc>
        <w:tc>
          <w:tcPr>
            <w:tcW w:type="dxa" w:w="918"/>
          </w:tcPr>
          <w:p>
            <w:pPr>
              <w:spacing w:after="20"/>
              <w:jc w:val="right"/>
            </w:pPr>
            <w:r>
              <w:rPr>
                <w:color w:val="1C3A36"/>
                <w:sz w:val="15"/>
              </w:rPr>
              <w:t>1,120</w:t>
            </w:r>
          </w:p>
        </w:tc>
        <w:tc>
          <w:tcPr>
            <w:tcW w:type="dxa" w:w="918"/>
          </w:tcPr>
          <w:p>
            <w:pPr>
              <w:spacing w:after="20"/>
              <w:jc w:val="right"/>
            </w:pPr>
            <w:r>
              <w:rPr>
                <w:color w:val="1C3A36"/>
                <w:sz w:val="15"/>
              </w:rPr>
              <w:t>1,192</w:t>
            </w:r>
          </w:p>
        </w:tc>
        <w:tc>
          <w:tcPr>
            <w:tcW w:type="dxa" w:w="918"/>
          </w:tcPr>
          <w:p>
            <w:pPr>
              <w:spacing w:after="20"/>
              <w:jc w:val="right"/>
            </w:pPr>
            <w:r>
              <w:rPr>
                <w:color w:val="1C3A36"/>
                <w:sz w:val="15"/>
              </w:rPr>
              <w:t>1,273</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r>
      <w:tr>
        <w:tc>
          <w:tcPr>
            <w:tcW w:type="dxa" w:w="2736"/>
            <w:shd w:val="clear" w:color="auto" w:fill="F6F1E6"/>
          </w:tcPr>
          <w:p>
            <w:pPr>
              <w:spacing w:after="20"/>
            </w:pPr>
            <w:r>
              <w:rPr>
                <w:b/>
                <w:color w:val="1C3A36"/>
                <w:sz w:val="15"/>
              </w:rPr>
              <w:t>EBITDA (derived: operating profit + D&amp;A)</w:t>
            </w:r>
          </w:p>
        </w:tc>
        <w:tc>
          <w:tcPr>
            <w:tcW w:type="dxa" w:w="918"/>
            <w:shd w:val="clear" w:color="auto" w:fill="F6F1E6"/>
          </w:tcPr>
          <w:p>
            <w:pPr>
              <w:spacing w:after="20"/>
              <w:jc w:val="right"/>
            </w:pPr>
            <w:r>
              <w:rPr>
                <w:b/>
                <w:color w:val="1C3A36"/>
                <w:sz w:val="15"/>
              </w:rPr>
              <w:t>1,468</w:t>
            </w:r>
          </w:p>
        </w:tc>
        <w:tc>
          <w:tcPr>
            <w:tcW w:type="dxa" w:w="918"/>
            <w:shd w:val="clear" w:color="auto" w:fill="F6F1E6"/>
          </w:tcPr>
          <w:p>
            <w:pPr>
              <w:spacing w:after="20"/>
              <w:jc w:val="right"/>
            </w:pPr>
            <w:r>
              <w:rPr>
                <w:b/>
                <w:color w:val="1C3A36"/>
                <w:sz w:val="15"/>
              </w:rPr>
              <w:t>1,552</w:t>
            </w:r>
          </w:p>
        </w:tc>
        <w:tc>
          <w:tcPr>
            <w:tcW w:type="dxa" w:w="918"/>
            <w:shd w:val="clear" w:color="auto" w:fill="F6F1E6"/>
          </w:tcPr>
          <w:p>
            <w:pPr>
              <w:spacing w:after="20"/>
              <w:jc w:val="right"/>
            </w:pPr>
            <w:r>
              <w:rPr>
                <w:b/>
                <w:color w:val="1C3A36"/>
                <w:sz w:val="15"/>
              </w:rPr>
              <w:t>1,642</w:t>
            </w:r>
          </w:p>
        </w:tc>
        <w:tc>
          <w:tcPr>
            <w:tcW w:type="dxa" w:w="918"/>
            <w:shd w:val="clear" w:color="auto" w:fill="F6F1E6"/>
          </w:tcPr>
          <w:p>
            <w:pPr>
              <w:spacing w:after="20"/>
              <w:jc w:val="right"/>
            </w:pPr>
            <w:r>
              <w:rPr>
                <w:b/>
                <w:color w:val="1C3A36"/>
                <w:sz w:val="15"/>
              </w:rPr>
              <w:t>1,702</w:t>
            </w:r>
          </w:p>
        </w:tc>
        <w:tc>
          <w:tcPr>
            <w:tcW w:type="dxa" w:w="918"/>
            <w:shd w:val="clear" w:color="auto" w:fill="F6F1E6"/>
          </w:tcPr>
          <w:p>
            <w:pPr>
              <w:spacing w:after="20"/>
              <w:jc w:val="right"/>
            </w:pPr>
            <w:r>
              <w:rPr>
                <w:b/>
                <w:color w:val="1C3A36"/>
                <w:sz w:val="15"/>
              </w:rPr>
              <w:t>1,843</w:t>
            </w:r>
          </w:p>
        </w:tc>
        <w:tc>
          <w:tcPr>
            <w:tcW w:type="dxa" w:w="918"/>
            <w:shd w:val="clear" w:color="auto" w:fill="F6F1E6"/>
          </w:tcPr>
          <w:p>
            <w:pPr>
              <w:spacing w:after="20"/>
              <w:jc w:val="right"/>
            </w:pPr>
            <w:r>
              <w:rPr>
                <w:b/>
                <w:color w:val="1C3A36"/>
                <w:sz w:val="15"/>
              </w:rPr>
              <w:t>1,945</w:t>
            </w:r>
          </w:p>
        </w:tc>
        <w:tc>
          <w:tcPr>
            <w:tcW w:type="dxa" w:w="918"/>
            <w:shd w:val="clear" w:color="auto" w:fill="F6F1E6"/>
          </w:tcPr>
          <w:p>
            <w:pPr>
              <w:spacing w:after="20"/>
              <w:jc w:val="right"/>
            </w:pPr>
            <w:r>
              <w:rPr>
                <w:b/>
                <w:color w:val="1C3A36"/>
                <w:sz w:val="15"/>
              </w:rPr>
              <w:t>2,034</w:t>
            </w:r>
          </w:p>
        </w:tc>
        <w:tc>
          <w:tcPr>
            <w:tcW w:type="dxa" w:w="918"/>
            <w:shd w:val="clear" w:color="auto" w:fill="F6F1E6"/>
          </w:tcPr>
          <w:p>
            <w:pPr>
              <w:spacing w:after="20"/>
              <w:jc w:val="right"/>
            </w:pPr>
            <w:r>
              <w:rPr>
                <w:b/>
                <w:color w:val="1C3A36"/>
                <w:sz w:val="15"/>
              </w:rPr>
              <w:t>2,112</w:t>
            </w:r>
          </w:p>
        </w:tc>
      </w:tr>
      <w:tr>
        <w:tc>
          <w:tcPr>
            <w:tcW w:type="dxa" w:w="2736"/>
            <w:shd w:val="clear" w:color="auto" w:fill="F6F1E6"/>
          </w:tcPr>
          <w:p>
            <w:pPr>
              <w:spacing w:after="20"/>
            </w:pPr>
            <w:r>
              <w:rPr>
                <w:b/>
                <w:color w:val="1C3A36"/>
                <w:sz w:val="15"/>
              </w:rPr>
              <w:t>EBITDA margin</w:t>
            </w:r>
          </w:p>
        </w:tc>
        <w:tc>
          <w:tcPr>
            <w:tcW w:type="dxa" w:w="918"/>
            <w:shd w:val="clear" w:color="auto" w:fill="F6F1E6"/>
          </w:tcPr>
          <w:p>
            <w:pPr>
              <w:spacing w:after="20"/>
              <w:jc w:val="right"/>
            </w:pPr>
            <w:r>
              <w:rPr>
                <w:b/>
                <w:color w:val="1C3A36"/>
                <w:sz w:val="15"/>
              </w:rPr>
              <w:t>48.4%</w:t>
            </w:r>
          </w:p>
        </w:tc>
        <w:tc>
          <w:tcPr>
            <w:tcW w:type="dxa" w:w="918"/>
            <w:shd w:val="clear" w:color="auto" w:fill="F6F1E6"/>
          </w:tcPr>
          <w:p>
            <w:pPr>
              <w:spacing w:after="20"/>
              <w:jc w:val="right"/>
            </w:pPr>
            <w:r>
              <w:rPr>
                <w:b/>
                <w:color w:val="1C3A36"/>
                <w:sz w:val="15"/>
              </w:rPr>
              <w:t>47.6%</w:t>
            </w:r>
          </w:p>
        </w:tc>
        <w:tc>
          <w:tcPr>
            <w:tcW w:type="dxa" w:w="918"/>
            <w:shd w:val="clear" w:color="auto" w:fill="F6F1E6"/>
          </w:tcPr>
          <w:p>
            <w:pPr>
              <w:spacing w:after="20"/>
              <w:jc w:val="right"/>
            </w:pPr>
            <w:r>
              <w:rPr>
                <w:b/>
                <w:color w:val="1C3A36"/>
                <w:sz w:val="15"/>
              </w:rPr>
              <w:t>48.0%</w:t>
            </w:r>
          </w:p>
        </w:tc>
        <w:tc>
          <w:tcPr>
            <w:tcW w:type="dxa" w:w="918"/>
            <w:shd w:val="clear" w:color="auto" w:fill="F6F1E6"/>
          </w:tcPr>
          <w:p>
            <w:pPr>
              <w:spacing w:after="20"/>
              <w:jc w:val="right"/>
            </w:pPr>
            <w:r>
              <w:rPr>
                <w:b/>
                <w:color w:val="1C3A36"/>
                <w:sz w:val="15"/>
              </w:rPr>
              <w:t>48.6%</w:t>
            </w:r>
          </w:p>
        </w:tc>
        <w:tc>
          <w:tcPr>
            <w:tcW w:type="dxa" w:w="918"/>
            <w:shd w:val="clear" w:color="auto" w:fill="F6F1E6"/>
          </w:tcPr>
          <w:p>
            <w:pPr>
              <w:spacing w:after="20"/>
              <w:jc w:val="right"/>
            </w:pPr>
            <w:r>
              <w:rPr>
                <w:b/>
                <w:color w:val="1C3A36"/>
                <w:sz w:val="15"/>
              </w:rPr>
              <w:t>48.0%</w:t>
            </w:r>
          </w:p>
        </w:tc>
        <w:tc>
          <w:tcPr>
            <w:tcW w:type="dxa" w:w="918"/>
            <w:shd w:val="clear" w:color="auto" w:fill="F6F1E6"/>
          </w:tcPr>
          <w:p>
            <w:pPr>
              <w:spacing w:after="20"/>
              <w:jc w:val="right"/>
            </w:pPr>
            <w:r>
              <w:rPr>
                <w:b/>
                <w:color w:val="1C3A36"/>
                <w:sz w:val="15"/>
              </w:rPr>
              <w:t>48.1%</w:t>
            </w:r>
          </w:p>
        </w:tc>
        <w:tc>
          <w:tcPr>
            <w:tcW w:type="dxa" w:w="918"/>
            <w:shd w:val="clear" w:color="auto" w:fill="F6F1E6"/>
          </w:tcPr>
          <w:p>
            <w:pPr>
              <w:spacing w:after="20"/>
              <w:jc w:val="right"/>
            </w:pPr>
            <w:r>
              <w:rPr>
                <w:b/>
                <w:color w:val="1C3A36"/>
                <w:sz w:val="15"/>
              </w:rPr>
              <w:t>48.2%</w:t>
            </w:r>
          </w:p>
        </w:tc>
        <w:tc>
          <w:tcPr>
            <w:tcW w:type="dxa" w:w="918"/>
            <w:shd w:val="clear" w:color="auto" w:fill="F6F1E6"/>
          </w:tcPr>
          <w:p>
            <w:pPr>
              <w:spacing w:after="20"/>
              <w:jc w:val="right"/>
            </w:pPr>
            <w:r>
              <w:rPr>
                <w:b/>
                <w:color w:val="1C3A36"/>
                <w:sz w:val="15"/>
              </w:rPr>
              <w:t>48.2%</w:t>
            </w:r>
          </w:p>
        </w:tc>
      </w:tr>
      <w:tr>
        <w:tc>
          <w:tcPr>
            <w:tcW w:type="dxa" w:w="2736"/>
          </w:tcPr>
          <w:p>
            <w:pPr>
              <w:spacing w:after="20"/>
            </w:pPr>
            <w:r>
              <w:rPr>
                <w:color w:val="1C3A36"/>
                <w:sz w:val="15"/>
              </w:rPr>
              <w:t>Depreciation and amortisation</w:t>
            </w:r>
          </w:p>
        </w:tc>
        <w:tc>
          <w:tcPr>
            <w:tcW w:type="dxa" w:w="918"/>
          </w:tcPr>
          <w:p>
            <w:pPr>
              <w:spacing w:after="20"/>
              <w:jc w:val="right"/>
            </w:pPr>
            <w:r>
              <w:rPr>
                <w:color w:val="1C3A36"/>
                <w:sz w:val="15"/>
              </w:rPr>
              <w:t>(348)</w:t>
            </w:r>
          </w:p>
        </w:tc>
        <w:tc>
          <w:tcPr>
            <w:tcW w:type="dxa" w:w="918"/>
          </w:tcPr>
          <w:p>
            <w:pPr>
              <w:spacing w:after="20"/>
              <w:jc w:val="right"/>
            </w:pPr>
            <w:r>
              <w:rPr>
                <w:color w:val="1C3A36"/>
                <w:sz w:val="15"/>
              </w:rPr>
              <w:t>(359)</w:t>
            </w:r>
          </w:p>
        </w:tc>
        <w:tc>
          <w:tcPr>
            <w:tcW w:type="dxa" w:w="918"/>
          </w:tcPr>
          <w:p>
            <w:pPr>
              <w:spacing w:after="20"/>
              <w:jc w:val="right"/>
            </w:pPr>
            <w:r>
              <w:rPr>
                <w:color w:val="1C3A36"/>
                <w:sz w:val="15"/>
              </w:rPr>
              <w:t>(370)</w:t>
            </w:r>
          </w:p>
        </w:tc>
        <w:tc>
          <w:tcPr>
            <w:tcW w:type="dxa" w:w="918"/>
          </w:tcPr>
          <w:p>
            <w:pPr>
              <w:spacing w:after="20"/>
              <w:jc w:val="right"/>
            </w:pPr>
            <w:r>
              <w:rPr>
                <w:color w:val="1C3A36"/>
                <w:sz w:val="15"/>
              </w:rPr>
              <w:t>(380)</w:t>
            </w:r>
          </w:p>
        </w:tc>
        <w:tc>
          <w:tcPr>
            <w:tcW w:type="dxa" w:w="918"/>
          </w:tcPr>
          <w:p>
            <w:pPr>
              <w:spacing w:after="20"/>
              <w:jc w:val="right"/>
            </w:pPr>
            <w:r>
              <w:rPr>
                <w:color w:val="1C3A36"/>
                <w:sz w:val="15"/>
              </w:rPr>
              <w:t>(390)</w:t>
            </w:r>
          </w:p>
        </w:tc>
        <w:tc>
          <w:tcPr>
            <w:tcW w:type="dxa" w:w="918"/>
          </w:tcPr>
          <w:p>
            <w:pPr>
              <w:spacing w:after="20"/>
              <w:jc w:val="right"/>
            </w:pPr>
            <w:r>
              <w:rPr>
                <w:color w:val="1C3A36"/>
                <w:sz w:val="15"/>
              </w:rPr>
              <w:t>(399)</w:t>
            </w:r>
          </w:p>
        </w:tc>
        <w:tc>
          <w:tcPr>
            <w:tcW w:type="dxa" w:w="918"/>
          </w:tcPr>
          <w:p>
            <w:pPr>
              <w:spacing w:after="20"/>
              <w:jc w:val="right"/>
            </w:pPr>
            <w:r>
              <w:rPr>
                <w:color w:val="1C3A36"/>
                <w:sz w:val="15"/>
              </w:rPr>
              <w:t>(405)</w:t>
            </w:r>
          </w:p>
        </w:tc>
        <w:tc>
          <w:tcPr>
            <w:tcW w:type="dxa" w:w="918"/>
          </w:tcPr>
          <w:p>
            <w:pPr>
              <w:spacing w:after="20"/>
              <w:jc w:val="right"/>
            </w:pPr>
            <w:r>
              <w:rPr>
                <w:color w:val="1C3A36"/>
                <w:sz w:val="15"/>
              </w:rPr>
              <w:t>(408)</w:t>
            </w:r>
          </w:p>
        </w:tc>
      </w:tr>
      <w:tr>
        <w:tc>
          <w:tcPr>
            <w:tcW w:type="dxa" w:w="2736"/>
          </w:tcPr>
          <w:p>
            <w:pPr>
              <w:spacing w:after="20"/>
            </w:pPr>
            <w:r>
              <w:rPr>
                <w:color w:val="1C3A36"/>
                <w:sz w:val="15"/>
              </w:rPr>
              <w:t>EBIT (forecast basis)</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1,323</w:t>
            </w:r>
          </w:p>
        </w:tc>
        <w:tc>
          <w:tcPr>
            <w:tcW w:type="dxa" w:w="918"/>
          </w:tcPr>
          <w:p>
            <w:pPr>
              <w:spacing w:after="20"/>
              <w:jc w:val="right"/>
            </w:pPr>
            <w:r>
              <w:rPr>
                <w:color w:val="1C3A36"/>
                <w:sz w:val="15"/>
              </w:rPr>
              <w:t>1,452</w:t>
            </w:r>
          </w:p>
        </w:tc>
        <w:tc>
          <w:tcPr>
            <w:tcW w:type="dxa" w:w="918"/>
          </w:tcPr>
          <w:p>
            <w:pPr>
              <w:spacing w:after="20"/>
              <w:jc w:val="right"/>
            </w:pPr>
            <w:r>
              <w:rPr>
                <w:color w:val="1C3A36"/>
                <w:sz w:val="15"/>
              </w:rPr>
              <w:t>1,545</w:t>
            </w:r>
          </w:p>
        </w:tc>
        <w:tc>
          <w:tcPr>
            <w:tcW w:type="dxa" w:w="918"/>
          </w:tcPr>
          <w:p>
            <w:pPr>
              <w:spacing w:after="20"/>
              <w:jc w:val="right"/>
            </w:pPr>
            <w:r>
              <w:rPr>
                <w:color w:val="1C3A36"/>
                <w:sz w:val="15"/>
              </w:rPr>
              <w:t>1,629</w:t>
            </w:r>
          </w:p>
        </w:tc>
        <w:tc>
          <w:tcPr>
            <w:tcW w:type="dxa" w:w="918"/>
          </w:tcPr>
          <w:p>
            <w:pPr>
              <w:spacing w:after="20"/>
              <w:jc w:val="right"/>
            </w:pPr>
            <w:r>
              <w:rPr>
                <w:color w:val="1C3A36"/>
                <w:sz w:val="15"/>
              </w:rPr>
              <w:t>1,703</w:t>
            </w:r>
          </w:p>
        </w:tc>
      </w:tr>
      <w:tr>
        <w:tc>
          <w:tcPr>
            <w:tcW w:type="dxa" w:w="2736"/>
          </w:tcPr>
          <w:p>
            <w:pPr>
              <w:spacing w:after="20"/>
            </w:pPr>
            <w:r>
              <w:rPr>
                <w:color w:val="1C3A36"/>
                <w:sz w:val="15"/>
              </w:rPr>
              <w:t>NOPAT at 9% / at 15%</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1,204 / 1,124</w:t>
            </w:r>
          </w:p>
        </w:tc>
        <w:tc>
          <w:tcPr>
            <w:tcW w:type="dxa" w:w="918"/>
          </w:tcPr>
          <w:p>
            <w:pPr>
              <w:spacing w:after="20"/>
              <w:jc w:val="right"/>
            </w:pPr>
            <w:r>
              <w:rPr>
                <w:color w:val="1C3A36"/>
                <w:sz w:val="15"/>
              </w:rPr>
              <w:t>1,322 / 1,234</w:t>
            </w:r>
          </w:p>
        </w:tc>
        <w:tc>
          <w:tcPr>
            <w:tcW w:type="dxa" w:w="918"/>
          </w:tcPr>
          <w:p>
            <w:pPr>
              <w:spacing w:after="20"/>
              <w:jc w:val="right"/>
            </w:pPr>
            <w:r>
              <w:rPr>
                <w:color w:val="1C3A36"/>
                <w:sz w:val="15"/>
              </w:rPr>
              <w:t>1,406 / 1,314</w:t>
            </w:r>
          </w:p>
        </w:tc>
        <w:tc>
          <w:tcPr>
            <w:tcW w:type="dxa" w:w="918"/>
          </w:tcPr>
          <w:p>
            <w:pPr>
              <w:spacing w:after="20"/>
              <w:jc w:val="right"/>
            </w:pPr>
            <w:r>
              <w:rPr>
                <w:color w:val="1C3A36"/>
                <w:sz w:val="15"/>
              </w:rPr>
              <w:t>1,483 / 1,385</w:t>
            </w:r>
          </w:p>
        </w:tc>
        <w:tc>
          <w:tcPr>
            <w:tcW w:type="dxa" w:w="918"/>
          </w:tcPr>
          <w:p>
            <w:pPr>
              <w:spacing w:after="20"/>
              <w:jc w:val="right"/>
            </w:pPr>
            <w:r>
              <w:rPr>
                <w:color w:val="1C3A36"/>
                <w:sz w:val="15"/>
              </w:rPr>
              <w:t>1,550 / 1,448</w:t>
            </w:r>
          </w:p>
        </w:tc>
      </w:tr>
      <w:tr>
        <w:tc>
          <w:tcPr>
            <w:tcW w:type="dxa" w:w="2736"/>
          </w:tcPr>
          <w:p>
            <w:pPr>
              <w:spacing w:after="20"/>
            </w:pPr>
            <w:r>
              <w:rPr>
                <w:color w:val="1C3A36"/>
                <w:sz w:val="15"/>
              </w:rPr>
              <w:t>Profit before tax</w:t>
            </w:r>
          </w:p>
        </w:tc>
        <w:tc>
          <w:tcPr>
            <w:tcW w:type="dxa" w:w="918"/>
          </w:tcPr>
          <w:p>
            <w:pPr>
              <w:spacing w:after="20"/>
              <w:jc w:val="right"/>
            </w:pPr>
            <w:r>
              <w:rPr>
                <w:color w:val="1C3A36"/>
                <w:sz w:val="15"/>
              </w:rPr>
              <w:t>943</w:t>
            </w:r>
          </w:p>
        </w:tc>
        <w:tc>
          <w:tcPr>
            <w:tcW w:type="dxa" w:w="918"/>
          </w:tcPr>
          <w:p>
            <w:pPr>
              <w:spacing w:after="20"/>
              <w:jc w:val="right"/>
            </w:pPr>
            <w:r>
              <w:rPr>
                <w:color w:val="1C3A36"/>
                <w:sz w:val="15"/>
              </w:rPr>
              <w:t>998</w:t>
            </w:r>
          </w:p>
        </w:tc>
        <w:tc>
          <w:tcPr>
            <w:tcW w:type="dxa" w:w="918"/>
          </w:tcPr>
          <w:p>
            <w:pPr>
              <w:spacing w:after="20"/>
              <w:jc w:val="right"/>
            </w:pPr>
            <w:r>
              <w:rPr>
                <w:color w:val="1C3A36"/>
                <w:sz w:val="15"/>
              </w:rPr>
              <w:t>1,103</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r>
      <w:tr>
        <w:tc>
          <w:tcPr>
            <w:tcW w:type="dxa" w:w="2736"/>
          </w:tcPr>
          <w:p>
            <w:pPr>
              <w:spacing w:after="20"/>
            </w:pPr>
            <w:r>
              <w:rPr>
                <w:color w:val="1C3A36"/>
                <w:sz w:val="15"/>
              </w:rPr>
              <w:t>Income tax (credit) / expense</w:t>
            </w:r>
          </w:p>
        </w:tc>
        <w:tc>
          <w:tcPr>
            <w:tcW w:type="dxa" w:w="918"/>
          </w:tcPr>
          <w:p>
            <w:pPr>
              <w:spacing w:after="20"/>
              <w:jc w:val="right"/>
            </w:pPr>
            <w:r>
              <w:rPr>
                <w:color w:val="1C3A36"/>
                <w:sz w:val="15"/>
              </w:rPr>
              <w:t>17</w:t>
            </w:r>
          </w:p>
        </w:tc>
        <w:tc>
          <w:tcPr>
            <w:tcW w:type="dxa" w:w="918"/>
          </w:tcPr>
          <w:p>
            <w:pPr>
              <w:spacing w:after="20"/>
              <w:jc w:val="right"/>
            </w:pPr>
            <w:r>
              <w:rPr>
                <w:color w:val="1C3A36"/>
                <w:sz w:val="15"/>
              </w:rPr>
              <w:t>(90)</w:t>
            </w:r>
          </w:p>
        </w:tc>
        <w:tc>
          <w:tcPr>
            <w:tcW w:type="dxa" w:w="918"/>
          </w:tcPr>
          <w:p>
            <w:pPr>
              <w:spacing w:after="20"/>
              <w:jc w:val="right"/>
            </w:pPr>
            <w:r>
              <w:rPr>
                <w:color w:val="1C3A36"/>
                <w:sz w:val="15"/>
              </w:rPr>
              <w:t>(99)</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r>
      <w:tr>
        <w:tc>
          <w:tcPr>
            <w:tcW w:type="dxa" w:w="2736"/>
          </w:tcPr>
          <w:p>
            <w:pPr>
              <w:spacing w:after="20"/>
            </w:pPr>
            <w:r>
              <w:rPr>
                <w:color w:val="1C3A36"/>
                <w:sz w:val="15"/>
              </w:rPr>
              <w:t>Profit for the year</w:t>
            </w:r>
          </w:p>
        </w:tc>
        <w:tc>
          <w:tcPr>
            <w:tcW w:type="dxa" w:w="918"/>
          </w:tcPr>
          <w:p>
            <w:pPr>
              <w:spacing w:after="20"/>
              <w:jc w:val="right"/>
            </w:pPr>
            <w:r>
              <w:rPr>
                <w:color w:val="1C3A36"/>
                <w:sz w:val="15"/>
              </w:rPr>
              <w:t>960</w:t>
            </w:r>
          </w:p>
        </w:tc>
        <w:tc>
          <w:tcPr>
            <w:tcW w:type="dxa" w:w="918"/>
          </w:tcPr>
          <w:p>
            <w:pPr>
              <w:spacing w:after="20"/>
              <w:jc w:val="right"/>
            </w:pPr>
            <w:r>
              <w:rPr>
                <w:color w:val="1C3A36"/>
                <w:sz w:val="15"/>
              </w:rPr>
              <w:t>908</w:t>
            </w:r>
          </w:p>
        </w:tc>
        <w:tc>
          <w:tcPr>
            <w:tcW w:type="dxa" w:w="918"/>
          </w:tcPr>
          <w:p>
            <w:pPr>
              <w:spacing w:after="20"/>
              <w:jc w:val="right"/>
            </w:pPr>
            <w:r>
              <w:rPr>
                <w:color w:val="1C3A36"/>
                <w:sz w:val="15"/>
              </w:rPr>
              <w:t>1,004</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r>
      <w:tr>
        <w:tc>
          <w:tcPr>
            <w:tcW w:type="dxa" w:w="2736"/>
          </w:tcPr>
          <w:p>
            <w:pPr>
              <w:spacing w:after="20"/>
            </w:pPr>
            <w:r>
              <w:rPr>
                <w:color w:val="1C3A36"/>
                <w:sz w:val="15"/>
              </w:rPr>
              <w:t>Attributable to shareholders</w:t>
            </w:r>
          </w:p>
        </w:tc>
        <w:tc>
          <w:tcPr>
            <w:tcW w:type="dxa" w:w="918"/>
          </w:tcPr>
          <w:p>
            <w:pPr>
              <w:spacing w:after="20"/>
              <w:jc w:val="right"/>
            </w:pPr>
            <w:r>
              <w:rPr>
                <w:color w:val="1C3A36"/>
                <w:sz w:val="15"/>
              </w:rPr>
              <w:t>953</w:t>
            </w:r>
          </w:p>
        </w:tc>
        <w:tc>
          <w:tcPr>
            <w:tcW w:type="dxa" w:w="918"/>
          </w:tcPr>
          <w:p>
            <w:pPr>
              <w:spacing w:after="20"/>
              <w:jc w:val="right"/>
            </w:pPr>
            <w:r>
              <w:rPr>
                <w:color w:val="1C3A36"/>
                <w:sz w:val="15"/>
              </w:rPr>
              <w:t>897</w:t>
            </w:r>
          </w:p>
        </w:tc>
        <w:tc>
          <w:tcPr>
            <w:tcW w:type="dxa" w:w="918"/>
          </w:tcPr>
          <w:p>
            <w:pPr>
              <w:spacing w:after="20"/>
              <w:jc w:val="right"/>
            </w:pPr>
            <w:r>
              <w:rPr>
                <w:color w:val="1C3A36"/>
                <w:sz w:val="15"/>
              </w:rPr>
              <w:t>993</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r>
      <w:tr>
        <w:tc>
          <w:tcPr>
            <w:tcW w:type="dxa" w:w="2736"/>
          </w:tcPr>
          <w:p>
            <w:pPr>
              <w:spacing w:after="20"/>
            </w:pPr>
            <w:r>
              <w:rPr>
                <w:color w:val="1C3A36"/>
                <w:sz w:val="15"/>
              </w:rPr>
              <w:t>Earnings per share (AED, derived)</w:t>
            </w:r>
          </w:p>
        </w:tc>
        <w:tc>
          <w:tcPr>
            <w:tcW w:type="dxa" w:w="918"/>
          </w:tcPr>
          <w:p>
            <w:pPr>
              <w:spacing w:after="20"/>
              <w:jc w:val="right"/>
            </w:pPr>
            <w:r>
              <w:rPr>
                <w:color w:val="1C3A36"/>
                <w:sz w:val="15"/>
              </w:rPr>
              <w:t>0.095</w:t>
            </w:r>
          </w:p>
        </w:tc>
        <w:tc>
          <w:tcPr>
            <w:tcW w:type="dxa" w:w="918"/>
          </w:tcPr>
          <w:p>
            <w:pPr>
              <w:spacing w:after="20"/>
              <w:jc w:val="right"/>
            </w:pPr>
            <w:r>
              <w:rPr>
                <w:color w:val="1C3A36"/>
                <w:sz w:val="15"/>
              </w:rPr>
              <w:t>0.090</w:t>
            </w:r>
          </w:p>
        </w:tc>
        <w:tc>
          <w:tcPr>
            <w:tcW w:type="dxa" w:w="918"/>
          </w:tcPr>
          <w:p>
            <w:pPr>
              <w:spacing w:after="20"/>
              <w:jc w:val="right"/>
            </w:pPr>
            <w:r>
              <w:rPr>
                <w:color w:val="1C3A36"/>
                <w:sz w:val="15"/>
              </w:rPr>
              <w:t>0.099</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c>
          <w:tcPr>
            <w:tcW w:type="dxa" w:w="918"/>
          </w:tcPr>
          <w:p>
            <w:pPr>
              <w:spacing w:after="20"/>
              <w:jc w:val="right"/>
            </w:pPr>
            <w:r>
              <w:rPr>
                <w:color w:val="1C3A36"/>
                <w:sz w:val="15"/>
              </w:rPr>
              <w:t>—</w:t>
            </w:r>
          </w:p>
        </w:tc>
      </w:tr>
    </w:tbl>
    <w:p>
      <w:pPr>
        <w:spacing w:after="40"/>
      </w:pPr>
    </w:p>
    <w:p>
      <w:pPr>
        <w:spacing w:after="200" w:before="0"/>
      </w:pPr>
      <w:r>
        <w:rPr>
          <w:b w:val="0"/>
          <w:i/>
          <w:color w:val="6E7B77"/>
          <w:sz w:val="17"/>
        </w:rPr>
        <w:t>Every FY2023-25 line is taken directly from the company's audited consolidated statements (the 2023 income-statement figure of interest income on the airport concession receivable is presented INSIDE gross profit by the company, and the same presentation is kept here). EBITDA is a house derivation — operating profit plus depreciation and amortisation — labelled as such; the audited statements contain no EBITDA line. The 2023 tax line is a CREDIT (first recognition of deferred tax assets ahead of UAE corporate tax). Forecast financing, tax and attributable lines are shown only where the model constructs them; the free-cash-flow waterfall in section 1.1 is a pre-financing measure by construction.</w:t>
      </w:r>
    </w:p>
    <w:p>
      <w:pPr>
        <w:spacing w:after="80" w:before="200"/>
      </w:pPr>
      <w:r>
        <w:rPr>
          <w:b/>
          <w:i w:val="0"/>
          <w:color w:val="1C3A36"/>
          <w:sz w:val="24"/>
        </w:rPr>
        <w:t>A.2  Balance sheet — condensed house layout (consolidated,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584"/>
        <w:gridCol w:w="1584"/>
        <w:gridCol w:w="1584"/>
        <w:gridCol w:w="1584"/>
      </w:tblGrid>
      <w:tr>
        <w:tc>
          <w:tcPr>
            <w:tcW w:type="dxa" w:w="3744"/>
            <w:shd w:val="clear" w:color="auto" w:fill="EAF0EE"/>
          </w:tcPr>
          <w:p>
            <w:pPr>
              <w:spacing w:after="20"/>
            </w:pPr>
            <w:r>
              <w:rPr>
                <w:b/>
                <w:color w:val="1C3A36"/>
                <w:sz w:val="16"/>
              </w:rPr>
              <w:t>AED mn</w:t>
            </w:r>
          </w:p>
        </w:tc>
        <w:tc>
          <w:tcPr>
            <w:tcW w:type="dxa" w:w="1584"/>
            <w:shd w:val="clear" w:color="auto" w:fill="EAF0EE"/>
          </w:tcPr>
          <w:p>
            <w:pPr>
              <w:spacing w:after="20"/>
            </w:pPr>
            <w:r>
              <w:rPr>
                <w:b/>
                <w:color w:val="1C3A36"/>
                <w:sz w:val="16"/>
              </w:rPr>
              <w:t>FY2023</w:t>
            </w:r>
          </w:p>
        </w:tc>
        <w:tc>
          <w:tcPr>
            <w:tcW w:type="dxa" w:w="1584"/>
            <w:shd w:val="clear" w:color="auto" w:fill="EAF0EE"/>
          </w:tcPr>
          <w:p>
            <w:pPr>
              <w:spacing w:after="20"/>
            </w:pPr>
            <w:r>
              <w:rPr>
                <w:b/>
                <w:color w:val="1C3A36"/>
                <w:sz w:val="16"/>
              </w:rPr>
              <w:t>FY2024</w:t>
            </w:r>
          </w:p>
        </w:tc>
        <w:tc>
          <w:tcPr>
            <w:tcW w:type="dxa" w:w="1584"/>
            <w:shd w:val="clear" w:color="auto" w:fill="EAF0EE"/>
          </w:tcPr>
          <w:p>
            <w:pPr>
              <w:spacing w:after="20"/>
            </w:pPr>
            <w:r>
              <w:rPr>
                <w:b/>
                <w:color w:val="1C3A36"/>
                <w:sz w:val="16"/>
              </w:rPr>
              <w:t>FY2025</w:t>
            </w:r>
          </w:p>
        </w:tc>
        <w:tc>
          <w:tcPr>
            <w:tcW w:type="dxa" w:w="1584"/>
            <w:shd w:val="clear" w:color="auto" w:fill="EAF0EE"/>
          </w:tcPr>
          <w:p>
            <w:pPr>
              <w:spacing w:after="20"/>
            </w:pPr>
            <w:r>
              <w:rPr>
                <w:b/>
                <w:color w:val="1C3A36"/>
                <w:sz w:val="16"/>
              </w:rPr>
              <w:t>30-Jun-2026</w:t>
            </w:r>
          </w:p>
        </w:tc>
      </w:tr>
      <w:tr>
        <w:tc>
          <w:tcPr>
            <w:tcW w:type="dxa" w:w="3744"/>
          </w:tcPr>
          <w:p>
            <w:pPr>
              <w:spacing w:after="20"/>
            </w:pPr>
            <w:r>
              <w:rPr>
                <w:color w:val="1C3A36"/>
                <w:sz w:val="16"/>
              </w:rPr>
              <w:t>Property, plant and equipment</w:t>
            </w:r>
          </w:p>
        </w:tc>
        <w:tc>
          <w:tcPr>
            <w:tcW w:type="dxa" w:w="1584"/>
          </w:tcPr>
          <w:p>
            <w:pPr>
              <w:spacing w:after="20"/>
              <w:jc w:val="right"/>
            </w:pPr>
            <w:r>
              <w:rPr>
                <w:color w:val="1C3A36"/>
                <w:sz w:val="16"/>
              </w:rPr>
              <w:t>6,935</w:t>
            </w:r>
          </w:p>
        </w:tc>
        <w:tc>
          <w:tcPr>
            <w:tcW w:type="dxa" w:w="1584"/>
          </w:tcPr>
          <w:p>
            <w:pPr>
              <w:spacing w:after="20"/>
              <w:jc w:val="right"/>
            </w:pPr>
            <w:r>
              <w:rPr>
                <w:color w:val="1C3A36"/>
                <w:sz w:val="16"/>
              </w:rPr>
              <w:t>6,995</w:t>
            </w:r>
          </w:p>
        </w:tc>
        <w:tc>
          <w:tcPr>
            <w:tcW w:type="dxa" w:w="1584"/>
          </w:tcPr>
          <w:p>
            <w:pPr>
              <w:spacing w:after="20"/>
              <w:jc w:val="right"/>
            </w:pPr>
            <w:r>
              <w:rPr>
                <w:color w:val="1C3A36"/>
                <w:sz w:val="16"/>
              </w:rPr>
              <w:t>7,195</w:t>
            </w:r>
          </w:p>
        </w:tc>
        <w:tc>
          <w:tcPr>
            <w:tcW w:type="dxa" w:w="1584"/>
          </w:tcPr>
          <w:p>
            <w:pPr>
              <w:spacing w:after="20"/>
              <w:jc w:val="right"/>
            </w:pPr>
            <w:r>
              <w:rPr>
                <w:color w:val="1C3A36"/>
                <w:sz w:val="16"/>
              </w:rPr>
              <w:t>7,275</w:t>
            </w:r>
          </w:p>
        </w:tc>
      </w:tr>
      <w:tr>
        <w:tc>
          <w:tcPr>
            <w:tcW w:type="dxa" w:w="3744"/>
          </w:tcPr>
          <w:p>
            <w:pPr>
              <w:spacing w:after="20"/>
            </w:pPr>
            <w:r>
              <w:rPr>
                <w:color w:val="1C3A36"/>
                <w:sz w:val="16"/>
              </w:rPr>
              <w:t>Intangible assets</w:t>
            </w:r>
          </w:p>
        </w:tc>
        <w:tc>
          <w:tcPr>
            <w:tcW w:type="dxa" w:w="1584"/>
          </w:tcPr>
          <w:p>
            <w:pPr>
              <w:spacing w:after="20"/>
              <w:jc w:val="right"/>
            </w:pPr>
            <w:r>
              <w:rPr>
                <w:color w:val="1C3A36"/>
                <w:sz w:val="16"/>
              </w:rPr>
              <w:t>340</w:t>
            </w:r>
          </w:p>
        </w:tc>
        <w:tc>
          <w:tcPr>
            <w:tcW w:type="dxa" w:w="1584"/>
          </w:tcPr>
          <w:p>
            <w:pPr>
              <w:spacing w:after="20"/>
              <w:jc w:val="right"/>
            </w:pPr>
            <w:r>
              <w:rPr>
                <w:color w:val="1C3A36"/>
                <w:sz w:val="16"/>
              </w:rPr>
              <w:t>328</w:t>
            </w:r>
          </w:p>
        </w:tc>
        <w:tc>
          <w:tcPr>
            <w:tcW w:type="dxa" w:w="1584"/>
          </w:tcPr>
          <w:p>
            <w:pPr>
              <w:spacing w:after="20"/>
              <w:jc w:val="right"/>
            </w:pPr>
            <w:r>
              <w:rPr>
                <w:color w:val="1C3A36"/>
                <w:sz w:val="16"/>
              </w:rPr>
              <w:t>316</w:t>
            </w:r>
          </w:p>
        </w:tc>
        <w:tc>
          <w:tcPr>
            <w:tcW w:type="dxa" w:w="1584"/>
          </w:tcPr>
          <w:p>
            <w:pPr>
              <w:spacing w:after="20"/>
              <w:jc w:val="right"/>
            </w:pPr>
            <w:r>
              <w:rPr>
                <w:color w:val="1C3A36"/>
                <w:sz w:val="16"/>
              </w:rPr>
              <w:t>310</w:t>
            </w:r>
          </w:p>
        </w:tc>
      </w:tr>
      <w:tr>
        <w:tc>
          <w:tcPr>
            <w:tcW w:type="dxa" w:w="3744"/>
          </w:tcPr>
          <w:p>
            <w:pPr>
              <w:spacing w:after="20"/>
            </w:pPr>
            <w:r>
              <w:rPr>
                <w:color w:val="1C3A36"/>
                <w:sz w:val="16"/>
              </w:rPr>
              <w:t>Airport-concession receivable (amortised cost, non-current)</w:t>
            </w:r>
          </w:p>
        </w:tc>
        <w:tc>
          <w:tcPr>
            <w:tcW w:type="dxa" w:w="1584"/>
          </w:tcPr>
          <w:p>
            <w:pPr>
              <w:spacing w:after="20"/>
              <w:jc w:val="right"/>
            </w:pPr>
            <w:r>
              <w:rPr>
                <w:color w:val="1C3A36"/>
                <w:sz w:val="16"/>
              </w:rPr>
              <w:t>19</w:t>
            </w:r>
          </w:p>
        </w:tc>
        <w:tc>
          <w:tcPr>
            <w:tcW w:type="dxa" w:w="1584"/>
          </w:tcPr>
          <w:p>
            <w:pPr>
              <w:spacing w:after="20"/>
              <w:jc w:val="right"/>
            </w:pPr>
            <w:r>
              <w:rPr>
                <w:color w:val="1C3A36"/>
                <w:sz w:val="16"/>
              </w:rPr>
              <w:t>1,305</w:t>
            </w:r>
          </w:p>
        </w:tc>
        <w:tc>
          <w:tcPr>
            <w:tcW w:type="dxa" w:w="1584"/>
          </w:tcPr>
          <w:p>
            <w:pPr>
              <w:spacing w:after="20"/>
              <w:jc w:val="right"/>
            </w:pPr>
            <w:r>
              <w:rPr>
                <w:color w:val="1C3A36"/>
                <w:sz w:val="16"/>
              </w:rPr>
              <w:t>21</w:t>
            </w:r>
          </w:p>
        </w:tc>
        <w:tc>
          <w:tcPr>
            <w:tcW w:type="dxa" w:w="1584"/>
          </w:tcPr>
          <w:p>
            <w:pPr>
              <w:spacing w:after="20"/>
              <w:jc w:val="right"/>
            </w:pPr>
            <w:r>
              <w:rPr>
                <w:color w:val="1C3A36"/>
                <w:sz w:val="16"/>
              </w:rPr>
              <w:t>21</w:t>
            </w:r>
          </w:p>
        </w:tc>
      </w:tr>
      <w:tr>
        <w:tc>
          <w:tcPr>
            <w:tcW w:type="dxa" w:w="3744"/>
          </w:tcPr>
          <w:p>
            <w:pPr>
              <w:spacing w:after="20"/>
            </w:pPr>
            <w:r>
              <w:rPr>
                <w:color w:val="1C3A36"/>
                <w:sz w:val="16"/>
              </w:rPr>
              <w:t>Investment properties</w:t>
            </w:r>
          </w:p>
        </w:tc>
        <w:tc>
          <w:tcPr>
            <w:tcW w:type="dxa" w:w="1584"/>
          </w:tcPr>
          <w:p>
            <w:pPr>
              <w:spacing w:after="20"/>
              <w:jc w:val="right"/>
            </w:pPr>
            <w:r>
              <w:rPr>
                <w:color w:val="1C3A36"/>
                <w:sz w:val="16"/>
              </w:rPr>
              <w:t>86</w:t>
            </w:r>
          </w:p>
        </w:tc>
        <w:tc>
          <w:tcPr>
            <w:tcW w:type="dxa" w:w="1584"/>
          </w:tcPr>
          <w:p>
            <w:pPr>
              <w:spacing w:after="20"/>
              <w:jc w:val="right"/>
            </w:pPr>
            <w:r>
              <w:rPr>
                <w:color w:val="1C3A36"/>
                <w:sz w:val="16"/>
              </w:rPr>
              <w:t>118</w:t>
            </w:r>
          </w:p>
        </w:tc>
        <w:tc>
          <w:tcPr>
            <w:tcW w:type="dxa" w:w="1584"/>
          </w:tcPr>
          <w:p>
            <w:pPr>
              <w:spacing w:after="20"/>
              <w:jc w:val="right"/>
            </w:pPr>
            <w:r>
              <w:rPr>
                <w:color w:val="1C3A36"/>
                <w:sz w:val="16"/>
              </w:rPr>
              <w:t>171</w:t>
            </w:r>
          </w:p>
        </w:tc>
        <w:tc>
          <w:tcPr>
            <w:tcW w:type="dxa" w:w="1584"/>
          </w:tcPr>
          <w:p>
            <w:pPr>
              <w:spacing w:after="20"/>
              <w:jc w:val="right"/>
            </w:pPr>
            <w:r>
              <w:rPr>
                <w:color w:val="1C3A36"/>
                <w:sz w:val="16"/>
              </w:rPr>
              <w:t>169</w:t>
            </w:r>
          </w:p>
        </w:tc>
      </w:tr>
      <w:tr>
        <w:tc>
          <w:tcPr>
            <w:tcW w:type="dxa" w:w="3744"/>
          </w:tcPr>
          <w:p>
            <w:pPr>
              <w:spacing w:after="20"/>
            </w:pPr>
            <w:r>
              <w:rPr>
                <w:color w:val="1C3A36"/>
                <w:sz w:val="16"/>
              </w:rPr>
              <w:t>Inventories</w:t>
            </w:r>
          </w:p>
        </w:tc>
        <w:tc>
          <w:tcPr>
            <w:tcW w:type="dxa" w:w="1584"/>
          </w:tcPr>
          <w:p>
            <w:pPr>
              <w:spacing w:after="20"/>
              <w:jc w:val="right"/>
            </w:pPr>
            <w:r>
              <w:rPr>
                <w:color w:val="1C3A36"/>
                <w:sz w:val="16"/>
              </w:rPr>
              <w:t>44</w:t>
            </w:r>
          </w:p>
        </w:tc>
        <w:tc>
          <w:tcPr>
            <w:tcW w:type="dxa" w:w="1584"/>
          </w:tcPr>
          <w:p>
            <w:pPr>
              <w:spacing w:after="20"/>
              <w:jc w:val="right"/>
            </w:pPr>
            <w:r>
              <w:rPr>
                <w:color w:val="1C3A36"/>
                <w:sz w:val="16"/>
              </w:rPr>
              <w:t>54</w:t>
            </w:r>
          </w:p>
        </w:tc>
        <w:tc>
          <w:tcPr>
            <w:tcW w:type="dxa" w:w="1584"/>
          </w:tcPr>
          <w:p>
            <w:pPr>
              <w:spacing w:after="20"/>
              <w:jc w:val="right"/>
            </w:pPr>
            <w:r>
              <w:rPr>
                <w:color w:val="1C3A36"/>
                <w:sz w:val="16"/>
              </w:rPr>
              <w:t>56</w:t>
            </w:r>
          </w:p>
        </w:tc>
        <w:tc>
          <w:tcPr>
            <w:tcW w:type="dxa" w:w="1584"/>
          </w:tcPr>
          <w:p>
            <w:pPr>
              <w:spacing w:after="20"/>
              <w:jc w:val="right"/>
            </w:pPr>
            <w:r>
              <w:rPr>
                <w:color w:val="1C3A36"/>
                <w:sz w:val="16"/>
              </w:rPr>
              <w:t>57</w:t>
            </w:r>
          </w:p>
        </w:tc>
      </w:tr>
      <w:tr>
        <w:tc>
          <w:tcPr>
            <w:tcW w:type="dxa" w:w="3744"/>
          </w:tcPr>
          <w:p>
            <w:pPr>
              <w:spacing w:after="20"/>
            </w:pPr>
            <w:r>
              <w:rPr>
                <w:color w:val="1C3A36"/>
                <w:sz w:val="16"/>
              </w:rPr>
              <w:t>Trade and other receivables</w:t>
            </w:r>
          </w:p>
        </w:tc>
        <w:tc>
          <w:tcPr>
            <w:tcW w:type="dxa" w:w="1584"/>
          </w:tcPr>
          <w:p>
            <w:pPr>
              <w:spacing w:after="20"/>
              <w:jc w:val="right"/>
            </w:pPr>
            <w:r>
              <w:rPr>
                <w:color w:val="1C3A36"/>
                <w:sz w:val="16"/>
              </w:rPr>
              <w:t>319</w:t>
            </w:r>
          </w:p>
        </w:tc>
        <w:tc>
          <w:tcPr>
            <w:tcW w:type="dxa" w:w="1584"/>
          </w:tcPr>
          <w:p>
            <w:pPr>
              <w:spacing w:after="20"/>
              <w:jc w:val="right"/>
            </w:pPr>
            <w:r>
              <w:rPr>
                <w:color w:val="1C3A36"/>
                <w:sz w:val="16"/>
              </w:rPr>
              <w:t>275</w:t>
            </w:r>
          </w:p>
        </w:tc>
        <w:tc>
          <w:tcPr>
            <w:tcW w:type="dxa" w:w="1584"/>
          </w:tcPr>
          <w:p>
            <w:pPr>
              <w:spacing w:after="20"/>
              <w:jc w:val="right"/>
            </w:pPr>
            <w:r>
              <w:rPr>
                <w:color w:val="1C3A36"/>
                <w:sz w:val="16"/>
              </w:rPr>
              <w:t>304</w:t>
            </w:r>
          </w:p>
        </w:tc>
        <w:tc>
          <w:tcPr>
            <w:tcW w:type="dxa" w:w="1584"/>
          </w:tcPr>
          <w:p>
            <w:pPr>
              <w:spacing w:after="20"/>
              <w:jc w:val="right"/>
            </w:pPr>
            <w:r>
              <w:rPr>
                <w:color w:val="1C3A36"/>
                <w:sz w:val="16"/>
              </w:rPr>
              <w:t>434</w:t>
            </w:r>
          </w:p>
        </w:tc>
      </w:tr>
      <w:tr>
        <w:tc>
          <w:tcPr>
            <w:tcW w:type="dxa" w:w="3744"/>
          </w:tcPr>
          <w:p>
            <w:pPr>
              <w:spacing w:after="20"/>
            </w:pPr>
            <w:r>
              <w:rPr>
                <w:color w:val="1C3A36"/>
                <w:sz w:val="16"/>
              </w:rPr>
              <w:t>Term deposits</w:t>
            </w:r>
          </w:p>
        </w:tc>
        <w:tc>
          <w:tcPr>
            <w:tcW w:type="dxa" w:w="1584"/>
          </w:tcPr>
          <w:p>
            <w:pPr>
              <w:spacing w:after="20"/>
              <w:jc w:val="right"/>
            </w:pPr>
            <w:r>
              <w:rPr>
                <w:color w:val="1C3A36"/>
                <w:sz w:val="16"/>
              </w:rPr>
              <w:t>28</w:t>
            </w:r>
          </w:p>
        </w:tc>
        <w:tc>
          <w:tcPr>
            <w:tcW w:type="dxa" w:w="1584"/>
          </w:tcPr>
          <w:p>
            <w:pPr>
              <w:spacing w:after="20"/>
              <w:jc w:val="right"/>
            </w:pPr>
            <w:r>
              <w:rPr>
                <w:color w:val="1C3A36"/>
                <w:sz w:val="16"/>
              </w:rPr>
              <w:t>30</w:t>
            </w:r>
          </w:p>
        </w:tc>
        <w:tc>
          <w:tcPr>
            <w:tcW w:type="dxa" w:w="1584"/>
          </w:tcPr>
          <w:p>
            <w:pPr>
              <w:spacing w:after="20"/>
              <w:jc w:val="right"/>
            </w:pPr>
            <w:r>
              <w:rPr>
                <w:color w:val="1C3A36"/>
                <w:sz w:val="16"/>
              </w:rPr>
              <w:t>58</w:t>
            </w:r>
          </w:p>
        </w:tc>
        <w:tc>
          <w:tcPr>
            <w:tcW w:type="dxa" w:w="1584"/>
          </w:tcPr>
          <w:p>
            <w:pPr>
              <w:spacing w:after="20"/>
              <w:jc w:val="right"/>
            </w:pPr>
            <w:r>
              <w:rPr>
                <w:color w:val="1C3A36"/>
                <w:sz w:val="16"/>
              </w:rPr>
              <w:t>40</w:t>
            </w:r>
          </w:p>
        </w:tc>
      </w:tr>
      <w:tr>
        <w:tc>
          <w:tcPr>
            <w:tcW w:type="dxa" w:w="3744"/>
          </w:tcPr>
          <w:p>
            <w:pPr>
              <w:spacing w:after="20"/>
            </w:pPr>
            <w:r>
              <w:rPr>
                <w:color w:val="1C3A36"/>
                <w:sz w:val="16"/>
              </w:rPr>
              <w:t>Cash and cash equivalents</w:t>
            </w:r>
          </w:p>
        </w:tc>
        <w:tc>
          <w:tcPr>
            <w:tcW w:type="dxa" w:w="1584"/>
          </w:tcPr>
          <w:p>
            <w:pPr>
              <w:spacing w:after="20"/>
              <w:jc w:val="right"/>
            </w:pPr>
            <w:r>
              <w:rPr>
                <w:color w:val="1C3A36"/>
                <w:sz w:val="16"/>
              </w:rPr>
              <w:t>539</w:t>
            </w:r>
          </w:p>
        </w:tc>
        <w:tc>
          <w:tcPr>
            <w:tcW w:type="dxa" w:w="1584"/>
          </w:tcPr>
          <w:p>
            <w:pPr>
              <w:spacing w:after="20"/>
              <w:jc w:val="right"/>
            </w:pPr>
            <w:r>
              <w:rPr>
                <w:color w:val="1C3A36"/>
                <w:sz w:val="16"/>
              </w:rPr>
              <w:t>1,937</w:t>
            </w:r>
          </w:p>
        </w:tc>
        <w:tc>
          <w:tcPr>
            <w:tcW w:type="dxa" w:w="1584"/>
          </w:tcPr>
          <w:p>
            <w:pPr>
              <w:spacing w:after="20"/>
              <w:jc w:val="right"/>
            </w:pPr>
            <w:r>
              <w:rPr>
                <w:color w:val="1C3A36"/>
                <w:sz w:val="16"/>
              </w:rPr>
              <w:t>2,256</w:t>
            </w:r>
          </w:p>
        </w:tc>
        <w:tc>
          <w:tcPr>
            <w:tcW w:type="dxa" w:w="1584"/>
          </w:tcPr>
          <w:p>
            <w:pPr>
              <w:spacing w:after="20"/>
              <w:jc w:val="right"/>
            </w:pPr>
            <w:r>
              <w:rPr>
                <w:color w:val="1C3A36"/>
                <w:sz w:val="16"/>
              </w:rPr>
              <w:t>2,472</w:t>
            </w:r>
          </w:p>
        </w:tc>
      </w:tr>
      <w:tr>
        <w:tc>
          <w:tcPr>
            <w:tcW w:type="dxa" w:w="3744"/>
            <w:shd w:val="clear" w:color="auto" w:fill="F6F1E6"/>
          </w:tcPr>
          <w:p>
            <w:pPr>
              <w:spacing w:after="20"/>
            </w:pPr>
            <w:r>
              <w:rPr>
                <w:b/>
                <w:color w:val="1C3A36"/>
                <w:sz w:val="16"/>
              </w:rPr>
              <w:t>Total assets</w:t>
            </w:r>
          </w:p>
        </w:tc>
        <w:tc>
          <w:tcPr>
            <w:tcW w:type="dxa" w:w="1584"/>
            <w:shd w:val="clear" w:color="auto" w:fill="F6F1E6"/>
          </w:tcPr>
          <w:p>
            <w:pPr>
              <w:spacing w:after="20"/>
              <w:jc w:val="right"/>
            </w:pPr>
            <w:r>
              <w:rPr>
                <w:b/>
                <w:color w:val="1C3A36"/>
                <w:sz w:val="16"/>
              </w:rPr>
              <w:t>9,728</w:t>
            </w:r>
          </w:p>
        </w:tc>
        <w:tc>
          <w:tcPr>
            <w:tcW w:type="dxa" w:w="1584"/>
            <w:shd w:val="clear" w:color="auto" w:fill="F6F1E6"/>
          </w:tcPr>
          <w:p>
            <w:pPr>
              <w:spacing w:after="20"/>
              <w:jc w:val="right"/>
            </w:pPr>
            <w:r>
              <w:rPr>
                <w:b/>
                <w:color w:val="1C3A36"/>
                <w:sz w:val="16"/>
              </w:rPr>
              <w:t>11,183</w:t>
            </w:r>
          </w:p>
        </w:tc>
        <w:tc>
          <w:tcPr>
            <w:tcW w:type="dxa" w:w="1584"/>
            <w:shd w:val="clear" w:color="auto" w:fill="F6F1E6"/>
          </w:tcPr>
          <w:p>
            <w:pPr>
              <w:spacing w:after="20"/>
              <w:jc w:val="right"/>
            </w:pPr>
            <w:r>
              <w:rPr>
                <w:b/>
                <w:color w:val="1C3A36"/>
                <w:sz w:val="16"/>
              </w:rPr>
              <w:t>11,817</w:t>
            </w:r>
          </w:p>
        </w:tc>
        <w:tc>
          <w:tcPr>
            <w:tcW w:type="dxa" w:w="1584"/>
            <w:shd w:val="clear" w:color="auto" w:fill="F6F1E6"/>
          </w:tcPr>
          <w:p>
            <w:pPr>
              <w:spacing w:after="20"/>
              <w:jc w:val="right"/>
            </w:pPr>
            <w:r>
              <w:rPr>
                <w:b/>
                <w:color w:val="1C3A36"/>
                <w:sz w:val="16"/>
              </w:rPr>
              <w:t>12,267</w:t>
            </w:r>
          </w:p>
        </w:tc>
      </w:tr>
      <w:tr>
        <w:tc>
          <w:tcPr>
            <w:tcW w:type="dxa" w:w="3744"/>
          </w:tcPr>
          <w:p>
            <w:pPr>
              <w:spacing w:after="20"/>
            </w:pPr>
            <w:r>
              <w:rPr>
                <w:color w:val="1C3A36"/>
                <w:sz w:val="16"/>
              </w:rPr>
              <w:t>Bank borrowings (current + non-current)</w:t>
            </w:r>
          </w:p>
        </w:tc>
        <w:tc>
          <w:tcPr>
            <w:tcW w:type="dxa" w:w="1584"/>
          </w:tcPr>
          <w:p>
            <w:pPr>
              <w:spacing w:after="20"/>
              <w:jc w:val="right"/>
            </w:pPr>
            <w:r>
              <w:rPr>
                <w:color w:val="1C3A36"/>
                <w:sz w:val="16"/>
              </w:rPr>
              <w:t>4,492</w:t>
            </w:r>
          </w:p>
        </w:tc>
        <w:tc>
          <w:tcPr>
            <w:tcW w:type="dxa" w:w="1584"/>
          </w:tcPr>
          <w:p>
            <w:pPr>
              <w:spacing w:after="20"/>
              <w:jc w:val="right"/>
            </w:pPr>
            <w:r>
              <w:rPr>
                <w:color w:val="1C3A36"/>
                <w:sz w:val="16"/>
              </w:rPr>
              <w:t>5,498</w:t>
            </w:r>
          </w:p>
        </w:tc>
        <w:tc>
          <w:tcPr>
            <w:tcW w:type="dxa" w:w="1584"/>
          </w:tcPr>
          <w:p>
            <w:pPr>
              <w:spacing w:after="20"/>
              <w:jc w:val="right"/>
            </w:pPr>
            <w:r>
              <w:rPr>
                <w:color w:val="1C3A36"/>
                <w:sz w:val="16"/>
              </w:rPr>
              <w:t>5,503</w:t>
            </w:r>
          </w:p>
        </w:tc>
        <w:tc>
          <w:tcPr>
            <w:tcW w:type="dxa" w:w="1584"/>
          </w:tcPr>
          <w:p>
            <w:pPr>
              <w:spacing w:after="20"/>
              <w:jc w:val="right"/>
            </w:pPr>
            <w:r>
              <w:rPr>
                <w:color w:val="1C3A36"/>
                <w:sz w:val="16"/>
              </w:rPr>
              <w:t>5,503</w:t>
            </w:r>
          </w:p>
        </w:tc>
      </w:tr>
      <w:tr>
        <w:tc>
          <w:tcPr>
            <w:tcW w:type="dxa" w:w="3744"/>
          </w:tcPr>
          <w:p>
            <w:pPr>
              <w:spacing w:after="20"/>
            </w:pPr>
            <w:r>
              <w:rPr>
                <w:color w:val="1C3A36"/>
                <w:sz w:val="16"/>
              </w:rPr>
              <w:t>Lease liabilities</w:t>
            </w:r>
          </w:p>
        </w:tc>
        <w:tc>
          <w:tcPr>
            <w:tcW w:type="dxa" w:w="1584"/>
          </w:tcPr>
          <w:p>
            <w:pPr>
              <w:spacing w:after="20"/>
              <w:jc w:val="right"/>
            </w:pPr>
            <w:r>
              <w:rPr>
                <w:color w:val="1C3A36"/>
                <w:sz w:val="16"/>
              </w:rPr>
              <w:t>4</w:t>
            </w:r>
          </w:p>
        </w:tc>
        <w:tc>
          <w:tcPr>
            <w:tcW w:type="dxa" w:w="1584"/>
          </w:tcPr>
          <w:p>
            <w:pPr>
              <w:spacing w:after="20"/>
              <w:jc w:val="right"/>
            </w:pPr>
            <w:r>
              <w:rPr>
                <w:color w:val="1C3A36"/>
                <w:sz w:val="16"/>
              </w:rPr>
              <w:t>6</w:t>
            </w:r>
          </w:p>
        </w:tc>
        <w:tc>
          <w:tcPr>
            <w:tcW w:type="dxa" w:w="1584"/>
          </w:tcPr>
          <w:p>
            <w:pPr>
              <w:spacing w:after="20"/>
              <w:jc w:val="right"/>
            </w:pPr>
            <w:r>
              <w:rPr>
                <w:color w:val="1C3A36"/>
                <w:sz w:val="16"/>
              </w:rPr>
              <w:t>2</w:t>
            </w:r>
          </w:p>
        </w:tc>
        <w:tc>
          <w:tcPr>
            <w:tcW w:type="dxa" w:w="1584"/>
          </w:tcPr>
          <w:p>
            <w:pPr>
              <w:spacing w:after="20"/>
              <w:jc w:val="right"/>
            </w:pPr>
            <w:r>
              <w:rPr>
                <w:color w:val="1C3A36"/>
                <w:sz w:val="16"/>
              </w:rPr>
              <w:t>1</w:t>
            </w:r>
          </w:p>
        </w:tc>
      </w:tr>
      <w:tr>
        <w:tc>
          <w:tcPr>
            <w:tcW w:type="dxa" w:w="3744"/>
          </w:tcPr>
          <w:p>
            <w:pPr>
              <w:spacing w:after="20"/>
            </w:pPr>
            <w:r>
              <w:rPr>
                <w:color w:val="1C3A36"/>
                <w:sz w:val="16"/>
              </w:rPr>
              <w:t>Trade and other payables</w:t>
            </w:r>
          </w:p>
        </w:tc>
        <w:tc>
          <w:tcPr>
            <w:tcW w:type="dxa" w:w="1584"/>
          </w:tcPr>
          <w:p>
            <w:pPr>
              <w:spacing w:after="20"/>
              <w:jc w:val="right"/>
            </w:pPr>
            <w:r>
              <w:rPr>
                <w:color w:val="1C3A36"/>
                <w:sz w:val="16"/>
              </w:rPr>
              <w:t>1,403</w:t>
            </w:r>
          </w:p>
        </w:tc>
        <w:tc>
          <w:tcPr>
            <w:tcW w:type="dxa" w:w="1584"/>
          </w:tcPr>
          <w:p>
            <w:pPr>
              <w:spacing w:after="20"/>
              <w:jc w:val="right"/>
            </w:pPr>
            <w:r>
              <w:rPr>
                <w:color w:val="1C3A36"/>
                <w:sz w:val="16"/>
              </w:rPr>
              <w:t>1,678</w:t>
            </w:r>
          </w:p>
        </w:tc>
        <w:tc>
          <w:tcPr>
            <w:tcW w:type="dxa" w:w="1584"/>
          </w:tcPr>
          <w:p>
            <w:pPr>
              <w:spacing w:after="20"/>
              <w:jc w:val="right"/>
            </w:pPr>
            <w:r>
              <w:rPr>
                <w:color w:val="1C3A36"/>
                <w:sz w:val="16"/>
              </w:rPr>
              <w:t>2,165</w:t>
            </w:r>
          </w:p>
        </w:tc>
        <w:tc>
          <w:tcPr>
            <w:tcW w:type="dxa" w:w="1584"/>
          </w:tcPr>
          <w:p>
            <w:pPr>
              <w:spacing w:after="20"/>
              <w:jc w:val="right"/>
            </w:pPr>
            <w:r>
              <w:rPr>
                <w:color w:val="1C3A36"/>
                <w:sz w:val="16"/>
              </w:rPr>
              <w:t>2,459</w:t>
            </w:r>
          </w:p>
        </w:tc>
      </w:tr>
      <w:tr>
        <w:tc>
          <w:tcPr>
            <w:tcW w:type="dxa" w:w="3744"/>
          </w:tcPr>
          <w:p>
            <w:pPr>
              <w:spacing w:after="20"/>
            </w:pPr>
            <w:r>
              <w:rPr>
                <w:color w:val="1C3A36"/>
                <w:sz w:val="16"/>
              </w:rPr>
              <w:t>Total liabilities</w:t>
            </w:r>
          </w:p>
        </w:tc>
        <w:tc>
          <w:tcPr>
            <w:tcW w:type="dxa" w:w="1584"/>
          </w:tcPr>
          <w:p>
            <w:pPr>
              <w:spacing w:after="20"/>
              <w:jc w:val="right"/>
            </w:pPr>
            <w:r>
              <w:rPr>
                <w:color w:val="1C3A36"/>
                <w:sz w:val="16"/>
              </w:rPr>
              <w:t>6,417</w:t>
            </w:r>
          </w:p>
        </w:tc>
        <w:tc>
          <w:tcPr>
            <w:tcW w:type="dxa" w:w="1584"/>
          </w:tcPr>
          <w:p>
            <w:pPr>
              <w:spacing w:after="20"/>
              <w:jc w:val="right"/>
            </w:pPr>
            <w:r>
              <w:rPr>
                <w:color w:val="1C3A36"/>
                <w:sz w:val="16"/>
              </w:rPr>
              <w:t>7,810</w:t>
            </w:r>
          </w:p>
        </w:tc>
        <w:tc>
          <w:tcPr>
            <w:tcW w:type="dxa" w:w="1584"/>
          </w:tcPr>
          <w:p>
            <w:pPr>
              <w:spacing w:after="20"/>
              <w:jc w:val="right"/>
            </w:pPr>
            <w:r>
              <w:rPr>
                <w:color w:val="1C3A36"/>
                <w:sz w:val="16"/>
              </w:rPr>
              <w:t>8,320</w:t>
            </w:r>
          </w:p>
        </w:tc>
        <w:tc>
          <w:tcPr>
            <w:tcW w:type="dxa" w:w="1584"/>
          </w:tcPr>
          <w:p>
            <w:pPr>
              <w:spacing w:after="20"/>
              <w:jc w:val="right"/>
            </w:pPr>
            <w:r>
              <w:rPr>
                <w:color w:val="1C3A36"/>
                <w:sz w:val="16"/>
              </w:rPr>
              <w:t>8,739</w:t>
            </w:r>
          </w:p>
        </w:tc>
      </w:tr>
      <w:tr>
        <w:tc>
          <w:tcPr>
            <w:tcW w:type="dxa" w:w="3744"/>
          </w:tcPr>
          <w:p>
            <w:pPr>
              <w:spacing w:after="20"/>
            </w:pPr>
            <w:r>
              <w:rPr>
                <w:color w:val="1C3A36"/>
                <w:sz w:val="16"/>
              </w:rPr>
              <w:t>Equity attributable to shareholders</w:t>
            </w:r>
          </w:p>
        </w:tc>
        <w:tc>
          <w:tcPr>
            <w:tcW w:type="dxa" w:w="1584"/>
          </w:tcPr>
          <w:p>
            <w:pPr>
              <w:spacing w:after="20"/>
              <w:jc w:val="right"/>
            </w:pPr>
            <w:r>
              <w:rPr>
                <w:color w:val="1C3A36"/>
                <w:sz w:val="16"/>
              </w:rPr>
              <w:t>3,144</w:t>
            </w:r>
          </w:p>
        </w:tc>
        <w:tc>
          <w:tcPr>
            <w:tcW w:type="dxa" w:w="1584"/>
          </w:tcPr>
          <w:p>
            <w:pPr>
              <w:spacing w:after="20"/>
              <w:jc w:val="right"/>
            </w:pPr>
            <w:r>
              <w:rPr>
                <w:color w:val="1C3A36"/>
                <w:sz w:val="16"/>
              </w:rPr>
              <w:t>3,198</w:t>
            </w:r>
          </w:p>
        </w:tc>
        <w:tc>
          <w:tcPr>
            <w:tcW w:type="dxa" w:w="1584"/>
          </w:tcPr>
          <w:p>
            <w:pPr>
              <w:spacing w:after="20"/>
              <w:jc w:val="right"/>
            </w:pPr>
            <w:r>
              <w:rPr>
                <w:color w:val="1C3A36"/>
                <w:sz w:val="16"/>
              </w:rPr>
              <w:t>3,311</w:t>
            </w:r>
          </w:p>
        </w:tc>
        <w:tc>
          <w:tcPr>
            <w:tcW w:type="dxa" w:w="1584"/>
          </w:tcPr>
          <w:p>
            <w:pPr>
              <w:spacing w:after="20"/>
              <w:jc w:val="right"/>
            </w:pPr>
            <w:r>
              <w:rPr>
                <w:color w:val="1C3A36"/>
                <w:sz w:val="16"/>
              </w:rPr>
              <w:t>3,338</w:t>
            </w:r>
          </w:p>
        </w:tc>
      </w:tr>
      <w:tr>
        <w:tc>
          <w:tcPr>
            <w:tcW w:type="dxa" w:w="3744"/>
          </w:tcPr>
          <w:p>
            <w:pPr>
              <w:spacing w:after="20"/>
            </w:pPr>
            <w:r>
              <w:rPr>
                <w:color w:val="1C3A36"/>
                <w:sz w:val="16"/>
              </w:rPr>
              <w:t>Non-controlling interests</w:t>
            </w:r>
          </w:p>
        </w:tc>
        <w:tc>
          <w:tcPr>
            <w:tcW w:type="dxa" w:w="1584"/>
          </w:tcPr>
          <w:p>
            <w:pPr>
              <w:spacing w:after="20"/>
              <w:jc w:val="right"/>
            </w:pPr>
            <w:r>
              <w:rPr>
                <w:color w:val="1C3A36"/>
                <w:sz w:val="16"/>
              </w:rPr>
              <w:t>167</w:t>
            </w:r>
          </w:p>
        </w:tc>
        <w:tc>
          <w:tcPr>
            <w:tcW w:type="dxa" w:w="1584"/>
          </w:tcPr>
          <w:p>
            <w:pPr>
              <w:spacing w:after="20"/>
              <w:jc w:val="right"/>
            </w:pPr>
            <w:r>
              <w:rPr>
                <w:color w:val="1C3A36"/>
                <w:sz w:val="16"/>
              </w:rPr>
              <w:t>176</w:t>
            </w:r>
          </w:p>
        </w:tc>
        <w:tc>
          <w:tcPr>
            <w:tcW w:type="dxa" w:w="1584"/>
          </w:tcPr>
          <w:p>
            <w:pPr>
              <w:spacing w:after="20"/>
              <w:jc w:val="right"/>
            </w:pPr>
            <w:r>
              <w:rPr>
                <w:color w:val="1C3A36"/>
                <w:sz w:val="16"/>
              </w:rPr>
              <w:t>186</w:t>
            </w:r>
          </w:p>
        </w:tc>
        <w:tc>
          <w:tcPr>
            <w:tcW w:type="dxa" w:w="1584"/>
          </w:tcPr>
          <w:p>
            <w:pPr>
              <w:spacing w:after="20"/>
              <w:jc w:val="right"/>
            </w:pPr>
            <w:r>
              <w:rPr>
                <w:color w:val="1C3A36"/>
                <w:sz w:val="16"/>
              </w:rPr>
              <w:t>191</w:t>
            </w:r>
          </w:p>
        </w:tc>
      </w:tr>
      <w:tr>
        <w:tc>
          <w:tcPr>
            <w:tcW w:type="dxa" w:w="3744"/>
            <w:shd w:val="clear" w:color="auto" w:fill="F6F1E6"/>
          </w:tcPr>
          <w:p>
            <w:pPr>
              <w:spacing w:after="20"/>
            </w:pPr>
            <w:r>
              <w:rPr>
                <w:b/>
                <w:color w:val="1C3A36"/>
                <w:sz w:val="16"/>
              </w:rPr>
              <w:t>Total equity</w:t>
            </w:r>
          </w:p>
        </w:tc>
        <w:tc>
          <w:tcPr>
            <w:tcW w:type="dxa" w:w="1584"/>
            <w:shd w:val="clear" w:color="auto" w:fill="F6F1E6"/>
          </w:tcPr>
          <w:p>
            <w:pPr>
              <w:spacing w:after="20"/>
              <w:jc w:val="right"/>
            </w:pPr>
            <w:r>
              <w:rPr>
                <w:b/>
                <w:color w:val="1C3A36"/>
                <w:sz w:val="16"/>
              </w:rPr>
              <w:t>3,311</w:t>
            </w:r>
          </w:p>
        </w:tc>
        <w:tc>
          <w:tcPr>
            <w:tcW w:type="dxa" w:w="1584"/>
            <w:shd w:val="clear" w:color="auto" w:fill="F6F1E6"/>
          </w:tcPr>
          <w:p>
            <w:pPr>
              <w:spacing w:after="20"/>
              <w:jc w:val="right"/>
            </w:pPr>
            <w:r>
              <w:rPr>
                <w:b/>
                <w:color w:val="1C3A36"/>
                <w:sz w:val="16"/>
              </w:rPr>
              <w:t>3,373</w:t>
            </w:r>
          </w:p>
        </w:tc>
        <w:tc>
          <w:tcPr>
            <w:tcW w:type="dxa" w:w="1584"/>
            <w:shd w:val="clear" w:color="auto" w:fill="F6F1E6"/>
          </w:tcPr>
          <w:p>
            <w:pPr>
              <w:spacing w:after="20"/>
              <w:jc w:val="right"/>
            </w:pPr>
            <w:r>
              <w:rPr>
                <w:b/>
                <w:color w:val="1C3A36"/>
                <w:sz w:val="16"/>
              </w:rPr>
              <w:t>3,497</w:t>
            </w:r>
          </w:p>
        </w:tc>
        <w:tc>
          <w:tcPr>
            <w:tcW w:type="dxa" w:w="1584"/>
            <w:shd w:val="clear" w:color="auto" w:fill="F6F1E6"/>
          </w:tcPr>
          <w:p>
            <w:pPr>
              <w:spacing w:after="20"/>
              <w:jc w:val="right"/>
            </w:pPr>
            <w:r>
              <w:rPr>
                <w:b/>
                <w:color w:val="1C3A36"/>
                <w:sz w:val="16"/>
              </w:rPr>
              <w:t>3,528</w:t>
            </w:r>
          </w:p>
        </w:tc>
      </w:tr>
      <w:tr>
        <w:tc>
          <w:tcPr>
            <w:tcW w:type="dxa" w:w="3744"/>
            <w:shd w:val="clear" w:color="auto" w:fill="F6F1E6"/>
          </w:tcPr>
          <w:p>
            <w:pPr>
              <w:spacing w:after="20"/>
            </w:pPr>
            <w:r>
              <w:rPr>
                <w:b/>
                <w:color w:val="1C3A36"/>
                <w:sz w:val="16"/>
              </w:rPr>
              <w:t>Net debt (borrowings + leases − cash − deposits)</w:t>
            </w:r>
          </w:p>
        </w:tc>
        <w:tc>
          <w:tcPr>
            <w:tcW w:type="dxa" w:w="1584"/>
            <w:shd w:val="clear" w:color="auto" w:fill="F6F1E6"/>
          </w:tcPr>
          <w:p>
            <w:pPr>
              <w:spacing w:after="20"/>
              <w:jc w:val="right"/>
            </w:pPr>
            <w:r>
              <w:rPr>
                <w:b/>
                <w:color w:val="1C3A36"/>
                <w:sz w:val="16"/>
              </w:rPr>
              <w:t>3,930</w:t>
            </w:r>
          </w:p>
        </w:tc>
        <w:tc>
          <w:tcPr>
            <w:tcW w:type="dxa" w:w="1584"/>
            <w:shd w:val="clear" w:color="auto" w:fill="F6F1E6"/>
          </w:tcPr>
          <w:p>
            <w:pPr>
              <w:spacing w:after="20"/>
              <w:jc w:val="right"/>
            </w:pPr>
            <w:r>
              <w:rPr>
                <w:b/>
                <w:color w:val="1C3A36"/>
                <w:sz w:val="16"/>
              </w:rPr>
              <w:t>3,537</w:t>
            </w:r>
          </w:p>
        </w:tc>
        <w:tc>
          <w:tcPr>
            <w:tcW w:type="dxa" w:w="1584"/>
            <w:shd w:val="clear" w:color="auto" w:fill="F6F1E6"/>
          </w:tcPr>
          <w:p>
            <w:pPr>
              <w:spacing w:after="20"/>
              <w:jc w:val="right"/>
            </w:pPr>
            <w:r>
              <w:rPr>
                <w:b/>
                <w:color w:val="1C3A36"/>
                <w:sz w:val="16"/>
              </w:rPr>
              <w:t>3,192</w:t>
            </w:r>
          </w:p>
        </w:tc>
        <w:tc>
          <w:tcPr>
            <w:tcW w:type="dxa" w:w="1584"/>
            <w:shd w:val="clear" w:color="auto" w:fill="F6F1E6"/>
          </w:tcPr>
          <w:p>
            <w:pPr>
              <w:spacing w:after="20"/>
              <w:jc w:val="right"/>
            </w:pPr>
            <w:r>
              <w:rPr>
                <w:b/>
                <w:color w:val="1C3A36"/>
                <w:sz w:val="16"/>
              </w:rPr>
              <w:t>2,991</w:t>
            </w:r>
          </w:p>
        </w:tc>
      </w:tr>
    </w:tbl>
    <w:p>
      <w:pPr>
        <w:spacing w:after="40"/>
      </w:pPr>
    </w:p>
    <w:p>
      <w:pPr>
        <w:spacing w:after="200" w:before="0"/>
      </w:pPr>
      <w:r>
        <w:rPr>
          <w:b w:val="0"/>
          <w:i/>
          <w:color w:val="6E7B77"/>
          <w:sz w:val="17"/>
        </w:rPr>
        <w:t>FY2023, FY2024 and FY2025 are audited; the June-2026 column is the reviewed interim. The net-debt row reproduces the company's own presented figure at 30 June 2026 (2,991mn) exactly. The 2023 step-up in borrowings funded the airport-concession acquisition; the 2024-25 rise in cash is retained operating cash ahead of the October dividend instalments.</w:t>
      </w:r>
    </w:p>
    <w:p>
      <w:pPr>
        <w:spacing w:after="80" w:before="200"/>
      </w:pPr>
      <w:r>
        <w:rPr>
          <w:b/>
          <w:i w:val="0"/>
          <w:color w:val="1C3A36"/>
          <w:sz w:val="24"/>
        </w:rPr>
        <w:t>A.3  Forecast balance-sheet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267"/>
        <w:gridCol w:w="1267"/>
        <w:gridCol w:w="1267"/>
        <w:gridCol w:w="1267"/>
        <w:gridCol w:w="1267"/>
      </w:tblGrid>
      <w:tr>
        <w:tc>
          <w:tcPr>
            <w:tcW w:type="dxa" w:w="3744"/>
            <w:shd w:val="clear" w:color="auto" w:fill="EAF0EE"/>
          </w:tcPr>
          <w:p>
            <w:pPr>
              <w:spacing w:after="20"/>
            </w:pPr>
            <w:r>
              <w:rPr>
                <w:b/>
                <w:color w:val="1C3A36"/>
                <w:sz w:val="16"/>
              </w:rPr>
              <w:t>AED mn</w:t>
            </w:r>
          </w:p>
        </w:tc>
        <w:tc>
          <w:tcPr>
            <w:tcW w:type="dxa" w:w="1267"/>
            <w:shd w:val="clear" w:color="auto" w:fill="EAF0EE"/>
          </w:tcPr>
          <w:p>
            <w:pPr>
              <w:spacing w:after="20"/>
            </w:pPr>
            <w:r>
              <w:rPr>
                <w:b/>
                <w:color w:val="1C3A36"/>
                <w:sz w:val="16"/>
              </w:rPr>
              <w:t>FY26</w:t>
            </w:r>
          </w:p>
        </w:tc>
        <w:tc>
          <w:tcPr>
            <w:tcW w:type="dxa" w:w="1267"/>
            <w:shd w:val="clear" w:color="auto" w:fill="EAF0EE"/>
          </w:tcPr>
          <w:p>
            <w:pPr>
              <w:spacing w:after="20"/>
            </w:pPr>
            <w:r>
              <w:rPr>
                <w:b/>
                <w:color w:val="1C3A36"/>
                <w:sz w:val="16"/>
              </w:rPr>
              <w:t>FY27</w:t>
            </w:r>
          </w:p>
        </w:tc>
        <w:tc>
          <w:tcPr>
            <w:tcW w:type="dxa" w:w="1267"/>
            <w:shd w:val="clear" w:color="auto" w:fill="EAF0EE"/>
          </w:tcPr>
          <w:p>
            <w:pPr>
              <w:spacing w:after="20"/>
            </w:pPr>
            <w:r>
              <w:rPr>
                <w:b/>
                <w:color w:val="1C3A36"/>
                <w:sz w:val="16"/>
              </w:rPr>
              <w:t>FY28</w:t>
            </w:r>
          </w:p>
        </w:tc>
        <w:tc>
          <w:tcPr>
            <w:tcW w:type="dxa" w:w="1267"/>
            <w:shd w:val="clear" w:color="auto" w:fill="EAF0EE"/>
          </w:tcPr>
          <w:p>
            <w:pPr>
              <w:spacing w:after="20"/>
            </w:pPr>
            <w:r>
              <w:rPr>
                <w:b/>
                <w:color w:val="1C3A36"/>
                <w:sz w:val="16"/>
              </w:rPr>
              <w:t>FY29</w:t>
            </w:r>
          </w:p>
        </w:tc>
        <w:tc>
          <w:tcPr>
            <w:tcW w:type="dxa" w:w="1267"/>
            <w:shd w:val="clear" w:color="auto" w:fill="EAF0EE"/>
          </w:tcPr>
          <w:p>
            <w:pPr>
              <w:spacing w:after="20"/>
            </w:pPr>
            <w:r>
              <w:rPr>
                <w:b/>
                <w:color w:val="1C3A36"/>
                <w:sz w:val="16"/>
              </w:rPr>
              <w:t>FY30</w:t>
            </w:r>
          </w:p>
        </w:tc>
      </w:tr>
      <w:tr>
        <w:tc>
          <w:tcPr>
            <w:tcW w:type="dxa" w:w="3744"/>
          </w:tcPr>
          <w:p>
            <w:pPr>
              <w:spacing w:after="20"/>
            </w:pPr>
            <w:r>
              <w:rPr>
                <w:color w:val="1C3A36"/>
                <w:sz w:val="16"/>
              </w:rPr>
              <w:t>Property, plant and equipment</w:t>
            </w:r>
          </w:p>
        </w:tc>
        <w:tc>
          <w:tcPr>
            <w:tcW w:type="dxa" w:w="1267"/>
          </w:tcPr>
          <w:p>
            <w:pPr>
              <w:spacing w:after="20"/>
              <w:jc w:val="right"/>
            </w:pPr>
            <w:r>
              <w:rPr>
                <w:color w:val="1C3A36"/>
                <w:sz w:val="16"/>
              </w:rPr>
              <w:t>7,404</w:t>
            </w:r>
          </w:p>
        </w:tc>
        <w:tc>
          <w:tcPr>
            <w:tcW w:type="dxa" w:w="1267"/>
          </w:tcPr>
          <w:p>
            <w:pPr>
              <w:spacing w:after="20"/>
              <w:jc w:val="right"/>
            </w:pPr>
            <w:r>
              <w:rPr>
                <w:color w:val="1C3A36"/>
                <w:sz w:val="16"/>
              </w:rPr>
              <w:t>7,579</w:t>
            </w:r>
          </w:p>
        </w:tc>
        <w:tc>
          <w:tcPr>
            <w:tcW w:type="dxa" w:w="1267"/>
          </w:tcPr>
          <w:p>
            <w:pPr>
              <w:spacing w:after="20"/>
              <w:jc w:val="right"/>
            </w:pPr>
            <w:r>
              <w:rPr>
                <w:color w:val="1C3A36"/>
                <w:sz w:val="16"/>
              </w:rPr>
              <w:t>7,698</w:t>
            </w:r>
          </w:p>
        </w:tc>
        <w:tc>
          <w:tcPr>
            <w:tcW w:type="dxa" w:w="1267"/>
          </w:tcPr>
          <w:p>
            <w:pPr>
              <w:spacing w:after="20"/>
              <w:jc w:val="right"/>
            </w:pPr>
            <w:r>
              <w:rPr>
                <w:color w:val="1C3A36"/>
                <w:sz w:val="16"/>
              </w:rPr>
              <w:t>7,763</w:t>
            </w:r>
          </w:p>
        </w:tc>
        <w:tc>
          <w:tcPr>
            <w:tcW w:type="dxa" w:w="1267"/>
          </w:tcPr>
          <w:p>
            <w:pPr>
              <w:spacing w:after="20"/>
              <w:jc w:val="right"/>
            </w:pPr>
            <w:r>
              <w:rPr>
                <w:color w:val="1C3A36"/>
                <w:sz w:val="16"/>
              </w:rPr>
              <w:t>7,777</w:t>
            </w:r>
          </w:p>
        </w:tc>
      </w:tr>
      <w:tr>
        <w:tc>
          <w:tcPr>
            <w:tcW w:type="dxa" w:w="3744"/>
          </w:tcPr>
          <w:p>
            <w:pPr>
              <w:spacing w:after="20"/>
            </w:pPr>
            <w:r>
              <w:rPr>
                <w:color w:val="1C3A36"/>
                <w:sz w:val="16"/>
              </w:rPr>
              <w:t>Net working capital (negative = funded by customers/payables)</w:t>
            </w:r>
          </w:p>
        </w:tc>
        <w:tc>
          <w:tcPr>
            <w:tcW w:type="dxa" w:w="1267"/>
          </w:tcPr>
          <w:p>
            <w:pPr>
              <w:spacing w:after="20"/>
              <w:jc w:val="right"/>
            </w:pPr>
            <w:r>
              <w:rPr>
                <w:color w:val="1C3A36"/>
                <w:sz w:val="16"/>
              </w:rPr>
              <w:t>(1,800)</w:t>
            </w:r>
          </w:p>
        </w:tc>
        <w:tc>
          <w:tcPr>
            <w:tcW w:type="dxa" w:w="1267"/>
          </w:tcPr>
          <w:p>
            <w:pPr>
              <w:spacing w:after="20"/>
              <w:jc w:val="right"/>
            </w:pPr>
            <w:r>
              <w:rPr>
                <w:color w:val="1C3A36"/>
                <w:sz w:val="16"/>
              </w:rPr>
              <w:t>(1,974)</w:t>
            </w:r>
          </w:p>
        </w:tc>
        <w:tc>
          <w:tcPr>
            <w:tcW w:type="dxa" w:w="1267"/>
          </w:tcPr>
          <w:p>
            <w:pPr>
              <w:spacing w:after="20"/>
              <w:jc w:val="right"/>
            </w:pPr>
            <w:r>
              <w:rPr>
                <w:color w:val="1C3A36"/>
                <w:sz w:val="16"/>
              </w:rPr>
              <w:t>(2,077)</w:t>
            </w:r>
          </w:p>
        </w:tc>
        <w:tc>
          <w:tcPr>
            <w:tcW w:type="dxa" w:w="1267"/>
          </w:tcPr>
          <w:p>
            <w:pPr>
              <w:spacing w:after="20"/>
              <w:jc w:val="right"/>
            </w:pPr>
            <w:r>
              <w:rPr>
                <w:color w:val="1C3A36"/>
                <w:sz w:val="16"/>
              </w:rPr>
              <w:t>(2,169)</w:t>
            </w:r>
          </w:p>
        </w:tc>
        <w:tc>
          <w:tcPr>
            <w:tcW w:type="dxa" w:w="1267"/>
          </w:tcPr>
          <w:p>
            <w:pPr>
              <w:spacing w:after="20"/>
              <w:jc w:val="right"/>
            </w:pPr>
            <w:r>
              <w:rPr>
                <w:color w:val="1C3A36"/>
                <w:sz w:val="16"/>
              </w:rPr>
              <w:t>(2,250)</w:t>
            </w:r>
          </w:p>
        </w:tc>
      </w:tr>
      <w:tr>
        <w:tc>
          <w:tcPr>
            <w:tcW w:type="dxa" w:w="3744"/>
          </w:tcPr>
          <w:p>
            <w:pPr>
              <w:spacing w:after="20"/>
            </w:pPr>
            <w:r>
              <w:rPr>
                <w:color w:val="1C3A36"/>
                <w:sz w:val="16"/>
              </w:rPr>
              <w:t>Working capital released in the year</w:t>
            </w:r>
          </w:p>
        </w:tc>
        <w:tc>
          <w:tcPr>
            <w:tcW w:type="dxa" w:w="1267"/>
          </w:tcPr>
          <w:p>
            <w:pPr>
              <w:spacing w:after="20"/>
              <w:jc w:val="right"/>
            </w:pPr>
            <w:r>
              <w:rPr>
                <w:color w:val="1C3A36"/>
                <w:sz w:val="16"/>
              </w:rPr>
              <w:t>43</w:t>
            </w:r>
          </w:p>
        </w:tc>
        <w:tc>
          <w:tcPr>
            <w:tcW w:type="dxa" w:w="1267"/>
          </w:tcPr>
          <w:p>
            <w:pPr>
              <w:spacing w:after="20"/>
              <w:jc w:val="right"/>
            </w:pPr>
            <w:r>
              <w:rPr>
                <w:color w:val="1C3A36"/>
                <w:sz w:val="16"/>
              </w:rPr>
              <w:t>174</w:t>
            </w:r>
          </w:p>
        </w:tc>
        <w:tc>
          <w:tcPr>
            <w:tcW w:type="dxa" w:w="1267"/>
          </w:tcPr>
          <w:p>
            <w:pPr>
              <w:spacing w:after="20"/>
              <w:jc w:val="right"/>
            </w:pPr>
            <w:r>
              <w:rPr>
                <w:color w:val="1C3A36"/>
                <w:sz w:val="16"/>
              </w:rPr>
              <w:t>103</w:t>
            </w:r>
          </w:p>
        </w:tc>
        <w:tc>
          <w:tcPr>
            <w:tcW w:type="dxa" w:w="1267"/>
          </w:tcPr>
          <w:p>
            <w:pPr>
              <w:spacing w:after="20"/>
              <w:jc w:val="right"/>
            </w:pPr>
            <w:r>
              <w:rPr>
                <w:color w:val="1C3A36"/>
                <w:sz w:val="16"/>
              </w:rPr>
              <w:t>92</w:t>
            </w:r>
          </w:p>
        </w:tc>
        <w:tc>
          <w:tcPr>
            <w:tcW w:type="dxa" w:w="1267"/>
          </w:tcPr>
          <w:p>
            <w:pPr>
              <w:spacing w:after="20"/>
              <w:jc w:val="right"/>
            </w:pPr>
            <w:r>
              <w:rPr>
                <w:color w:val="1C3A36"/>
                <w:sz w:val="16"/>
              </w:rPr>
              <w:t>81</w:t>
            </w:r>
          </w:p>
        </w:tc>
      </w:tr>
      <w:tr>
        <w:tc>
          <w:tcPr>
            <w:tcW w:type="dxa" w:w="3744"/>
          </w:tcPr>
          <w:p>
            <w:pPr>
              <w:spacing w:after="20"/>
            </w:pPr>
            <w:r>
              <w:rPr>
                <w:color w:val="1C3A36"/>
                <w:sz w:val="16"/>
              </w:rPr>
              <w:t>Capital expenditure</w:t>
            </w:r>
          </w:p>
        </w:tc>
        <w:tc>
          <w:tcPr>
            <w:tcW w:type="dxa" w:w="1267"/>
          </w:tcPr>
          <w:p>
            <w:pPr>
              <w:spacing w:after="20"/>
              <w:jc w:val="right"/>
            </w:pPr>
            <w:r>
              <w:rPr>
                <w:color w:val="1C3A36"/>
                <w:sz w:val="16"/>
              </w:rPr>
              <w:t>(571)</w:t>
            </w:r>
          </w:p>
        </w:tc>
        <w:tc>
          <w:tcPr>
            <w:tcW w:type="dxa" w:w="1267"/>
          </w:tcPr>
          <w:p>
            <w:pPr>
              <w:spacing w:after="20"/>
              <w:jc w:val="right"/>
            </w:pPr>
            <w:r>
              <w:rPr>
                <w:color w:val="1C3A36"/>
                <w:sz w:val="16"/>
              </w:rPr>
              <w:t>(548)</w:t>
            </w:r>
          </w:p>
        </w:tc>
        <w:tc>
          <w:tcPr>
            <w:tcW w:type="dxa" w:w="1267"/>
          </w:tcPr>
          <w:p>
            <w:pPr>
              <w:spacing w:after="20"/>
              <w:jc w:val="right"/>
            </w:pPr>
            <w:r>
              <w:rPr>
                <w:color w:val="1C3A36"/>
                <w:sz w:val="16"/>
              </w:rPr>
              <w:t>(501)</w:t>
            </w:r>
          </w:p>
        </w:tc>
        <w:tc>
          <w:tcPr>
            <w:tcW w:type="dxa" w:w="1267"/>
          </w:tcPr>
          <w:p>
            <w:pPr>
              <w:spacing w:after="20"/>
              <w:jc w:val="right"/>
            </w:pPr>
            <w:r>
              <w:rPr>
                <w:color w:val="1C3A36"/>
                <w:sz w:val="16"/>
              </w:rPr>
              <w:t>(453)</w:t>
            </w:r>
          </w:p>
        </w:tc>
        <w:tc>
          <w:tcPr>
            <w:tcW w:type="dxa" w:w="1267"/>
          </w:tcPr>
          <w:p>
            <w:pPr>
              <w:spacing w:after="20"/>
              <w:jc w:val="right"/>
            </w:pPr>
            <w:r>
              <w:rPr>
                <w:color w:val="1C3A36"/>
                <w:sz w:val="16"/>
              </w:rPr>
              <w:t>(404)</w:t>
            </w:r>
          </w:p>
        </w:tc>
      </w:tr>
      <w:tr>
        <w:tc>
          <w:tcPr>
            <w:tcW w:type="dxa" w:w="3744"/>
          </w:tcPr>
          <w:p>
            <w:pPr>
              <w:spacing w:after="20"/>
            </w:pPr>
            <w:r>
              <w:rPr>
                <w:color w:val="1C3A36"/>
                <w:sz w:val="16"/>
              </w:rPr>
              <w:t>Depreciation and amortisation</w:t>
            </w:r>
          </w:p>
        </w:tc>
        <w:tc>
          <w:tcPr>
            <w:tcW w:type="dxa" w:w="1267"/>
          </w:tcPr>
          <w:p>
            <w:pPr>
              <w:spacing w:after="20"/>
              <w:jc w:val="right"/>
            </w:pPr>
            <w:r>
              <w:rPr>
                <w:color w:val="1C3A36"/>
                <w:sz w:val="16"/>
              </w:rPr>
              <w:t>380</w:t>
            </w:r>
          </w:p>
        </w:tc>
        <w:tc>
          <w:tcPr>
            <w:tcW w:type="dxa" w:w="1267"/>
          </w:tcPr>
          <w:p>
            <w:pPr>
              <w:spacing w:after="20"/>
              <w:jc w:val="right"/>
            </w:pPr>
            <w:r>
              <w:rPr>
                <w:color w:val="1C3A36"/>
                <w:sz w:val="16"/>
              </w:rPr>
              <w:t>390</w:t>
            </w:r>
          </w:p>
        </w:tc>
        <w:tc>
          <w:tcPr>
            <w:tcW w:type="dxa" w:w="1267"/>
          </w:tcPr>
          <w:p>
            <w:pPr>
              <w:spacing w:after="20"/>
              <w:jc w:val="right"/>
            </w:pPr>
            <w:r>
              <w:rPr>
                <w:color w:val="1C3A36"/>
                <w:sz w:val="16"/>
              </w:rPr>
              <w:t>399</w:t>
            </w:r>
          </w:p>
        </w:tc>
        <w:tc>
          <w:tcPr>
            <w:tcW w:type="dxa" w:w="1267"/>
          </w:tcPr>
          <w:p>
            <w:pPr>
              <w:spacing w:after="20"/>
              <w:jc w:val="right"/>
            </w:pPr>
            <w:r>
              <w:rPr>
                <w:color w:val="1C3A36"/>
                <w:sz w:val="16"/>
              </w:rPr>
              <w:t>405</w:t>
            </w:r>
          </w:p>
        </w:tc>
        <w:tc>
          <w:tcPr>
            <w:tcW w:type="dxa" w:w="1267"/>
          </w:tcPr>
          <w:p>
            <w:pPr>
              <w:spacing w:after="20"/>
              <w:jc w:val="right"/>
            </w:pPr>
            <w:r>
              <w:rPr>
                <w:color w:val="1C3A36"/>
                <w:sz w:val="16"/>
              </w:rPr>
              <w:t>408</w:t>
            </w:r>
          </w:p>
        </w:tc>
      </w:tr>
      <w:tr>
        <w:tc>
          <w:tcPr>
            <w:tcW w:type="dxa" w:w="3744"/>
            <w:shd w:val="clear" w:color="auto" w:fill="F6F1E6"/>
          </w:tcPr>
          <w:p>
            <w:pPr>
              <w:spacing w:after="20"/>
            </w:pPr>
            <w:r>
              <w:rPr>
                <w:b/>
                <w:color w:val="1C3A36"/>
                <w:sz w:val="16"/>
              </w:rPr>
              <w:t>Free cash flow to the firm at 9%</w:t>
            </w:r>
          </w:p>
        </w:tc>
        <w:tc>
          <w:tcPr>
            <w:tcW w:type="dxa" w:w="1267"/>
            <w:shd w:val="clear" w:color="auto" w:fill="F6F1E6"/>
          </w:tcPr>
          <w:p>
            <w:pPr>
              <w:spacing w:after="20"/>
              <w:jc w:val="right"/>
            </w:pPr>
            <w:r>
              <w:rPr>
                <w:b/>
                <w:color w:val="1C3A36"/>
                <w:sz w:val="16"/>
              </w:rPr>
              <w:t>1,055</w:t>
            </w:r>
          </w:p>
        </w:tc>
        <w:tc>
          <w:tcPr>
            <w:tcW w:type="dxa" w:w="1267"/>
            <w:shd w:val="clear" w:color="auto" w:fill="F6F1E6"/>
          </w:tcPr>
          <w:p>
            <w:pPr>
              <w:spacing w:after="20"/>
              <w:jc w:val="right"/>
            </w:pPr>
            <w:r>
              <w:rPr>
                <w:b/>
                <w:color w:val="1C3A36"/>
                <w:sz w:val="16"/>
              </w:rPr>
              <w:t>1,338</w:t>
            </w:r>
          </w:p>
        </w:tc>
        <w:tc>
          <w:tcPr>
            <w:tcW w:type="dxa" w:w="1267"/>
            <w:shd w:val="clear" w:color="auto" w:fill="F6F1E6"/>
          </w:tcPr>
          <w:p>
            <w:pPr>
              <w:spacing w:after="20"/>
              <w:jc w:val="right"/>
            </w:pPr>
            <w:r>
              <w:rPr>
                <w:b/>
                <w:color w:val="1C3A36"/>
                <w:sz w:val="16"/>
              </w:rPr>
              <w:t>1,408</w:t>
            </w:r>
          </w:p>
        </w:tc>
        <w:tc>
          <w:tcPr>
            <w:tcW w:type="dxa" w:w="1267"/>
            <w:shd w:val="clear" w:color="auto" w:fill="F6F1E6"/>
          </w:tcPr>
          <w:p>
            <w:pPr>
              <w:spacing w:after="20"/>
              <w:jc w:val="right"/>
            </w:pPr>
            <w:r>
              <w:rPr>
                <w:b/>
                <w:color w:val="1C3A36"/>
                <w:sz w:val="16"/>
              </w:rPr>
              <w:t>1,527</w:t>
            </w:r>
          </w:p>
        </w:tc>
        <w:tc>
          <w:tcPr>
            <w:tcW w:type="dxa" w:w="1267"/>
            <w:shd w:val="clear" w:color="auto" w:fill="F6F1E6"/>
          </w:tcPr>
          <w:p>
            <w:pPr>
              <w:spacing w:after="20"/>
              <w:jc w:val="right"/>
            </w:pPr>
            <w:r>
              <w:rPr>
                <w:b/>
                <w:color w:val="1C3A36"/>
                <w:sz w:val="16"/>
              </w:rPr>
              <w:t>1,636</w:t>
            </w:r>
          </w:p>
        </w:tc>
      </w:tr>
      <w:tr>
        <w:tc>
          <w:tcPr>
            <w:tcW w:type="dxa" w:w="3744"/>
            <w:shd w:val="clear" w:color="auto" w:fill="F6F1E6"/>
          </w:tcPr>
          <w:p>
            <w:pPr>
              <w:spacing w:after="20"/>
            </w:pPr>
            <w:r>
              <w:rPr>
                <w:b/>
                <w:color w:val="1C3A36"/>
                <w:sz w:val="16"/>
              </w:rPr>
              <w:t>Free cash flow to the firm at 15%</w:t>
            </w:r>
          </w:p>
        </w:tc>
        <w:tc>
          <w:tcPr>
            <w:tcW w:type="dxa" w:w="1267"/>
            <w:shd w:val="clear" w:color="auto" w:fill="F6F1E6"/>
          </w:tcPr>
          <w:p>
            <w:pPr>
              <w:spacing w:after="20"/>
              <w:jc w:val="right"/>
            </w:pPr>
            <w:r>
              <w:rPr>
                <w:b/>
                <w:color w:val="1C3A36"/>
                <w:sz w:val="16"/>
              </w:rPr>
              <w:t>976</w:t>
            </w:r>
          </w:p>
        </w:tc>
        <w:tc>
          <w:tcPr>
            <w:tcW w:type="dxa" w:w="1267"/>
            <w:shd w:val="clear" w:color="auto" w:fill="F6F1E6"/>
          </w:tcPr>
          <w:p>
            <w:pPr>
              <w:spacing w:after="20"/>
              <w:jc w:val="right"/>
            </w:pPr>
            <w:r>
              <w:rPr>
                <w:b/>
                <w:color w:val="1C3A36"/>
                <w:sz w:val="16"/>
              </w:rPr>
              <w:t>1,251</w:t>
            </w:r>
          </w:p>
        </w:tc>
        <w:tc>
          <w:tcPr>
            <w:tcW w:type="dxa" w:w="1267"/>
            <w:shd w:val="clear" w:color="auto" w:fill="F6F1E6"/>
          </w:tcPr>
          <w:p>
            <w:pPr>
              <w:spacing w:after="20"/>
              <w:jc w:val="right"/>
            </w:pPr>
            <w:r>
              <w:rPr>
                <w:b/>
                <w:color w:val="1C3A36"/>
                <w:sz w:val="16"/>
              </w:rPr>
              <w:t>1,315</w:t>
            </w:r>
          </w:p>
        </w:tc>
        <w:tc>
          <w:tcPr>
            <w:tcW w:type="dxa" w:w="1267"/>
            <w:shd w:val="clear" w:color="auto" w:fill="F6F1E6"/>
          </w:tcPr>
          <w:p>
            <w:pPr>
              <w:spacing w:after="20"/>
              <w:jc w:val="right"/>
            </w:pPr>
            <w:r>
              <w:rPr>
                <w:b/>
                <w:color w:val="1C3A36"/>
                <w:sz w:val="16"/>
              </w:rPr>
              <w:t>1,429</w:t>
            </w:r>
          </w:p>
        </w:tc>
        <w:tc>
          <w:tcPr>
            <w:tcW w:type="dxa" w:w="1267"/>
            <w:shd w:val="clear" w:color="auto" w:fill="F6F1E6"/>
          </w:tcPr>
          <w:p>
            <w:pPr>
              <w:spacing w:after="20"/>
              <w:jc w:val="right"/>
            </w:pPr>
            <w:r>
              <w:rPr>
                <w:b/>
                <w:color w:val="1C3A36"/>
                <w:sz w:val="16"/>
              </w:rPr>
              <w:t>1,533</w:t>
            </w:r>
          </w:p>
        </w:tc>
      </w:tr>
      <w:tr>
        <w:tc>
          <w:tcPr>
            <w:tcW w:type="dxa" w:w="3744"/>
          </w:tcPr>
          <w:p>
            <w:pPr>
              <w:spacing w:after="20"/>
            </w:pPr>
            <w:r>
              <w:rPr>
                <w:color w:val="1C3A36"/>
                <w:sz w:val="16"/>
              </w:rPr>
              <w:t>Dividends (committed policy held flat)</w:t>
            </w:r>
          </w:p>
        </w:tc>
        <w:tc>
          <w:tcPr>
            <w:tcW w:type="dxa" w:w="1267"/>
          </w:tcPr>
          <w:p>
            <w:pPr>
              <w:spacing w:after="20"/>
              <w:jc w:val="right"/>
            </w:pPr>
            <w:r>
              <w:rPr>
                <w:color w:val="1C3A36"/>
                <w:sz w:val="16"/>
              </w:rPr>
              <w:t>875</w:t>
            </w:r>
          </w:p>
        </w:tc>
        <w:tc>
          <w:tcPr>
            <w:tcW w:type="dxa" w:w="1267"/>
          </w:tcPr>
          <w:p>
            <w:pPr>
              <w:spacing w:after="20"/>
              <w:jc w:val="right"/>
            </w:pPr>
            <w:r>
              <w:rPr>
                <w:color w:val="1C3A36"/>
                <w:sz w:val="16"/>
              </w:rPr>
              <w:t>875</w:t>
            </w:r>
          </w:p>
        </w:tc>
        <w:tc>
          <w:tcPr>
            <w:tcW w:type="dxa" w:w="1267"/>
          </w:tcPr>
          <w:p>
            <w:pPr>
              <w:spacing w:after="20"/>
              <w:jc w:val="right"/>
            </w:pPr>
            <w:r>
              <w:rPr>
                <w:color w:val="1C3A36"/>
                <w:sz w:val="16"/>
              </w:rPr>
              <w:t>875</w:t>
            </w:r>
          </w:p>
        </w:tc>
        <w:tc>
          <w:tcPr>
            <w:tcW w:type="dxa" w:w="1267"/>
          </w:tcPr>
          <w:p>
            <w:pPr>
              <w:spacing w:after="20"/>
              <w:jc w:val="right"/>
            </w:pPr>
            <w:r>
              <w:rPr>
                <w:color w:val="1C3A36"/>
                <w:sz w:val="16"/>
              </w:rPr>
              <w:t>875</w:t>
            </w:r>
          </w:p>
        </w:tc>
        <w:tc>
          <w:tcPr>
            <w:tcW w:type="dxa" w:w="1267"/>
          </w:tcPr>
          <w:p>
            <w:pPr>
              <w:spacing w:after="20"/>
              <w:jc w:val="right"/>
            </w:pPr>
            <w:r>
              <w:rPr>
                <w:color w:val="1C3A36"/>
                <w:sz w:val="16"/>
              </w:rPr>
              <w:t>875</w:t>
            </w:r>
          </w:p>
        </w:tc>
      </w:tr>
    </w:tbl>
    <w:p>
      <w:pPr>
        <w:spacing w:after="40"/>
      </w:pPr>
    </w:p>
    <w:p>
      <w:pPr>
        <w:spacing w:after="120" w:before="0"/>
      </w:pPr>
      <w:r>
        <w:rPr>
          <w:b w:val="0"/>
          <w:i w:val="0"/>
          <w:color w:val="1C3A36"/>
          <w:sz w:val="21"/>
        </w:rPr>
        <w:t>Two features to read carefully. Net working capital is negative and grows more negative with revenue — customer deposits and payables to the related-party supplier fund the cycle, so each year RELEASES cash into the free-cash-flow line. And free cash flow to equity — the firm figure less roughly AED 154mn of after-tax net finance cost — runs almost exactly at the AED 875mn payout in the shock year: the dividend is covered, with the growth funded by the working-capital release and the revolving facilities' headroom. Net borrowings are held flat by construction; the model neither assumes deleveraging credit nor new debt-funded expansion.</w:t>
      </w:r>
    </w:p>
    <w:p>
      <w:pPr>
        <w:spacing w:after="120" w:before="280"/>
      </w:pPr>
      <w:r>
        <w:rPr>
          <w:b/>
          <w:i w:val="0"/>
          <w:color w:val="1C3A36"/>
          <w:sz w:val="30"/>
        </w:rPr>
        <w:t>Appendix B  Peer frame, risk register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592"/>
        <w:gridCol w:w="2664"/>
        <w:gridCol w:w="2592"/>
      </w:tblGrid>
      <w:tr>
        <w:tc>
          <w:tcPr>
            <w:tcW w:type="dxa" w:w="2232"/>
            <w:shd w:val="clear" w:color="auto" w:fill="EAF0EE"/>
          </w:tcPr>
          <w:p>
            <w:pPr>
              <w:spacing w:after="20"/>
            </w:pPr>
            <w:r>
              <w:rPr>
                <w:b/>
                <w:color w:val="1C3A36"/>
                <w:sz w:val="16"/>
              </w:rPr>
              <w:t>Measure</w:t>
            </w:r>
          </w:p>
        </w:tc>
        <w:tc>
          <w:tcPr>
            <w:tcW w:type="dxa" w:w="2592"/>
            <w:shd w:val="clear" w:color="auto" w:fill="EAF0EE"/>
          </w:tcPr>
          <w:p>
            <w:pPr>
              <w:spacing w:after="20"/>
            </w:pPr>
            <w:r>
              <w:rPr>
                <w:b/>
                <w:color w:val="1C3A36"/>
                <w:sz w:val="16"/>
              </w:rPr>
              <w:t>Empower</w:t>
            </w:r>
          </w:p>
        </w:tc>
        <w:tc>
          <w:tcPr>
            <w:tcW w:type="dxa" w:w="2664"/>
            <w:shd w:val="clear" w:color="auto" w:fill="EAF0EE"/>
          </w:tcPr>
          <w:p>
            <w:pPr>
              <w:spacing w:after="20"/>
            </w:pPr>
            <w:r>
              <w:rPr>
                <w:b/>
                <w:color w:val="1C3A36"/>
                <w:sz w:val="16"/>
              </w:rPr>
              <w:t>Tabreed</w:t>
            </w:r>
          </w:p>
        </w:tc>
        <w:tc>
          <w:tcPr>
            <w:tcW w:type="dxa" w:w="2592"/>
            <w:shd w:val="clear" w:color="auto" w:fill="EAF0EE"/>
          </w:tcPr>
          <w:p>
            <w:pPr>
              <w:spacing w:after="20"/>
            </w:pPr>
            <w:r>
              <w:rPr>
                <w:b/>
                <w:color w:val="1C3A36"/>
                <w:sz w:val="16"/>
              </w:rPr>
              <w:t>DEWA (parent)</w:t>
            </w:r>
          </w:p>
        </w:tc>
      </w:tr>
      <w:tr>
        <w:tc>
          <w:tcPr>
            <w:tcW w:type="dxa" w:w="2232"/>
          </w:tcPr>
          <w:p>
            <w:pPr>
              <w:spacing w:after="20"/>
            </w:pPr>
            <w:r>
              <w:rPr>
                <w:color w:val="1C3A36"/>
                <w:sz w:val="16"/>
              </w:rPr>
              <w:t>What it is</w:t>
            </w:r>
          </w:p>
        </w:tc>
        <w:tc>
          <w:tcPr>
            <w:tcW w:type="dxa" w:w="2592"/>
          </w:tcPr>
          <w:p>
            <w:pPr>
              <w:spacing w:after="20"/>
              <w:jc w:val="right"/>
            </w:pPr>
            <w:r>
              <w:rPr>
                <w:color w:val="1C3A36"/>
                <w:sz w:val="16"/>
              </w:rPr>
              <w:t>Dubai district cooling, about 80% of the emirate</w:t>
            </w:r>
          </w:p>
        </w:tc>
        <w:tc>
          <w:tcPr>
            <w:tcW w:type="dxa" w:w="2664"/>
          </w:tcPr>
          <w:p>
            <w:pPr>
              <w:spacing w:after="20"/>
              <w:jc w:val="right"/>
            </w:pPr>
            <w:r>
              <w:rPr>
                <w:color w:val="1C3A36"/>
                <w:sz w:val="16"/>
              </w:rPr>
              <w:t>UAE-wide and regional district cooling; the only listed pure peer</w:t>
            </w:r>
          </w:p>
        </w:tc>
        <w:tc>
          <w:tcPr>
            <w:tcW w:type="dxa" w:w="2592"/>
          </w:tcPr>
          <w:p>
            <w:pPr>
              <w:spacing w:after="20"/>
              <w:jc w:val="right"/>
            </w:pPr>
            <w:r>
              <w:rPr>
                <w:color w:val="1C3A36"/>
                <w:sz w:val="16"/>
              </w:rPr>
              <w:t>the Dubai power and water monopoly; consolidates Empower</w:t>
            </w:r>
          </w:p>
        </w:tc>
      </w:tr>
      <w:tr>
        <w:tc>
          <w:tcPr>
            <w:tcW w:type="dxa" w:w="2232"/>
          </w:tcPr>
          <w:p>
            <w:pPr>
              <w:spacing w:after="20"/>
            </w:pPr>
            <w:r>
              <w:rPr>
                <w:color w:val="1C3A36"/>
                <w:sz w:val="16"/>
              </w:rPr>
              <w:t>2025 revenue (AED mn)</w:t>
            </w:r>
          </w:p>
        </w:tc>
        <w:tc>
          <w:tcPr>
            <w:tcW w:type="dxa" w:w="2592"/>
          </w:tcPr>
          <w:p>
            <w:pPr>
              <w:spacing w:after="20"/>
              <w:jc w:val="right"/>
            </w:pPr>
            <w:r>
              <w:rPr>
                <w:color w:val="1C3A36"/>
                <w:sz w:val="16"/>
              </w:rPr>
              <w:t>3,419</w:t>
            </w:r>
          </w:p>
        </w:tc>
        <w:tc>
          <w:tcPr>
            <w:tcW w:type="dxa" w:w="2664"/>
          </w:tcPr>
          <w:p>
            <w:pPr>
              <w:spacing w:after="20"/>
              <w:jc w:val="right"/>
            </w:pPr>
            <w:r>
              <w:rPr>
                <w:color w:val="1C3A36"/>
                <w:sz w:val="16"/>
              </w:rPr>
              <w:t>2,460</w:t>
            </w:r>
          </w:p>
        </w:tc>
        <w:tc>
          <w:tcPr>
            <w:tcW w:type="dxa" w:w="2592"/>
          </w:tcPr>
          <w:p>
            <w:pPr>
              <w:spacing w:after="20"/>
              <w:jc w:val="right"/>
            </w:pPr>
            <w:r>
              <w:rPr>
                <w:color w:val="1C3A36"/>
                <w:sz w:val="16"/>
              </w:rPr>
              <w:t>—</w:t>
            </w:r>
          </w:p>
        </w:tc>
      </w:tr>
      <w:tr>
        <w:tc>
          <w:tcPr>
            <w:tcW w:type="dxa" w:w="2232"/>
          </w:tcPr>
          <w:p>
            <w:pPr>
              <w:spacing w:after="20"/>
            </w:pPr>
            <w:r>
              <w:rPr>
                <w:color w:val="1C3A36"/>
                <w:sz w:val="16"/>
              </w:rPr>
              <w:t>2025 EBITDA margin</w:t>
            </w:r>
          </w:p>
        </w:tc>
        <w:tc>
          <w:tcPr>
            <w:tcW w:type="dxa" w:w="2592"/>
          </w:tcPr>
          <w:p>
            <w:pPr>
              <w:spacing w:after="20"/>
              <w:jc w:val="right"/>
            </w:pPr>
            <w:r>
              <w:rPr>
                <w:color w:val="1C3A36"/>
                <w:sz w:val="16"/>
              </w:rPr>
              <w:t>48.0%</w:t>
            </w:r>
          </w:p>
        </w:tc>
        <w:tc>
          <w:tcPr>
            <w:tcW w:type="dxa" w:w="2664"/>
          </w:tcPr>
          <w:p>
            <w:pPr>
              <w:spacing w:after="20"/>
              <w:jc w:val="right"/>
            </w:pPr>
            <w:r>
              <w:rPr>
                <w:color w:val="1C3A36"/>
                <w:sz w:val="16"/>
              </w:rPr>
              <w:t>51.6%</w:t>
            </w:r>
          </w:p>
        </w:tc>
        <w:tc>
          <w:tcPr>
            <w:tcW w:type="dxa" w:w="2592"/>
          </w:tcPr>
          <w:p>
            <w:pPr>
              <w:spacing w:after="20"/>
              <w:jc w:val="right"/>
            </w:pPr>
            <w:r>
              <w:rPr>
                <w:color w:val="1C3A36"/>
                <w:sz w:val="16"/>
              </w:rPr>
              <w:t>—</w:t>
            </w:r>
          </w:p>
        </w:tc>
      </w:tr>
      <w:tr>
        <w:tc>
          <w:tcPr>
            <w:tcW w:type="dxa" w:w="2232"/>
          </w:tcPr>
          <w:p>
            <w:pPr>
              <w:spacing w:after="20"/>
            </w:pPr>
            <w:r>
              <w:rPr>
                <w:color w:val="1C3A36"/>
                <w:sz w:val="16"/>
              </w:rPr>
              <w:t>Net debt / EBITDA</w:t>
            </w:r>
          </w:p>
        </w:tc>
        <w:tc>
          <w:tcPr>
            <w:tcW w:type="dxa" w:w="2592"/>
          </w:tcPr>
          <w:p>
            <w:pPr>
              <w:spacing w:after="20"/>
              <w:jc w:val="right"/>
            </w:pPr>
            <w:r>
              <w:rPr>
                <w:color w:val="1C3A36"/>
                <w:sz w:val="16"/>
              </w:rPr>
              <w:t>1.8×</w:t>
            </w:r>
          </w:p>
        </w:tc>
        <w:tc>
          <w:tcPr>
            <w:tcW w:type="dxa" w:w="2664"/>
          </w:tcPr>
          <w:p>
            <w:pPr>
              <w:spacing w:after="20"/>
              <w:jc w:val="right"/>
            </w:pPr>
            <w:r>
              <w:rPr>
                <w:color w:val="1C3A36"/>
                <w:sz w:val="16"/>
              </w:rPr>
              <w:t>4.6×</w:t>
            </w:r>
          </w:p>
        </w:tc>
        <w:tc>
          <w:tcPr>
            <w:tcW w:type="dxa" w:w="2592"/>
          </w:tcPr>
          <w:p>
            <w:pPr>
              <w:spacing w:after="20"/>
              <w:jc w:val="right"/>
            </w:pPr>
            <w:r>
              <w:rPr>
                <w:color w:val="1C3A36"/>
                <w:sz w:val="16"/>
              </w:rPr>
              <w:t>—</w:t>
            </w:r>
          </w:p>
        </w:tc>
      </w:tr>
      <w:tr>
        <w:tc>
          <w:tcPr>
            <w:tcW w:type="dxa" w:w="2232"/>
          </w:tcPr>
          <w:p>
            <w:pPr>
              <w:spacing w:after="20"/>
            </w:pPr>
            <w:r>
              <w:rPr>
                <w:color w:val="1C3A36"/>
                <w:sz w:val="16"/>
              </w:rPr>
              <w:t>Trailing price / earnings</w:t>
            </w:r>
          </w:p>
        </w:tc>
        <w:tc>
          <w:tcPr>
            <w:tcW w:type="dxa" w:w="2592"/>
          </w:tcPr>
          <w:p>
            <w:pPr>
              <w:spacing w:after="20"/>
              <w:jc w:val="right"/>
            </w:pPr>
            <w:r>
              <w:rPr>
                <w:color w:val="1C3A36"/>
                <w:sz w:val="16"/>
              </w:rPr>
              <w:t>15.1×</w:t>
            </w:r>
          </w:p>
        </w:tc>
        <w:tc>
          <w:tcPr>
            <w:tcW w:type="dxa" w:w="2664"/>
          </w:tcPr>
          <w:p>
            <w:pPr>
              <w:spacing w:after="20"/>
              <w:jc w:val="right"/>
            </w:pPr>
            <w:r>
              <w:rPr>
                <w:color w:val="1C3A36"/>
                <w:sz w:val="16"/>
              </w:rPr>
              <w:t>16.6×</w:t>
            </w:r>
          </w:p>
        </w:tc>
        <w:tc>
          <w:tcPr>
            <w:tcW w:type="dxa" w:w="2592"/>
          </w:tcPr>
          <w:p>
            <w:pPr>
              <w:spacing w:after="20"/>
              <w:jc w:val="right"/>
            </w:pPr>
            <w:r>
              <w:rPr>
                <w:color w:val="1C3A36"/>
                <w:sz w:val="16"/>
              </w:rPr>
              <w:t>16.8×</w:t>
            </w:r>
          </w:p>
        </w:tc>
      </w:tr>
      <w:tr>
        <w:tc>
          <w:tcPr>
            <w:tcW w:type="dxa" w:w="2232"/>
          </w:tcPr>
          <w:p>
            <w:pPr>
              <w:spacing w:after="20"/>
            </w:pPr>
            <w:r>
              <w:rPr>
                <w:color w:val="1C3A36"/>
                <w:sz w:val="16"/>
              </w:rPr>
              <w:t>Dividend yield</w:t>
            </w:r>
          </w:p>
        </w:tc>
        <w:tc>
          <w:tcPr>
            <w:tcW w:type="dxa" w:w="2592"/>
          </w:tcPr>
          <w:p>
            <w:pPr>
              <w:spacing w:after="20"/>
              <w:jc w:val="right"/>
            </w:pPr>
            <w:r>
              <w:rPr>
                <w:color w:val="1C3A36"/>
                <w:sz w:val="16"/>
              </w:rPr>
              <w:t>5.8%</w:t>
            </w:r>
          </w:p>
        </w:tc>
        <w:tc>
          <w:tcPr>
            <w:tcW w:type="dxa" w:w="2664"/>
          </w:tcPr>
          <w:p>
            <w:pPr>
              <w:spacing w:after="20"/>
              <w:jc w:val="right"/>
            </w:pPr>
            <w:r>
              <w:rPr>
                <w:color w:val="1C3A36"/>
                <w:sz w:val="16"/>
              </w:rPr>
              <w:t>4.8%</w:t>
            </w:r>
          </w:p>
        </w:tc>
        <w:tc>
          <w:tcPr>
            <w:tcW w:type="dxa" w:w="2592"/>
          </w:tcPr>
          <w:p>
            <w:pPr>
              <w:spacing w:after="20"/>
              <w:jc w:val="right"/>
            </w:pPr>
            <w:r>
              <w:rPr>
                <w:color w:val="1C3A36"/>
                <w:sz w:val="16"/>
              </w:rPr>
              <w:t>4.4-5.0%</w:t>
            </w:r>
          </w:p>
        </w:tc>
      </w:tr>
      <w:tr>
        <w:tc>
          <w:tcPr>
            <w:tcW w:type="dxa" w:w="2232"/>
          </w:tcPr>
          <w:p>
            <w:pPr>
              <w:spacing w:after="20"/>
            </w:pPr>
            <w:r>
              <w:rPr>
                <w:color w:val="1C3A36"/>
                <w:sz w:val="16"/>
              </w:rPr>
              <w:t>Source and date</w:t>
            </w:r>
          </w:p>
        </w:tc>
        <w:tc>
          <w:tcPr>
            <w:tcW w:type="dxa" w:w="2592"/>
          </w:tcPr>
          <w:p>
            <w:pPr>
              <w:spacing w:after="20"/>
              <w:jc w:val="right"/>
            </w:pPr>
            <w:r>
              <w:rPr>
                <w:color w:val="1C3A36"/>
                <w:sz w:val="16"/>
              </w:rPr>
              <w:t>this study, audited statements and the 7-Aug-2026 close</w:t>
            </w:r>
          </w:p>
        </w:tc>
        <w:tc>
          <w:tcPr>
            <w:tcW w:type="dxa" w:w="2664"/>
          </w:tcPr>
          <w:p>
            <w:pPr>
              <w:spacing w:after="20"/>
              <w:jc w:val="right"/>
            </w:pPr>
            <w:r>
              <w:rPr>
                <w:color w:val="1C3A36"/>
                <w:sz w:val="16"/>
              </w:rPr>
              <w:t>FY2025 results via exchange disclosures; market value from a data provider dated 22-Jun-2026; multiples derived and flagged as derived</w:t>
            </w:r>
          </w:p>
        </w:tc>
        <w:tc>
          <w:tcPr>
            <w:tcW w:type="dxa" w:w="2592"/>
          </w:tcPr>
          <w:p>
            <w:pPr>
              <w:spacing w:after="20"/>
              <w:jc w:val="right"/>
            </w:pPr>
            <w:r>
              <w:rPr>
                <w:color w:val="1C3A36"/>
                <w:sz w:val="16"/>
              </w:rPr>
              <w:t>market data as of early Aug-2026; secondary marker only — the parent consolidates the subject</w:t>
            </w:r>
          </w:p>
        </w:tc>
      </w:tr>
    </w:tbl>
    <w:p>
      <w:pPr>
        <w:spacing w:after="40"/>
      </w:pPr>
    </w:p>
    <w:p>
      <w:pPr>
        <w:spacing w:after="120" w:before="0"/>
      </w:pPr>
      <w:r>
        <w:rPr>
          <w:b w:val="0"/>
          <w:i w:val="0"/>
          <w:color w:val="1C3A36"/>
          <w:sz w:val="21"/>
        </w:rPr>
        <w:t>Emicool, the third Dubai operator, is private (a Dubai Investments / Actis joint venture) and provides no usable multiple; no listed peer exists for the airport-concession leg. The leverage gap is the reason the peer comparison is made at the enterprise line: Tabreed carries several turns more net debt, so raw price/earnings comparisons flatter the wrong name.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888"/>
        <w:gridCol w:w="3960"/>
      </w:tblGrid>
      <w:tr>
        <w:tc>
          <w:tcPr>
            <w:tcW w:type="dxa" w:w="2232"/>
            <w:shd w:val="clear" w:color="auto" w:fill="EAF0EE"/>
          </w:tcPr>
          <w:p>
            <w:pPr>
              <w:spacing w:after="20"/>
            </w:pPr>
            <w:r>
              <w:rPr>
                <w:b/>
                <w:color w:val="1C3A36"/>
                <w:sz w:val="16"/>
              </w:rPr>
              <w:t>Risk</w:t>
            </w:r>
          </w:p>
        </w:tc>
        <w:tc>
          <w:tcPr>
            <w:tcW w:type="dxa" w:w="3888"/>
            <w:shd w:val="clear" w:color="auto" w:fill="EAF0EE"/>
          </w:tcPr>
          <w:p>
            <w:pPr>
              <w:spacing w:after="20"/>
            </w:pPr>
            <w:r>
              <w:rPr>
                <w:b/>
                <w:color w:val="1C3A36"/>
                <w:sz w:val="16"/>
              </w:rPr>
              <w:t>Mechanism</w:t>
            </w:r>
          </w:p>
        </w:tc>
        <w:tc>
          <w:tcPr>
            <w:tcW w:type="dxa" w:w="3960"/>
            <w:shd w:val="clear" w:color="auto" w:fill="EAF0EE"/>
          </w:tcPr>
          <w:p>
            <w:pPr>
              <w:spacing w:after="20"/>
            </w:pPr>
            <w:r>
              <w:rPr>
                <w:b/>
                <w:color w:val="1C3A36"/>
                <w:sz w:val="16"/>
              </w:rPr>
              <w:t>Where it is priced</w:t>
            </w:r>
          </w:p>
        </w:tc>
      </w:tr>
      <w:tr>
        <w:tc>
          <w:tcPr>
            <w:tcW w:type="dxa" w:w="2232"/>
          </w:tcPr>
          <w:p>
            <w:pPr>
              <w:spacing w:after="20"/>
            </w:pPr>
            <w:r>
              <w:rPr>
                <w:color w:val="1C3A36"/>
                <w:sz w:val="16"/>
              </w:rPr>
              <w:t>Tariff review</w:t>
            </w:r>
          </w:p>
        </w:tc>
        <w:tc>
          <w:tcPr>
            <w:tcW w:type="dxa" w:w="3888"/>
          </w:tcPr>
          <w:p>
            <w:pPr>
              <w:spacing w:after="20"/>
              <w:jc w:val="right"/>
            </w:pPr>
            <w:r>
              <w:rPr>
                <w:color w:val="1C3A36"/>
                <w:sz w:val="16"/>
              </w:rPr>
              <w:t>the regulator approves tariffs; a cut would reprice the capacity charge — the profit pool itself</w:t>
            </w:r>
          </w:p>
        </w:tc>
        <w:tc>
          <w:tcPr>
            <w:tcW w:type="dxa" w:w="3960"/>
          </w:tcPr>
          <w:p>
            <w:pPr>
              <w:spacing w:after="20"/>
              <w:jc w:val="right"/>
            </w:pPr>
            <w:r>
              <w:rPr>
                <w:color w:val="1C3A36"/>
                <w:sz w:val="16"/>
              </w:rPr>
              <w:t>NOT priced — flagged as the model's single most valuable assumption (sections 1.7 and 7); a cut is a regime change requiring a re-model</w:t>
            </w:r>
          </w:p>
        </w:tc>
      </w:tr>
      <w:tr>
        <w:tc>
          <w:tcPr>
            <w:tcW w:type="dxa" w:w="2232"/>
          </w:tcPr>
          <w:p>
            <w:pPr>
              <w:spacing w:after="20"/>
            </w:pPr>
            <w:r>
              <w:rPr>
                <w:color w:val="1C3A36"/>
                <w:sz w:val="16"/>
              </w:rPr>
              <w:t>War re-escalation</w:t>
            </w:r>
          </w:p>
        </w:tc>
        <w:tc>
          <w:tcPr>
            <w:tcW w:type="dxa" w:w="3888"/>
          </w:tcPr>
          <w:p>
            <w:pPr>
              <w:spacing w:after="20"/>
              <w:jc w:val="right"/>
            </w:pPr>
            <w:r>
              <w:rPr>
                <w:color w:val="1C3A36"/>
                <w:sz w:val="16"/>
              </w:rPr>
              <w:t>hospitality occupancy → consumption; risk premium → discount rate; connection pipeline → volumes</w:t>
            </w:r>
          </w:p>
        </w:tc>
        <w:tc>
          <w:tcPr>
            <w:tcW w:type="dxa" w:w="3960"/>
          </w:tcPr>
          <w:p>
            <w:pPr>
              <w:spacing w:after="20"/>
              <w:jc w:val="right"/>
            </w:pPr>
            <w:r>
              <w:rPr>
                <w:color w:val="1C3A36"/>
                <w:sz w:val="16"/>
              </w:rPr>
              <w:t>the bear scenario, AED 1.737 per share, is a full re-run with all four channels moved together</w:t>
            </w:r>
          </w:p>
        </w:tc>
      </w:tr>
      <w:tr>
        <w:tc>
          <w:tcPr>
            <w:tcW w:type="dxa" w:w="2232"/>
          </w:tcPr>
          <w:p>
            <w:pPr>
              <w:spacing w:after="20"/>
            </w:pPr>
            <w:r>
              <w:rPr>
                <w:color w:val="1C3A36"/>
                <w:sz w:val="16"/>
              </w:rPr>
              <w:t>Minimum top-up tax</w:t>
            </w:r>
          </w:p>
        </w:tc>
        <w:tc>
          <w:tcPr>
            <w:tcW w:type="dxa" w:w="3888"/>
          </w:tcPr>
          <w:p>
            <w:pPr>
              <w:spacing w:after="20"/>
              <w:jc w:val="right"/>
            </w:pPr>
            <w:r>
              <w:rPr>
                <w:color w:val="1C3A36"/>
                <w:sz w:val="16"/>
              </w:rPr>
              <w:t>consolidation into the DEWA group could lift the rate from 9% to 15%</w:t>
            </w:r>
          </w:p>
        </w:tc>
        <w:tc>
          <w:tcPr>
            <w:tcW w:type="dxa" w:w="3960"/>
          </w:tcPr>
          <w:p>
            <w:pPr>
              <w:spacing w:after="20"/>
              <w:jc w:val="right"/>
            </w:pPr>
            <w:r>
              <w:rPr>
                <w:color w:val="1C3A36"/>
                <w:sz w:val="16"/>
              </w:rPr>
              <w:t>published as a full second column everywhere: 0.181 per share on the primary lens</w:t>
            </w:r>
          </w:p>
        </w:tc>
      </w:tr>
      <w:tr>
        <w:tc>
          <w:tcPr>
            <w:tcW w:type="dxa" w:w="2232"/>
          </w:tcPr>
          <w:p>
            <w:pPr>
              <w:spacing w:after="20"/>
            </w:pPr>
            <w:r>
              <w:rPr>
                <w:color w:val="1C3A36"/>
                <w:sz w:val="16"/>
              </w:rPr>
              <w:t>Consumption persistence</w:t>
            </w:r>
          </w:p>
        </w:tc>
        <w:tc>
          <w:tcPr>
            <w:tcW w:type="dxa" w:w="3888"/>
          </w:tcPr>
          <w:p>
            <w:pPr>
              <w:spacing w:after="20"/>
              <w:jc w:val="right"/>
            </w:pPr>
            <w:r>
              <w:rPr>
                <w:color w:val="1C3A36"/>
                <w:sz w:val="16"/>
              </w:rPr>
              <w:t>usage per connected ton stays at the shocked level</w:t>
            </w:r>
          </w:p>
        </w:tc>
        <w:tc>
          <w:tcPr>
            <w:tcW w:type="dxa" w:w="3960"/>
          </w:tcPr>
          <w:p>
            <w:pPr>
              <w:spacing w:after="20"/>
              <w:jc w:val="right"/>
            </w:pPr>
            <w:r>
              <w:rPr>
                <w:color w:val="1C3A36"/>
                <w:sz w:val="16"/>
              </w:rPr>
              <w:t>a full alternative model: 2.7% on the primary lens — small, because of the pass-through (section 1.7)</w:t>
            </w:r>
          </w:p>
        </w:tc>
      </w:tr>
      <w:tr>
        <w:tc>
          <w:tcPr>
            <w:tcW w:type="dxa" w:w="2232"/>
          </w:tcPr>
          <w:p>
            <w:pPr>
              <w:spacing w:after="20"/>
            </w:pPr>
            <w:r>
              <w:rPr>
                <w:color w:val="1C3A36"/>
                <w:sz w:val="16"/>
              </w:rPr>
              <w:t>Related-party concentration</w:t>
            </w:r>
          </w:p>
        </w:tc>
        <w:tc>
          <w:tcPr>
            <w:tcW w:type="dxa" w:w="3888"/>
          </w:tcPr>
          <w:p>
            <w:pPr>
              <w:spacing w:after="20"/>
              <w:jc w:val="right"/>
            </w:pPr>
            <w:r>
              <w:rPr>
                <w:color w:val="1C3A36"/>
                <w:sz w:val="16"/>
              </w:rPr>
              <w:t>the controlling shareholder is also the sole input supplier and the tariff counterweight</w:t>
            </w:r>
          </w:p>
        </w:tc>
        <w:tc>
          <w:tcPr>
            <w:tcW w:type="dxa" w:w="3960"/>
          </w:tcPr>
          <w:p>
            <w:pPr>
              <w:spacing w:after="20"/>
              <w:jc w:val="right"/>
            </w:pPr>
            <w:r>
              <w:rPr>
                <w:color w:val="1C3A36"/>
                <w:sz w:val="16"/>
              </w:rPr>
              <w:t>a governance fact discussed in section 7; one reason the relative lens keeps weight</w:t>
            </w:r>
          </w:p>
        </w:tc>
      </w:tr>
      <w:tr>
        <w:tc>
          <w:tcPr>
            <w:tcW w:type="dxa" w:w="2232"/>
          </w:tcPr>
          <w:p>
            <w:pPr>
              <w:spacing w:after="20"/>
            </w:pPr>
            <w:r>
              <w:rPr>
                <w:color w:val="1C3A36"/>
                <w:sz w:val="16"/>
              </w:rPr>
              <w:t>Float and liquidity</w:t>
            </w:r>
          </w:p>
        </w:tc>
        <w:tc>
          <w:tcPr>
            <w:tcW w:type="dxa" w:w="3888"/>
          </w:tcPr>
          <w:p>
            <w:pPr>
              <w:spacing w:after="20"/>
              <w:jc w:val="right"/>
            </w:pPr>
            <w:r>
              <w:rPr>
                <w:color w:val="1C3A36"/>
                <w:sz w:val="16"/>
              </w:rPr>
              <w:t>free float near a fifth after the February control purchase; index treatment and exit liquidity are thinner</w:t>
            </w:r>
          </w:p>
        </w:tc>
        <w:tc>
          <w:tcPr>
            <w:tcW w:type="dxa" w:w="3960"/>
          </w:tcPr>
          <w:p>
            <w:pPr>
              <w:spacing w:after="20"/>
              <w:jc w:val="right"/>
            </w:pPr>
            <w:r>
              <w:rPr>
                <w:color w:val="1C3A36"/>
                <w:sz w:val="16"/>
              </w:rPr>
              <w:t>not separately priced; noted as a reason market-price signals are noisier than usual</w:t>
            </w:r>
          </w:p>
        </w:tc>
      </w:tr>
      <w:tr>
        <w:tc>
          <w:tcPr>
            <w:tcW w:type="dxa" w:w="2232"/>
          </w:tcPr>
          <w:p>
            <w:pPr>
              <w:spacing w:after="20"/>
            </w:pPr>
            <w:r>
              <w:rPr>
                <w:color w:val="1C3A36"/>
                <w:sz w:val="16"/>
              </w:rPr>
              <w:t>Data limitations</w:t>
            </w:r>
          </w:p>
        </w:tc>
        <w:tc>
          <w:tcPr>
            <w:tcW w:type="dxa" w:w="3888"/>
          </w:tcPr>
          <w:p>
            <w:pPr>
              <w:spacing w:after="20"/>
              <w:jc w:val="right"/>
            </w:pPr>
            <w:r>
              <w:rPr>
                <w:color w:val="1C3A36"/>
                <w:sz w:val="16"/>
              </w:rPr>
              <w:t>a 4.4-year sovereign anchor against longer cash flows; an index series with missing sessions behind the beta; deck-sourced revenue-mix percentages</w:t>
            </w:r>
          </w:p>
        </w:tc>
        <w:tc>
          <w:tcPr>
            <w:tcW w:type="dxa" w:w="3960"/>
          </w:tcPr>
          <w:p>
            <w:pPr>
              <w:spacing w:after="20"/>
              <w:jc w:val="right"/>
            </w:pPr>
            <w:r>
              <w:rPr>
                <w:color w:val="1C3A36"/>
                <w:sz w:val="16"/>
              </w:rPr>
              <w:t>each flagged in place (section 1.8, section 7) and recorded in the bibliography</w:t>
            </w:r>
          </w:p>
        </w:tc>
      </w:tr>
    </w:tbl>
    <w:p>
      <w:pPr>
        <w:spacing w:after="40"/>
      </w:pPr>
    </w:p>
    <w:p>
      <w:pPr>
        <w:spacing w:after="80" w:before="200"/>
      </w:pPr>
      <w:r>
        <w:rPr>
          <w:b/>
          <w:i w:val="0"/>
          <w:color w:val="1C3A36"/>
          <w:sz w:val="24"/>
        </w:rPr>
        <w:t>B.3  The research register — the sources this study stands on</w:t>
      </w:r>
    </w:p>
    <w:p>
      <w:pPr>
        <w:spacing w:after="120" w:before="0"/>
      </w:pPr>
      <w:r>
        <w:rPr>
          <w:b w:val="0"/>
          <w:i w:val="0"/>
          <w:color w:val="1C3A36"/>
          <w:sz w:val="21"/>
        </w:rPr>
        <w:t>Research proceeded from the company's own filings outward: audited statements first, then the interim record, the investor-relations material, the regulator, the sovereign data and the market. The main sources, dated, are tabulated below; the companion bibliography document records every input's value, source and date individually, together with the searches that returned nothing.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728"/>
        <w:gridCol w:w="1296"/>
        <w:gridCol w:w="3744"/>
      </w:tblGrid>
      <w:tr>
        <w:tc>
          <w:tcPr>
            <w:tcW w:type="dxa" w:w="3312"/>
            <w:shd w:val="clear" w:color="auto" w:fill="EAF0EE"/>
          </w:tcPr>
          <w:p>
            <w:pPr>
              <w:spacing w:after="20"/>
            </w:pPr>
            <w:r>
              <w:rPr>
                <w:b/>
                <w:color w:val="1C3A36"/>
                <w:sz w:val="16"/>
              </w:rPr>
              <w:t>Source</w:t>
            </w:r>
          </w:p>
        </w:tc>
        <w:tc>
          <w:tcPr>
            <w:tcW w:type="dxa" w:w="1728"/>
            <w:shd w:val="clear" w:color="auto" w:fill="EAF0EE"/>
          </w:tcPr>
          <w:p>
            <w:pPr>
              <w:spacing w:after="20"/>
            </w:pPr>
            <w:r>
              <w:rPr>
                <w:b/>
                <w:color w:val="1C3A36"/>
                <w:sz w:val="16"/>
              </w:rPr>
              <w:t>Type</w:t>
            </w:r>
          </w:p>
        </w:tc>
        <w:tc>
          <w:tcPr>
            <w:tcW w:type="dxa" w:w="1296"/>
            <w:shd w:val="clear" w:color="auto" w:fill="EAF0EE"/>
          </w:tcPr>
          <w:p>
            <w:pPr>
              <w:spacing w:after="20"/>
            </w:pPr>
            <w:r>
              <w:rPr>
                <w:b/>
                <w:color w:val="1C3A36"/>
                <w:sz w:val="16"/>
              </w:rPr>
              <w:t>Date</w:t>
            </w:r>
          </w:p>
        </w:tc>
        <w:tc>
          <w:tcPr>
            <w:tcW w:type="dxa" w:w="3744"/>
            <w:shd w:val="clear" w:color="auto" w:fill="EAF0EE"/>
          </w:tcPr>
          <w:p>
            <w:pPr>
              <w:spacing w:after="20"/>
            </w:pPr>
            <w:r>
              <w:rPr>
                <w:b/>
                <w:color w:val="1C3A36"/>
                <w:sz w:val="16"/>
              </w:rPr>
              <w:t>What was taken</w:t>
            </w:r>
          </w:p>
        </w:tc>
      </w:tr>
      <w:tr>
        <w:tc>
          <w:tcPr>
            <w:tcW w:type="dxa" w:w="3312"/>
          </w:tcPr>
          <w:p>
            <w:pPr>
              <w:spacing w:after="20"/>
            </w:pPr>
            <w:r>
              <w:rPr>
                <w:color w:val="1C3A36"/>
                <w:sz w:val="16"/>
              </w:rPr>
              <w:t>Audited consolidated financial statements, FY2022–FY2025 (PwC, unqualified)</w:t>
            </w:r>
          </w:p>
        </w:tc>
        <w:tc>
          <w:tcPr>
            <w:tcW w:type="dxa" w:w="1728"/>
          </w:tcPr>
          <w:p>
            <w:pPr>
              <w:spacing w:after="20"/>
              <w:jc w:val="right"/>
            </w:pPr>
            <w:r>
              <w:rPr>
                <w:color w:val="1C3A36"/>
                <w:sz w:val="16"/>
              </w:rPr>
              <w:t>Company filing</w:t>
            </w:r>
          </w:p>
        </w:tc>
        <w:tc>
          <w:tcPr>
            <w:tcW w:type="dxa" w:w="1296"/>
          </w:tcPr>
          <w:p>
            <w:pPr>
              <w:spacing w:after="20"/>
              <w:jc w:val="right"/>
            </w:pPr>
            <w:r>
              <w:rPr>
                <w:color w:val="1C3A36"/>
                <w:sz w:val="16"/>
              </w:rPr>
              <w:t>2023–Feb-2026</w:t>
            </w:r>
          </w:p>
        </w:tc>
        <w:tc>
          <w:tcPr>
            <w:tcW w:type="dxa" w:w="3744"/>
          </w:tcPr>
          <w:p>
            <w:pPr>
              <w:spacing w:after="20"/>
              <w:jc w:val="right"/>
            </w:pPr>
            <w:r>
              <w:rPr>
                <w:color w:val="1C3A36"/>
                <w:sz w:val="16"/>
              </w:rPr>
              <w:t>the full income statement, balance sheet and cash-flow record; revenue and cost notes; borrowings and refinancing notes; related-party purchases; the capitalisation rate; consumption revenue via the auditor's key-audit-matter sections</w:t>
            </w:r>
          </w:p>
        </w:tc>
      </w:tr>
      <w:tr>
        <w:tc>
          <w:tcPr>
            <w:tcW w:type="dxa" w:w="3312"/>
          </w:tcPr>
          <w:p>
            <w:pPr>
              <w:spacing w:after="20"/>
            </w:pPr>
            <w:r>
              <w:rPr>
                <w:color w:val="1C3A36"/>
                <w:sz w:val="16"/>
              </w:rPr>
              <w:t>Condensed interim financial statements, Q1-2026 and H1-2026 (limited review)</w:t>
            </w:r>
          </w:p>
        </w:tc>
        <w:tc>
          <w:tcPr>
            <w:tcW w:type="dxa" w:w="1728"/>
          </w:tcPr>
          <w:p>
            <w:pPr>
              <w:spacing w:after="20"/>
              <w:jc w:val="right"/>
            </w:pPr>
            <w:r>
              <w:rPr>
                <w:color w:val="1C3A36"/>
                <w:sz w:val="16"/>
              </w:rPr>
              <w:t>Company filing</w:t>
            </w:r>
          </w:p>
        </w:tc>
        <w:tc>
          <w:tcPr>
            <w:tcW w:type="dxa" w:w="1296"/>
          </w:tcPr>
          <w:p>
            <w:pPr>
              <w:spacing w:after="20"/>
              <w:jc w:val="right"/>
            </w:pPr>
            <w:r>
              <w:rPr>
                <w:color w:val="1C3A36"/>
                <w:sz w:val="16"/>
              </w:rPr>
              <w:t>May / Aug 2026</w:t>
            </w:r>
          </w:p>
        </w:tc>
        <w:tc>
          <w:tcPr>
            <w:tcW w:type="dxa" w:w="3744"/>
          </w:tcPr>
          <w:p>
            <w:pPr>
              <w:spacing w:after="20"/>
              <w:jc w:val="right"/>
            </w:pPr>
            <w:r>
              <w:rPr>
                <w:color w:val="1C3A36"/>
                <w:sz w:val="16"/>
              </w:rPr>
              <w:t>the study-year actuals: quarterly revenue, profit, the June-2026 balance sheet, and the note tying the consumption fall partly to conflict-hit hospitality occupancy</w:t>
            </w:r>
          </w:p>
        </w:tc>
      </w:tr>
      <w:tr>
        <w:tc>
          <w:tcPr>
            <w:tcW w:type="dxa" w:w="3312"/>
          </w:tcPr>
          <w:p>
            <w:pPr>
              <w:spacing w:after="20"/>
            </w:pPr>
            <w:r>
              <w:rPr>
                <w:color w:val="1C3A36"/>
                <w:sz w:val="16"/>
              </w:rPr>
              <w:t>H1-2026 earnings presentation</w:t>
            </w:r>
          </w:p>
        </w:tc>
        <w:tc>
          <w:tcPr>
            <w:tcW w:type="dxa" w:w="1728"/>
          </w:tcPr>
          <w:p>
            <w:pPr>
              <w:spacing w:after="20"/>
              <w:jc w:val="right"/>
            </w:pPr>
            <w:r>
              <w:rPr>
                <w:color w:val="1C3A36"/>
                <w:sz w:val="16"/>
              </w:rPr>
              <w:t>Company investor relations</w:t>
            </w:r>
          </w:p>
        </w:tc>
        <w:tc>
          <w:tcPr>
            <w:tcW w:type="dxa" w:w="1296"/>
          </w:tcPr>
          <w:p>
            <w:pPr>
              <w:spacing w:after="20"/>
              <w:jc w:val="right"/>
            </w:pPr>
            <w:r>
              <w:rPr>
                <w:color w:val="1C3A36"/>
                <w:sz w:val="16"/>
              </w:rPr>
              <w:t>5-Aug-2026</w:t>
            </w:r>
          </w:p>
        </w:tc>
        <w:tc>
          <w:tcPr>
            <w:tcW w:type="dxa" w:w="3744"/>
          </w:tcPr>
          <w:p>
            <w:pPr>
              <w:spacing w:after="20"/>
              <w:jc w:val="right"/>
            </w:pPr>
            <w:r>
              <w:rPr>
                <w:color w:val="1C3A36"/>
                <w:sz w:val="16"/>
              </w:rPr>
              <w:t>connected and contracted capacity, connection guidance, equivalent full-load hours, the revenue mix, net debt as presented, and the dividend commitment</w:t>
            </w:r>
          </w:p>
        </w:tc>
      </w:tr>
      <w:tr>
        <w:tc>
          <w:tcPr>
            <w:tcW w:type="dxa" w:w="3312"/>
          </w:tcPr>
          <w:p>
            <w:pPr>
              <w:spacing w:after="20"/>
            </w:pPr>
            <w:r>
              <w:rPr>
                <w:color w:val="1C3A36"/>
                <w:sz w:val="16"/>
              </w:rPr>
              <w:t>Dubai Executive Council Resolution 6/2021; Regulatory and Supervisory Bureau instruments</w:t>
            </w:r>
          </w:p>
        </w:tc>
        <w:tc>
          <w:tcPr>
            <w:tcW w:type="dxa" w:w="1728"/>
          </w:tcPr>
          <w:p>
            <w:pPr>
              <w:spacing w:after="20"/>
              <w:jc w:val="right"/>
            </w:pPr>
            <w:r>
              <w:rPr>
                <w:color w:val="1C3A36"/>
                <w:sz w:val="16"/>
              </w:rPr>
              <w:t>Regulator</w:t>
            </w:r>
          </w:p>
        </w:tc>
        <w:tc>
          <w:tcPr>
            <w:tcW w:type="dxa" w:w="1296"/>
          </w:tcPr>
          <w:p>
            <w:pPr>
              <w:spacing w:after="20"/>
              <w:jc w:val="right"/>
            </w:pPr>
            <w:r>
              <w:rPr>
                <w:color w:val="1C3A36"/>
                <w:sz w:val="16"/>
              </w:rPr>
              <w:t>2021–2025</w:t>
            </w:r>
          </w:p>
        </w:tc>
        <w:tc>
          <w:tcPr>
            <w:tcW w:type="dxa" w:w="3744"/>
          </w:tcPr>
          <w:p>
            <w:pPr>
              <w:spacing w:after="20"/>
              <w:jc w:val="right"/>
            </w:pPr>
            <w:r>
              <w:rPr>
                <w:color w:val="1C3A36"/>
                <w:sz w:val="16"/>
              </w:rPr>
              <w:t>the tariff-regulation frame behind the flat-tariff assumption</w:t>
            </w:r>
          </w:p>
        </w:tc>
      </w:tr>
      <w:tr>
        <w:tc>
          <w:tcPr>
            <w:tcW w:type="dxa" w:w="3312"/>
          </w:tcPr>
          <w:p>
            <w:pPr>
              <w:spacing w:after="20"/>
            </w:pPr>
            <w:r>
              <w:rPr>
                <w:color w:val="1C3A36"/>
                <w:sz w:val="16"/>
              </w:rPr>
              <w:t>UAE Ministry of Finance dirham T-Bond auction result</w:t>
            </w:r>
          </w:p>
        </w:tc>
        <w:tc>
          <w:tcPr>
            <w:tcW w:type="dxa" w:w="1728"/>
          </w:tcPr>
          <w:p>
            <w:pPr>
              <w:spacing w:after="20"/>
              <w:jc w:val="right"/>
            </w:pPr>
            <w:r>
              <w:rPr>
                <w:color w:val="1C3A36"/>
                <w:sz w:val="16"/>
              </w:rPr>
              <w:t>Sovereign data</w:t>
            </w:r>
          </w:p>
        </w:tc>
        <w:tc>
          <w:tcPr>
            <w:tcW w:type="dxa" w:w="1296"/>
          </w:tcPr>
          <w:p>
            <w:pPr>
              <w:spacing w:after="20"/>
              <w:jc w:val="right"/>
            </w:pPr>
            <w:r>
              <w:rPr>
                <w:color w:val="1C3A36"/>
                <w:sz w:val="16"/>
              </w:rPr>
              <w:t>30-Jul-2026</w:t>
            </w:r>
          </w:p>
        </w:tc>
        <w:tc>
          <w:tcPr>
            <w:tcW w:type="dxa" w:w="3744"/>
          </w:tcPr>
          <w:p>
            <w:pPr>
              <w:spacing w:after="20"/>
              <w:jc w:val="right"/>
            </w:pPr>
            <w:r>
              <w:rPr>
                <w:color w:val="1C3A36"/>
                <w:sz w:val="16"/>
              </w:rPr>
              <w:t>the risk-free anchor</w:t>
            </w:r>
          </w:p>
        </w:tc>
      </w:tr>
      <w:tr>
        <w:tc>
          <w:tcPr>
            <w:tcW w:type="dxa" w:w="3312"/>
          </w:tcPr>
          <w:p>
            <w:pPr>
              <w:spacing w:after="20"/>
            </w:pPr>
            <w:r>
              <w:rPr>
                <w:color w:val="1C3A36"/>
                <w:sz w:val="16"/>
              </w:rPr>
              <w:t>Published country-risk dataset (July-2026 edition)</w:t>
            </w:r>
          </w:p>
        </w:tc>
        <w:tc>
          <w:tcPr>
            <w:tcW w:type="dxa" w:w="1728"/>
          </w:tcPr>
          <w:p>
            <w:pPr>
              <w:spacing w:after="20"/>
              <w:jc w:val="right"/>
            </w:pPr>
            <w:r>
              <w:rPr>
                <w:color w:val="1C3A36"/>
                <w:sz w:val="16"/>
              </w:rPr>
              <w:t>Reference dataset</w:t>
            </w:r>
          </w:p>
        </w:tc>
        <w:tc>
          <w:tcPr>
            <w:tcW w:type="dxa" w:w="1296"/>
          </w:tcPr>
          <w:p>
            <w:pPr>
              <w:spacing w:after="20"/>
              <w:jc w:val="right"/>
            </w:pPr>
            <w:r>
              <w:rPr>
                <w:color w:val="1C3A36"/>
                <w:sz w:val="16"/>
              </w:rPr>
              <w:t>1-Jul-2026</w:t>
            </w:r>
          </w:p>
        </w:tc>
        <w:tc>
          <w:tcPr>
            <w:tcW w:type="dxa" w:w="3744"/>
          </w:tcPr>
          <w:p>
            <w:pPr>
              <w:spacing w:after="20"/>
              <w:jc w:val="right"/>
            </w:pPr>
            <w:r>
              <w:rPr>
                <w:color w:val="1C3A36"/>
                <w:sz w:val="16"/>
              </w:rPr>
              <w:t>the UAE default spreads and equity risk premia on both bases</w:t>
            </w:r>
          </w:p>
        </w:tc>
      </w:tr>
      <w:tr>
        <w:tc>
          <w:tcPr>
            <w:tcW w:type="dxa" w:w="3312"/>
          </w:tcPr>
          <w:p>
            <w:pPr>
              <w:spacing w:after="20"/>
            </w:pPr>
            <w:r>
              <w:rPr>
                <w:color w:val="1C3A36"/>
                <w:sz w:val="16"/>
              </w:rPr>
              <w:t>DFM daily price history for EMPOWER (supplied) and a DFM General Index series</w:t>
            </w:r>
          </w:p>
        </w:tc>
        <w:tc>
          <w:tcPr>
            <w:tcW w:type="dxa" w:w="1728"/>
          </w:tcPr>
          <w:p>
            <w:pPr>
              <w:spacing w:after="20"/>
              <w:jc w:val="right"/>
            </w:pPr>
            <w:r>
              <w:rPr>
                <w:color w:val="1C3A36"/>
                <w:sz w:val="16"/>
              </w:rPr>
              <w:t>Market data</w:t>
            </w:r>
          </w:p>
        </w:tc>
        <w:tc>
          <w:tcPr>
            <w:tcW w:type="dxa" w:w="1296"/>
          </w:tcPr>
          <w:p>
            <w:pPr>
              <w:spacing w:after="20"/>
              <w:jc w:val="right"/>
            </w:pPr>
            <w:r>
              <w:rPr>
                <w:color w:val="1C3A36"/>
                <w:sz w:val="16"/>
              </w:rPr>
              <w:t>to 7-Aug-2026</w:t>
            </w:r>
          </w:p>
        </w:tc>
        <w:tc>
          <w:tcPr>
            <w:tcW w:type="dxa" w:w="3744"/>
          </w:tcPr>
          <w:p>
            <w:pPr>
              <w:spacing w:after="20"/>
              <w:jc w:val="right"/>
            </w:pPr>
            <w:r>
              <w:rPr>
                <w:color w:val="1C3A36"/>
                <w:sz w:val="16"/>
              </w:rPr>
              <w:t>the anchor price, volatility, the moving-average structure, the beta regression and the price distributions</w:t>
            </w:r>
          </w:p>
        </w:tc>
      </w:tr>
      <w:tr>
        <w:tc>
          <w:tcPr>
            <w:tcW w:type="dxa" w:w="3312"/>
          </w:tcPr>
          <w:p>
            <w:pPr>
              <w:spacing w:after="20"/>
            </w:pPr>
            <w:r>
              <w:rPr>
                <w:color w:val="1C3A36"/>
                <w:sz w:val="16"/>
              </w:rPr>
              <w:t>Tabreed and DEWA results and market data</w:t>
            </w:r>
          </w:p>
        </w:tc>
        <w:tc>
          <w:tcPr>
            <w:tcW w:type="dxa" w:w="1728"/>
          </w:tcPr>
          <w:p>
            <w:pPr>
              <w:spacing w:after="20"/>
              <w:jc w:val="right"/>
            </w:pPr>
            <w:r>
              <w:rPr>
                <w:color w:val="1C3A36"/>
                <w:sz w:val="16"/>
              </w:rPr>
              <w:t>Peer disclosures / market data</w:t>
            </w:r>
          </w:p>
        </w:tc>
        <w:tc>
          <w:tcPr>
            <w:tcW w:type="dxa" w:w="1296"/>
          </w:tcPr>
          <w:p>
            <w:pPr>
              <w:spacing w:after="20"/>
              <w:jc w:val="right"/>
            </w:pPr>
            <w:r>
              <w:rPr>
                <w:color w:val="1C3A36"/>
                <w:sz w:val="16"/>
              </w:rPr>
              <w:t>Jun–Aug 2026</w:t>
            </w:r>
          </w:p>
        </w:tc>
        <w:tc>
          <w:tcPr>
            <w:tcW w:type="dxa" w:w="3744"/>
          </w:tcPr>
          <w:p>
            <w:pPr>
              <w:spacing w:after="20"/>
              <w:jc w:val="right"/>
            </w:pPr>
            <w:r>
              <w:rPr>
                <w:color w:val="1C3A36"/>
                <w:sz w:val="16"/>
              </w:rPr>
              <w:t>the relative-multiples lens — cross-check only, never a source for Empower's own numbers</w:t>
            </w:r>
          </w:p>
        </w:tc>
      </w:tr>
      <w:tr>
        <w:tc>
          <w:tcPr>
            <w:tcW w:type="dxa" w:w="3312"/>
          </w:tcPr>
          <w:p>
            <w:pPr>
              <w:spacing w:after="20"/>
            </w:pPr>
            <w:r>
              <w:rPr>
                <w:color w:val="1C3A36"/>
                <w:sz w:val="16"/>
              </w:rPr>
              <w:t>Wire and reference coverage of the 2026 conflict and ceasefire</w:t>
            </w:r>
          </w:p>
        </w:tc>
        <w:tc>
          <w:tcPr>
            <w:tcW w:type="dxa" w:w="1728"/>
          </w:tcPr>
          <w:p>
            <w:pPr>
              <w:spacing w:after="20"/>
              <w:jc w:val="right"/>
            </w:pPr>
            <w:r>
              <w:rPr>
                <w:color w:val="1C3A36"/>
                <w:sz w:val="16"/>
              </w:rPr>
              <w:t>Press</w:t>
            </w:r>
          </w:p>
        </w:tc>
        <w:tc>
          <w:tcPr>
            <w:tcW w:type="dxa" w:w="1296"/>
          </w:tcPr>
          <w:p>
            <w:pPr>
              <w:spacing w:after="20"/>
              <w:jc w:val="right"/>
            </w:pPr>
            <w:r>
              <w:rPr>
                <w:color w:val="1C3A36"/>
                <w:sz w:val="16"/>
              </w:rPr>
              <w:t>to 9-Aug-2026</w:t>
            </w:r>
          </w:p>
        </w:tc>
        <w:tc>
          <w:tcPr>
            <w:tcW w:type="dxa" w:w="3744"/>
          </w:tcPr>
          <w:p>
            <w:pPr>
              <w:spacing w:after="20"/>
              <w:jc w:val="right"/>
            </w:pPr>
            <w:r>
              <w:rPr>
                <w:color w:val="1C3A36"/>
                <w:sz w:val="16"/>
              </w:rPr>
              <w:t>the macro timeline; where sources disagreed on the truce status, both readings were recorded rather than resolved</w:t>
            </w:r>
          </w:p>
        </w:tc>
      </w:tr>
    </w:tbl>
    <w:p>
      <w:pPr>
        <w:spacing w:after="40"/>
      </w:pPr>
    </w:p>
    <w:p>
      <w:pPr>
        <w:spacing w:after="120" w:before="280"/>
      </w:pPr>
      <w:r>
        <w:rPr>
          <w:b/>
          <w:i w:val="0"/>
          <w:color w:val="1C3A36"/>
          <w:sz w:val="30"/>
        </w:rPr>
        <w:t>Appendix C  The expert valuation panel</w:t>
      </w:r>
    </w:p>
    <w:p>
      <w:pPr>
        <w:spacing w:after="120" w:before="0"/>
      </w:pPr>
      <w:r>
        <w:rPr>
          <w:b w:val="0"/>
          <w:i w:val="0"/>
          <w:color w:val="1C3A36"/>
          <w:sz w:val="21"/>
        </w:rPr>
        <w:t>Three valuation approaches are run against the same disclosed facts by three notional experts, each committed to a different method, each showing every intermediate line, and each required to state in advance what would prove them wrong. They are not asked to agree, and they do not.</w:t>
      </w:r>
    </w:p>
    <w:p>
      <w:pPr>
        <w:spacing w:after="80" w:before="200"/>
      </w:pPr>
      <w:r>
        <w:rPr>
          <w:b/>
          <w:i w:val="0"/>
          <w:color w:val="1C3A36"/>
          <w:sz w:val="24"/>
        </w:rPr>
        <w:t>C.1  Expert 1 (infrastructure cash flow) — the contracted asset base, discounted</w:t>
      </w:r>
    </w:p>
    <w:p>
      <w:pPr>
        <w:spacing w:after="120" w:before="0"/>
      </w:pPr>
      <w:r>
        <w:rPr>
          <w:b w:val="0"/>
          <w:i w:val="0"/>
          <w:color w:val="1C3A36"/>
          <w:sz w:val="21"/>
        </w:rPr>
        <w:t>Worldview: a regulated utility with contracted revenue is the one class of business a discounted-cash-flow model prices well — the cash flows are visible, the regulator caps the upside, and the right answer is the present value of the contract stack. When it works: precisely here. When it fails: when the terminal assumptions smuggle in more value than the explicit years justify — which is why every terminal choice below is shown and challenged in C.4.</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Step (base case, 9% tax, AED mn)</w:t>
            </w:r>
          </w:p>
        </w:tc>
        <w:tc>
          <w:tcPr>
            <w:tcW w:type="dxa" w:w="1426"/>
            <w:shd w:val="clear" w:color="auto" w:fill="EAF0EE"/>
          </w:tcPr>
          <w:p>
            <w:pPr>
              <w:spacing w:after="20"/>
            </w:pPr>
            <w:r>
              <w:rPr>
                <w:b/>
                <w:color w:val="1C3A36"/>
                <w:sz w:val="16"/>
              </w:rPr>
              <w:t>FY26</w:t>
            </w:r>
          </w:p>
        </w:tc>
        <w:tc>
          <w:tcPr>
            <w:tcW w:type="dxa" w:w="1426"/>
            <w:shd w:val="clear" w:color="auto" w:fill="EAF0EE"/>
          </w:tcPr>
          <w:p>
            <w:pPr>
              <w:spacing w:after="20"/>
            </w:pPr>
            <w:r>
              <w:rPr>
                <w:b/>
                <w:color w:val="1C3A36"/>
                <w:sz w:val="16"/>
              </w:rPr>
              <w:t>FY27</w:t>
            </w:r>
          </w:p>
        </w:tc>
        <w:tc>
          <w:tcPr>
            <w:tcW w:type="dxa" w:w="1426"/>
            <w:shd w:val="clear" w:color="auto" w:fill="EAF0EE"/>
          </w:tcPr>
          <w:p>
            <w:pPr>
              <w:spacing w:after="20"/>
            </w:pPr>
            <w:r>
              <w:rPr>
                <w:b/>
                <w:color w:val="1C3A36"/>
                <w:sz w:val="16"/>
              </w:rPr>
              <w:t>FY28</w:t>
            </w:r>
          </w:p>
        </w:tc>
        <w:tc>
          <w:tcPr>
            <w:tcW w:type="dxa" w:w="1426"/>
            <w:shd w:val="clear" w:color="auto" w:fill="EAF0EE"/>
          </w:tcPr>
          <w:p>
            <w:pPr>
              <w:spacing w:after="20"/>
            </w:pPr>
            <w:r>
              <w:rPr>
                <w:b/>
                <w:color w:val="1C3A36"/>
                <w:sz w:val="16"/>
              </w:rPr>
              <w:t>FY29</w:t>
            </w:r>
          </w:p>
        </w:tc>
        <w:tc>
          <w:tcPr>
            <w:tcW w:type="dxa" w:w="1426"/>
            <w:shd w:val="clear" w:color="auto" w:fill="EAF0EE"/>
          </w:tcPr>
          <w:p>
            <w:pPr>
              <w:spacing w:after="20"/>
            </w:pPr>
            <w:r>
              <w:rPr>
                <w:b/>
                <w:color w:val="1C3A36"/>
                <w:sz w:val="16"/>
              </w:rPr>
              <w:t>FY30</w:t>
            </w:r>
          </w:p>
        </w:tc>
      </w:tr>
      <w:tr>
        <w:tc>
          <w:tcPr>
            <w:tcW w:type="dxa" w:w="2952"/>
          </w:tcPr>
          <w:p>
            <w:pPr>
              <w:spacing w:after="20"/>
            </w:pPr>
            <w:r>
              <w:rPr>
                <w:color w:val="1C3A36"/>
                <w:sz w:val="16"/>
              </w:rPr>
              <w:t>Revenue</w:t>
            </w:r>
          </w:p>
        </w:tc>
        <w:tc>
          <w:tcPr>
            <w:tcW w:type="dxa" w:w="1426"/>
          </w:tcPr>
          <w:p>
            <w:pPr>
              <w:spacing w:after="20"/>
              <w:jc w:val="right"/>
            </w:pPr>
            <w:r>
              <w:rPr>
                <w:color w:val="1C3A36"/>
                <w:sz w:val="16"/>
              </w:rPr>
              <w:t>3,503</w:t>
            </w:r>
          </w:p>
        </w:tc>
        <w:tc>
          <w:tcPr>
            <w:tcW w:type="dxa" w:w="1426"/>
          </w:tcPr>
          <w:p>
            <w:pPr>
              <w:spacing w:after="20"/>
              <w:jc w:val="right"/>
            </w:pPr>
            <w:r>
              <w:rPr>
                <w:color w:val="1C3A36"/>
                <w:sz w:val="16"/>
              </w:rPr>
              <w:t>3,842</w:t>
            </w:r>
          </w:p>
        </w:tc>
        <w:tc>
          <w:tcPr>
            <w:tcW w:type="dxa" w:w="1426"/>
          </w:tcPr>
          <w:p>
            <w:pPr>
              <w:spacing w:after="20"/>
              <w:jc w:val="right"/>
            </w:pPr>
            <w:r>
              <w:rPr>
                <w:color w:val="1C3A36"/>
                <w:sz w:val="16"/>
              </w:rPr>
              <w:t>4,042</w:t>
            </w:r>
          </w:p>
        </w:tc>
        <w:tc>
          <w:tcPr>
            <w:tcW w:type="dxa" w:w="1426"/>
          </w:tcPr>
          <w:p>
            <w:pPr>
              <w:spacing w:after="20"/>
              <w:jc w:val="right"/>
            </w:pPr>
            <w:r>
              <w:rPr>
                <w:color w:val="1C3A36"/>
                <w:sz w:val="16"/>
              </w:rPr>
              <w:t>4,222</w:t>
            </w:r>
          </w:p>
        </w:tc>
        <w:tc>
          <w:tcPr>
            <w:tcW w:type="dxa" w:w="1426"/>
          </w:tcPr>
          <w:p>
            <w:pPr>
              <w:spacing w:after="20"/>
              <w:jc w:val="right"/>
            </w:pPr>
            <w:r>
              <w:rPr>
                <w:color w:val="1C3A36"/>
                <w:sz w:val="16"/>
              </w:rPr>
              <w:t>4,380</w:t>
            </w:r>
          </w:p>
        </w:tc>
      </w:tr>
      <w:tr>
        <w:tc>
          <w:tcPr>
            <w:tcW w:type="dxa" w:w="2952"/>
          </w:tcPr>
          <w:p>
            <w:pPr>
              <w:spacing w:after="20"/>
            </w:pPr>
            <w:r>
              <w:rPr>
                <w:color w:val="1C3A36"/>
                <w:sz w:val="16"/>
              </w:rPr>
              <w:t>EBITDA</w:t>
            </w:r>
          </w:p>
        </w:tc>
        <w:tc>
          <w:tcPr>
            <w:tcW w:type="dxa" w:w="1426"/>
          </w:tcPr>
          <w:p>
            <w:pPr>
              <w:spacing w:after="20"/>
              <w:jc w:val="right"/>
            </w:pPr>
            <w:r>
              <w:rPr>
                <w:color w:val="1C3A36"/>
                <w:sz w:val="16"/>
              </w:rPr>
              <w:t>1,702</w:t>
            </w:r>
          </w:p>
        </w:tc>
        <w:tc>
          <w:tcPr>
            <w:tcW w:type="dxa" w:w="1426"/>
          </w:tcPr>
          <w:p>
            <w:pPr>
              <w:spacing w:after="20"/>
              <w:jc w:val="right"/>
            </w:pPr>
            <w:r>
              <w:rPr>
                <w:color w:val="1C3A36"/>
                <w:sz w:val="16"/>
              </w:rPr>
              <w:t>1,843</w:t>
            </w:r>
          </w:p>
        </w:tc>
        <w:tc>
          <w:tcPr>
            <w:tcW w:type="dxa" w:w="1426"/>
          </w:tcPr>
          <w:p>
            <w:pPr>
              <w:spacing w:after="20"/>
              <w:jc w:val="right"/>
            </w:pPr>
            <w:r>
              <w:rPr>
                <w:color w:val="1C3A36"/>
                <w:sz w:val="16"/>
              </w:rPr>
              <w:t>1,945</w:t>
            </w:r>
          </w:p>
        </w:tc>
        <w:tc>
          <w:tcPr>
            <w:tcW w:type="dxa" w:w="1426"/>
          </w:tcPr>
          <w:p>
            <w:pPr>
              <w:spacing w:after="20"/>
              <w:jc w:val="right"/>
            </w:pPr>
            <w:r>
              <w:rPr>
                <w:color w:val="1C3A36"/>
                <w:sz w:val="16"/>
              </w:rPr>
              <w:t>2,034</w:t>
            </w:r>
          </w:p>
        </w:tc>
        <w:tc>
          <w:tcPr>
            <w:tcW w:type="dxa" w:w="1426"/>
          </w:tcPr>
          <w:p>
            <w:pPr>
              <w:spacing w:after="20"/>
              <w:jc w:val="right"/>
            </w:pPr>
            <w:r>
              <w:rPr>
                <w:color w:val="1C3A36"/>
                <w:sz w:val="16"/>
              </w:rPr>
              <w:t>2,112</w:t>
            </w:r>
          </w:p>
        </w:tc>
      </w:tr>
      <w:tr>
        <w:tc>
          <w:tcPr>
            <w:tcW w:type="dxa" w:w="2952"/>
          </w:tcPr>
          <w:p>
            <w:pPr>
              <w:spacing w:after="20"/>
            </w:pPr>
            <w:r>
              <w:rPr>
                <w:color w:val="1C3A36"/>
                <w:sz w:val="16"/>
              </w:rPr>
              <w:t>EBIT</w:t>
            </w:r>
          </w:p>
        </w:tc>
        <w:tc>
          <w:tcPr>
            <w:tcW w:type="dxa" w:w="1426"/>
          </w:tcPr>
          <w:p>
            <w:pPr>
              <w:spacing w:after="20"/>
              <w:jc w:val="right"/>
            </w:pPr>
            <w:r>
              <w:rPr>
                <w:color w:val="1C3A36"/>
                <w:sz w:val="16"/>
              </w:rPr>
              <w:t>1,323</w:t>
            </w:r>
          </w:p>
        </w:tc>
        <w:tc>
          <w:tcPr>
            <w:tcW w:type="dxa" w:w="1426"/>
          </w:tcPr>
          <w:p>
            <w:pPr>
              <w:spacing w:after="20"/>
              <w:jc w:val="right"/>
            </w:pPr>
            <w:r>
              <w:rPr>
                <w:color w:val="1C3A36"/>
                <w:sz w:val="16"/>
              </w:rPr>
              <w:t>1,452</w:t>
            </w:r>
          </w:p>
        </w:tc>
        <w:tc>
          <w:tcPr>
            <w:tcW w:type="dxa" w:w="1426"/>
          </w:tcPr>
          <w:p>
            <w:pPr>
              <w:spacing w:after="20"/>
              <w:jc w:val="right"/>
            </w:pPr>
            <w:r>
              <w:rPr>
                <w:color w:val="1C3A36"/>
                <w:sz w:val="16"/>
              </w:rPr>
              <w:t>1,545</w:t>
            </w:r>
          </w:p>
        </w:tc>
        <w:tc>
          <w:tcPr>
            <w:tcW w:type="dxa" w:w="1426"/>
          </w:tcPr>
          <w:p>
            <w:pPr>
              <w:spacing w:after="20"/>
              <w:jc w:val="right"/>
            </w:pPr>
            <w:r>
              <w:rPr>
                <w:color w:val="1C3A36"/>
                <w:sz w:val="16"/>
              </w:rPr>
              <w:t>1,629</w:t>
            </w:r>
          </w:p>
        </w:tc>
        <w:tc>
          <w:tcPr>
            <w:tcW w:type="dxa" w:w="1426"/>
          </w:tcPr>
          <w:p>
            <w:pPr>
              <w:spacing w:after="20"/>
              <w:jc w:val="right"/>
            </w:pPr>
            <w:r>
              <w:rPr>
                <w:color w:val="1C3A36"/>
                <w:sz w:val="16"/>
              </w:rPr>
              <w:t>1,703</w:t>
            </w:r>
          </w:p>
        </w:tc>
      </w:tr>
      <w:tr>
        <w:tc>
          <w:tcPr>
            <w:tcW w:type="dxa" w:w="2952"/>
          </w:tcPr>
          <w:p>
            <w:pPr>
              <w:spacing w:after="20"/>
            </w:pPr>
            <w:r>
              <w:rPr>
                <w:color w:val="1C3A36"/>
                <w:sz w:val="16"/>
              </w:rPr>
              <w:t>NOPAT</w:t>
            </w:r>
          </w:p>
        </w:tc>
        <w:tc>
          <w:tcPr>
            <w:tcW w:type="dxa" w:w="1426"/>
          </w:tcPr>
          <w:p>
            <w:pPr>
              <w:spacing w:after="20"/>
              <w:jc w:val="right"/>
            </w:pPr>
            <w:r>
              <w:rPr>
                <w:color w:val="1C3A36"/>
                <w:sz w:val="16"/>
              </w:rPr>
              <w:t>1,204</w:t>
            </w:r>
          </w:p>
        </w:tc>
        <w:tc>
          <w:tcPr>
            <w:tcW w:type="dxa" w:w="1426"/>
          </w:tcPr>
          <w:p>
            <w:pPr>
              <w:spacing w:after="20"/>
              <w:jc w:val="right"/>
            </w:pPr>
            <w:r>
              <w:rPr>
                <w:color w:val="1C3A36"/>
                <w:sz w:val="16"/>
              </w:rPr>
              <w:t>1,322</w:t>
            </w:r>
          </w:p>
        </w:tc>
        <w:tc>
          <w:tcPr>
            <w:tcW w:type="dxa" w:w="1426"/>
          </w:tcPr>
          <w:p>
            <w:pPr>
              <w:spacing w:after="20"/>
              <w:jc w:val="right"/>
            </w:pPr>
            <w:r>
              <w:rPr>
                <w:color w:val="1C3A36"/>
                <w:sz w:val="16"/>
              </w:rPr>
              <w:t>1,406</w:t>
            </w:r>
          </w:p>
        </w:tc>
        <w:tc>
          <w:tcPr>
            <w:tcW w:type="dxa" w:w="1426"/>
          </w:tcPr>
          <w:p>
            <w:pPr>
              <w:spacing w:after="20"/>
              <w:jc w:val="right"/>
            </w:pPr>
            <w:r>
              <w:rPr>
                <w:color w:val="1C3A36"/>
                <w:sz w:val="16"/>
              </w:rPr>
              <w:t>1,483</w:t>
            </w:r>
          </w:p>
        </w:tc>
        <w:tc>
          <w:tcPr>
            <w:tcW w:type="dxa" w:w="1426"/>
          </w:tcPr>
          <w:p>
            <w:pPr>
              <w:spacing w:after="20"/>
              <w:jc w:val="right"/>
            </w:pPr>
            <w:r>
              <w:rPr>
                <w:color w:val="1C3A36"/>
                <w:sz w:val="16"/>
              </w:rPr>
              <w:t>1,550</w:t>
            </w:r>
          </w:p>
        </w:tc>
      </w:tr>
      <w:tr>
        <w:tc>
          <w:tcPr>
            <w:tcW w:type="dxa" w:w="2952"/>
          </w:tcPr>
          <w:p>
            <w:pPr>
              <w:spacing w:after="20"/>
            </w:pPr>
            <w:r>
              <w:rPr>
                <w:color w:val="1C3A36"/>
                <w:sz w:val="16"/>
              </w:rPr>
              <w:t>Free cash flow to the firm</w:t>
            </w:r>
          </w:p>
        </w:tc>
        <w:tc>
          <w:tcPr>
            <w:tcW w:type="dxa" w:w="1426"/>
          </w:tcPr>
          <w:p>
            <w:pPr>
              <w:spacing w:after="20"/>
              <w:jc w:val="right"/>
            </w:pPr>
            <w:r>
              <w:rPr>
                <w:color w:val="1C3A36"/>
                <w:sz w:val="16"/>
              </w:rPr>
              <w:t>1,055</w:t>
            </w:r>
          </w:p>
        </w:tc>
        <w:tc>
          <w:tcPr>
            <w:tcW w:type="dxa" w:w="1426"/>
          </w:tcPr>
          <w:p>
            <w:pPr>
              <w:spacing w:after="20"/>
              <w:jc w:val="right"/>
            </w:pPr>
            <w:r>
              <w:rPr>
                <w:color w:val="1C3A36"/>
                <w:sz w:val="16"/>
              </w:rPr>
              <w:t>1,338</w:t>
            </w:r>
          </w:p>
        </w:tc>
        <w:tc>
          <w:tcPr>
            <w:tcW w:type="dxa" w:w="1426"/>
          </w:tcPr>
          <w:p>
            <w:pPr>
              <w:spacing w:after="20"/>
              <w:jc w:val="right"/>
            </w:pPr>
            <w:r>
              <w:rPr>
                <w:color w:val="1C3A36"/>
                <w:sz w:val="16"/>
              </w:rPr>
              <w:t>1,408</w:t>
            </w:r>
          </w:p>
        </w:tc>
        <w:tc>
          <w:tcPr>
            <w:tcW w:type="dxa" w:w="1426"/>
          </w:tcPr>
          <w:p>
            <w:pPr>
              <w:spacing w:after="20"/>
              <w:jc w:val="right"/>
            </w:pPr>
            <w:r>
              <w:rPr>
                <w:color w:val="1C3A36"/>
                <w:sz w:val="16"/>
              </w:rPr>
              <w:t>1,527</w:t>
            </w:r>
          </w:p>
        </w:tc>
        <w:tc>
          <w:tcPr>
            <w:tcW w:type="dxa" w:w="1426"/>
          </w:tcPr>
          <w:p>
            <w:pPr>
              <w:spacing w:after="20"/>
              <w:jc w:val="right"/>
            </w:pPr>
            <w:r>
              <w:rPr>
                <w:color w:val="1C3A36"/>
                <w:sz w:val="16"/>
              </w:rPr>
              <w:t>1,636</w:t>
            </w:r>
          </w:p>
        </w:tc>
      </w:tr>
      <w:tr>
        <w:tc>
          <w:tcPr>
            <w:tcW w:type="dxa" w:w="2952"/>
            <w:shd w:val="clear" w:color="auto" w:fill="F6F1E6"/>
          </w:tcPr>
          <w:p>
            <w:pPr>
              <w:spacing w:after="20"/>
            </w:pPr>
            <w:r>
              <w:rPr>
                <w:b/>
                <w:color w:val="1C3A36"/>
                <w:sz w:val="16"/>
              </w:rPr>
              <w:t>Present value</w:t>
            </w:r>
          </w:p>
        </w:tc>
        <w:tc>
          <w:tcPr>
            <w:tcW w:type="dxa" w:w="1426"/>
            <w:shd w:val="clear" w:color="auto" w:fill="F6F1E6"/>
          </w:tcPr>
          <w:p>
            <w:pPr>
              <w:spacing w:after="20"/>
              <w:jc w:val="right"/>
            </w:pPr>
            <w:r>
              <w:rPr>
                <w:b/>
                <w:color w:val="1C3A36"/>
                <w:sz w:val="16"/>
              </w:rPr>
              <w:t>988</w:t>
            </w:r>
          </w:p>
        </w:tc>
        <w:tc>
          <w:tcPr>
            <w:tcW w:type="dxa" w:w="1426"/>
            <w:shd w:val="clear" w:color="auto" w:fill="F6F1E6"/>
          </w:tcPr>
          <w:p>
            <w:pPr>
              <w:spacing w:after="20"/>
              <w:jc w:val="right"/>
            </w:pPr>
            <w:r>
              <w:rPr>
                <w:b/>
                <w:color w:val="1C3A36"/>
                <w:sz w:val="16"/>
              </w:rPr>
              <w:t>1,174</w:t>
            </w:r>
          </w:p>
        </w:tc>
        <w:tc>
          <w:tcPr>
            <w:tcW w:type="dxa" w:w="1426"/>
            <w:shd w:val="clear" w:color="auto" w:fill="F6F1E6"/>
          </w:tcPr>
          <w:p>
            <w:pPr>
              <w:spacing w:after="20"/>
              <w:jc w:val="right"/>
            </w:pPr>
            <w:r>
              <w:rPr>
                <w:b/>
                <w:color w:val="1C3A36"/>
                <w:sz w:val="16"/>
              </w:rPr>
              <w:t>1,157</w:t>
            </w:r>
          </w:p>
        </w:tc>
        <w:tc>
          <w:tcPr>
            <w:tcW w:type="dxa" w:w="1426"/>
            <w:shd w:val="clear" w:color="auto" w:fill="F6F1E6"/>
          </w:tcPr>
          <w:p>
            <w:pPr>
              <w:spacing w:after="20"/>
              <w:jc w:val="right"/>
            </w:pPr>
            <w:r>
              <w:rPr>
                <w:b/>
                <w:color w:val="1C3A36"/>
                <w:sz w:val="16"/>
              </w:rPr>
              <w:t>1,175</w:t>
            </w:r>
          </w:p>
        </w:tc>
        <w:tc>
          <w:tcPr>
            <w:tcW w:type="dxa" w:w="1426"/>
            <w:shd w:val="clear" w:color="auto" w:fill="F6F1E6"/>
          </w:tcPr>
          <w:p>
            <w:pPr>
              <w:spacing w:after="20"/>
              <w:jc w:val="right"/>
            </w:pPr>
            <w:r>
              <w:rPr>
                <w:b/>
                <w:color w:val="1C3A36"/>
                <w:sz w:val="16"/>
              </w:rPr>
              <w:t>1,179</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552"/>
        <w:gridCol w:w="3528"/>
      </w:tblGrid>
      <w:tr>
        <w:tc>
          <w:tcPr>
            <w:tcW w:type="dxa" w:w="6552"/>
            <w:shd w:val="clear" w:color="auto" w:fill="EAF0EE"/>
          </w:tcPr>
          <w:p>
            <w:pPr>
              <w:spacing w:after="20"/>
            </w:pPr>
            <w:r>
              <w:rPr>
                <w:b/>
                <w:color w:val="1C3A36"/>
                <w:sz w:val="16"/>
              </w:rPr>
              <w:t>Terminal block and bridge</w:t>
            </w:r>
          </w:p>
        </w:tc>
        <w:tc>
          <w:tcPr>
            <w:tcW w:type="dxa" w:w="3528"/>
            <w:shd w:val="clear" w:color="auto" w:fill="EAF0EE"/>
          </w:tcPr>
          <w:p>
            <w:pPr>
              <w:spacing w:after="20"/>
            </w:pPr>
            <w:r>
              <w:rPr>
                <w:b/>
                <w:color w:val="1C3A36"/>
                <w:sz w:val="16"/>
              </w:rPr>
              <w:t>Value</w:t>
            </w:r>
          </w:p>
        </w:tc>
      </w:tr>
      <w:tr>
        <w:tc>
          <w:tcPr>
            <w:tcW w:type="dxa" w:w="6552"/>
          </w:tcPr>
          <w:p>
            <w:pPr>
              <w:spacing w:after="20"/>
            </w:pPr>
            <w:r>
              <w:rPr>
                <w:color w:val="1C3A36"/>
                <w:sz w:val="16"/>
              </w:rPr>
              <w:t>Sum of the five present values (AED mn)</w:t>
            </w:r>
          </w:p>
        </w:tc>
        <w:tc>
          <w:tcPr>
            <w:tcW w:type="dxa" w:w="3528"/>
          </w:tcPr>
          <w:p>
            <w:pPr>
              <w:spacing w:after="20"/>
              <w:jc w:val="right"/>
            </w:pPr>
            <w:r>
              <w:rPr>
                <w:color w:val="1C3A36"/>
                <w:sz w:val="16"/>
              </w:rPr>
              <w:t>5,673</w:t>
            </w:r>
          </w:p>
        </w:tc>
      </w:tr>
      <w:tr>
        <w:tc>
          <w:tcPr>
            <w:tcW w:type="dxa" w:w="6552"/>
          </w:tcPr>
          <w:p>
            <w:pPr>
              <w:spacing w:after="20"/>
            </w:pPr>
            <w:r>
              <w:rPr>
                <w:color w:val="1C3A36"/>
                <w:sz w:val="16"/>
              </w:rPr>
              <w:t>Terminal value — final NOPAT × (1 + 2.5%) × (1 − 10.8%) ÷ (6.77% − 2.5%)</w:t>
            </w:r>
          </w:p>
        </w:tc>
        <w:tc>
          <w:tcPr>
            <w:tcW w:type="dxa" w:w="3528"/>
          </w:tcPr>
          <w:p>
            <w:pPr>
              <w:spacing w:after="20"/>
              <w:jc w:val="right"/>
            </w:pPr>
            <w:r>
              <w:rPr>
                <w:color w:val="1C3A36"/>
                <w:sz w:val="16"/>
              </w:rPr>
              <w:t>33,227</w:t>
            </w:r>
          </w:p>
        </w:tc>
      </w:tr>
      <w:tr>
        <w:tc>
          <w:tcPr>
            <w:tcW w:type="dxa" w:w="6552"/>
          </w:tcPr>
          <w:p>
            <w:pPr>
              <w:spacing w:after="20"/>
            </w:pPr>
            <w:r>
              <w:rPr>
                <w:color w:val="1C3A36"/>
                <w:sz w:val="16"/>
              </w:rPr>
              <w:t>Present value of the terminal value (AED mn)</w:t>
            </w:r>
          </w:p>
        </w:tc>
        <w:tc>
          <w:tcPr>
            <w:tcW w:type="dxa" w:w="3528"/>
          </w:tcPr>
          <w:p>
            <w:pPr>
              <w:spacing w:after="20"/>
              <w:jc w:val="right"/>
            </w:pPr>
            <w:r>
              <w:rPr>
                <w:color w:val="1C3A36"/>
                <w:sz w:val="16"/>
              </w:rPr>
              <w:t>23,950</w:t>
            </w:r>
          </w:p>
        </w:tc>
      </w:tr>
      <w:tr>
        <w:tc>
          <w:tcPr>
            <w:tcW w:type="dxa" w:w="6552"/>
          </w:tcPr>
          <w:p>
            <w:pPr>
              <w:spacing w:after="20"/>
            </w:pPr>
            <w:r>
              <w:rPr>
                <w:color w:val="1C3A36"/>
                <w:sz w:val="16"/>
              </w:rPr>
              <w:t>Enterprise value (AED mn)</w:t>
            </w:r>
          </w:p>
        </w:tc>
        <w:tc>
          <w:tcPr>
            <w:tcW w:type="dxa" w:w="3528"/>
          </w:tcPr>
          <w:p>
            <w:pPr>
              <w:spacing w:after="20"/>
              <w:jc w:val="right"/>
            </w:pPr>
            <w:r>
              <w:rPr>
                <w:color w:val="1C3A36"/>
                <w:sz w:val="16"/>
              </w:rPr>
              <w:t>29,623</w:t>
            </w:r>
          </w:p>
        </w:tc>
      </w:tr>
      <w:tr>
        <w:tc>
          <w:tcPr>
            <w:tcW w:type="dxa" w:w="6552"/>
          </w:tcPr>
          <w:p>
            <w:pPr>
              <w:spacing w:after="20"/>
            </w:pPr>
            <w:r>
              <w:rPr>
                <w:color w:val="1C3A36"/>
                <w:sz w:val="16"/>
              </w:rPr>
              <w:t>Less net debt; plus investment properties and fair-value assets; less minorities (1.1% of profits)</w:t>
            </w:r>
          </w:p>
        </w:tc>
        <w:tc>
          <w:tcPr>
            <w:tcW w:type="dxa" w:w="3528"/>
          </w:tcPr>
          <w:p>
            <w:pPr>
              <w:spacing w:after="20"/>
              <w:jc w:val="right"/>
            </w:pPr>
            <w:r>
              <w:rPr>
                <w:color w:val="1C3A36"/>
                <w:sz w:val="16"/>
              </w:rPr>
              <w:t>(2,991) / 297 / (285)</w:t>
            </w:r>
          </w:p>
        </w:tc>
      </w:tr>
      <w:tr>
        <w:tc>
          <w:tcPr>
            <w:tcW w:type="dxa" w:w="6552"/>
          </w:tcPr>
          <w:p>
            <w:pPr>
              <w:spacing w:after="20"/>
            </w:pPr>
            <w:r>
              <w:rPr>
                <w:color w:val="1C3A36"/>
                <w:sz w:val="16"/>
              </w:rPr>
              <w:t>Equity attributable (AED mn)</w:t>
            </w:r>
          </w:p>
        </w:tc>
        <w:tc>
          <w:tcPr>
            <w:tcW w:type="dxa" w:w="3528"/>
          </w:tcPr>
          <w:p>
            <w:pPr>
              <w:spacing w:after="20"/>
              <w:jc w:val="right"/>
            </w:pPr>
            <w:r>
              <w:rPr>
                <w:color w:val="1C3A36"/>
                <w:sz w:val="16"/>
              </w:rPr>
              <w:t>26,643</w:t>
            </w:r>
          </w:p>
        </w:tc>
      </w:tr>
      <w:tr>
        <w:tc>
          <w:tcPr>
            <w:tcW w:type="dxa" w:w="6552"/>
            <w:shd w:val="clear" w:color="auto" w:fill="F6F1E6"/>
          </w:tcPr>
          <w:p>
            <w:pPr>
              <w:spacing w:after="20"/>
            </w:pPr>
            <w:r>
              <w:rPr>
                <w:b/>
                <w:color w:val="1C3A36"/>
                <w:sz w:val="16"/>
              </w:rPr>
              <w:t>Fair value per share (AED)</w:t>
            </w:r>
          </w:p>
        </w:tc>
        <w:tc>
          <w:tcPr>
            <w:tcW w:type="dxa" w:w="3528"/>
            <w:shd w:val="clear" w:color="auto" w:fill="F6F1E6"/>
          </w:tcPr>
          <w:p>
            <w:pPr>
              <w:spacing w:after="20"/>
              <w:jc w:val="right"/>
            </w:pPr>
            <w:r>
              <w:rPr>
                <w:b/>
                <w:color w:val="1C3A36"/>
                <w:sz w:val="16"/>
              </w:rPr>
              <w:t>2.664</w:t>
            </w:r>
          </w:p>
        </w:tc>
      </w:tr>
      <w:tr>
        <w:tc>
          <w:tcPr>
            <w:tcW w:type="dxa" w:w="6552"/>
          </w:tcPr>
          <w:p>
            <w:pPr>
              <w:spacing w:after="20"/>
            </w:pPr>
            <w:r>
              <w:rPr>
                <w:color w:val="1C3A36"/>
                <w:sz w:val="16"/>
              </w:rPr>
              <w:t>Range — the consumption-grid endpoints, each carrying half the effect of a ±50bp move in the cost of capital</w:t>
            </w:r>
          </w:p>
        </w:tc>
        <w:tc>
          <w:tcPr>
            <w:tcW w:type="dxa" w:w="3528"/>
          </w:tcPr>
          <w:p>
            <w:pPr>
              <w:spacing w:after="20"/>
              <w:jc w:val="right"/>
            </w:pPr>
            <w:r>
              <w:rPr>
                <w:color w:val="1C3A36"/>
                <w:sz w:val="16"/>
              </w:rPr>
              <w:t>2.40 – 2.90</w:t>
            </w:r>
          </w:p>
        </w:tc>
      </w:tr>
    </w:tbl>
    <w:p>
      <w:pPr>
        <w:spacing w:after="40"/>
      </w:pPr>
    </w:p>
    <w:p>
      <w:pPr>
        <w:spacing w:after="120" w:before="0"/>
      </w:pPr>
      <w:r>
        <w:rPr>
          <w:b w:val="0"/>
          <w:i w:val="0"/>
          <w:color w:val="1C3A36"/>
          <w:sz w:val="21"/>
        </w:rPr>
        <w:t>Named sensitivity: the consumption-recovery grid of section 1.7 — the full span from never-recovers to overshoot is worth AED 0.153 per share, while a half-point of discount rate is worth about AED 0.346. My valuation is a discount-rate argument first and a volume argument barely at all.</w:t>
      </w:r>
    </w:p>
    <w:p>
      <w:pPr>
        <w:spacing w:after="160" w:before="0"/>
      </w:pPr>
      <w:r>
        <w:rPr>
          <w:b w:val="0"/>
          <w:i w:val="0"/>
          <w:color w:val="1C3A36"/>
          <w:sz w:val="21"/>
        </w:rPr>
        <w:t>Falsifier, stated in advance: two consecutive half-years with equivalent full-load hours below the 2026 trough. That would mean the demand loss is structural, not hospitality-linked, and the recovery leg of my base case should be discarded rather than delayed.</w:t>
      </w:r>
    </w:p>
    <w:p>
      <w:pPr>
        <w:spacing w:after="80" w:before="200"/>
      </w:pPr>
      <w:r>
        <w:rPr>
          <w:b/>
          <w:i w:val="0"/>
          <w:color w:val="1C3A36"/>
          <w:sz w:val="24"/>
        </w:rPr>
        <w:t>C.2  Expert 2 (income) — the committed dividend, capitalised</w:t>
      </w:r>
    </w:p>
    <w:p>
      <w:pPr>
        <w:spacing w:after="120" w:before="0"/>
      </w:pPr>
      <w:r>
        <w:rPr>
          <w:b w:val="0"/>
          <w:i w:val="0"/>
          <w:color w:val="1C3A36"/>
          <w:sz w:val="21"/>
        </w:rPr>
        <w:t>Worldview: for a minority shareholder in a company controlled at 80% by its own supplier, the only cash flow that is real is the one that arrives — the dividend. Value the commitment, check its coverage, and treat everything else as the controller's business. When it works: income-controlled utilities exactly like this. When it fails: when the payout is about to change in either direction — a committed dividend is a floor and a ceiling only until it is not.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552"/>
        <w:gridCol w:w="3528"/>
      </w:tblGrid>
      <w:tr>
        <w:tc>
          <w:tcPr>
            <w:tcW w:type="dxa" w:w="6552"/>
            <w:shd w:val="clear" w:color="auto" w:fill="EAF0EE"/>
          </w:tcPr>
          <w:p>
            <w:pPr>
              <w:spacing w:after="20"/>
            </w:pPr>
            <w:r>
              <w:rPr>
                <w:b/>
                <w:color w:val="1C3A36"/>
                <w:sz w:val="17"/>
              </w:rPr>
              <w:t>Step</w:t>
            </w:r>
          </w:p>
        </w:tc>
        <w:tc>
          <w:tcPr>
            <w:tcW w:type="dxa" w:w="3528"/>
            <w:shd w:val="clear" w:color="auto" w:fill="EAF0EE"/>
          </w:tcPr>
          <w:p>
            <w:pPr>
              <w:spacing w:after="20"/>
            </w:pPr>
            <w:r>
              <w:rPr>
                <w:b/>
                <w:color w:val="1C3A36"/>
                <w:sz w:val="17"/>
              </w:rPr>
              <w:t>Value</w:t>
            </w:r>
          </w:p>
        </w:tc>
      </w:tr>
      <w:tr>
        <w:tc>
          <w:tcPr>
            <w:tcW w:type="dxa" w:w="6552"/>
          </w:tcPr>
          <w:p>
            <w:pPr>
              <w:spacing w:after="20"/>
            </w:pPr>
            <w:r>
              <w:rPr>
                <w:color w:val="1C3A36"/>
                <w:sz w:val="17"/>
              </w:rPr>
              <w:t>Committed distribution (AED mn a year, 2025 and 2026)</w:t>
            </w:r>
          </w:p>
        </w:tc>
        <w:tc>
          <w:tcPr>
            <w:tcW w:type="dxa" w:w="3528"/>
          </w:tcPr>
          <w:p>
            <w:pPr>
              <w:spacing w:after="20"/>
              <w:jc w:val="right"/>
            </w:pPr>
            <w:r>
              <w:rPr>
                <w:color w:val="1C3A36"/>
                <w:sz w:val="17"/>
              </w:rPr>
              <w:t>875</w:t>
            </w:r>
          </w:p>
        </w:tc>
      </w:tr>
      <w:tr>
        <w:tc>
          <w:tcPr>
            <w:tcW w:type="dxa" w:w="6552"/>
          </w:tcPr>
          <w:p>
            <w:pPr>
              <w:spacing w:after="20"/>
            </w:pPr>
            <w:r>
              <w:rPr>
                <w:color w:val="1C3A36"/>
                <w:sz w:val="17"/>
              </w:rPr>
              <w:t>Per share (AED)</w:t>
            </w:r>
          </w:p>
        </w:tc>
        <w:tc>
          <w:tcPr>
            <w:tcW w:type="dxa" w:w="3528"/>
          </w:tcPr>
          <w:p>
            <w:pPr>
              <w:spacing w:after="20"/>
              <w:jc w:val="right"/>
            </w:pPr>
            <w:r>
              <w:rPr>
                <w:color w:val="1C3A36"/>
                <w:sz w:val="17"/>
              </w:rPr>
              <w:t>0.087</w:t>
            </w:r>
          </w:p>
        </w:tc>
      </w:tr>
      <w:tr>
        <w:tc>
          <w:tcPr>
            <w:tcW w:type="dxa" w:w="6552"/>
          </w:tcPr>
          <w:p>
            <w:pPr>
              <w:spacing w:after="20"/>
            </w:pPr>
            <w:r>
              <w:rPr>
                <w:color w:val="1C3A36"/>
                <w:sz w:val="17"/>
              </w:rPr>
              <w:t>Grown at 2.5% and capitalised at the 7.22% cost of equity</w:t>
            </w:r>
          </w:p>
        </w:tc>
        <w:tc>
          <w:tcPr>
            <w:tcW w:type="dxa" w:w="3528"/>
          </w:tcPr>
          <w:p>
            <w:pPr>
              <w:spacing w:after="20"/>
              <w:jc w:val="right"/>
            </w:pPr>
            <w:r>
              <w:rPr>
                <w:color w:val="1C3A36"/>
                <w:sz w:val="17"/>
              </w:rPr>
              <w:t>× 1.025 ÷ (7.22% − 2.5%)</w:t>
            </w:r>
          </w:p>
        </w:tc>
      </w:tr>
      <w:tr>
        <w:tc>
          <w:tcPr>
            <w:tcW w:type="dxa" w:w="6552"/>
          </w:tcPr>
          <w:p>
            <w:pPr>
              <w:spacing w:after="20"/>
            </w:pPr>
            <w:r>
              <w:rPr>
                <w:color w:val="1C3A36"/>
                <w:sz w:val="17"/>
              </w:rPr>
              <w:t>Fair value per share (AED)</w:t>
            </w:r>
          </w:p>
        </w:tc>
        <w:tc>
          <w:tcPr>
            <w:tcW w:type="dxa" w:w="3528"/>
          </w:tcPr>
          <w:p>
            <w:pPr>
              <w:spacing w:after="20"/>
              <w:jc w:val="right"/>
            </w:pPr>
            <w:r>
              <w:rPr>
                <w:color w:val="1C3A36"/>
                <w:sz w:val="17"/>
              </w:rPr>
              <w:t>1.899</w:t>
            </w:r>
          </w:p>
        </w:tc>
      </w:tr>
      <w:tr>
        <w:tc>
          <w:tcPr>
            <w:tcW w:type="dxa" w:w="6552"/>
            <w:shd w:val="clear" w:color="auto" w:fill="F6F1E6"/>
          </w:tcPr>
          <w:p>
            <w:pPr>
              <w:spacing w:after="20"/>
            </w:pPr>
            <w:r>
              <w:rPr>
                <w:b/>
                <w:color w:val="1C3A36"/>
                <w:sz w:val="17"/>
              </w:rPr>
              <w:t>Range — growth 2.0% to 3.0%</w:t>
            </w:r>
          </w:p>
        </w:tc>
        <w:tc>
          <w:tcPr>
            <w:tcW w:type="dxa" w:w="3528"/>
            <w:shd w:val="clear" w:color="auto" w:fill="F6F1E6"/>
          </w:tcPr>
          <w:p>
            <w:pPr>
              <w:spacing w:after="20"/>
              <w:jc w:val="right"/>
            </w:pPr>
            <w:r>
              <w:rPr>
                <w:b/>
                <w:color w:val="1C3A36"/>
                <w:sz w:val="17"/>
              </w:rPr>
              <w:t>1.71 – 2.13</w:t>
            </w:r>
          </w:p>
        </w:tc>
      </w:tr>
    </w:tbl>
    <w:p>
      <w:pPr>
        <w:spacing w:after="40"/>
      </w:pPr>
    </w:p>
    <w:p>
      <w:pPr>
        <w:spacing w:after="120" w:before="0"/>
      </w:pPr>
      <w:r>
        <w:rPr>
          <w:b w:val="0"/>
          <w:i w:val="0"/>
          <w:color w:val="1C3A36"/>
          <w:sz w:val="21"/>
        </w:rPr>
        <w:t>Coverage is the whole argument, so here it is, line by line: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267"/>
        <w:gridCol w:w="1267"/>
        <w:gridCol w:w="1267"/>
        <w:gridCol w:w="1267"/>
        <w:gridCol w:w="1267"/>
      </w:tblGrid>
      <w:tr>
        <w:tc>
          <w:tcPr>
            <w:tcW w:type="dxa" w:w="3744"/>
            <w:shd w:val="clear" w:color="auto" w:fill="EAF0EE"/>
          </w:tcPr>
          <w:p>
            <w:pPr>
              <w:spacing w:after="20"/>
            </w:pPr>
            <w:r>
              <w:rPr>
                <w:b/>
                <w:color w:val="1C3A36"/>
                <w:sz w:val="16"/>
              </w:rPr>
              <w:t>AED mn</w:t>
            </w:r>
          </w:p>
        </w:tc>
        <w:tc>
          <w:tcPr>
            <w:tcW w:type="dxa" w:w="1267"/>
            <w:shd w:val="clear" w:color="auto" w:fill="EAF0EE"/>
          </w:tcPr>
          <w:p>
            <w:pPr>
              <w:spacing w:after="20"/>
            </w:pPr>
            <w:r>
              <w:rPr>
                <w:b/>
                <w:color w:val="1C3A36"/>
                <w:sz w:val="16"/>
              </w:rPr>
              <w:t>FY26</w:t>
            </w:r>
          </w:p>
        </w:tc>
        <w:tc>
          <w:tcPr>
            <w:tcW w:type="dxa" w:w="1267"/>
            <w:shd w:val="clear" w:color="auto" w:fill="EAF0EE"/>
          </w:tcPr>
          <w:p>
            <w:pPr>
              <w:spacing w:after="20"/>
            </w:pPr>
            <w:r>
              <w:rPr>
                <w:b/>
                <w:color w:val="1C3A36"/>
                <w:sz w:val="16"/>
              </w:rPr>
              <w:t>FY27</w:t>
            </w:r>
          </w:p>
        </w:tc>
        <w:tc>
          <w:tcPr>
            <w:tcW w:type="dxa" w:w="1267"/>
            <w:shd w:val="clear" w:color="auto" w:fill="EAF0EE"/>
          </w:tcPr>
          <w:p>
            <w:pPr>
              <w:spacing w:after="20"/>
            </w:pPr>
            <w:r>
              <w:rPr>
                <w:b/>
                <w:color w:val="1C3A36"/>
                <w:sz w:val="16"/>
              </w:rPr>
              <w:t>FY28</w:t>
            </w:r>
          </w:p>
        </w:tc>
        <w:tc>
          <w:tcPr>
            <w:tcW w:type="dxa" w:w="1267"/>
            <w:shd w:val="clear" w:color="auto" w:fill="EAF0EE"/>
          </w:tcPr>
          <w:p>
            <w:pPr>
              <w:spacing w:after="20"/>
            </w:pPr>
            <w:r>
              <w:rPr>
                <w:b/>
                <w:color w:val="1C3A36"/>
                <w:sz w:val="16"/>
              </w:rPr>
              <w:t>FY29</w:t>
            </w:r>
          </w:p>
        </w:tc>
        <w:tc>
          <w:tcPr>
            <w:tcW w:type="dxa" w:w="1267"/>
            <w:shd w:val="clear" w:color="auto" w:fill="EAF0EE"/>
          </w:tcPr>
          <w:p>
            <w:pPr>
              <w:spacing w:after="20"/>
            </w:pPr>
            <w:r>
              <w:rPr>
                <w:b/>
                <w:color w:val="1C3A36"/>
                <w:sz w:val="16"/>
              </w:rPr>
              <w:t>FY30</w:t>
            </w:r>
          </w:p>
        </w:tc>
      </w:tr>
      <w:tr>
        <w:tc>
          <w:tcPr>
            <w:tcW w:type="dxa" w:w="3744"/>
          </w:tcPr>
          <w:p>
            <w:pPr>
              <w:spacing w:after="20"/>
            </w:pPr>
            <w:r>
              <w:rPr>
                <w:color w:val="1C3A36"/>
                <w:sz w:val="16"/>
              </w:rPr>
              <w:t>Free cash flow to the firm (9%)</w:t>
            </w:r>
          </w:p>
        </w:tc>
        <w:tc>
          <w:tcPr>
            <w:tcW w:type="dxa" w:w="1267"/>
          </w:tcPr>
          <w:p>
            <w:pPr>
              <w:spacing w:after="20"/>
              <w:jc w:val="right"/>
            </w:pPr>
            <w:r>
              <w:rPr>
                <w:color w:val="1C3A36"/>
                <w:sz w:val="16"/>
              </w:rPr>
              <w:t>1,055</w:t>
            </w:r>
          </w:p>
        </w:tc>
        <w:tc>
          <w:tcPr>
            <w:tcW w:type="dxa" w:w="1267"/>
          </w:tcPr>
          <w:p>
            <w:pPr>
              <w:spacing w:after="20"/>
              <w:jc w:val="right"/>
            </w:pPr>
            <w:r>
              <w:rPr>
                <w:color w:val="1C3A36"/>
                <w:sz w:val="16"/>
              </w:rPr>
              <w:t>1,338</w:t>
            </w:r>
          </w:p>
        </w:tc>
        <w:tc>
          <w:tcPr>
            <w:tcW w:type="dxa" w:w="1267"/>
          </w:tcPr>
          <w:p>
            <w:pPr>
              <w:spacing w:after="20"/>
              <w:jc w:val="right"/>
            </w:pPr>
            <w:r>
              <w:rPr>
                <w:color w:val="1C3A36"/>
                <w:sz w:val="16"/>
              </w:rPr>
              <w:t>1,408</w:t>
            </w:r>
          </w:p>
        </w:tc>
        <w:tc>
          <w:tcPr>
            <w:tcW w:type="dxa" w:w="1267"/>
          </w:tcPr>
          <w:p>
            <w:pPr>
              <w:spacing w:after="20"/>
              <w:jc w:val="right"/>
            </w:pPr>
            <w:r>
              <w:rPr>
                <w:color w:val="1C3A36"/>
                <w:sz w:val="16"/>
              </w:rPr>
              <w:t>1,527</w:t>
            </w:r>
          </w:p>
        </w:tc>
        <w:tc>
          <w:tcPr>
            <w:tcW w:type="dxa" w:w="1267"/>
          </w:tcPr>
          <w:p>
            <w:pPr>
              <w:spacing w:after="20"/>
              <w:jc w:val="right"/>
            </w:pPr>
            <w:r>
              <w:rPr>
                <w:color w:val="1C3A36"/>
                <w:sz w:val="16"/>
              </w:rPr>
              <w:t>1,636</w:t>
            </w:r>
          </w:p>
        </w:tc>
      </w:tr>
      <w:tr>
        <w:tc>
          <w:tcPr>
            <w:tcW w:type="dxa" w:w="3744"/>
          </w:tcPr>
          <w:p>
            <w:pPr>
              <w:spacing w:after="20"/>
            </w:pPr>
            <w:r>
              <w:rPr>
                <w:color w:val="1C3A36"/>
                <w:sz w:val="16"/>
              </w:rPr>
              <w:t>Less after-tax net finance cost (held at the 2025 level — the book is floating and was just refinanced)</w:t>
            </w:r>
          </w:p>
        </w:tc>
        <w:tc>
          <w:tcPr>
            <w:tcW w:type="dxa" w:w="1267"/>
          </w:tcPr>
          <w:p>
            <w:pPr>
              <w:spacing w:after="20"/>
              <w:jc w:val="right"/>
            </w:pPr>
            <w:r>
              <w:rPr>
                <w:color w:val="1C3A36"/>
                <w:sz w:val="16"/>
              </w:rPr>
              <w:t>(154)</w:t>
            </w:r>
          </w:p>
        </w:tc>
        <w:tc>
          <w:tcPr>
            <w:tcW w:type="dxa" w:w="1267"/>
          </w:tcPr>
          <w:p>
            <w:pPr>
              <w:spacing w:after="20"/>
              <w:jc w:val="right"/>
            </w:pPr>
            <w:r>
              <w:rPr>
                <w:color w:val="1C3A36"/>
                <w:sz w:val="16"/>
              </w:rPr>
              <w:t>(154)</w:t>
            </w:r>
          </w:p>
        </w:tc>
        <w:tc>
          <w:tcPr>
            <w:tcW w:type="dxa" w:w="1267"/>
          </w:tcPr>
          <w:p>
            <w:pPr>
              <w:spacing w:after="20"/>
              <w:jc w:val="right"/>
            </w:pPr>
            <w:r>
              <w:rPr>
                <w:color w:val="1C3A36"/>
                <w:sz w:val="16"/>
              </w:rPr>
              <w:t>(154)</w:t>
            </w:r>
          </w:p>
        </w:tc>
        <w:tc>
          <w:tcPr>
            <w:tcW w:type="dxa" w:w="1267"/>
          </w:tcPr>
          <w:p>
            <w:pPr>
              <w:spacing w:after="20"/>
              <w:jc w:val="right"/>
            </w:pPr>
            <w:r>
              <w:rPr>
                <w:color w:val="1C3A36"/>
                <w:sz w:val="16"/>
              </w:rPr>
              <w:t>(154)</w:t>
            </w:r>
          </w:p>
        </w:tc>
        <w:tc>
          <w:tcPr>
            <w:tcW w:type="dxa" w:w="1267"/>
          </w:tcPr>
          <w:p>
            <w:pPr>
              <w:spacing w:after="20"/>
              <w:jc w:val="right"/>
            </w:pPr>
            <w:r>
              <w:rPr>
                <w:color w:val="1C3A36"/>
                <w:sz w:val="16"/>
              </w:rPr>
              <w:t>(154)</w:t>
            </w:r>
          </w:p>
        </w:tc>
      </w:tr>
      <w:tr>
        <w:tc>
          <w:tcPr>
            <w:tcW w:type="dxa" w:w="3744"/>
          </w:tcPr>
          <w:p>
            <w:pPr>
              <w:spacing w:after="20"/>
            </w:pPr>
            <w:r>
              <w:rPr>
                <w:color w:val="1C3A36"/>
                <w:sz w:val="16"/>
              </w:rPr>
              <w:t>Free cash flow to equity</w:t>
            </w:r>
          </w:p>
        </w:tc>
        <w:tc>
          <w:tcPr>
            <w:tcW w:type="dxa" w:w="1267"/>
          </w:tcPr>
          <w:p>
            <w:pPr>
              <w:spacing w:after="20"/>
              <w:jc w:val="right"/>
            </w:pPr>
            <w:r>
              <w:rPr>
                <w:color w:val="1C3A36"/>
                <w:sz w:val="16"/>
              </w:rPr>
              <w:t>901</w:t>
            </w:r>
          </w:p>
        </w:tc>
        <w:tc>
          <w:tcPr>
            <w:tcW w:type="dxa" w:w="1267"/>
          </w:tcPr>
          <w:p>
            <w:pPr>
              <w:spacing w:after="20"/>
              <w:jc w:val="right"/>
            </w:pPr>
            <w:r>
              <w:rPr>
                <w:color w:val="1C3A36"/>
                <w:sz w:val="16"/>
              </w:rPr>
              <w:t>1,184</w:t>
            </w:r>
          </w:p>
        </w:tc>
        <w:tc>
          <w:tcPr>
            <w:tcW w:type="dxa" w:w="1267"/>
          </w:tcPr>
          <w:p>
            <w:pPr>
              <w:spacing w:after="20"/>
              <w:jc w:val="right"/>
            </w:pPr>
            <w:r>
              <w:rPr>
                <w:color w:val="1C3A36"/>
                <w:sz w:val="16"/>
              </w:rPr>
              <w:t>1,254</w:t>
            </w:r>
          </w:p>
        </w:tc>
        <w:tc>
          <w:tcPr>
            <w:tcW w:type="dxa" w:w="1267"/>
          </w:tcPr>
          <w:p>
            <w:pPr>
              <w:spacing w:after="20"/>
              <w:jc w:val="right"/>
            </w:pPr>
            <w:r>
              <w:rPr>
                <w:color w:val="1C3A36"/>
                <w:sz w:val="16"/>
              </w:rPr>
              <w:t>1,373</w:t>
            </w:r>
          </w:p>
        </w:tc>
        <w:tc>
          <w:tcPr>
            <w:tcW w:type="dxa" w:w="1267"/>
          </w:tcPr>
          <w:p>
            <w:pPr>
              <w:spacing w:after="20"/>
              <w:jc w:val="right"/>
            </w:pPr>
            <w:r>
              <w:rPr>
                <w:color w:val="1C3A36"/>
                <w:sz w:val="16"/>
              </w:rPr>
              <w:t>1,481</w:t>
            </w:r>
          </w:p>
        </w:tc>
      </w:tr>
      <w:tr>
        <w:tc>
          <w:tcPr>
            <w:tcW w:type="dxa" w:w="3744"/>
          </w:tcPr>
          <w:p>
            <w:pPr>
              <w:spacing w:after="20"/>
            </w:pPr>
            <w:r>
              <w:rPr>
                <w:color w:val="1C3A36"/>
                <w:sz w:val="16"/>
              </w:rPr>
              <w:t>Dividend</w:t>
            </w:r>
          </w:p>
        </w:tc>
        <w:tc>
          <w:tcPr>
            <w:tcW w:type="dxa" w:w="1267"/>
          </w:tcPr>
          <w:p>
            <w:pPr>
              <w:spacing w:after="20"/>
              <w:jc w:val="right"/>
            </w:pPr>
            <w:r>
              <w:rPr>
                <w:color w:val="1C3A36"/>
                <w:sz w:val="16"/>
              </w:rPr>
              <w:t>875</w:t>
            </w:r>
          </w:p>
        </w:tc>
        <w:tc>
          <w:tcPr>
            <w:tcW w:type="dxa" w:w="1267"/>
          </w:tcPr>
          <w:p>
            <w:pPr>
              <w:spacing w:after="20"/>
              <w:jc w:val="right"/>
            </w:pPr>
            <w:r>
              <w:rPr>
                <w:color w:val="1C3A36"/>
                <w:sz w:val="16"/>
              </w:rPr>
              <w:t>875</w:t>
            </w:r>
          </w:p>
        </w:tc>
        <w:tc>
          <w:tcPr>
            <w:tcW w:type="dxa" w:w="1267"/>
          </w:tcPr>
          <w:p>
            <w:pPr>
              <w:spacing w:after="20"/>
              <w:jc w:val="right"/>
            </w:pPr>
            <w:r>
              <w:rPr>
                <w:color w:val="1C3A36"/>
                <w:sz w:val="16"/>
              </w:rPr>
              <w:t>875</w:t>
            </w:r>
          </w:p>
        </w:tc>
        <w:tc>
          <w:tcPr>
            <w:tcW w:type="dxa" w:w="1267"/>
          </w:tcPr>
          <w:p>
            <w:pPr>
              <w:spacing w:after="20"/>
              <w:jc w:val="right"/>
            </w:pPr>
            <w:r>
              <w:rPr>
                <w:color w:val="1C3A36"/>
                <w:sz w:val="16"/>
              </w:rPr>
              <w:t>875</w:t>
            </w:r>
          </w:p>
        </w:tc>
        <w:tc>
          <w:tcPr>
            <w:tcW w:type="dxa" w:w="1267"/>
          </w:tcPr>
          <w:p>
            <w:pPr>
              <w:spacing w:after="20"/>
              <w:jc w:val="right"/>
            </w:pPr>
            <w:r>
              <w:rPr>
                <w:color w:val="1C3A36"/>
                <w:sz w:val="16"/>
              </w:rPr>
              <w:t>875</w:t>
            </w:r>
          </w:p>
        </w:tc>
      </w:tr>
      <w:tr>
        <w:tc>
          <w:tcPr>
            <w:tcW w:type="dxa" w:w="3744"/>
            <w:shd w:val="clear" w:color="auto" w:fill="F6F1E6"/>
          </w:tcPr>
          <w:p>
            <w:pPr>
              <w:spacing w:after="20"/>
            </w:pPr>
            <w:r>
              <w:rPr>
                <w:b/>
                <w:color w:val="1C3A36"/>
                <w:sz w:val="16"/>
              </w:rPr>
              <w:t>Coverage</w:t>
            </w:r>
          </w:p>
        </w:tc>
        <w:tc>
          <w:tcPr>
            <w:tcW w:type="dxa" w:w="1267"/>
            <w:shd w:val="clear" w:color="auto" w:fill="F6F1E6"/>
          </w:tcPr>
          <w:p>
            <w:pPr>
              <w:spacing w:after="20"/>
              <w:jc w:val="right"/>
            </w:pPr>
            <w:r>
              <w:rPr>
                <w:b/>
                <w:color w:val="1C3A36"/>
                <w:sz w:val="16"/>
              </w:rPr>
              <w:t>1.03×</w:t>
            </w:r>
          </w:p>
        </w:tc>
        <w:tc>
          <w:tcPr>
            <w:tcW w:type="dxa" w:w="1267"/>
            <w:shd w:val="clear" w:color="auto" w:fill="F6F1E6"/>
          </w:tcPr>
          <w:p>
            <w:pPr>
              <w:spacing w:after="20"/>
              <w:jc w:val="right"/>
            </w:pPr>
            <w:r>
              <w:rPr>
                <w:b/>
                <w:color w:val="1C3A36"/>
                <w:sz w:val="16"/>
              </w:rPr>
              <w:t>1.35×</w:t>
            </w:r>
          </w:p>
        </w:tc>
        <w:tc>
          <w:tcPr>
            <w:tcW w:type="dxa" w:w="1267"/>
            <w:shd w:val="clear" w:color="auto" w:fill="F6F1E6"/>
          </w:tcPr>
          <w:p>
            <w:pPr>
              <w:spacing w:after="20"/>
              <w:jc w:val="right"/>
            </w:pPr>
            <w:r>
              <w:rPr>
                <w:b/>
                <w:color w:val="1C3A36"/>
                <w:sz w:val="16"/>
              </w:rPr>
              <w:t>1.43×</w:t>
            </w:r>
          </w:p>
        </w:tc>
        <w:tc>
          <w:tcPr>
            <w:tcW w:type="dxa" w:w="1267"/>
            <w:shd w:val="clear" w:color="auto" w:fill="F6F1E6"/>
          </w:tcPr>
          <w:p>
            <w:pPr>
              <w:spacing w:after="20"/>
              <w:jc w:val="right"/>
            </w:pPr>
            <w:r>
              <w:rPr>
                <w:b/>
                <w:color w:val="1C3A36"/>
                <w:sz w:val="16"/>
              </w:rPr>
              <w:t>1.57×</w:t>
            </w:r>
          </w:p>
        </w:tc>
        <w:tc>
          <w:tcPr>
            <w:tcW w:type="dxa" w:w="1267"/>
            <w:shd w:val="clear" w:color="auto" w:fill="F6F1E6"/>
          </w:tcPr>
          <w:p>
            <w:pPr>
              <w:spacing w:after="20"/>
              <w:jc w:val="right"/>
            </w:pPr>
            <w:r>
              <w:rPr>
                <w:b/>
                <w:color w:val="1C3A36"/>
                <w:sz w:val="16"/>
              </w:rPr>
              <w:t>1.69×</w:t>
            </w:r>
          </w:p>
        </w:tc>
      </w:tr>
    </w:tbl>
    <w:p>
      <w:pPr>
        <w:spacing w:after="40"/>
      </w:pPr>
    </w:p>
    <w:p>
      <w:pPr>
        <w:spacing w:after="120" w:before="0"/>
      </w:pPr>
      <w:r>
        <w:rPr>
          <w:b w:val="0"/>
          <w:i w:val="0"/>
          <w:color w:val="1C3A36"/>
          <w:sz w:val="21"/>
        </w:rPr>
        <w:t>In the shock year coverage is almost exactly one — the payout absorbs essentially all the equity cash flow, and the growth is funded by the working-capital release and the revolving facilities' headroom. That is covered, not slack, and it is why my number sits below the cash-flow expert's: I pay for the distribution I can see, not the terminal value I cannot.</w:t>
      </w:r>
    </w:p>
    <w:p>
      <w:pPr>
        <w:spacing w:after="120" w:before="0"/>
      </w:pPr>
      <w:r>
        <w:rPr>
          <w:b w:val="0"/>
          <w:i w:val="0"/>
          <w:color w:val="1C3A36"/>
          <w:sz w:val="21"/>
        </w:rPr>
        <w:t>Named sensitivity: each half-point of assumed growth is worth roughly AED 0.213 per share across my range — the entire argument is the capitalisation rate against the growth of a committed number.</w:t>
      </w:r>
    </w:p>
    <w:p>
      <w:pPr>
        <w:spacing w:after="160" w:before="0"/>
      </w:pPr>
      <w:r>
        <w:rPr>
          <w:b w:val="0"/>
          <w:i w:val="0"/>
          <w:color w:val="1C3A36"/>
          <w:sz w:val="21"/>
        </w:rPr>
        <w:t>Falsifier, stated in advance: a dividend reset below the committed level, or a payout financed by facility drawdown for two consecutive periods. Either breaks the premise that the distribution is an economic signal rather than a promise.</w:t>
      </w:r>
    </w:p>
    <w:p>
      <w:pPr>
        <w:spacing w:after="80" w:before="200"/>
      </w:pPr>
      <w:r>
        <w:rPr>
          <w:b/>
          <w:i w:val="0"/>
          <w:color w:val="1C3A36"/>
          <w:sz w:val="24"/>
        </w:rPr>
        <w:t>C.3  Expert 3 (relative value, the sceptic) — anchor on what is actually paid</w:t>
      </w:r>
    </w:p>
    <w:p>
      <w:pPr>
        <w:spacing w:after="120" w:before="0"/>
      </w:pPr>
      <w:r>
        <w:rPr>
          <w:b w:val="0"/>
          <w:i w:val="0"/>
          <w:color w:val="1C3A36"/>
          <w:sz w:val="21"/>
        </w:rPr>
        <w:t>Worldview: models are opinions; transactions are facts. Anchor on what the market pays for the same economics today, use the harsher of any contested framing, and treat every model premium over the market as a claim requiring extraordinary evidence. When it works: regimes, like this one, where the marginal price-setter is distressed or absent and model values float free of clearing prices. When it fails: when the anchor set is itself mispriced — a war-discounted peer group imports the war.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552"/>
        <w:gridCol w:w="3528"/>
      </w:tblGrid>
      <w:tr>
        <w:tc>
          <w:tcPr>
            <w:tcW w:type="dxa" w:w="6552"/>
            <w:shd w:val="clear" w:color="auto" w:fill="EAF0EE"/>
          </w:tcPr>
          <w:p>
            <w:pPr>
              <w:spacing w:after="20"/>
            </w:pPr>
            <w:r>
              <w:rPr>
                <w:b/>
                <w:color w:val="1C3A36"/>
                <w:sz w:val="16"/>
              </w:rPr>
              <w:t>Step</w:t>
            </w:r>
          </w:p>
        </w:tc>
        <w:tc>
          <w:tcPr>
            <w:tcW w:type="dxa" w:w="3528"/>
            <w:shd w:val="clear" w:color="auto" w:fill="EAF0EE"/>
          </w:tcPr>
          <w:p>
            <w:pPr>
              <w:spacing w:after="20"/>
            </w:pPr>
            <w:r>
              <w:rPr>
                <w:b/>
                <w:color w:val="1C3A36"/>
                <w:sz w:val="16"/>
              </w:rPr>
              <w:t>Value</w:t>
            </w:r>
          </w:p>
        </w:tc>
      </w:tr>
      <w:tr>
        <w:tc>
          <w:tcPr>
            <w:tcW w:type="dxa" w:w="6552"/>
          </w:tcPr>
          <w:p>
            <w:pPr>
              <w:spacing w:after="20"/>
            </w:pPr>
            <w:r>
              <w:rPr>
                <w:color w:val="1C3A36"/>
                <w:sz w:val="16"/>
              </w:rPr>
              <w:t>Tabreed enterprise value / EBITDA (derived, flagged)</w:t>
            </w:r>
          </w:p>
        </w:tc>
        <w:tc>
          <w:tcPr>
            <w:tcW w:type="dxa" w:w="3528"/>
          </w:tcPr>
          <w:p>
            <w:pPr>
              <w:spacing w:after="20"/>
              <w:jc w:val="right"/>
            </w:pPr>
            <w:r>
              <w:rPr>
                <w:color w:val="1C3A36"/>
                <w:sz w:val="16"/>
              </w:rPr>
              <w:t>10.7×</w:t>
            </w:r>
          </w:p>
        </w:tc>
      </w:tr>
      <w:tr>
        <w:tc>
          <w:tcPr>
            <w:tcW w:type="dxa" w:w="6552"/>
          </w:tcPr>
          <w:p>
            <w:pPr>
              <w:spacing w:after="20"/>
            </w:pPr>
            <w:r>
              <w:rPr>
                <w:color w:val="1C3A36"/>
                <w:sz w:val="16"/>
              </w:rPr>
              <w:t>× Empower 2026E EBITDA (AED mn)</w:t>
            </w:r>
          </w:p>
        </w:tc>
        <w:tc>
          <w:tcPr>
            <w:tcW w:type="dxa" w:w="3528"/>
          </w:tcPr>
          <w:p>
            <w:pPr>
              <w:spacing w:after="20"/>
              <w:jc w:val="right"/>
            </w:pPr>
            <w:r>
              <w:rPr>
                <w:color w:val="1C3A36"/>
                <w:sz w:val="16"/>
              </w:rPr>
              <w:t>1,702</w:t>
            </w:r>
          </w:p>
        </w:tc>
      </w:tr>
      <w:tr>
        <w:tc>
          <w:tcPr>
            <w:tcW w:type="dxa" w:w="6552"/>
          </w:tcPr>
          <w:p>
            <w:pPr>
              <w:spacing w:after="20"/>
            </w:pPr>
            <w:r>
              <w:rPr>
                <w:color w:val="1C3A36"/>
                <w:sz w:val="16"/>
              </w:rPr>
              <w:t>Implied enterprise value (AED mn)</w:t>
            </w:r>
          </w:p>
        </w:tc>
        <w:tc>
          <w:tcPr>
            <w:tcW w:type="dxa" w:w="3528"/>
          </w:tcPr>
          <w:p>
            <w:pPr>
              <w:spacing w:after="20"/>
              <w:jc w:val="right"/>
            </w:pPr>
            <w:r>
              <w:rPr>
                <w:color w:val="1C3A36"/>
                <w:sz w:val="16"/>
              </w:rPr>
              <w:t>18,216</w:t>
            </w:r>
          </w:p>
        </w:tc>
      </w:tr>
      <w:tr>
        <w:tc>
          <w:tcPr>
            <w:tcW w:type="dxa" w:w="6552"/>
          </w:tcPr>
          <w:p>
            <w:pPr>
              <w:spacing w:after="20"/>
            </w:pPr>
            <w:r>
              <w:rPr>
                <w:color w:val="1C3A36"/>
                <w:sz w:val="16"/>
              </w:rPr>
              <w:t>Less net debt; plus side pockets; less minorities — per share (AED)</w:t>
            </w:r>
          </w:p>
        </w:tc>
        <w:tc>
          <w:tcPr>
            <w:tcW w:type="dxa" w:w="3528"/>
          </w:tcPr>
          <w:p>
            <w:pPr>
              <w:spacing w:after="20"/>
              <w:jc w:val="right"/>
            </w:pPr>
            <w:r>
              <w:rPr>
                <w:color w:val="1C3A36"/>
                <w:sz w:val="16"/>
              </w:rPr>
              <w:t>1.536</w:t>
            </w:r>
          </w:p>
        </w:tc>
      </w:tr>
      <w:tr>
        <w:tc>
          <w:tcPr>
            <w:tcW w:type="dxa" w:w="6552"/>
          </w:tcPr>
          <w:p>
            <w:pPr>
              <w:spacing w:after="20"/>
            </w:pPr>
            <w:r>
              <w:rPr>
                <w:color w:val="1C3A36"/>
                <w:sz w:val="16"/>
              </w:rPr>
              <w:t>Tabreed price/earnings 16.6× on 2026E attributable profit (1,025 AED mn) — per share (AED)</w:t>
            </w:r>
          </w:p>
        </w:tc>
        <w:tc>
          <w:tcPr>
            <w:tcW w:type="dxa" w:w="3528"/>
          </w:tcPr>
          <w:p>
            <w:pPr>
              <w:spacing w:after="20"/>
              <w:jc w:val="right"/>
            </w:pPr>
            <w:r>
              <w:rPr>
                <w:color w:val="1C3A36"/>
                <w:sz w:val="16"/>
              </w:rPr>
              <w:t>1.701</w:t>
            </w:r>
          </w:p>
        </w:tc>
      </w:tr>
      <w:tr>
        <w:tc>
          <w:tcPr>
            <w:tcW w:type="dxa" w:w="6552"/>
          </w:tcPr>
          <w:p>
            <w:pPr>
              <w:spacing w:after="20"/>
            </w:pPr>
            <w:r>
              <w:rPr>
                <w:color w:val="1C3A36"/>
                <w:sz w:val="16"/>
              </w:rPr>
              <w:t>The February control print — what the controller itself paid a related party</w:t>
            </w:r>
          </w:p>
        </w:tc>
        <w:tc>
          <w:tcPr>
            <w:tcW w:type="dxa" w:w="3528"/>
          </w:tcPr>
          <w:p>
            <w:pPr>
              <w:spacing w:after="20"/>
              <w:jc w:val="right"/>
            </w:pPr>
            <w:r>
              <w:rPr>
                <w:color w:val="1C3A36"/>
                <w:sz w:val="16"/>
              </w:rPr>
              <w:t>2.16</w:t>
            </w:r>
          </w:p>
        </w:tc>
      </w:tr>
      <w:tr>
        <w:tc>
          <w:tcPr>
            <w:tcW w:type="dxa" w:w="6552"/>
          </w:tcPr>
          <w:p>
            <w:pPr>
              <w:spacing w:after="20"/>
            </w:pPr>
            <w:r>
              <w:rPr>
                <w:color w:val="1C3A36"/>
                <w:sz w:val="16"/>
              </w:rPr>
              <w:t>My tax base: the 15% minimum-tax column, on prudence</w:t>
            </w:r>
          </w:p>
        </w:tc>
        <w:tc>
          <w:tcPr>
            <w:tcW w:type="dxa" w:w="3528"/>
          </w:tcPr>
          <w:p>
            <w:pPr>
              <w:spacing w:after="20"/>
              <w:jc w:val="right"/>
            </w:pPr>
            <w:r>
              <w:rPr>
                <w:color w:val="1C3A36"/>
                <w:sz w:val="16"/>
              </w:rPr>
              <w:t>2.483 on the cash-flow model — noted, not adopted</w:t>
            </w:r>
          </w:p>
        </w:tc>
      </w:tr>
      <w:tr>
        <w:tc>
          <w:tcPr>
            <w:tcW w:type="dxa" w:w="6552"/>
          </w:tcPr>
          <w:p>
            <w:pPr>
              <w:spacing w:after="20"/>
            </w:pPr>
            <w:r>
              <w:rPr>
                <w:color w:val="1C3A36"/>
                <w:sz w:val="16"/>
              </w:rPr>
              <w:t>Range — from the market price to the control print</w:t>
            </w:r>
          </w:p>
        </w:tc>
        <w:tc>
          <w:tcPr>
            <w:tcW w:type="dxa" w:w="3528"/>
          </w:tcPr>
          <w:p>
            <w:pPr>
              <w:spacing w:after="20"/>
              <w:jc w:val="right"/>
            </w:pPr>
            <w:r>
              <w:rPr>
                <w:color w:val="1C3A36"/>
                <w:sz w:val="16"/>
              </w:rPr>
              <w:t>1.50 – 2.16</w:t>
            </w:r>
          </w:p>
        </w:tc>
      </w:tr>
      <w:tr>
        <w:tc>
          <w:tcPr>
            <w:tcW w:type="dxa" w:w="6552"/>
            <w:shd w:val="clear" w:color="auto" w:fill="F6F1E6"/>
          </w:tcPr>
          <w:p>
            <w:pPr>
              <w:spacing w:after="20"/>
            </w:pPr>
            <w:r>
              <w:rPr>
                <w:b/>
                <w:color w:val="1C3A36"/>
                <w:sz w:val="16"/>
              </w:rPr>
              <w:t>Central — the earnings-basis read</w:t>
            </w:r>
          </w:p>
        </w:tc>
        <w:tc>
          <w:tcPr>
            <w:tcW w:type="dxa" w:w="3528"/>
            <w:shd w:val="clear" w:color="auto" w:fill="F6F1E6"/>
          </w:tcPr>
          <w:p>
            <w:pPr>
              <w:spacing w:after="20"/>
              <w:jc w:val="right"/>
            </w:pPr>
            <w:r>
              <w:rPr>
                <w:b/>
                <w:color w:val="1C3A36"/>
                <w:sz w:val="16"/>
              </w:rPr>
              <w:t>1.70</w:t>
            </w:r>
          </w:p>
        </w:tc>
      </w:tr>
    </w:tbl>
    <w:p>
      <w:pPr>
        <w:spacing w:after="40"/>
      </w:pPr>
    </w:p>
    <w:p>
      <w:pPr>
        <w:spacing w:after="120" w:before="0"/>
      </w:pPr>
      <w:r>
        <w:rPr>
          <w:b w:val="0"/>
          <w:i w:val="0"/>
          <w:color w:val="1C3A36"/>
          <w:sz w:val="21"/>
        </w:rPr>
        <w:t>Named sensitivity: each turn of the peer earnings multiple is worth AED 0.102 per share. My range's top is not a multiple at all — it is the one disclosed transaction (2.16), and I note that a control price paid between related parties bounds the question from above without proving anything about what a minority share is worth.</w:t>
      </w:r>
    </w:p>
    <w:p>
      <w:pPr>
        <w:spacing w:after="160" w:before="0"/>
      </w:pPr>
      <w:r>
        <w:rPr>
          <w:b w:val="0"/>
          <w:i w:val="0"/>
          <w:color w:val="1C3A36"/>
          <w:sz w:val="21"/>
        </w:rPr>
        <w:t>Falsifier, stated in advance: a GCC utility re-rating — Tabreed sustained above thirteen times enterprise value to EBITDA — without Empower following. That would show the discount is company-specific rather than regime-wide, and my regime-anchored central should be abandoned.</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728"/>
        <w:gridCol w:w="4824"/>
      </w:tblGrid>
      <w:tr>
        <w:tc>
          <w:tcPr>
            <w:tcW w:type="dxa" w:w="3528"/>
            <w:shd w:val="clear" w:color="auto" w:fill="EAF0EE"/>
          </w:tcPr>
          <w:p>
            <w:pPr>
              <w:spacing w:after="20"/>
            </w:pPr>
            <w:r>
              <w:rPr>
                <w:b/>
                <w:color w:val="1C3A36"/>
                <w:sz w:val="16"/>
              </w:rPr>
              <w:t>Challenge</w:t>
            </w:r>
          </w:p>
        </w:tc>
        <w:tc>
          <w:tcPr>
            <w:tcW w:type="dxa" w:w="1728"/>
            <w:shd w:val="clear" w:color="auto" w:fill="EAF0EE"/>
          </w:tcPr>
          <w:p>
            <w:pPr>
              <w:spacing w:after="20"/>
            </w:pPr>
            <w:r>
              <w:rPr>
                <w:b/>
                <w:color w:val="1C3A36"/>
                <w:sz w:val="16"/>
              </w:rPr>
              <w:t>From</w:t>
            </w:r>
          </w:p>
        </w:tc>
        <w:tc>
          <w:tcPr>
            <w:tcW w:type="dxa" w:w="4824"/>
            <w:shd w:val="clear" w:color="auto" w:fill="EAF0EE"/>
          </w:tcPr>
          <w:p>
            <w:pPr>
              <w:spacing w:after="20"/>
            </w:pPr>
            <w:r>
              <w:rPr>
                <w:b/>
                <w:color w:val="1C3A36"/>
                <w:sz w:val="16"/>
              </w:rPr>
              <w:t>Response</w:t>
            </w:r>
          </w:p>
        </w:tc>
      </w:tr>
      <w:tr>
        <w:tc>
          <w:tcPr>
            <w:tcW w:type="dxa" w:w="3528"/>
          </w:tcPr>
          <w:p>
            <w:pPr>
              <w:spacing w:after="20"/>
            </w:pPr>
            <w:r>
              <w:rPr>
                <w:color w:val="1C3A36"/>
                <w:sz w:val="16"/>
              </w:rPr>
              <w:t>"81% of your enterprise value is terminal, earning a 23% return on capital forever — at a REGULATED utility. The regulator exists to take that return away."</w:t>
            </w:r>
          </w:p>
        </w:tc>
        <w:tc>
          <w:tcPr>
            <w:tcW w:type="dxa" w:w="1728"/>
          </w:tcPr>
          <w:p>
            <w:pPr>
              <w:spacing w:after="20"/>
              <w:jc w:val="right"/>
            </w:pPr>
            <w:r>
              <w:rPr>
                <w:color w:val="1C3A36"/>
                <w:sz w:val="16"/>
              </w:rPr>
              <w:t>Expert 3 to Expert 1</w:t>
            </w:r>
          </w:p>
        </w:tc>
        <w:tc>
          <w:tcPr>
            <w:tcW w:type="dxa" w:w="4824"/>
          </w:tcPr>
          <w:p>
            <w:pPr>
              <w:spacing w:after="20"/>
              <w:jc w:val="right"/>
            </w:pPr>
            <w:r>
              <w:rPr>
                <w:color w:val="1C3A36"/>
                <w:sz w:val="16"/>
              </w:rPr>
              <w:t>Rejected in part, conceded in part. The measured return is inflated by the funding model, not by tariff generosity: customers' deposits and payables hold working capital negative, so the capital base the return is struck on is artificially small — the same tariff on a conventionally funded balance sheet would show an ordinary return, and the regulator prices the tariff, not the ratio. CONCEDED: the tariff-review risk is real, it is the one lever that reaches the capacity charge, and it deserves exactly the bear-case weight it gets.</w:t>
            </w:r>
          </w:p>
        </w:tc>
      </w:tr>
      <w:tr>
        <w:tc>
          <w:tcPr>
            <w:tcW w:type="dxa" w:w="3528"/>
          </w:tcPr>
          <w:p>
            <w:pPr>
              <w:spacing w:after="20"/>
            </w:pPr>
            <w:r>
              <w:rPr>
                <w:color w:val="1C3A36"/>
                <w:sz w:val="16"/>
              </w:rPr>
              <w:t>"You are capitalising a promise. The committed dividend runs to 2026 only, and your coverage table shows it absorbing all the equity cash flow in the shock year."</w:t>
            </w:r>
          </w:p>
        </w:tc>
        <w:tc>
          <w:tcPr>
            <w:tcW w:type="dxa" w:w="1728"/>
          </w:tcPr>
          <w:p>
            <w:pPr>
              <w:spacing w:after="20"/>
              <w:jc w:val="right"/>
            </w:pPr>
            <w:r>
              <w:rPr>
                <w:color w:val="1C3A36"/>
                <w:sz w:val="16"/>
              </w:rPr>
              <w:t>Expert 1 to Expert 2</w:t>
            </w:r>
          </w:p>
        </w:tc>
        <w:tc>
          <w:tcPr>
            <w:tcW w:type="dxa" w:w="4824"/>
          </w:tcPr>
          <w:p>
            <w:pPr>
              <w:spacing w:after="20"/>
              <w:jc w:val="right"/>
            </w:pPr>
            <w:r>
              <w:rPr>
                <w:color w:val="1C3A36"/>
                <w:sz w:val="16"/>
              </w:rPr>
              <w:t>Partly conceded. The commitment is two years old and covered at one times, not slack. But the counterparty is the 80% owner, which collects four-fifths of every instalment itself and set the policy — the incentive alignment is unusually direct, and the distribution record since listing has only stepped up.</w:t>
            </w:r>
          </w:p>
        </w:tc>
      </w:tr>
      <w:tr>
        <w:tc>
          <w:tcPr>
            <w:tcW w:type="dxa" w:w="3528"/>
          </w:tcPr>
          <w:p>
            <w:pPr>
              <w:spacing w:after="20"/>
            </w:pPr>
            <w:r>
              <w:rPr>
                <w:color w:val="1C3A36"/>
                <w:sz w:val="16"/>
              </w:rPr>
              <w:t>"Your anchors are war prices. You are not measuring Empower; you are measuring March."</w:t>
            </w:r>
          </w:p>
        </w:tc>
        <w:tc>
          <w:tcPr>
            <w:tcW w:type="dxa" w:w="1728"/>
          </w:tcPr>
          <w:p>
            <w:pPr>
              <w:spacing w:after="20"/>
              <w:jc w:val="right"/>
            </w:pPr>
            <w:r>
              <w:rPr>
                <w:color w:val="1C3A36"/>
                <w:sz w:val="16"/>
              </w:rPr>
              <w:t>Expert 2 to Expert 3</w:t>
            </w:r>
          </w:p>
        </w:tc>
        <w:tc>
          <w:tcPr>
            <w:tcW w:type="dxa" w:w="4824"/>
          </w:tcPr>
          <w:p>
            <w:pPr>
              <w:spacing w:after="20"/>
              <w:jc w:val="right"/>
            </w:pPr>
            <w:r>
              <w:rPr>
                <w:color w:val="1C3A36"/>
                <w:sz w:val="16"/>
              </w:rPr>
              <w:t>Conceded, and embraced. That is what a relative lens is FOR — it prices the regime the shares must actually be sold into. The mistake would be presenting it as intrinsic; nobody here does. My range top is a real transaction, not a war print.</w:t>
            </w:r>
          </w:p>
        </w:tc>
      </w:tr>
      <w:tr>
        <w:tc>
          <w:tcPr>
            <w:tcW w:type="dxa" w:w="3528"/>
          </w:tcPr>
          <w:p>
            <w:pPr>
              <w:spacing w:after="20"/>
            </w:pPr>
            <w:r>
              <w:rPr>
                <w:color w:val="1C3A36"/>
                <w:sz w:val="16"/>
              </w:rPr>
              <w:t>"All three of you assume the tariff stays flat."</w:t>
            </w:r>
          </w:p>
        </w:tc>
        <w:tc>
          <w:tcPr>
            <w:tcW w:type="dxa" w:w="1728"/>
          </w:tcPr>
          <w:p>
            <w:pPr>
              <w:spacing w:after="20"/>
              <w:jc w:val="right"/>
            </w:pPr>
            <w:r>
              <w:rPr>
                <w:color w:val="1C3A36"/>
                <w:sz w:val="16"/>
              </w:rPr>
              <w:t>The panel to itself</w:t>
            </w:r>
          </w:p>
        </w:tc>
        <w:tc>
          <w:tcPr>
            <w:tcW w:type="dxa" w:w="4824"/>
          </w:tcPr>
          <w:p>
            <w:pPr>
              <w:spacing w:after="20"/>
              <w:jc w:val="right"/>
            </w:pPr>
            <w:r>
              <w:rPr>
                <w:color w:val="1C3A36"/>
                <w:sz w:val="16"/>
              </w:rPr>
              <w:t>Accepted as the shared, unpriced assumption — stated in sections 1.7, 5 and 7. A tariff cut would move every method in the same direction at once, which is exactly why it is flagged rather than diversified away.</w:t>
            </w:r>
          </w:p>
        </w:tc>
      </w:tr>
    </w:tbl>
    <w:p>
      <w:pPr>
        <w:spacing w:after="40"/>
      </w:pP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704011"/>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9 — the three experts' ranges against the market price of 1.50 and the control print of 2.16.</w:t>
      </w:r>
    </w:p>
    <w:p>
      <w:pPr>
        <w:spacing w:after="120" w:before="0"/>
      </w:pPr>
      <w:r>
        <w:rPr>
          <w:b w:val="0"/>
          <w:i w:val="0"/>
          <w:color w:val="1C3A36"/>
          <w:sz w:val="21"/>
        </w:rPr>
        <w:t>The panel spans AED 1.50 to 2.90 — and the disagreement is orderly, not noisy. Expert 1 discounts the contract stack and lands highest (2.40–2.90); Expert 2 capitalises the committed dividend and lands in the middle (1.71–2.13); Expert 3 anchors on what the war-discounted market actually pays and lands lowest (1.50–2.16, central 1.70). Notice what the room agrees on: every range sits at or above the market price, every method finds the capacity charge rather than the meter carrying the value, and every falsifier is observable within two reporting periods. The study's own weighted central (2.250 / 2.139 by tax framing) sits between Expert 1 and Expert 2 — which is what a weighting that gives the market regime a real vote should produce.</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2232"/>
        <w:gridCol w:w="2088"/>
        <w:gridCol w:w="2232"/>
        <w:gridCol w:w="1800"/>
      </w:tblGrid>
      <w:tr>
        <w:tc>
          <w:tcPr>
            <w:tcW w:type="dxa" w:w="1728"/>
            <w:shd w:val="clear" w:color="auto" w:fill="EAF0EE"/>
          </w:tcPr>
          <w:p>
            <w:pPr>
              <w:spacing w:after="20"/>
            </w:pPr>
            <w:r>
              <w:rPr>
                <w:b/>
                <w:color w:val="1C3A36"/>
                <w:sz w:val="16"/>
              </w:rPr>
              <w:t>Assumption</w:t>
            </w:r>
          </w:p>
        </w:tc>
        <w:tc>
          <w:tcPr>
            <w:tcW w:type="dxa" w:w="2232"/>
            <w:shd w:val="clear" w:color="auto" w:fill="EAF0EE"/>
          </w:tcPr>
          <w:p>
            <w:pPr>
              <w:spacing w:after="20"/>
            </w:pPr>
            <w:r>
              <w:rPr>
                <w:b/>
                <w:color w:val="1C3A36"/>
                <w:sz w:val="16"/>
              </w:rPr>
              <w:t>Expert 1</w:t>
            </w:r>
          </w:p>
        </w:tc>
        <w:tc>
          <w:tcPr>
            <w:tcW w:type="dxa" w:w="2088"/>
            <w:shd w:val="clear" w:color="auto" w:fill="EAF0EE"/>
          </w:tcPr>
          <w:p>
            <w:pPr>
              <w:spacing w:after="20"/>
            </w:pPr>
            <w:r>
              <w:rPr>
                <w:b/>
                <w:color w:val="1C3A36"/>
                <w:sz w:val="16"/>
              </w:rPr>
              <w:t>Expert 2</w:t>
            </w:r>
          </w:p>
        </w:tc>
        <w:tc>
          <w:tcPr>
            <w:tcW w:type="dxa" w:w="2232"/>
            <w:shd w:val="clear" w:color="auto" w:fill="EAF0EE"/>
          </w:tcPr>
          <w:p>
            <w:pPr>
              <w:spacing w:after="20"/>
            </w:pPr>
            <w:r>
              <w:rPr>
                <w:b/>
                <w:color w:val="1C3A36"/>
                <w:sz w:val="16"/>
              </w:rPr>
              <w:t>Expert 3</w:t>
            </w:r>
          </w:p>
        </w:tc>
        <w:tc>
          <w:tcPr>
            <w:tcW w:type="dxa" w:w="1800"/>
            <w:shd w:val="clear" w:color="auto" w:fill="EAF0EE"/>
          </w:tcPr>
          <w:p>
            <w:pPr>
              <w:spacing w:after="20"/>
            </w:pPr>
            <w:r>
              <w:rPr>
                <w:b/>
                <w:color w:val="1C3A36"/>
                <w:sz w:val="16"/>
              </w:rPr>
              <w:t>What it is worth</w:t>
            </w:r>
          </w:p>
        </w:tc>
      </w:tr>
      <w:tr>
        <w:tc>
          <w:tcPr>
            <w:tcW w:type="dxa" w:w="1728"/>
          </w:tcPr>
          <w:p>
            <w:pPr>
              <w:spacing w:after="20"/>
            </w:pPr>
            <w:r>
              <w:rPr>
                <w:color w:val="1C3A36"/>
                <w:sz w:val="16"/>
              </w:rPr>
              <w:t>Tax basis</w:t>
            </w:r>
          </w:p>
        </w:tc>
        <w:tc>
          <w:tcPr>
            <w:tcW w:type="dxa" w:w="2232"/>
          </w:tcPr>
          <w:p>
            <w:pPr>
              <w:spacing w:after="20"/>
              <w:jc w:val="right"/>
            </w:pPr>
            <w:r>
              <w:rPr>
                <w:color w:val="1C3A36"/>
                <w:sz w:val="16"/>
              </w:rPr>
              <w:t>9% (audited rate)</w:t>
            </w:r>
          </w:p>
        </w:tc>
        <w:tc>
          <w:tcPr>
            <w:tcW w:type="dxa" w:w="2088"/>
          </w:tcPr>
          <w:p>
            <w:pPr>
              <w:spacing w:after="20"/>
              <w:jc w:val="right"/>
            </w:pPr>
            <w:r>
              <w:rPr>
                <w:color w:val="1C3A36"/>
                <w:sz w:val="16"/>
              </w:rPr>
              <w:t>embedded in the payout</w:t>
            </w:r>
          </w:p>
        </w:tc>
        <w:tc>
          <w:tcPr>
            <w:tcW w:type="dxa" w:w="2232"/>
          </w:tcPr>
          <w:p>
            <w:pPr>
              <w:spacing w:after="20"/>
              <w:jc w:val="right"/>
            </w:pPr>
            <w:r>
              <w:rPr>
                <w:color w:val="1C3A36"/>
                <w:sz w:val="16"/>
              </w:rPr>
              <w:t>15% on prudence</w:t>
            </w:r>
          </w:p>
        </w:tc>
        <w:tc>
          <w:tcPr>
            <w:tcW w:type="dxa" w:w="1800"/>
          </w:tcPr>
          <w:p>
            <w:pPr>
              <w:spacing w:after="20"/>
              <w:jc w:val="right"/>
            </w:pPr>
            <w:r>
              <w:rPr>
                <w:color w:val="1C3A36"/>
                <w:sz w:val="16"/>
              </w:rPr>
              <w:t>AED 0.181 per share on the cash-flow model — the gap between the two published columns</w:t>
            </w:r>
          </w:p>
        </w:tc>
      </w:tr>
      <w:tr>
        <w:tc>
          <w:tcPr>
            <w:tcW w:type="dxa" w:w="1728"/>
          </w:tcPr>
          <w:p>
            <w:pPr>
              <w:spacing w:after="20"/>
            </w:pPr>
            <w:r>
              <w:rPr>
                <w:color w:val="1C3A36"/>
                <w:sz w:val="16"/>
              </w:rPr>
              <w:t>Terminal claim</w:t>
            </w:r>
          </w:p>
        </w:tc>
        <w:tc>
          <w:tcPr>
            <w:tcW w:type="dxa" w:w="2232"/>
          </w:tcPr>
          <w:p>
            <w:pPr>
              <w:spacing w:after="20"/>
              <w:jc w:val="right"/>
            </w:pPr>
            <w:r>
              <w:rPr>
                <w:color w:val="1C3A36"/>
                <w:sz w:val="16"/>
              </w:rPr>
              <w:t>full terminal value (81% of enterprise value)</w:t>
            </w:r>
          </w:p>
        </w:tc>
        <w:tc>
          <w:tcPr>
            <w:tcW w:type="dxa" w:w="2088"/>
          </w:tcPr>
          <w:p>
            <w:pPr>
              <w:spacing w:after="20"/>
              <w:jc w:val="right"/>
            </w:pPr>
            <w:r>
              <w:rPr>
                <w:color w:val="1C3A36"/>
                <w:sz w:val="16"/>
              </w:rPr>
              <w:t>a perpetuity of the committed dividend only</w:t>
            </w:r>
          </w:p>
        </w:tc>
        <w:tc>
          <w:tcPr>
            <w:tcW w:type="dxa" w:w="2232"/>
          </w:tcPr>
          <w:p>
            <w:pPr>
              <w:spacing w:after="20"/>
              <w:jc w:val="right"/>
            </w:pPr>
            <w:r>
              <w:rPr>
                <w:color w:val="1C3A36"/>
                <w:sz w:val="16"/>
              </w:rPr>
              <w:t>none — the current multiple regime is assumed permanent</w:t>
            </w:r>
          </w:p>
        </w:tc>
        <w:tc>
          <w:tcPr>
            <w:tcW w:type="dxa" w:w="1800"/>
          </w:tcPr>
          <w:p>
            <w:pPr>
              <w:spacing w:after="20"/>
              <w:jc w:val="right"/>
            </w:pPr>
            <w:r>
              <w:rPr>
                <w:color w:val="1C3A36"/>
                <w:sz w:val="16"/>
              </w:rPr>
              <w:t>AED 0.963 per share between Expert 1's central and Expert 3's — the largest single gap in the room</w:t>
            </w:r>
          </w:p>
        </w:tc>
      </w:tr>
      <w:tr>
        <w:tc>
          <w:tcPr>
            <w:tcW w:type="dxa" w:w="1728"/>
          </w:tcPr>
          <w:p>
            <w:pPr>
              <w:spacing w:after="20"/>
            </w:pPr>
            <w:r>
              <w:rPr>
                <w:color w:val="1C3A36"/>
                <w:sz w:val="16"/>
              </w:rPr>
              <w:t>Consumption recovery</w:t>
            </w:r>
          </w:p>
        </w:tc>
        <w:tc>
          <w:tcPr>
            <w:tcW w:type="dxa" w:w="2232"/>
          </w:tcPr>
          <w:p>
            <w:pPr>
              <w:spacing w:after="20"/>
              <w:jc w:val="right"/>
            </w:pPr>
            <w:r>
              <w:rPr>
                <w:color w:val="1C3A36"/>
                <w:sz w:val="16"/>
              </w:rPr>
              <w:t>recovers through 2027; grid shown</w:t>
            </w:r>
          </w:p>
        </w:tc>
        <w:tc>
          <w:tcPr>
            <w:tcW w:type="dxa" w:w="2088"/>
          </w:tcPr>
          <w:p>
            <w:pPr>
              <w:spacing w:after="20"/>
              <w:jc w:val="right"/>
            </w:pPr>
            <w:r>
              <w:rPr>
                <w:color w:val="1C3A36"/>
                <w:sz w:val="16"/>
              </w:rPr>
              <w:t>not sensitive — the dividend is fixed either way</w:t>
            </w:r>
          </w:p>
        </w:tc>
        <w:tc>
          <w:tcPr>
            <w:tcW w:type="dxa" w:w="2232"/>
          </w:tcPr>
          <w:p>
            <w:pPr>
              <w:spacing w:after="20"/>
              <w:jc w:val="right"/>
            </w:pPr>
            <w:r>
              <w:rPr>
                <w:color w:val="1C3A36"/>
                <w:sz w:val="16"/>
              </w:rPr>
              <w:t>embedded in the peer prices</w:t>
            </w:r>
          </w:p>
        </w:tc>
        <w:tc>
          <w:tcPr>
            <w:tcW w:type="dxa" w:w="1800"/>
          </w:tcPr>
          <w:p>
            <w:pPr>
              <w:spacing w:after="20"/>
              <w:jc w:val="right"/>
            </w:pPr>
            <w:r>
              <w:rPr>
                <w:color w:val="1C3A36"/>
                <w:sz w:val="16"/>
              </w:rPr>
              <w:t>AED 0.071 per share even in the never-recovers case — small by construction (the pass-through)</w:t>
            </w:r>
          </w:p>
        </w:tc>
      </w:tr>
      <w:tr>
        <w:tc>
          <w:tcPr>
            <w:tcW w:type="dxa" w:w="1728"/>
          </w:tcPr>
          <w:p>
            <w:pPr>
              <w:spacing w:after="20"/>
            </w:pPr>
            <w:r>
              <w:rPr>
                <w:color w:val="1C3A36"/>
                <w:sz w:val="16"/>
              </w:rPr>
              <w:t>Risk premium</w:t>
            </w:r>
          </w:p>
        </w:tc>
        <w:tc>
          <w:tcPr>
            <w:tcW w:type="dxa" w:w="2232"/>
          </w:tcPr>
          <w:p>
            <w:pPr>
              <w:spacing w:after="20"/>
              <w:jc w:val="right"/>
            </w:pPr>
            <w:r>
              <w:rPr>
                <w:color w:val="1C3A36"/>
                <w:sz w:val="16"/>
              </w:rPr>
              <w:t>model-built cost of equity from the sovereign and the published premium</w:t>
            </w:r>
          </w:p>
        </w:tc>
        <w:tc>
          <w:tcPr>
            <w:tcW w:type="dxa" w:w="2088"/>
          </w:tcPr>
          <w:p>
            <w:pPr>
              <w:spacing w:after="20"/>
              <w:jc w:val="right"/>
            </w:pPr>
            <w:r>
              <w:rPr>
                <w:color w:val="1C3A36"/>
                <w:sz w:val="16"/>
              </w:rPr>
              <w:t>the same 7.22% rate, applied to a committed flow</w:t>
            </w:r>
          </w:p>
        </w:tc>
        <w:tc>
          <w:tcPr>
            <w:tcW w:type="dxa" w:w="2232"/>
          </w:tcPr>
          <w:p>
            <w:pPr>
              <w:spacing w:after="20"/>
              <w:jc w:val="right"/>
            </w:pPr>
            <w:r>
              <w:rPr>
                <w:color w:val="1C3A36"/>
                <w:sz w:val="16"/>
              </w:rPr>
              <w:t>whatever the market embeds — the war discount is kept, not modelled out</w:t>
            </w:r>
          </w:p>
        </w:tc>
        <w:tc>
          <w:tcPr>
            <w:tcW w:type="dxa" w:w="1800"/>
          </w:tcPr>
          <w:p>
            <w:pPr>
              <w:spacing w:after="20"/>
              <w:jc w:val="right"/>
            </w:pPr>
            <w:r>
              <w:rPr>
                <w:color w:val="1C3A36"/>
                <w:sz w:val="16"/>
              </w:rPr>
              <w:t>the half-point grid: AED 0.346 per share per 50bp</w:t>
            </w:r>
          </w:p>
        </w:tc>
      </w:tr>
    </w:tbl>
    <w:p>
      <w:pPr>
        <w:spacing w:after="40"/>
      </w:pPr>
    </w:p>
    <w:p>
      <w:pPr>
        <w:spacing w:after="200" w:before="0"/>
      </w:pPr>
      <w:r>
        <w:rPr>
          <w:b w:val="0"/>
          <w:i w:val="0"/>
          <w:color w:val="1C3A36"/>
          <w:sz w:val="21"/>
        </w:rPr>
        <w:t>The instruction to the reader is not to average the three. It is to decide which premise you hold — whether the terminal claim of a regulated monopoly is bankable, whether a committed dividend is a floor, whether today's regime prices are the right anchor — and use the corresponding number. The disagreement is a map of what you need a view on.</w:t>
      </w:r>
    </w:p>
    <w:p>
      <w:pPr>
        <w:spacing w:after="120" w:before="280"/>
      </w:pPr>
      <w:r>
        <w:rPr>
          <w:b/>
          <w:i w:val="0"/>
          <w:color w:val="1C3A36"/>
          <w:sz w:val="30"/>
        </w:rPr>
        <w:t>About this series</w:t>
      </w:r>
    </w:p>
    <w:p>
      <w:pPr>
        <w:spacing w:after="120" w:before="0"/>
      </w:pPr>
      <w:r>
        <w:rPr>
          <w:b w:val="0"/>
          <w:i w:val="0"/>
          <w:color w:val="1C3A36"/>
          <w:sz w:val="21"/>
        </w:rPr>
        <w:t>This series publishes independent, educational valuation studies of listed companies. Each study is built from disclosed financial statements and named market data, states its assumptions explicitly, computes every figure in an auditable model rather than in prose, and publishes the ranges its assumptions produce. Studies never carry a rating or a price target. Where a figure is estimated rather than disclosed, it is labelled. Where a source could not be reached or a disclosure does not exist, the gap is recorded in the accompanying bibliography rather than quietly filled in.</w:t>
      </w:r>
    </w:p>
    <w:p>
      <w:pPr>
        <w:spacing w:after="120" w:before="0"/>
      </w:pPr>
      <w:r>
        <w:rPr>
          <w:b w:val="0"/>
          <w:i w:val="0"/>
          <w:color w:val="1C3A36"/>
          <w:sz w:val="21"/>
        </w:rPr>
        <w:t>The probabilistic price map in section 3 is produced by a volatility model that is tested by walk-forward simulation against a carry-anchored random-walk benchmark before it is allowed to publish a range. It describes price dispersion and carries no view on value. It is never combined with the fair-value work.</w:t>
      </w:r>
    </w:p>
    <w:p>
      <w:pPr>
        <w:spacing w:after="120" w:before="280"/>
      </w:pPr>
      <w:r>
        <w:rPr>
          <w:b/>
          <w:i w:val="0"/>
          <w:color w:val="1C3A36"/>
          <w:sz w:val="30"/>
        </w:rPr>
        <w:t>Disclosure &amp; Disclaimer</w:t>
      </w:r>
    </w:p>
    <w:p>
      <w:pPr>
        <w:spacing w:after="120" w:before="0"/>
      </w:pPr>
      <w:r>
        <w:rPr>
          <w:b w:val="0"/>
          <w:i w:val="0"/>
          <w:color w:val="6E7B77"/>
          <w:sz w:val="18"/>
        </w:rPr>
        <w:t>For information only — not investment advice. This document is educational analysis and is not an offer or a solicitation to buy or sell any security. It contains no recommendation, no rating and no price target. The author holds no position in the security discussed and has no business relationship with the company. Figures are drawn from public sources believed reliable but not independently verified; where figures are derived or estimated this is stated in the text. Valuation is inherently uncertain and depends on assumptions that reasonable analysts will dispute — several such disputes are set out explicitly in this document, and two (the tax framing and the consumption recovery) are published as full alternative computations rather than resolved silently. Past performance and simulated distributions are not guides to future returns. Readers must reach their own conclusions and should consider taking independent advice. No liability is accepted for any loss arising from use of this material.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