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46.85 – 133.83</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46.85 – 133.83</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68.18</w:t>
            </w:r>
          </w:p>
        </w:tc>
        <w:tc>
          <w:tcPr>
            <w:tcW w:type="dxa" w:w="907"/>
          </w:tcPr>
          <w:p>
            <w:pPr>
              <w:spacing w:after="20"/>
              <w:jc w:val="right"/>
            </w:pPr>
            <w:r>
              <w:rPr>
                <w:color w:val="1C3A36"/>
                <w:sz w:val="17"/>
              </w:rPr>
              <w:t>-48%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Those two scenarios move the cost of capital through the measured beta at its own 90% confidence bounds (1.504 in the bear and 0.945 in the bull, around an estimate of 1.225 with a standard error of 0.1699 on 256 weekly observations), not through a round number chosen by hand — so the width of the range is the width the estimate itself supports. Because this study takes the terminal beta to be 1.0, that whole interval reaches the explicit window only and is worth about 1.90 a share on its own; the rest of the span is the operating case — segment margins -12% to 12% against the adopted level, the currency path -6% to 8%, and the corporate cost load -0.5% to 0.5% of revenue — which are judged multipliers and are shown here as such.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FY2025 revenue EGP 281,049mn across 31 production facilities in 15 countries. AN EXTERNAL REVIEW CHALLENGED THE HEADCOUNT THIS ROW USED TO CARRY — 'more than 20,000' — as understating the group several times over, and this study cannot settle it from anything it holds: no audited filing it reads discloses a headcount. What it CAN check points the same way. The same statements disclose a FY2025 wage bill of EGP 18,906mn across the three expense notes, which at 20,000 people would be EGP 945,290 a head — implausible for a group whose revenue is majority Egyptian. The figure is withdrawn rather than replaced with one this study has not sourced, and it is recorded as an open question. Nothing in the valuation reads it</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20.0% in a July-2024 tender offer at USD 1.05 per share (~USD 449mn) and topped up to 20.4% by FY2024-end; over 2025 it SOLD roughly 32.1mn shares into the market, taking its stake to 18.9% — a disposal, not dilution: the share count is unchanged. The 13.1%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The group EBITDA margin is therefore an OUTPUT of the build — of the segment mix and the corporate cost load — rather than an assumption fed into it. The three SEGMENT margins are inputs and are stated as such: each is FY2025's own level plus the like-for-like change the reviewed half measured, held flat across the window, and the alternative of taking the half's LEVEL instead is priced in section 1.9. The historical version of that build reconciles to the audited income statement EXACTLY on revenue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of 47,002 — the last forecast year's, NOT grown, because the capitalisation below grows the finished cash flow one year and growing it here as well would overstate the terminal by a full year —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This study does not compute that statutory base — it is struck at the company level and the filings do not publish it — so the 12.2% carried here is not the statutory percentage. It is the OBSERVED RATIO the disclosure itself reports the charge at: the mean of the charge over profit attributable to owners across FY2024, FY2025 and H1-2026, carried forward on the assumption that the relationship between the two bases holds. Stated because the difference matters to a reader checking the law: the base in the statute and the base in this row are not the same quantity, and earlier editions of this table named only the second while citing the first. The charge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it is struck below this company's own trailing 10.5× — a discount of 38% — and the SIZE of that discount is not derived from anything: not a peer set, not a regression, not an observed emerging-market spread. An earlier draft asserted a 'peers trade at 8-11×' range unsupported by any calculation. It was withdrawn here and, until this edition, NOT withdrawn from the bibliography delivered beside this document, which went on telling the reader the multiple rested on peer evidence this study does not have. Section 1.9 prices the whole tested range, and this lens is never weighted into the central</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The retired construction is published beside the model rather than described: see the lens record, which carries what it returned and what the restatement cost.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2.06 a share on THIS lens if removed, computed rather than estimated (an earlier edition of this sentence said about +0.4, which understated it roughly fivefold: this is an earnings lens, so the multiple applies to the relieved earnings too).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46.85</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133.83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46.85</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133.83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THE SEGMENT MARGINS ARE INPUTS in all three, not outputs: each is a constant held flat across the window, set at FY2025's level plus the reviewed half's like-for-like change (cabl 11.43%, cons 8.99%, elec 23.62%). Only the group EBITDA margin is an output, and only of the mix. This is the largest single lever in the study and section 1.9 prices both sides of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carried forward at the current market level IN REAL TERMS rather than forecast: 13,400/t in FY2026 and the level thereafter escalated at the house's own US long-run inflation, reaching 15,453/t by FY2030E. Earlier editions called this 'held flat' and held the dollar price flat in NOMINAL terms, which is a real decline of about a tenth across the window — a directional view on the metal arrived at by leaving a number alone. A directional view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carried at the 2026-07-21 print (cached, re-verified 05-Aug-2026) and NOT read on the 2026-09-03 anchor date, which is 44 days later; the row below prices what a 100bp move is worth. Readings of the same instrument span roughly 22.3%-23.0% across sources and disagree; the adopted point sits at the low end and the rate is carried in the sensitivity. Terminal = 7.0% long-run Egyptian inflation READ FROM THE HOUSE MACRO PATH plus a 3.5% real-rate convention = 10.50%. It is the same inflation the terminal growth rate of 9.14% is derived from, by construction rather than by coincidence — a discount rate and a growth rate built on two different inflations would be a free lunch of two points in perpetuity</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 — mature-market leg (beta applies HERE, and only here)</w:t>
            </w:r>
          </w:p>
        </w:tc>
        <w:tc>
          <w:tcPr>
            <w:tcW w:type="dxa" w:w="1325"/>
          </w:tcPr>
          <w:p>
            <w:pPr>
              <w:spacing w:after="20"/>
              <w:jc w:val="right"/>
            </w:pPr>
            <w:r>
              <w:rPr>
                <w:color w:val="1C3A36"/>
                <w:sz w:val="16"/>
              </w:rPr>
              <w:t>4.24%</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mature-market equity risk premium out of the published country-premium file (January-2026 vintage). This is the only leg the beta above multiplies</w:t>
            </w:r>
          </w:p>
        </w:tc>
      </w:tr>
      <w:tr>
        <w:tc>
          <w:tcPr>
            <w:tcW w:type="dxa" w:w="2304"/>
          </w:tcPr>
          <w:p>
            <w:pPr>
              <w:spacing w:after="20"/>
            </w:pPr>
            <w:r>
              <w:rPr>
                <w:color w:val="1C3A36"/>
                <w:sz w:val="16"/>
              </w:rPr>
              <w:t xml:space="preserve">  → beta × the mature leg</w:t>
            </w:r>
          </w:p>
        </w:tc>
        <w:tc>
          <w:tcPr>
            <w:tcW w:type="dxa" w:w="1325"/>
          </w:tcPr>
          <w:p>
            <w:pPr>
              <w:spacing w:after="20"/>
              <w:jc w:val="right"/>
            </w:pPr>
            <w:r>
              <w:rPr>
                <w:color w:val="1C3A36"/>
                <w:sz w:val="16"/>
              </w:rPr>
              <w:t>5.20%</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product of the two rows above it</w:t>
            </w:r>
          </w:p>
        </w:tc>
      </w:tr>
      <w:tr>
        <w:tc>
          <w:tcPr>
            <w:tcW w:type="dxa" w:w="2304"/>
          </w:tcPr>
          <w:p>
            <w:pPr>
              <w:spacing w:after="20"/>
            </w:pPr>
            <w:r>
              <w:rPr>
                <w:color w:val="1C3A36"/>
                <w:sz w:val="16"/>
              </w:rPr>
              <w:t>Country premium — levied FLAT, never multiplied by beta</w:t>
            </w:r>
          </w:p>
        </w:tc>
        <w:tc>
          <w:tcPr>
            <w:tcW w:type="dxa" w:w="1325"/>
          </w:tcPr>
          <w:p>
            <w:pPr>
              <w:spacing w:after="20"/>
              <w:jc w:val="right"/>
            </w:pPr>
            <w:r>
              <w:rPr>
                <w:color w:val="1C3A36"/>
                <w:sz w:val="16"/>
              </w:rPr>
              <w:t>3.98%</w:t>
            </w:r>
          </w:p>
        </w:tc>
        <w:tc>
          <w:tcPr>
            <w:tcW w:type="dxa" w:w="1152"/>
          </w:tcPr>
          <w:p>
            <w:pPr>
              <w:spacing w:after="20"/>
              <w:jc w:val="right"/>
            </w:pPr>
            <w:r>
              <w:rPr>
                <w:color w:val="1C3A36"/>
                <w:sz w:val="16"/>
              </w:rPr>
              <w:t>2.13%</w:t>
            </w:r>
          </w:p>
        </w:tc>
        <w:tc>
          <w:tcPr>
            <w:tcW w:type="dxa" w:w="5299"/>
          </w:tcPr>
          <w:p>
            <w:pPr>
              <w:spacing w:after="20"/>
              <w:jc w:val="right"/>
            </w:pPr>
            <w:r>
              <w:rPr>
                <w:color w:val="1C3A36"/>
                <w:sz w:val="16"/>
              </w:rPr>
              <w:t>Egypt's home premium of 5.17% weighted at 0.5928 for the share of operations inside Egypt, blended with a 2.26% premium on the rest. Charging a 1.22-beta company 22% more country risk than the market is a separate claim and this study does not make it</w:t>
            </w:r>
          </w:p>
        </w:tc>
      </w:tr>
      <w:tr>
        <w:tc>
          <w:tcPr>
            <w:tcW w:type="dxa" w:w="2304"/>
            <w:shd w:val="clear" w:color="auto" w:fill="F6F1E6"/>
          </w:tcPr>
          <w:p>
            <w:pPr>
              <w:spacing w:after="20"/>
            </w:pPr>
            <w:r>
              <w:rPr>
                <w:b/>
                <w:color w:val="1C3A36"/>
                <w:sz w:val="16"/>
              </w:rPr>
              <w:t>Total premium charged (the two legs above)</w:t>
            </w:r>
          </w:p>
        </w:tc>
        <w:tc>
          <w:tcPr>
            <w:tcW w:type="dxa" w:w="1325"/>
            <w:shd w:val="clear" w:color="auto" w:fill="F6F1E6"/>
          </w:tcPr>
          <w:p>
            <w:pPr>
              <w:spacing w:after="20"/>
              <w:jc w:val="right"/>
            </w:pPr>
            <w:r>
              <w:rPr>
                <w:b/>
                <w:color w:val="1C3A36"/>
                <w:sz w:val="16"/>
              </w:rPr>
              <w:t>9.18%</w:t>
            </w:r>
          </w:p>
        </w:tc>
        <w:tc>
          <w:tcPr>
            <w:tcW w:type="dxa" w:w="1152"/>
            <w:shd w:val="clear" w:color="auto" w:fill="F6F1E6"/>
          </w:tcPr>
          <w:p>
            <w:pPr>
              <w:spacing w:after="20"/>
              <w:jc w:val="right"/>
            </w:pPr>
            <w:r>
              <w:rPr>
                <w:b/>
                <w:color w:val="1C3A36"/>
                <w:sz w:val="16"/>
              </w:rPr>
              <w:t>6.37%</w:t>
            </w:r>
          </w:p>
        </w:tc>
        <w:tc>
          <w:tcPr>
            <w:tcW w:type="dxa" w:w="5299"/>
            <w:shd w:val="clear" w:color="auto" w:fill="F6F1E6"/>
          </w:tcPr>
          <w:p>
            <w:pPr>
              <w:spacing w:after="20"/>
              <w:jc w:val="right"/>
            </w:pPr>
            <w:r>
              <w:rPr>
                <w:b/>
                <w:color w:val="1C3A36"/>
                <w:sz w:val="16"/>
              </w:rPr>
              <w:t>for comparison, the undivided published premium is 9.4% on the credit-default-swap basis; multiplying THAT by beta is the retired construction and gives a cost of equity of 33.8%</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t>the adjusted risk-free rate plus the two premium legs above — and the rows of this table now reach it: 18.91% + 5.20% + 3.98% = 28.09%</w:t>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tcPr>
          <w:p>
            <w:pPr>
              <w:spacing w:after="20"/>
            </w:pPr>
            <w:r>
              <w:rPr>
                <w:color w:val="1C3A36"/>
                <w:sz w:val="16"/>
              </w:rPr>
              <w:t>Cost-of-debt path (drives the glide)</w:t>
            </w:r>
          </w:p>
        </w:tc>
        <w:tc>
          <w:tcPr>
            <w:tcW w:type="dxa" w:w="1325"/>
          </w:tcPr>
          <w:p>
            <w:pPr>
              <w:spacing w:after="20"/>
              <w:jc w:val="right"/>
            </w:pPr>
            <w:r>
              <w:rPr>
                <w:color w:val="1C3A36"/>
                <w:sz w:val="16"/>
              </w:rPr>
              <w:t>9.5% / 8.9% / 8.4% / 8.0% / 7.7%</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shd w:val="clear" w:color="auto" w:fill="F6F1E6"/>
          </w:tcPr>
          <w:p>
            <w:pPr>
              <w:spacing w:after="20"/>
            </w:pPr>
            <w:r>
              <w:rPr>
                <w:b/>
                <w:color w:val="1C3A36"/>
                <w:sz w:val="16"/>
              </w:rPr>
              <w:t>Debt weight</w:t>
            </w:r>
          </w:p>
        </w:tc>
        <w:tc>
          <w:tcPr>
            <w:tcW w:type="dxa" w:w="1325"/>
            <w:shd w:val="clear" w:color="auto" w:fill="F6F1E6"/>
          </w:tcPr>
          <w:p>
            <w:pPr>
              <w:spacing w:after="20"/>
              <w:jc w:val="right"/>
            </w:pPr>
            <w:r>
              <w:rPr>
                <w:b/>
                <w:color w:val="1C3A36"/>
                <w:sz w:val="16"/>
              </w:rPr>
              <w:t>6.9%</w:t>
            </w:r>
          </w:p>
        </w:tc>
        <w:tc>
          <w:tcPr>
            <w:tcW w:type="dxa" w:w="1152"/>
            <w:shd w:val="clear" w:color="auto" w:fill="F6F1E6"/>
          </w:tcPr>
          <w:p>
            <w:pPr>
              <w:spacing w:after="20"/>
              <w:jc w:val="right"/>
            </w:pPr>
            <w:r>
              <w:rPr>
                <w:b/>
                <w:color w:val="1C3A36"/>
                <w:sz w:val="16"/>
              </w:rPr>
              <w:t>15.0%</w:t>
            </w:r>
          </w:p>
        </w:tc>
        <w:tc>
          <w:tcPr>
            <w:tcW w:type="dxa" w:w="5299"/>
            <w:shd w:val="clear" w:color="auto" w:fill="F6F1E6"/>
          </w:tcPr>
          <w:p>
            <w:pPr>
              <w:spacing w:after="20"/>
              <w:jc w:val="right"/>
            </w:pPr>
            <w:r>
              <w:rPr>
                <w:b/>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by 8.6%, computed by re-discounting the same five flows half a year earlier rather than estimated in prose.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27.8%</w:t>
            </w:r>
          </w:p>
        </w:tc>
        <w:tc>
          <w:tcPr>
            <w:tcW w:type="dxa" w:w="1843"/>
          </w:tcPr>
          <w:p>
            <w:pPr>
              <w:spacing w:after="20"/>
              <w:jc w:val="right"/>
            </w:pPr>
            <w:r>
              <w:rPr>
                <w:color w:val="1C3A36"/>
                <w:sz w:val="16"/>
              </w:rPr>
              <w:t>EGP 68.18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19.77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EGP 92.18 (4.24)</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0.61%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range from about 22.3% to 23.0%, and disagree with each other; the adopted point sits at the low end</w:t>
            </w:r>
          </w:p>
        </w:tc>
        <w:tc>
          <w:tcPr>
            <w:tcW w:type="dxa" w:w="1843"/>
          </w:tcPr>
          <w:p>
            <w:pPr>
              <w:spacing w:after="20"/>
              <w:jc w:val="right"/>
            </w:pPr>
            <w:r>
              <w:rPr>
                <w:color w:val="1C3A36"/>
                <w:sz w:val="16"/>
              </w:rPr>
              <w:t>EGP 89.56 at 100bp lower, 86.36 at 100bp higher (-1.58 / +1.62) — about 1.8% of value per 100bp, not the 1% an earlier edition of this cell estimated in prose</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22.6%</w:t>
            </w:r>
          </w:p>
        </w:tc>
        <w:tc>
          <w:tcPr>
            <w:tcW w:type="dxa" w:w="1843"/>
          </w:tcPr>
          <w:p>
            <w:pPr>
              <w:spacing w:after="20"/>
              <w:jc w:val="right"/>
            </w:pPr>
            <w:r>
              <w:rPr>
                <w:color w:val="1C3A36"/>
                <w:sz w:val="16"/>
              </w:rPr>
              <w:t>EGP 92.90 at the statutory rate (+4.95); EGP 61.57 at the implied second quarter's 35.2% (-26.38)</w:t>
            </w:r>
          </w:p>
        </w:tc>
        <w:tc>
          <w:tcPr>
            <w:tcW w:type="dxa" w:w="3096"/>
          </w:tcPr>
          <w:p>
            <w:pPr>
              <w:spacing w:after="20"/>
              <w:jc w:val="right"/>
            </w:pPr>
            <w:r>
              <w:rPr>
                <w:color w:val="1C3A36"/>
                <w:sz w:val="16"/>
              </w:rPr>
              <w:t>Audited effective rates ran 31.3% (FY2023), 30.1% (FY2024), 22.6% (FY2025), 25.8% (Q1-2026) and 30.9% (H1-2026) — and since the quarter sits inside the half, the SECOND quarter alone implies 35.2%. The adopted 24.5% therefore sits BELOW all four of the most recent readings, and earlier editions of this cell stopped at the quarter and called it an uptick. No statutory-vs-effective reconciliation is disclosed, and the group pays tax in 15+ jurisdictions plus revenue-basis Free-Zone entities. One reviewed half is not a five-year forecast and the rate is not raised on it; what was wrong was showing the reader neither the half nor what it costs. Section 1.9 now carries the row and section 1.9b prices the half in full</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68.18 the alternative sits well below the primary. A reader who prefers agency ratings to market spreads should use that number. THIS FIGURE HAS MOVED, AND A READER HOLDING AN EARLIER EDITION SHOULD KNOW WHY. It was published at EGP 33.67, on a cost of equity of 33.0% built by multiplying beta through the WHOLE 13.9% premium — country risk included — which is the construction this study's own cost-of-capital section says it does not use, and which its adopted case is explicitly built to avoid. The terminal leg was worse: it multiplied today's beta through a premium raised by a flat four and a half points that appeared in no register and no source. Rebuilt the way the adopted case is built — the mature premium priced by beta, the country premium charged flat beside it, the terminal on the same converged beta and the same normalisation — the rating basis gives EGP 68.18. The direction is the awkward part and it is stated rather than buried: the mature premium is the same on both bases by arithmetic (13.9% less 6.4% scaled, against 9.4% less 3.4% scaled), so switching column moves the sovereign spread and the country premium and nothing else — and the spread is netted OUT of the risk-free rate, which is why the rating basis comes out cheaper in the explicit window rather than dearer. The alternative is still well below the primary; it is no longer below it for the wrong reason.</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Forecast effective tax rate</w:t>
            </w:r>
          </w:p>
        </w:tc>
        <w:tc>
          <w:tcPr>
            <w:tcW w:type="dxa" w:w="2232"/>
          </w:tcPr>
          <w:p>
            <w:pPr>
              <w:spacing w:after="20"/>
              <w:jc w:val="right"/>
            </w:pPr>
            <w:r>
              <w:rPr>
                <w:color w:val="1C3A36"/>
                <w:sz w:val="17"/>
              </w:rPr>
              <w:t>22.5% (statutory) – 35.2% (the implied second quarter)</w:t>
            </w:r>
          </w:p>
        </w:tc>
        <w:tc>
          <w:tcPr>
            <w:tcW w:type="dxa" w:w="2736"/>
          </w:tcPr>
          <w:p>
            <w:pPr>
              <w:spacing w:after="20"/>
              <w:jc w:val="right"/>
            </w:pPr>
            <w:r>
              <w:rPr>
                <w:color w:val="1C3A36"/>
                <w:sz w:val="17"/>
              </w:rPr>
              <w:t>61.57 – 92.90</w:t>
            </w:r>
          </w:p>
        </w:tc>
        <w:tc>
          <w:tcPr>
            <w:tcW w:type="dxa" w:w="1944"/>
          </w:tcPr>
          <w:p>
            <w:pPr>
              <w:spacing w:after="20"/>
              <w:jc w:val="right"/>
            </w:pPr>
            <w:r>
              <w:rPr>
                <w:color w:val="1C3A36"/>
                <w:sz w:val="17"/>
              </w:rPr>
              <w:t>31.33</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80" w:before="200"/>
      </w:pPr>
      <w:r>
        <w:rPr>
          <w:b/>
          <w:i w:val="0"/>
          <w:color w:val="1C3A36"/>
          <w:sz w:val="24"/>
        </w:rPr>
        <w:t>1.9b  The five judgements that move the answer, priced both ways</w:t>
      </w:r>
    </w:p>
    <w:p>
      <w:pPr>
        <w:spacing w:after="120" w:before="0"/>
      </w:pPr>
      <w:r>
        <w:rPr>
          <w:b w:val="0"/>
          <w:i w:val="0"/>
          <w:color w:val="1C3A36"/>
          <w:sz w:val="19"/>
        </w:rPr>
        <w:t>Each row below is a FULL RE-RUN of the model with one input changed — not an elasticity and not a multiplier on a finished line. None of them is adopted. Three of the five would raise the value toward the traded price, and that is the reason they are shown rather than taken: a judgement that happens to close a gap has to be right on its own merits before it is right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520"/>
        <w:gridCol w:w="2520"/>
        <w:gridCol w:w="1656"/>
      </w:tblGrid>
      <w:tr>
        <w:tc>
          <w:tcPr>
            <w:tcW w:type="dxa" w:w="2664"/>
            <w:shd w:val="clear" w:color="auto" w:fill="EAF0EE"/>
          </w:tcPr>
          <w:p>
            <w:pPr>
              <w:spacing w:after="20"/>
            </w:pPr>
            <w:r>
              <w:rPr>
                <w:b/>
                <w:color w:val="1C3A36"/>
                <w:sz w:val="16"/>
              </w:rPr>
              <w:t>The judgement</w:t>
            </w:r>
          </w:p>
        </w:tc>
        <w:tc>
          <w:tcPr>
            <w:tcW w:type="dxa" w:w="2520"/>
            <w:shd w:val="clear" w:color="auto" w:fill="EAF0EE"/>
          </w:tcPr>
          <w:p>
            <w:pPr>
              <w:spacing w:after="20"/>
            </w:pPr>
            <w:r>
              <w:rPr>
                <w:b/>
                <w:color w:val="1C3A36"/>
                <w:sz w:val="16"/>
              </w:rPr>
              <w:t>What this study adopts</w:t>
            </w:r>
          </w:p>
        </w:tc>
        <w:tc>
          <w:tcPr>
            <w:tcW w:type="dxa" w:w="2520"/>
            <w:shd w:val="clear" w:color="auto" w:fill="EAF0EE"/>
          </w:tcPr>
          <w:p>
            <w:pPr>
              <w:spacing w:after="20"/>
            </w:pPr>
            <w:r>
              <w:rPr>
                <w:b/>
                <w:color w:val="1C3A36"/>
                <w:sz w:val="16"/>
              </w:rPr>
              <w:t>The alternative</w:t>
            </w:r>
          </w:p>
        </w:tc>
        <w:tc>
          <w:tcPr>
            <w:tcW w:type="dxa" w:w="1656"/>
            <w:shd w:val="clear" w:color="auto" w:fill="EAF0EE"/>
          </w:tcPr>
          <w:p>
            <w:pPr>
              <w:spacing w:after="20"/>
            </w:pPr>
            <w:r>
              <w:rPr>
                <w:b/>
                <w:color w:val="1C3A36"/>
                <w:sz w:val="16"/>
              </w:rPr>
              <w:t>EGP/share</w:t>
            </w:r>
          </w:p>
        </w:tc>
      </w:tr>
      <w:tr>
        <w:tc>
          <w:tcPr>
            <w:tcW w:type="dxa" w:w="2664"/>
          </w:tcPr>
          <w:p>
            <w:pPr>
              <w:spacing w:after="20"/>
            </w:pPr>
            <w:r>
              <w:rPr>
                <w:color w:val="1C3A36"/>
                <w:sz w:val="16"/>
              </w:rPr>
              <w:t>Segment margins: FY2025 plus the half's CHANGE, or the half's LEVEL</w:t>
            </w:r>
          </w:p>
        </w:tc>
        <w:tc>
          <w:tcPr>
            <w:tcW w:type="dxa" w:w="2520"/>
          </w:tcPr>
          <w:p>
            <w:pPr>
              <w:spacing w:after="20"/>
              <w:jc w:val="right"/>
            </w:pPr>
            <w:r>
              <w:rPr>
                <w:color w:val="1C3A36"/>
                <w:sz w:val="16"/>
              </w:rPr>
              <w:t>FY2025 + the measured like-for-like half change</w:t>
            </w:r>
          </w:p>
        </w:tc>
        <w:tc>
          <w:tcPr>
            <w:tcW w:type="dxa" w:w="2520"/>
          </w:tcPr>
          <w:p>
            <w:pPr>
              <w:spacing w:after="20"/>
              <w:jc w:val="right"/>
            </w:pPr>
            <w:r>
              <w:rPr>
                <w:color w:val="1C3A36"/>
                <w:sz w:val="16"/>
              </w:rPr>
              <w:t>the reviewed half's own margin level, held flat</w:t>
            </w:r>
          </w:p>
        </w:tc>
        <w:tc>
          <w:tcPr>
            <w:tcW w:type="dxa" w:w="1656"/>
          </w:tcPr>
          <w:p>
            <w:pPr>
              <w:spacing w:after="20"/>
              <w:jc w:val="right"/>
            </w:pPr>
            <w:r>
              <w:rPr>
                <w:color w:val="1C3A36"/>
                <w:sz w:val="16"/>
              </w:rPr>
              <w:t>118.32   (+35%)</w:t>
            </w:r>
          </w:p>
        </w:tc>
      </w:tr>
      <w:tr>
        <w:tc>
          <w:tcPr>
            <w:tcW w:type="dxa" w:w="2664"/>
          </w:tcPr>
          <w:p>
            <w:pPr>
              <w:spacing w:after="20"/>
            </w:pPr>
            <w:r>
              <w:rPr>
                <w:color w:val="1C3A36"/>
                <w:sz w:val="16"/>
              </w:rPr>
              <w:t>Forecast effective tax rate</w:t>
            </w:r>
          </w:p>
        </w:tc>
        <w:tc>
          <w:tcPr>
            <w:tcW w:type="dxa" w:w="2520"/>
          </w:tcPr>
          <w:p>
            <w:pPr>
              <w:spacing w:after="20"/>
              <w:jc w:val="right"/>
            </w:pPr>
            <w:r>
              <w:rPr>
                <w:color w:val="1C3A36"/>
                <w:sz w:val="16"/>
              </w:rPr>
              <w:t>24.5%, between the FY2025 print and the Q1-2026 print</w:t>
            </w:r>
          </w:p>
        </w:tc>
        <w:tc>
          <w:tcPr>
            <w:tcW w:type="dxa" w:w="2520"/>
          </w:tcPr>
          <w:p>
            <w:pPr>
              <w:spacing w:after="20"/>
              <w:jc w:val="right"/>
            </w:pPr>
            <w:r>
              <w:rPr>
                <w:color w:val="1C3A36"/>
                <w:sz w:val="16"/>
              </w:rPr>
              <w:t>the reviewed half's own 30.85%</w:t>
            </w:r>
          </w:p>
        </w:tc>
        <w:tc>
          <w:tcPr>
            <w:tcW w:type="dxa" w:w="1656"/>
          </w:tcPr>
          <w:p>
            <w:pPr>
              <w:spacing w:after="20"/>
              <w:jc w:val="right"/>
            </w:pPr>
            <w:r>
              <w:rPr>
                <w:color w:val="1C3A36"/>
                <w:sz w:val="16"/>
              </w:rPr>
              <w:t>72.22   (-18%)</w:t>
            </w:r>
          </w:p>
        </w:tc>
      </w:tr>
      <w:tr>
        <w:tc>
          <w:tcPr>
            <w:tcW w:type="dxa" w:w="2664"/>
          </w:tcPr>
          <w:p>
            <w:pPr>
              <w:spacing w:after="20"/>
            </w:pPr>
            <w:r>
              <w:rPr>
                <w:color w:val="1C3A36"/>
                <w:sz w:val="16"/>
              </w:rPr>
              <w:t>Capital expenditure: flat as a SHARE of revenue, or flat in LEVEL</w:t>
            </w:r>
          </w:p>
        </w:tc>
        <w:tc>
          <w:tcPr>
            <w:tcW w:type="dxa" w:w="2520"/>
          </w:tcPr>
          <w:p>
            <w:pPr>
              <w:spacing w:after="20"/>
              <w:jc w:val="right"/>
            </w:pPr>
            <w:r>
              <w:rPr>
                <w:color w:val="1C3A36"/>
                <w:sz w:val="16"/>
              </w:rPr>
              <w:t>a flat measured share of a revenue line that grows 2.3x</w:t>
            </w:r>
          </w:p>
        </w:tc>
        <w:tc>
          <w:tcPr>
            <w:tcW w:type="dxa" w:w="2520"/>
          </w:tcPr>
          <w:p>
            <w:pPr>
              <w:spacing w:after="20"/>
              <w:jc w:val="right"/>
            </w:pPr>
            <w:r>
              <w:rPr>
                <w:color w:val="1C3A36"/>
                <w:sz w:val="16"/>
              </w:rPr>
              <w:t>held flat in level, as the completed programme measures</w:t>
            </w:r>
          </w:p>
        </w:tc>
        <w:tc>
          <w:tcPr>
            <w:tcW w:type="dxa" w:w="1656"/>
          </w:tcPr>
          <w:p>
            <w:pPr>
              <w:spacing w:after="20"/>
              <w:jc w:val="right"/>
            </w:pPr>
            <w:r>
              <w:rPr>
                <w:color w:val="1C3A36"/>
                <w:sz w:val="16"/>
              </w:rPr>
              <w:t>94.70   (+8%)</w:t>
            </w:r>
          </w:p>
        </w:tc>
      </w:tr>
      <w:tr>
        <w:tc>
          <w:tcPr>
            <w:tcW w:type="dxa" w:w="2664"/>
          </w:tcPr>
          <w:p>
            <w:pPr>
              <w:spacing w:after="20"/>
            </w:pPr>
            <w:r>
              <w:rPr>
                <w:color w:val="1C3A36"/>
                <w:sz w:val="16"/>
              </w:rPr>
              <w:t>Minority interests: the FY2025 profit share or the half's</w:t>
            </w:r>
          </w:p>
        </w:tc>
        <w:tc>
          <w:tcPr>
            <w:tcW w:type="dxa" w:w="2520"/>
          </w:tcPr>
          <w:p>
            <w:pPr>
              <w:spacing w:after="20"/>
              <w:jc w:val="right"/>
            </w:pPr>
            <w:r>
              <w:rPr>
                <w:color w:val="1C3A36"/>
                <w:sz w:val="16"/>
              </w:rPr>
              <w:t>9.675%, the FY2025 share of group profit</w:t>
            </w:r>
          </w:p>
        </w:tc>
        <w:tc>
          <w:tcPr>
            <w:tcW w:type="dxa" w:w="2520"/>
          </w:tcPr>
          <w:p>
            <w:pPr>
              <w:spacing w:after="20"/>
              <w:jc w:val="right"/>
            </w:pPr>
            <w:r>
              <w:rPr>
                <w:color w:val="1C3A36"/>
                <w:sz w:val="16"/>
              </w:rPr>
              <w:t>6.81%, the reviewed half's own share</w:t>
            </w:r>
          </w:p>
        </w:tc>
        <w:tc>
          <w:tcPr>
            <w:tcW w:type="dxa" w:w="1656"/>
          </w:tcPr>
          <w:p>
            <w:pPr>
              <w:spacing w:after="20"/>
              <w:jc w:val="right"/>
            </w:pPr>
            <w:r>
              <w:rPr>
                <w:color w:val="1C3A36"/>
                <w:sz w:val="16"/>
              </w:rPr>
              <w:t>90.79   (+3%)</w:t>
            </w:r>
          </w:p>
        </w:tc>
      </w:tr>
      <w:tr>
        <w:tc>
          <w:tcPr>
            <w:tcW w:type="dxa" w:w="2664"/>
          </w:tcPr>
          <w:p>
            <w:pPr>
              <w:spacing w:after="20"/>
            </w:pPr>
            <w:r>
              <w:rPr>
                <w:color w:val="1C3A36"/>
                <w:sz w:val="16"/>
              </w:rPr>
              <w:t>The equity bridge: the 31-Dec-2025 sheet or the 30-Jun-2026 sheet</w:t>
            </w:r>
          </w:p>
        </w:tc>
        <w:tc>
          <w:tcPr>
            <w:tcW w:type="dxa" w:w="2520"/>
          </w:tcPr>
          <w:p>
            <w:pPr>
              <w:spacing w:after="20"/>
              <w:jc w:val="right"/>
            </w:pPr>
            <w:r>
              <w:rPr>
                <w:color w:val="1C3A36"/>
                <w:sz w:val="16"/>
              </w:rPr>
              <w:t>31 December 2025, rolled forward at the cost of equity</w:t>
            </w:r>
          </w:p>
        </w:tc>
        <w:tc>
          <w:tcPr>
            <w:tcW w:type="dxa" w:w="2520"/>
          </w:tcPr>
          <w:p>
            <w:pPr>
              <w:spacing w:after="20"/>
              <w:jc w:val="right"/>
            </w:pPr>
            <w:r>
              <w:rPr>
                <w:color w:val="1C3A36"/>
                <w:sz w:val="16"/>
              </w:rPr>
              <w:t>the reviewed 30 June 2026 balance sheet</w:t>
            </w:r>
          </w:p>
        </w:tc>
        <w:tc>
          <w:tcPr>
            <w:tcW w:type="dxa" w:w="1656"/>
          </w:tcPr>
          <w:p>
            <w:pPr>
              <w:spacing w:after="20"/>
              <w:jc w:val="right"/>
            </w:pPr>
            <w:r>
              <w:rPr>
                <w:color w:val="1C3A36"/>
                <w:sz w:val="16"/>
              </w:rPr>
              <w:t>not re-run — see note</w:t>
            </w:r>
          </w:p>
        </w:tc>
      </w:tr>
    </w:tbl>
    <w:p>
      <w:pPr>
        <w:spacing w:after="40"/>
      </w:pPr>
    </w:p>
    <w:p>
      <w:pPr>
        <w:spacing w:after="120" w:before="0"/>
      </w:pPr>
      <w:r>
        <w:rPr>
          <w:b w:val="0"/>
          <w:i w:val="0"/>
          <w:color w:val="6E7B77"/>
          <w:sz w:val="18"/>
        </w:rPr>
        <w:t>Segment margins: FY2025 plus the half's CHANGE, or the half's LEVEL — THE LARGEST SINGLE JUDGEMENT IN THIS STUDY and it was priced nowhere until now. The half printed cables 12.4890%, constructions 11.5934%, electrical 24.9066%; the study carries 11.4341%, 8.9871%, 23.6221%. The case for a change rather than a level is seasonality — H1-2025 ran 14.06% against H2-2025 10.71% — and it rests on a single year of split.</w:t>
      </w:r>
    </w:p>
    <w:p>
      <w:pPr>
        <w:spacing w:after="120" w:before="0"/>
      </w:pPr>
      <w:r>
        <w:rPr>
          <w:b w:val="0"/>
          <w:i w:val="0"/>
          <w:color w:val="6E7B77"/>
          <w:sz w:val="18"/>
        </w:rPr>
        <w:t>Forecast effective tax rate — The half is the most recent and most adverse observation, it is registered, and the register itself calls it "a material step this re-issue must price rather than average away". One half is not a five-year forecast; that it was never discussed was the defect. THE HALF IS NOT EVEN THE WORST READING: the quarter inside it printed 25.75%, so the SECOND quarter alone implies 35.15%, which would put the value at 61.57. The whole disclosed series runs 31.3 / 30.1 / 22.6 / 25.75 / 30.85 — the adopted rate sits below the last four of them.</w:t>
      </w:r>
    </w:p>
    <w:p>
      <w:pPr>
        <w:spacing w:after="120" w:before="0"/>
      </w:pPr>
      <w:r>
        <w:rPr>
          <w:b w:val="0"/>
          <w:i w:val="0"/>
          <w:color w:val="6E7B77"/>
          <w:sz w:val="18"/>
        </w:rPr>
        <w:t>Capital expenditure: flat as a SHARE of revenue, or flat in LEVEL — On the adopted basis capex rises 74% in level and runs 3.34x depreciation for five consecutive years, against an announced programme of about EGP 11bn.</w:t>
      </w:r>
    </w:p>
    <w:p>
      <w:pPr>
        <w:spacing w:after="120" w:before="0"/>
      </w:pPr>
      <w:r>
        <w:rPr>
          <w:b w:val="0"/>
          <w:i w:val="0"/>
          <w:color w:val="6E7B77"/>
          <w:sz w:val="18"/>
        </w:rPr>
        <w:t>Minority interests: the FY2025 profit share or the half's — Both are registered and the half was declined. Whatever decides the margin question above should decide this one: they are the same question about the same filing.</w:t>
      </w:r>
    </w:p>
    <w:p>
      <w:pPr>
        <w:spacing w:after="120" w:before="0"/>
      </w:pPr>
      <w:r>
        <w:rPr>
          <w:b w:val="0"/>
          <w:i w:val="0"/>
          <w:color w:val="6E7B77"/>
          <w:sz w:val="18"/>
        </w:rPr>
        <w:t>The equity bridge: the 31-Dec-2025 sheet or the 30-Jun-2026 sheet — Net debt at 30 June is 28,629.0 against the 20,560.0 the bridge subtracts. The alternative is worth -3.53 a share on net debt alone — re-run through the same function as every other row here, not estimated — and the FULL switch is NOT re-run: the bridge identity is asserted against the December sheet and a clean re-run needs the half-year cash flow already realised to be dropped with it, which is a rebuild rather than a switch. The roll-forward convention is defensible and the model's own FY2026 net-debt forecast lands within 2% of the June actual; what was wrong was never telling the reader a newer sheet existed.</w:t>
      </w:r>
    </w:p>
    <w:p>
      <w:pPr>
        <w:spacing w:after="200" w:before="0"/>
      </w:pPr>
      <w:r>
        <w:rPr>
          <w:b w:val="0"/>
          <w:i/>
          <w:color w:val="6E7B77"/>
          <w:sz w:val="17"/>
        </w:rPr>
        <w:t>The central of EGP 87.94 is the study's answer and none of these alternatives displaces it. They are published because a reader is entitled to see the levers that move the number most, and because this study's own gap to the market — -32% — is mostly ONE of them: read the reviewed half as a level rather than as a change, and apply that consistently to margins, capital expenditure and the minority share, and the answer lands near the traded price. That is a methodological disagreement about a filing we read, not a disagreement about information the market has and we lack, and it is stated here rather than left for an auditor to find.</w:t>
      </w: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A defensive-staple prior of 0.6–0.9 and a cyclical prior of 1.0–1.5 bracket it, and a diversified industrial with a contracting arm belongs in the second. ONE SENTENCE OF THE OLD DEFENCE IS WITHDRAWN. It read that the estimate is economically sensible because 'the largest industrial constituent of an index should have a beta near one'. An external review pointed out that this company is not a constituent of the index it is regressed against, and this study had not checked. The regressor is unchanged and is not wrong: raw_indices/EG/EGX30.csv is the registered published index of the exchange the stock is listed on, which is what the standing rule names, and an index a stock is not in is still the market that stock's return is measured against. What was wrong was defending it with a fact about membership. The estimate now stands on what this study can actually check: 256 weekly observations, the fit above, and the economic prior.</w:t>
      </w:r>
    </w:p>
    <w:p>
      <w:pPr>
        <w:spacing w:after="120" w:before="280"/>
      </w:pPr>
      <w:r>
        <w:rPr>
          <w:b/>
          <w:i w:val="0"/>
          <w:color w:val="1C3A36"/>
          <w:sz w:val="30"/>
        </w:rPr>
        <w:t>2  Technical and price structure</w:t>
      </w:r>
    </w:p>
    <w:p>
      <w:pPr>
        <w:spacing w:after="200" w:before="0"/>
      </w:pPr>
      <w:r>
        <w:rPr>
          <w:b w:val="0"/>
          <w:i w:val="0"/>
          <w:color w:val="1C3A36"/>
          <w:sz w:val="21"/>
        </w:rPr>
        <w:t>EVERYTHING IN THIS SECTION AND THE NEXT IS STRUCK AT 2026-09-03, the study's anchor date, which is 10 days before the date on this document. That is deliberate: the valuation, the cone and the technical read share one clock, and a price lens re-struck later would no longer be comparable with the fair value beside it. It does mean these levels are not today's. Every figure here is a CLOSING basis — the moving averages, the 52-week range and the cone's anchor all come from the same closing series the library carries, never an intraday print.</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0.7%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of 19.5% annualised, read from the live market profile,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the 21% the second forecast year assumes</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7.6%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(27%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sharply, to EGP 1.85 (paid June 2026, 22.9%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22.9%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one outcome in twenty; would require a genuine shock — a currency event, a policy reversal, or a material contract failure</w:t>
            </w:r>
          </w:p>
        </w:tc>
      </w:tr>
      <w:tr>
        <w:tc>
          <w:tcPr>
            <w:tcW w:type="dxa" w:w="2520"/>
          </w:tcPr>
          <w:p>
            <w:pPr>
              <w:spacing w:after="20"/>
            </w:pPr>
            <w:r>
              <w:rPr>
                <w:color w:val="1C3A36"/>
                <w:sz w:val="17"/>
              </w:rPr>
              <w:t>Lower band</w:t>
            </w:r>
          </w:p>
        </w:tc>
        <w:tc>
          <w:tcPr>
            <w:tcW w:type="dxa" w:w="2520"/>
          </w:tcPr>
          <w:p>
            <w:pPr>
              <w:spacing w:after="20"/>
              <w:jc w:val="right"/>
            </w:pPr>
            <w:r>
              <w:rPr>
                <w:color w:val="1C3A36"/>
                <w:sz w:val="17"/>
              </w:rPr>
              <w:t>98.49 – 122.22</w:t>
            </w:r>
          </w:p>
        </w:tc>
        <w:tc>
          <w:tcPr>
            <w:tcW w:type="dxa" w:w="5040"/>
          </w:tcPr>
          <w:p>
            <w:pPr>
              <w:spacing w:after="20"/>
              <w:jc w:val="right"/>
            </w:pPr>
            <w:r>
              <w:rPr>
                <w:color w:val="1C3A36"/>
                <w:sz w:val="17"/>
              </w:rPr>
              <w:t>one outcome in five; a drift lower without a shock — the zone the fundamental range and the price map come closest to agreeing in</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one in four; ordinary drift lower, and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one in four; ordinary drift higher, the market continuing to price the hard-currency reading</w:t>
            </w:r>
          </w:p>
        </w:tc>
      </w:tr>
      <w:tr>
        <w:tc>
          <w:tcPr>
            <w:tcW w:type="dxa" w:w="2520"/>
          </w:tcPr>
          <w:p>
            <w:pPr>
              <w:spacing w:after="20"/>
            </w:pPr>
            <w:r>
              <w:rPr>
                <w:color w:val="1C3A36"/>
                <w:sz w:val="17"/>
              </w:rPr>
              <w:t>Upper band</w:t>
            </w:r>
          </w:p>
        </w:tc>
        <w:tc>
          <w:tcPr>
            <w:tcW w:type="dxa" w:w="2520"/>
          </w:tcPr>
          <w:p>
            <w:pPr>
              <w:spacing w:after="20"/>
              <w:jc w:val="right"/>
            </w:pPr>
            <w:r>
              <w:rPr>
                <w:color w:val="1C3A36"/>
                <w:sz w:val="17"/>
              </w:rPr>
              <w:t>155.79 – 193.01</w:t>
            </w:r>
          </w:p>
        </w:tc>
        <w:tc>
          <w:tcPr>
            <w:tcW w:type="dxa" w:w="5040"/>
          </w:tcPr>
          <w:p>
            <w:pPr>
              <w:spacing w:after="20"/>
              <w:jc w:val="right"/>
            </w:pPr>
            <w:r>
              <w:rPr>
                <w:color w:val="1C3A36"/>
                <w:sz w:val="17"/>
              </w:rPr>
              <w:t>one outcome in five; a drift higher without a step change</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one outcome in twenty;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200" w:before="0"/>
      </w:pPr>
      <w:r>
        <w:rPr>
          <w:b w:val="0"/>
          <w:i/>
          <w:color w:val="6E7B77"/>
          <w:sz w:val="17"/>
        </w:rPr>
        <w:t>The six zones above the last row cover the distribution exactly once: 5 + 20 + 25 + 25 + 20 + 5 = 100 per cent. An earlier edition of this table published four of them and covered 60 per cent, with the 5th-to-25th and the 75th-to-95th absent — which is where two readers in five would have found themselves. The drift behind these percentiles is the carry term 42.2 plus a signal term 16.0, in thousandths of a log point over the 62-session horizon; the sum is what the engine is handed and what the median reproduces from, and earlier editions recorded only the first of the two.</w:t>
      </w: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would mean the outturn had landed between 0.55 and 2.60 times what this method projected — an illustration of how to read the column, not a figure from this table.</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calibrated on ONE reviewed half, not tested against it. </w:t>
      </w:r>
      <w:r>
        <w:rPr>
          <w:color w:val="1C3A36"/>
          <w:sz w:val="21"/>
        </w:rPr>
        <w:t>Every FY2026 segment driver is the H1-2026 half's own measurement: growth rates cables 30.57%, construct 27.44%, elecprod 48.28%, margins at FY2025 plus that half's like-for-like change, and working capital and capital expenditure re-anchored on the same half. The Q1-2026 gross-up shown in section 1.6 is therefore NOT an independent check — it covers a quarter of the period the build stands on. THE REAL EXPOSURE IS THIS: a single half sets the base year of a five-year model, and whether that half is read as a LEVEL or as a CHANGE is worth more than any other judgement in this study. Section 1.9 prices both readings. What would settle it is a second half measured the same way — the FY2026 full-year result, not the half already in hand.</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3,803</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200" w:before="0"/>
      </w:pPr>
      <w:r>
        <w:rPr>
          <w:b w:val="0"/>
          <w:i/>
          <w:color w:val="6E7B77"/>
          <w:sz w:val="17"/>
        </w:rPr>
        <w:t>ONE NOTE ON THE RETURN ROW, because two conventions meet here and an external review read across them. The row above divides each year's NOPAT by that same year's closing capital, and on that basis the path runs 21.6% down to 20.6%. The terminal quotes 22.4%, which looks higher than every year in the forecast and is not: it is the standard terminal convention, NEXT year's NOPAT over closing capital, which is exactly one year of growth above the same-year figure — 20.6% × 1.0914 = 22.4%. On one convention the terminal does not step up at all; on the other it appears to, and the earlier editions of this page printed the two side by side without saying which was which.</w:t>
      </w: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32.4%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154.41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13.93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154.41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113.26 – 195.56</w:t>
            </w:r>
          </w:p>
        </w:tc>
      </w:tr>
    </w:tbl>
    <w:p>
      <w:pPr>
        <w:spacing w:after="40"/>
      </w:pPr>
    </w:p>
    <w:p>
      <w:pPr>
        <w:spacing w:after="120" w:before="0"/>
      </w:pPr>
      <w:r>
        <w:rPr>
          <w:b w:val="0"/>
          <w:i w:val="0"/>
          <w:color w:val="1C3A36"/>
          <w:sz w:val="21"/>
        </w:rPr>
        <w:t>Named sensitivity: each one-turn change in the multiple is worth EGP 13.93 per share, and each percentage point of mid-cycle EBITDA margin is worth roughly EGP 1.31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11,230</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85.56</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61.09 – 141.10</w:t>
            </w:r>
          </w:p>
        </w:tc>
      </w:tr>
    </w:tbl>
    <w:p>
      <w:pPr>
        <w:spacing w:after="40"/>
      </w:pPr>
    </w:p>
    <w:p>
      <w:pPr>
        <w:spacing w:after="120" w:before="0"/>
      </w:pPr>
      <w:r>
        <w:rPr>
          <w:b w:val="0"/>
          <w:i w:val="0"/>
          <w:color w:val="1C3A36"/>
          <w:sz w:val="21"/>
        </w:rPr>
        <w:t>This is the harshest of the three readings, at EGP 85.56,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78.29</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58.33 – 98.25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85.56; the vertical line is the market price of 130.00.</w:t>
      </w:r>
    </w:p>
    <w:p>
      <w:pPr>
        <w:spacing w:after="120" w:before="0"/>
      </w:pPr>
      <w:r>
        <w:rPr>
          <w:b w:val="0"/>
          <w:i w:val="0"/>
          <w:color w:val="1C3A36"/>
          <w:sz w:val="21"/>
        </w:rPr>
        <w:t>The panel spans EGP 78.29 to 154.41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85.56 sits -34% against the market price and -3%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