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8"/>
        </w:rPr>
        <w:t>Bibliography and input register</w:t>
      </w:r>
    </w:p>
    <w:p>
      <w:pPr>
        <w:spacing w:after="120" w:before="0"/>
      </w:pPr>
      <w:r>
        <w:rPr>
          <w:b w:val="0"/>
          <w:i/>
          <w:color w:val="6E7B77"/>
          <w:sz w:val="22"/>
        </w:rPr>
        <w:t>Abu Dhabi Islamic Bank – Egypt S.A.E. (EGX: ADIB) — valuation study of 9 September 2026</w:t>
      </w:r>
    </w:p>
    <w:p>
      <w:pPr>
        <w:spacing w:after="120" w:before="0"/>
      </w:pPr>
      <w:r>
        <w:rPr>
          <w:b w:val="0"/>
          <w:i w:val="0"/>
          <w:color w:val="1C3A36"/>
          <w:sz w:val="21"/>
        </w:rPr>
        <w:t>This document stands alone. Every figure in the study can be traced from here to the document it came from, the date that document carries, and how good a source it is. Where a figure could not be sourced, this document says so rather than leaving the gap to be inferred.</w:t>
      </w:r>
    </w:p>
    <w:p>
      <w:pPr>
        <w:spacing w:after="120" w:before="280"/>
      </w:pPr>
      <w:r>
        <w:rPr>
          <w:b/>
          <w:i w:val="0"/>
          <w:color w:val="1C3A36"/>
          <w:sz w:val="30"/>
        </w:rPr>
        <w:t>1  Primary documents</w:t>
      </w:r>
    </w:p>
    <w:p>
      <w:pPr>
        <w:spacing w:after="120" w:before="0"/>
      </w:pPr>
      <w:r>
        <w:rPr>
          <w:b w:val="0"/>
          <w:i w:val="0"/>
          <w:color w:val="1C3A36"/>
          <w:sz w:val="21"/>
        </w:rPr>
        <w:t>Sixteen consolidated fiscal years plus two interim periods, all from the bank's own investor-relations archive at adib.eg. EVERY ONE OF THESE WAS PARSED AND CHECKED TO ADD UP; a statement that does not foot against its own arithmetic did not enter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4464"/>
        <w:gridCol w:w="1440"/>
        <w:gridCol w:w="720"/>
        <w:gridCol w:w="2232"/>
      </w:tblGrid>
      <w:tr>
        <w:tc>
          <w:tcPr>
            <w:tcW w:type="dxa" w:w="1224"/>
            <w:shd w:val="clear" w:color="auto" w:fill="EAF0EE"/>
          </w:tcPr>
          <w:p>
            <w:pPr>
              <w:spacing w:after="20"/>
            </w:pPr>
            <w:r>
              <w:rPr>
                <w:b/>
                <w:color w:val="1C3A36"/>
                <w:sz w:val="14"/>
              </w:rPr>
              <w:t>Period</w:t>
            </w:r>
          </w:p>
        </w:tc>
        <w:tc>
          <w:tcPr>
            <w:tcW w:type="dxa" w:w="4464"/>
            <w:shd w:val="clear" w:color="auto" w:fill="EAF0EE"/>
          </w:tcPr>
          <w:p>
            <w:pPr>
              <w:spacing w:after="20"/>
            </w:pPr>
            <w:r>
              <w:rPr>
                <w:b/>
                <w:color w:val="1C3A36"/>
                <w:sz w:val="14"/>
              </w:rPr>
              <w:t>Document</w:t>
            </w:r>
          </w:p>
        </w:tc>
        <w:tc>
          <w:tcPr>
            <w:tcW w:type="dxa" w:w="1440"/>
            <w:shd w:val="clear" w:color="auto" w:fill="EAF0EE"/>
          </w:tcPr>
          <w:p>
            <w:pPr>
              <w:spacing w:after="20"/>
            </w:pPr>
            <w:r>
              <w:rPr>
                <w:b/>
                <w:color w:val="1C3A36"/>
                <w:sz w:val="14"/>
              </w:rPr>
              <w:t>Document date</w:t>
            </w:r>
          </w:p>
        </w:tc>
        <w:tc>
          <w:tcPr>
            <w:tcW w:type="dxa" w:w="720"/>
            <w:shd w:val="clear" w:color="auto" w:fill="EAF0EE"/>
          </w:tcPr>
          <w:p>
            <w:pPr>
              <w:spacing w:after="20"/>
            </w:pPr>
            <w:r>
              <w:rPr>
                <w:b/>
                <w:color w:val="1C3A36"/>
                <w:sz w:val="14"/>
              </w:rPr>
              <w:t>Tier</w:t>
            </w:r>
          </w:p>
        </w:tc>
        <w:tc>
          <w:tcPr>
            <w:tcW w:type="dxa" w:w="2232"/>
            <w:shd w:val="clear" w:color="auto" w:fill="EAF0EE"/>
          </w:tcPr>
          <w:p>
            <w:pPr>
              <w:spacing w:after="20"/>
            </w:pPr>
            <w:r>
              <w:rPr>
                <w:b/>
                <w:color w:val="1C3A36"/>
                <w:sz w:val="14"/>
              </w:rPr>
              <w:t>How it was read</w:t>
            </w:r>
          </w:p>
        </w:tc>
      </w:tr>
      <w:tr>
        <w:tc>
          <w:tcPr>
            <w:tcW w:type="dxa" w:w="1224"/>
          </w:tcPr>
          <w:p>
            <w:pPr>
              <w:spacing w:after="20"/>
            </w:pPr>
            <w:r>
              <w:rPr>
                <w:color w:val="1C3A36"/>
                <w:sz w:val="14"/>
              </w:rPr>
              <w:t>FY2010</w:t>
            </w:r>
          </w:p>
        </w:tc>
        <w:tc>
          <w:tcPr>
            <w:tcW w:type="dxa" w:w="4464"/>
          </w:tcPr>
          <w:p>
            <w:pPr>
              <w:spacing w:after="20"/>
              <w:jc w:val="right"/>
            </w:pPr>
            <w:r>
              <w:rPr>
                <w:color w:val="1C3A36"/>
                <w:sz w:val="14"/>
              </w:rPr>
              <w:t>Consolidated financial statements and the audit report thereon, year ended 31 Dec 2010 (National Bank For Deve</w:t>
            </w:r>
          </w:p>
        </w:tc>
        <w:tc>
          <w:tcPr>
            <w:tcW w:type="dxa" w:w="1440"/>
          </w:tcPr>
          <w:p>
            <w:pPr>
              <w:spacing w:after="20"/>
              <w:jc w:val="right"/>
            </w:pPr>
            <w:r>
              <w:rPr>
                <w:color w:val="1C3A36"/>
                <w:sz w:val="14"/>
              </w:rPr>
              <w:t>2011</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FY2011</w:t>
            </w:r>
          </w:p>
        </w:tc>
        <w:tc>
          <w:tcPr>
            <w:tcW w:type="dxa" w:w="4464"/>
          </w:tcPr>
          <w:p>
            <w:pPr>
              <w:spacing w:after="20"/>
              <w:jc w:val="right"/>
            </w:pPr>
            <w:r>
              <w:rPr>
                <w:color w:val="1C3A36"/>
                <w:sz w:val="14"/>
              </w:rPr>
              <w:t>Consolidated financial statements, year ended 31 Dec 2011</w:t>
            </w:r>
          </w:p>
        </w:tc>
        <w:tc>
          <w:tcPr>
            <w:tcW w:type="dxa" w:w="1440"/>
          </w:tcPr>
          <w:p>
            <w:pPr>
              <w:spacing w:after="20"/>
              <w:jc w:val="right"/>
            </w:pPr>
            <w:r>
              <w:rPr>
                <w:color w:val="1C3A36"/>
                <w:sz w:val="14"/>
              </w:rPr>
              <w:t>2012</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FY2012</w:t>
            </w:r>
          </w:p>
        </w:tc>
        <w:tc>
          <w:tcPr>
            <w:tcW w:type="dxa" w:w="4464"/>
          </w:tcPr>
          <w:p>
            <w:pPr>
              <w:spacing w:after="20"/>
              <w:jc w:val="right"/>
            </w:pPr>
            <w:r>
              <w:rPr>
                <w:color w:val="1C3A36"/>
                <w:sz w:val="14"/>
              </w:rPr>
              <w:t>Consolidated financial statements, year ended 31 Dec 2012</w:t>
            </w:r>
          </w:p>
        </w:tc>
        <w:tc>
          <w:tcPr>
            <w:tcW w:type="dxa" w:w="1440"/>
          </w:tcPr>
          <w:p>
            <w:pPr>
              <w:spacing w:after="20"/>
              <w:jc w:val="right"/>
            </w:pPr>
            <w:r>
              <w:rPr>
                <w:color w:val="1C3A36"/>
                <w:sz w:val="14"/>
              </w:rPr>
              <w:t>2013-03</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FY2013</w:t>
            </w:r>
          </w:p>
        </w:tc>
        <w:tc>
          <w:tcPr>
            <w:tcW w:type="dxa" w:w="4464"/>
          </w:tcPr>
          <w:p>
            <w:pPr>
              <w:spacing w:after="20"/>
              <w:jc w:val="right"/>
            </w:pPr>
            <w:r>
              <w:rPr>
                <w:color w:val="1C3A36"/>
                <w:sz w:val="14"/>
              </w:rPr>
              <w:t>Consolidated financial statements, year ended 31 Dec 2013</w:t>
            </w:r>
          </w:p>
        </w:tc>
        <w:tc>
          <w:tcPr>
            <w:tcW w:type="dxa" w:w="1440"/>
          </w:tcPr>
          <w:p>
            <w:pPr>
              <w:spacing w:after="20"/>
              <w:jc w:val="right"/>
            </w:pPr>
            <w:r>
              <w:rPr>
                <w:color w:val="1C3A36"/>
                <w:sz w:val="14"/>
              </w:rPr>
              <w:t>2014</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FY2014</w:t>
            </w:r>
          </w:p>
        </w:tc>
        <w:tc>
          <w:tcPr>
            <w:tcW w:type="dxa" w:w="4464"/>
          </w:tcPr>
          <w:p>
            <w:pPr>
              <w:spacing w:after="20"/>
              <w:jc w:val="right"/>
            </w:pPr>
            <w:r>
              <w:rPr>
                <w:color w:val="1C3A36"/>
                <w:sz w:val="14"/>
              </w:rPr>
              <w:t>Consolidated financial statements, year ended 31 Dec 2014 (Restated)</w:t>
            </w:r>
          </w:p>
        </w:tc>
        <w:tc>
          <w:tcPr>
            <w:tcW w:type="dxa" w:w="1440"/>
          </w:tcPr>
          <w:p>
            <w:pPr>
              <w:spacing w:after="20"/>
              <w:jc w:val="right"/>
            </w:pPr>
            <w:r>
              <w:rPr>
                <w:color w:val="1C3A36"/>
                <w:sz w:val="14"/>
              </w:rPr>
              <w:t>2015</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FY2015</w:t>
            </w:r>
          </w:p>
        </w:tc>
        <w:tc>
          <w:tcPr>
            <w:tcW w:type="dxa" w:w="4464"/>
          </w:tcPr>
          <w:p>
            <w:pPr>
              <w:spacing w:after="20"/>
              <w:jc w:val="right"/>
            </w:pPr>
            <w:r>
              <w:rPr>
                <w:color w:val="1C3A36"/>
                <w:sz w:val="14"/>
              </w:rPr>
              <w:t>Consolidated financial statements, year ended 31 Dec 2015</w:t>
            </w:r>
          </w:p>
        </w:tc>
        <w:tc>
          <w:tcPr>
            <w:tcW w:type="dxa" w:w="1440"/>
          </w:tcPr>
          <w:p>
            <w:pPr>
              <w:spacing w:after="20"/>
              <w:jc w:val="right"/>
            </w:pPr>
            <w:r>
              <w:rPr>
                <w:color w:val="1C3A36"/>
                <w:sz w:val="14"/>
              </w:rPr>
              <w:t>2016-02-18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FY2016</w:t>
            </w:r>
          </w:p>
        </w:tc>
        <w:tc>
          <w:tcPr>
            <w:tcW w:type="dxa" w:w="4464"/>
          </w:tcPr>
          <w:p>
            <w:pPr>
              <w:spacing w:after="20"/>
              <w:jc w:val="right"/>
            </w:pPr>
            <w:r>
              <w:rPr>
                <w:color w:val="1C3A36"/>
                <w:sz w:val="14"/>
              </w:rPr>
              <w:t>Consolidated financial statements, year ended 31 Dec 2016</w:t>
            </w:r>
          </w:p>
        </w:tc>
        <w:tc>
          <w:tcPr>
            <w:tcW w:type="dxa" w:w="1440"/>
          </w:tcPr>
          <w:p>
            <w:pPr>
              <w:spacing w:after="20"/>
              <w:jc w:val="right"/>
            </w:pPr>
            <w:r>
              <w:rPr>
                <w:color w:val="1C3A36"/>
                <w:sz w:val="14"/>
              </w:rPr>
              <w:t>2017-02-16</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FY2017</w:t>
            </w:r>
          </w:p>
        </w:tc>
        <w:tc>
          <w:tcPr>
            <w:tcW w:type="dxa" w:w="4464"/>
          </w:tcPr>
          <w:p>
            <w:pPr>
              <w:spacing w:after="20"/>
              <w:jc w:val="right"/>
            </w:pPr>
            <w:r>
              <w:rPr>
                <w:color w:val="1C3A36"/>
                <w:sz w:val="14"/>
              </w:rPr>
              <w:t>Consolidated financial statements, year ended 31 Dec 2017</w:t>
            </w:r>
          </w:p>
        </w:tc>
        <w:tc>
          <w:tcPr>
            <w:tcW w:type="dxa" w:w="1440"/>
          </w:tcPr>
          <w:p>
            <w:pPr>
              <w:spacing w:after="20"/>
              <w:jc w:val="right"/>
            </w:pPr>
            <w:r>
              <w:rPr>
                <w:color w:val="1C3A36"/>
                <w:sz w:val="14"/>
              </w:rPr>
              <w:t>2018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FY2018</w:t>
            </w:r>
          </w:p>
        </w:tc>
        <w:tc>
          <w:tcPr>
            <w:tcW w:type="dxa" w:w="4464"/>
          </w:tcPr>
          <w:p>
            <w:pPr>
              <w:spacing w:after="20"/>
              <w:jc w:val="right"/>
            </w:pPr>
            <w:r>
              <w:rPr>
                <w:color w:val="1C3A36"/>
                <w:sz w:val="14"/>
              </w:rPr>
              <w:t>Consolidated financial statements, year ended 31 Dec 2018</w:t>
            </w:r>
          </w:p>
        </w:tc>
        <w:tc>
          <w:tcPr>
            <w:tcW w:type="dxa" w:w="1440"/>
          </w:tcPr>
          <w:p>
            <w:pPr>
              <w:spacing w:after="20"/>
              <w:jc w:val="right"/>
            </w:pPr>
            <w:r>
              <w:rPr>
                <w:color w:val="1C3A36"/>
                <w:sz w:val="14"/>
              </w:rPr>
              <w:t>2019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FY2019</w:t>
            </w:r>
          </w:p>
        </w:tc>
        <w:tc>
          <w:tcPr>
            <w:tcW w:type="dxa" w:w="4464"/>
          </w:tcPr>
          <w:p>
            <w:pPr>
              <w:spacing w:after="20"/>
              <w:jc w:val="right"/>
            </w:pPr>
            <w:r>
              <w:rPr>
                <w:color w:val="1C3A36"/>
                <w:sz w:val="14"/>
              </w:rPr>
              <w:t>Consolidated financial statements, year ended 31 Dec 2019</w:t>
            </w:r>
          </w:p>
        </w:tc>
        <w:tc>
          <w:tcPr>
            <w:tcW w:type="dxa" w:w="1440"/>
          </w:tcPr>
          <w:p>
            <w:pPr>
              <w:spacing w:after="20"/>
              <w:jc w:val="right"/>
            </w:pPr>
            <w:r>
              <w:rPr>
                <w:color w:val="1C3A36"/>
                <w:sz w:val="14"/>
              </w:rPr>
              <w:t>2020</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FY2020</w:t>
            </w:r>
          </w:p>
        </w:tc>
        <w:tc>
          <w:tcPr>
            <w:tcW w:type="dxa" w:w="4464"/>
          </w:tcPr>
          <w:p>
            <w:pPr>
              <w:spacing w:after="20"/>
              <w:jc w:val="right"/>
            </w:pPr>
            <w:r>
              <w:rPr>
                <w:color w:val="1C3A36"/>
                <w:sz w:val="14"/>
              </w:rPr>
              <w:t>Consolidated financial statements, year ended 31 Dec 2020</w:t>
            </w:r>
          </w:p>
        </w:tc>
        <w:tc>
          <w:tcPr>
            <w:tcW w:type="dxa" w:w="1440"/>
          </w:tcPr>
          <w:p>
            <w:pPr>
              <w:spacing w:after="20"/>
              <w:jc w:val="right"/>
            </w:pPr>
            <w:r>
              <w:rPr>
                <w:color w:val="1C3A36"/>
                <w:sz w:val="14"/>
              </w:rPr>
              <w:t>2021-02-18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FY2021</w:t>
            </w:r>
          </w:p>
        </w:tc>
        <w:tc>
          <w:tcPr>
            <w:tcW w:type="dxa" w:w="4464"/>
          </w:tcPr>
          <w:p>
            <w:pPr>
              <w:spacing w:after="20"/>
              <w:jc w:val="right"/>
            </w:pPr>
            <w:r>
              <w:rPr>
                <w:color w:val="1C3A36"/>
                <w:sz w:val="14"/>
              </w:rPr>
              <w:t>FY2021 taken from the COMPARATIVE column of the FY2022 audited consolidated statements. The file published und</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text+ocr</w:t>
            </w:r>
          </w:p>
        </w:tc>
      </w:tr>
      <w:tr>
        <w:tc>
          <w:tcPr>
            <w:tcW w:type="dxa" w:w="1224"/>
          </w:tcPr>
          <w:p>
            <w:pPr>
              <w:spacing w:after="20"/>
            </w:pPr>
            <w:r>
              <w:rPr>
                <w:color w:val="1C3A36"/>
                <w:sz w:val="14"/>
              </w:rPr>
              <w:t>FY2022</w:t>
            </w:r>
          </w:p>
        </w:tc>
        <w:tc>
          <w:tcPr>
            <w:tcW w:type="dxa" w:w="4464"/>
          </w:tcPr>
          <w:p>
            <w:pPr>
              <w:spacing w:after="20"/>
              <w:jc w:val="right"/>
            </w:pPr>
            <w:r>
              <w:rPr>
                <w:color w:val="1C3A36"/>
                <w:sz w:val="14"/>
              </w:rPr>
              <w:t>Consolidated financial statements, year ended 31 Dec 2022</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text(BS)+ocr(IS)</w:t>
            </w:r>
          </w:p>
        </w:tc>
      </w:tr>
      <w:tr>
        <w:tc>
          <w:tcPr>
            <w:tcW w:type="dxa" w:w="1224"/>
          </w:tcPr>
          <w:p>
            <w:pPr>
              <w:spacing w:after="20"/>
            </w:pPr>
            <w:r>
              <w:rPr>
                <w:color w:val="1C3A36"/>
                <w:sz w:val="14"/>
              </w:rPr>
              <w:t>FY2023</w:t>
            </w:r>
          </w:p>
        </w:tc>
        <w:tc>
          <w:tcPr>
            <w:tcW w:type="dxa" w:w="4464"/>
          </w:tcPr>
          <w:p>
            <w:pPr>
              <w:spacing w:after="20"/>
              <w:jc w:val="right"/>
            </w:pPr>
            <w:r>
              <w:rPr>
                <w:color w:val="1C3A36"/>
                <w:sz w:val="14"/>
              </w:rPr>
              <w:t>Consolidated financial statements, year ended 31 Dec 2023</w:t>
            </w:r>
          </w:p>
        </w:tc>
        <w:tc>
          <w:tcPr>
            <w:tcW w:type="dxa" w:w="1440"/>
          </w:tcPr>
          <w:p>
            <w:pPr>
              <w:spacing w:after="20"/>
              <w:jc w:val="right"/>
            </w:pPr>
            <w:r>
              <w:rPr>
                <w:color w:val="1C3A36"/>
                <w:sz w:val="14"/>
              </w:rPr>
              <w:t>2024</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FY2024</w:t>
            </w:r>
          </w:p>
        </w:tc>
        <w:tc>
          <w:tcPr>
            <w:tcW w:type="dxa" w:w="4464"/>
          </w:tcPr>
          <w:p>
            <w:pPr>
              <w:spacing w:after="20"/>
              <w:jc w:val="right"/>
            </w:pPr>
            <w:r>
              <w:rPr>
                <w:color w:val="1C3A36"/>
                <w:sz w:val="14"/>
              </w:rPr>
              <w:t>Consolidated financial statements, year ended 31 Dec 2024</w:t>
            </w:r>
          </w:p>
        </w:tc>
        <w:tc>
          <w:tcPr>
            <w:tcW w:type="dxa" w:w="1440"/>
          </w:tcPr>
          <w:p>
            <w:pPr>
              <w:spacing w:after="20"/>
              <w:jc w:val="right"/>
            </w:pPr>
            <w:r>
              <w:rPr>
                <w:color w:val="1C3A36"/>
                <w:sz w:val="14"/>
              </w:rPr>
              <w:t>2025-02-06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FY2025</w:t>
            </w:r>
          </w:p>
        </w:tc>
        <w:tc>
          <w:tcPr>
            <w:tcW w:type="dxa" w:w="4464"/>
          </w:tcPr>
          <w:p>
            <w:pPr>
              <w:spacing w:after="20"/>
              <w:jc w:val="right"/>
            </w:pPr>
            <w:r>
              <w:rPr>
                <w:color w:val="1C3A36"/>
                <w:sz w:val="14"/>
              </w:rPr>
              <w:t>Consolidated financial statements, year ended 31 Dec 2025</w:t>
            </w:r>
          </w:p>
        </w:tc>
        <w:tc>
          <w:tcPr>
            <w:tcW w:type="dxa" w:w="1440"/>
          </w:tcPr>
          <w:p>
            <w:pPr>
              <w:spacing w:after="20"/>
              <w:jc w:val="right"/>
            </w:pPr>
            <w:r>
              <w:rPr>
                <w:color w:val="1C3A36"/>
                <w:sz w:val="14"/>
              </w:rPr>
              <w:t>2026-02-05</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H1-2026</w:t>
            </w:r>
          </w:p>
        </w:tc>
        <w:tc>
          <w:tcPr>
            <w:tcW w:type="dxa" w:w="4464"/>
          </w:tcPr>
          <w:p>
            <w:pPr>
              <w:spacing w:after="20"/>
              <w:jc w:val="right"/>
            </w:pPr>
            <w:r>
              <w:rPr>
                <w:color w:val="1C3A36"/>
                <w:sz w:val="14"/>
              </w:rPr>
              <w:t>Condensed consolidated interim financial statements, six months ended 30 Jun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Q1-2026</w:t>
            </w:r>
          </w:p>
        </w:tc>
        <w:tc>
          <w:tcPr>
            <w:tcW w:type="dxa" w:w="4464"/>
          </w:tcPr>
          <w:p>
            <w:pPr>
              <w:spacing w:after="20"/>
              <w:jc w:val="right"/>
            </w:pPr>
            <w:r>
              <w:rPr>
                <w:color w:val="1C3A36"/>
                <w:sz w:val="14"/>
              </w:rPr>
              <w:t>Condensed consolidated interim financial statements, three months ended 31 Mar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bl>
    <w:p>
      <w:pPr>
        <w:spacing w:after="40"/>
      </w:pPr>
    </w:p>
    <w:p>
      <w:pPr>
        <w:spacing w:after="200" w:before="0"/>
      </w:pPr>
      <w:r>
        <w:rPr>
          <w:b w:val="0"/>
          <w:i/>
          <w:color w:val="6E7B77"/>
          <w:sz w:val="17"/>
        </w:rPr>
        <w:t>Table 1 — the primary record. Tier A is the company's own audited or reviewed statements. There is no tier B or tier C figure anywhere in this study's company data.</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A RASTER WAS READ, AND WHY IT CAN BE TRUSTED. Seven of these filings publish their statements as images with no text layer. Each was read TWICE and independently — once off the largest embedded image at its native resolution, once off a rendered page — and every disagreement between the two passes was settled by the statement's OWN arithmetic, or where that was not decisive, by the comparative column of the following year's filing. Every statement in this study foots exactly. Two figures could only be settled by the footing identity and both are labelled DERIVED with the formula: a gain on financial investments of EGP 7.155 million in FY2025 (0.04% of pre-tax profit) and non-controlling interests of EGP 38.576 million in the FY2025 equity block.</w:t>
            </w:r>
          </w:p>
        </w:tc>
      </w:tr>
    </w:tbl>
    <w:p>
      <w:pPr>
        <w:spacing w:after="40"/>
      </w:pPr>
    </w:p>
    <w:p>
      <w:pPr>
        <w:spacing w:after="120" w:before="280"/>
      </w:pPr>
      <w:r>
        <w:rPr>
          <w:b/>
          <w:i w:val="0"/>
          <w:color w:val="1C3A36"/>
          <w:sz w:val="30"/>
        </w:rPr>
        <w:t>2  The input register — every entry four-field</w:t>
      </w:r>
    </w:p>
    <w:p>
      <w:pPr>
        <w:spacing w:after="120" w:before="0"/>
      </w:pPr>
      <w:r>
        <w:rPr>
          <w:b w:val="0"/>
          <w:i w:val="0"/>
          <w:color w:val="1C3A36"/>
          <w:sz w:val="21"/>
        </w:rPr>
        <w:t>Value, source, date, tier. An input with no source does not enter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440"/>
        <w:gridCol w:w="1080"/>
        <w:gridCol w:w="720"/>
        <w:gridCol w:w="5040"/>
      </w:tblGrid>
      <w:tr>
        <w:tc>
          <w:tcPr>
            <w:tcW w:type="dxa" w:w="1800"/>
            <w:shd w:val="clear" w:color="auto" w:fill="EAF0EE"/>
          </w:tcPr>
          <w:p>
            <w:pPr>
              <w:spacing w:after="20"/>
            </w:pPr>
            <w:r>
              <w:rPr>
                <w:b/>
                <w:color w:val="1C3A36"/>
                <w:sz w:val="13"/>
              </w:rPr>
              <w:t>Input</w:t>
            </w:r>
          </w:p>
        </w:tc>
        <w:tc>
          <w:tcPr>
            <w:tcW w:type="dxa" w:w="1440"/>
            <w:shd w:val="clear" w:color="auto" w:fill="EAF0EE"/>
          </w:tcPr>
          <w:p>
            <w:pPr>
              <w:spacing w:after="20"/>
            </w:pPr>
            <w:r>
              <w:rPr>
                <w:b/>
                <w:color w:val="1C3A36"/>
                <w:sz w:val="13"/>
              </w:rPr>
              <w:t>Value</w:t>
            </w:r>
          </w:p>
        </w:tc>
        <w:tc>
          <w:tcPr>
            <w:tcW w:type="dxa" w:w="1080"/>
            <w:shd w:val="clear" w:color="auto" w:fill="EAF0EE"/>
          </w:tcPr>
          <w:p>
            <w:pPr>
              <w:spacing w:after="20"/>
            </w:pPr>
            <w:r>
              <w:rPr>
                <w:b/>
                <w:color w:val="1C3A36"/>
                <w:sz w:val="13"/>
              </w:rPr>
              <w:t>Date</w:t>
            </w:r>
          </w:p>
        </w:tc>
        <w:tc>
          <w:tcPr>
            <w:tcW w:type="dxa" w:w="720"/>
            <w:shd w:val="clear" w:color="auto" w:fill="EAF0EE"/>
          </w:tcPr>
          <w:p>
            <w:pPr>
              <w:spacing w:after="20"/>
            </w:pPr>
            <w:r>
              <w:rPr>
                <w:b/>
                <w:color w:val="1C3A36"/>
                <w:sz w:val="13"/>
              </w:rPr>
              <w:t>Tier</w:t>
            </w:r>
          </w:p>
        </w:tc>
        <w:tc>
          <w:tcPr>
            <w:tcW w:type="dxa" w:w="5040"/>
            <w:shd w:val="clear" w:color="auto" w:fill="EAF0EE"/>
          </w:tcPr>
          <w:p>
            <w:pPr>
              <w:spacing w:after="20"/>
            </w:pPr>
            <w:r>
              <w:rPr>
                <w:b/>
                <w:color w:val="1C3A36"/>
                <w:sz w:val="13"/>
              </w:rPr>
              <w:t>Source</w:t>
            </w:r>
          </w:p>
        </w:tc>
      </w:tr>
      <w:tr>
        <w:tc>
          <w:tcPr>
            <w:tcW w:type="dxa" w:w="1800"/>
          </w:tcPr>
          <w:p>
            <w:pPr>
              <w:spacing w:after="20"/>
            </w:pPr>
            <w:r>
              <w:rPr>
                <w:color w:val="1C3A36"/>
                <w:sz w:val="13"/>
              </w:rPr>
              <w:t>admin growth</w:t>
            </w:r>
          </w:p>
        </w:tc>
        <w:tc>
          <w:tcPr>
            <w:tcW w:type="dxa" w:w="1440"/>
          </w:tcPr>
          <w:p>
            <w:pPr>
              <w:spacing w:after="20"/>
              <w:jc w:val="right"/>
            </w:pPr>
            <w:r>
              <w:rPr>
                <w:color w:val="1C3A36"/>
                <w:sz w:val="13"/>
              </w:rPr>
              <w:t>0.34 / 0.18 / 0.15 / 0.135 / 0.13</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Administrative expenses, year-on-year. FY2026 +34% on FY2025 takes EGP 3,431 million to EGP 4,598 million; the June half already spent EGP 2,239 million, so this asks for EGP 2,359 million in the second. Thereafter inflation plus about six points, because a bank adding branches and systems does not hold headcount flat. Cost-to-income is an OUTPUT of this and of the revenue lines; it is not typed anywhere.</w:t>
            </w:r>
          </w:p>
        </w:tc>
      </w:tr>
      <w:tr>
        <w:tc>
          <w:tcPr>
            <w:tcW w:type="dxa" w:w="1800"/>
          </w:tcPr>
          <w:p>
            <w:pPr>
              <w:spacing w:after="20"/>
            </w:pPr>
            <w:r>
              <w:rPr>
                <w:color w:val="1C3A36"/>
                <w:sz w:val="13"/>
              </w:rPr>
              <w:t>asset yield</w:t>
            </w:r>
          </w:p>
        </w:tc>
        <w:tc>
          <w:tcPr>
            <w:tcW w:type="dxa" w:w="1440"/>
          </w:tcPr>
          <w:p>
            <w:pPr>
              <w:spacing w:after="20"/>
              <w:jc w:val="right"/>
            </w:pPr>
            <w:r>
              <w:rPr>
                <w:color w:val="1C3A36"/>
                <w:sz w:val="13"/>
              </w:rPr>
              <w:t>0.15 / 0.134 / 0.121 / 0.113 / 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Income from Murabaha, Musharaka, Mudaraba and similar income over AVERAGE total assets. FY2025 actual 16.23%; the six months to June 2026 annualise to 15.30%. The path falls with the CBE's published policy glide (19.00 -&gt; 12.00) at an asset beta of about 0.75, which is what an Egyptian bank holding treasury bills and floating-rate corporate paper reprices at. IT IS AN INPUT; net interest margin is not.</w:t>
            </w:r>
          </w:p>
        </w:tc>
      </w:tr>
      <w:tr>
        <w:tc>
          <w:tcPr>
            <w:tcW w:type="dxa" w:w="1800"/>
          </w:tcPr>
          <w:p>
            <w:pPr>
              <w:spacing w:after="20"/>
            </w:pPr>
            <w:r>
              <w:rPr>
                <w:color w:val="1C3A36"/>
                <w:sz w:val="13"/>
              </w:rPr>
              <w:t>band construction</w:t>
            </w:r>
          </w:p>
        </w:tc>
        <w:tc>
          <w:tcPr>
            <w:tcW w:type="dxa" w:w="1440"/>
          </w:tcPr>
          <w:p>
            <w:pPr>
              <w:spacing w:after="20"/>
              <w:jc w:val="right"/>
            </w:pPr>
            <w:r>
              <w:rPr>
                <w:color w:val="1C3A36"/>
                <w:sz w:val="13"/>
              </w:rPr>
              <w:t>the range of the present-value rea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Bear is the free-cash-flow-to-equity read, full the residual-income read, and the central the dividend-discount primary between them. THE ENVELOPE IS NARROW BECAUSE THE THREE LENSES AGREE, AND THAT IS A STATEMENT ABOUT LENS AGREEMENT RATHER THAN ABOUT FORECAST CONFIDENCE. The fundamental walk-forward beneath this study measured a three-year attributable-profit dispersion of x0.29 to x1.48 on eight cells; that distribution sets</w:t>
            </w:r>
          </w:p>
        </w:tc>
      </w:tr>
      <w:tr>
        <w:tc>
          <w:tcPr>
            <w:tcW w:type="dxa" w:w="1800"/>
          </w:tcPr>
          <w:p>
            <w:pPr>
              <w:spacing w:after="20"/>
            </w:pPr>
            <w:r>
              <w:rPr>
                <w:color w:val="1C3A36"/>
                <w:sz w:val="13"/>
              </w:rPr>
              <w:t>base year</w:t>
            </w:r>
          </w:p>
        </w:tc>
        <w:tc>
          <w:tcPr>
            <w:tcW w:type="dxa" w:w="1440"/>
          </w:tcPr>
          <w:p>
            <w:pPr>
              <w:spacing w:after="20"/>
              <w:jc w:val="right"/>
            </w:pPr>
            <w:r>
              <w:rPr>
                <w:color w:val="1C3A36"/>
                <w:sz w:val="13"/>
              </w:rPr>
              <w:t>FY2025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Attributable profit EGP 12,588.6 million, total assets EGP 346,711.2 million, attributable equity EGP 34,596.3 million. Every figure is read from the filing itself and the statement foots.</w:t>
            </w:r>
          </w:p>
        </w:tc>
      </w:tr>
      <w:tr>
        <w:tc>
          <w:tcPr>
            <w:tcW w:type="dxa" w:w="1800"/>
          </w:tcPr>
          <w:p>
            <w:pPr>
              <w:spacing w:after="20"/>
            </w:pPr>
            <w:r>
              <w:rPr>
                <w:color w:val="1C3A36"/>
                <w:sz w:val="13"/>
              </w:rPr>
              <w:t>beta</w:t>
            </w:r>
          </w:p>
        </w:tc>
        <w:tc>
          <w:tcPr>
            <w:tcW w:type="dxa" w:w="1440"/>
          </w:tcPr>
          <w:p>
            <w:pPr>
              <w:spacing w:after="20"/>
              <w:jc w:val="right"/>
            </w:pPr>
            <w:r>
              <w:rPr>
                <w:color w:val="1C3A36"/>
                <w:sz w:val="13"/>
              </w:rPr>
              <w:t>1.07469</w:t>
            </w:r>
          </w:p>
        </w:tc>
        <w:tc>
          <w:tcPr>
            <w:tcW w:type="dxa" w:w="1080"/>
          </w:tcPr>
          <w:p>
            <w:pPr>
              <w:spacing w:after="20"/>
              <w:jc w:val="right"/>
            </w:pPr>
            <w:r>
              <w:rPr>
                <w:color w:val="1C3A36"/>
                <w:sz w:val="13"/>
              </w:rPr>
              <w:t>2026-09-08</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 1.344], Dimson-corrected and matched to the exchange's own trading week (W-THU). The coefficient is</w:t>
            </w:r>
          </w:p>
        </w:tc>
      </w:tr>
      <w:tr>
        <w:tc>
          <w:tcPr>
            <w:tcW w:type="dxa" w:w="1800"/>
          </w:tcPr>
          <w:p>
            <w:pPr>
              <w:spacing w:after="20"/>
            </w:pPr>
            <w:r>
              <w:rPr>
                <w:color w:val="1C3A36"/>
                <w:sz w:val="13"/>
              </w:rPr>
              <w:t>capital increase 2026</w:t>
            </w:r>
          </w:p>
        </w:tc>
        <w:tc>
          <w:tcPr>
            <w:tcW w:type="dxa" w:w="1440"/>
          </w:tcPr>
          <w:p>
            <w:pPr>
              <w:spacing w:after="20"/>
              <w:jc w:val="right"/>
            </w:pPr>
            <w:r>
              <w:rPr>
                <w:color w:val="1C3A36"/>
                <w:sz w:val="13"/>
              </w:rPr>
              <w:t>3000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EGP 3,000 million cash capital increase completed in the first half of 2026, taking issued capital from EGP 12 billion to EGP 15 billion — 300 million new shares at the LE 10 par. IT WAS ISSUED AT PAR, far below book: attributable book value per share was EGP 28.83 at 31 December 2025 on 1,200 million shares and EGP 29.04 at 30 June 2026 on 1,500 million, so a half-year at a 38.6% return on equity bought existing holders 0</w:t>
            </w:r>
          </w:p>
        </w:tc>
      </w:tr>
      <w:tr>
        <w:tc>
          <w:tcPr>
            <w:tcW w:type="dxa" w:w="1800"/>
          </w:tcPr>
          <w:p>
            <w:pPr>
              <w:spacing w:after="20"/>
            </w:pPr>
            <w:r>
              <w:rPr>
                <w:color w:val="1C3A36"/>
                <w:sz w:val="13"/>
              </w:rPr>
              <w:t>cost of funds</w:t>
            </w:r>
          </w:p>
        </w:tc>
        <w:tc>
          <w:tcPr>
            <w:tcW w:type="dxa" w:w="1440"/>
          </w:tcPr>
          <w:p>
            <w:pPr>
              <w:spacing w:after="20"/>
              <w:jc w:val="right"/>
            </w:pPr>
            <w:r>
              <w:rPr>
                <w:color w:val="1C3A36"/>
                <w:sz w:val="13"/>
              </w:rPr>
              <w:t>0.106 / 0.092 / 0.081 / 0.074 / 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Cost of deposits and similar costs over AVERAGE INTEREST-BEARING LIABILITIES — customers' deposits plus due to banks plus subordinated financing, and nothing else. FY2025 actual 11.22%. Total liabilities is NOT the denominator: at FY2025 it would add EGP 17.9 billion of other liabilities, current tax and provisions that pay nothing, and understate the funding rate by about a sixth of itself. The path falls at a deposit beta of</w:t>
            </w:r>
          </w:p>
        </w:tc>
      </w:tr>
      <w:tr>
        <w:tc>
          <w:tcPr>
            <w:tcW w:type="dxa" w:w="1800"/>
          </w:tcPr>
          <w:p>
            <w:pPr>
              <w:spacing w:after="20"/>
            </w:pPr>
            <w:r>
              <w:rPr>
                <w:color w:val="1C3A36"/>
                <w:sz w:val="13"/>
              </w:rPr>
              <w:t>cost of risk</w:t>
            </w:r>
          </w:p>
        </w:tc>
        <w:tc>
          <w:tcPr>
            <w:tcW w:type="dxa" w:w="1440"/>
          </w:tcPr>
          <w:p>
            <w:pPr>
              <w:spacing w:after="20"/>
              <w:jc w:val="right"/>
            </w:pPr>
            <w:r>
              <w:rPr>
                <w:color w:val="1C3A36"/>
                <w:sz w:val="13"/>
              </w:rPr>
              <w:t>0.01 / 0.013 / 0.013 / 0.013 / 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Expected credit losses over AVERAGE net financing to customers. The observed series is 1.64% (FY2022), 2.73% (FY2023), 2.73% (FY2024), 1.25% (FY2025) and effectively ZERO in the June 2026 half — EGP 2.176 million on a EGP 190 billion book. FY2026 is set at 1.00%, above the half-year run rate and below the four-year mean of 2.09%; the outer years at 1.30% sit between the two. ANNUALISING THE JUNE HALF WOULD HAVE ADDED ABOUT EGP</w:t>
            </w:r>
          </w:p>
        </w:tc>
      </w:tr>
      <w:tr>
        <w:tc>
          <w:tcPr>
            <w:tcW w:type="dxa" w:w="1800"/>
          </w:tcPr>
          <w:p>
            <w:pPr>
              <w:spacing w:after="20"/>
            </w:pPr>
            <w:r>
              <w:rPr>
                <w:color w:val="1C3A36"/>
                <w:sz w:val="13"/>
              </w:rPr>
              <w:t>erp</w:t>
            </w:r>
          </w:p>
        </w:tc>
        <w:tc>
          <w:tcPr>
            <w:tcW w:type="dxa" w:w="1440"/>
          </w:tcPr>
          <w:p>
            <w:pPr>
              <w:spacing w:after="20"/>
              <w:jc w:val="right"/>
            </w:pPr>
            <w:r>
              <w:rPr>
                <w:color w:val="1C3A36"/>
                <w:sz w:val="13"/>
              </w:rPr>
              <w:t>0.095164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00"/>
          </w:tcPr>
          <w:p>
            <w:pPr>
              <w:spacing w:after="20"/>
            </w:pPr>
            <w:r>
              <w:rPr>
                <w:color w:val="1C3A36"/>
                <w:sz w:val="13"/>
              </w:rPr>
              <w:t>erp rating</w:t>
            </w:r>
          </w:p>
        </w:tc>
        <w:tc>
          <w:tcPr>
            <w:tcW w:type="dxa" w:w="1440"/>
          </w:tcPr>
          <w:p>
            <w:pPr>
              <w:spacing w:after="20"/>
              <w:jc w:val="right"/>
            </w:pPr>
            <w:r>
              <w:rPr>
                <w:color w:val="1C3A36"/>
                <w:sz w:val="13"/>
              </w:rPr>
              <w:t>0.134806</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rating basis, 13.4806%, same vintage.</w:t>
            </w:r>
          </w:p>
        </w:tc>
      </w:tr>
      <w:tr>
        <w:tc>
          <w:tcPr>
            <w:tcW w:type="dxa" w:w="1800"/>
          </w:tcPr>
          <w:p>
            <w:pPr>
              <w:spacing w:after="20"/>
            </w:pPr>
            <w:r>
              <w:rPr>
                <w:color w:val="1C3A36"/>
                <w:sz w:val="13"/>
              </w:rPr>
              <w:t>erp terminal</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equity risk premium, 7.00%, normalised below today's crisis-era level toward the rating-class norm; never held flat into perpetuity.</w:t>
            </w:r>
          </w:p>
        </w:tc>
      </w:tr>
      <w:tr>
        <w:tc>
          <w:tcPr>
            <w:tcW w:type="dxa" w:w="1800"/>
          </w:tcPr>
          <w:p>
            <w:pPr>
              <w:spacing w:after="20"/>
            </w:pPr>
            <w:r>
              <w:rPr>
                <w:color w:val="1C3A36"/>
                <w:sz w:val="13"/>
              </w:rPr>
              <w:t>fee ratio</w:t>
            </w:r>
          </w:p>
        </w:tc>
        <w:tc>
          <w:tcPr>
            <w:tcW w:type="dxa" w:w="1440"/>
          </w:tcPr>
          <w:p>
            <w:pPr>
              <w:spacing w:after="20"/>
              <w:jc w:val="right"/>
            </w:pPr>
            <w:r>
              <w:rPr>
                <w:color w:val="1C3A36"/>
                <w:sz w:val="13"/>
              </w:rPr>
              <w:t>0.008 / 0.0082 / 0.0084 / 0.0085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fees and commissions over average total assets. FY2025 actual 0.899%; the June 2026 half annualises to 0.797%. The path opens at the reviewed half's level and recovers slowly as trade finance and card income grow with the branch network.</w:t>
            </w:r>
          </w:p>
        </w:tc>
      </w:tr>
      <w:tr>
        <w:tc>
          <w:tcPr>
            <w:tcW w:type="dxa" w:w="1800"/>
          </w:tcPr>
          <w:p>
            <w:pPr>
              <w:spacing w:after="20"/>
            </w:pPr>
            <w:r>
              <w:rPr>
                <w:color w:val="1C3A36"/>
                <w:sz w:val="13"/>
              </w:rPr>
              <w:t>financing growth</w:t>
            </w:r>
          </w:p>
        </w:tc>
        <w:tc>
          <w:tcPr>
            <w:tcW w:type="dxa" w:w="1440"/>
          </w:tcPr>
          <w:p>
            <w:pPr>
              <w:spacing w:after="20"/>
              <w:jc w:val="right"/>
            </w:pPr>
            <w:r>
              <w:rPr>
                <w:color w:val="1C3A36"/>
                <w:sz w:val="13"/>
              </w:rPr>
              <w:t>0.48 / 0.26 / 0.19 / 0.15 / 0.12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financing to customers, year-on-year. FY2026 +48% takes the FY2025 close of EGP 147,226 million to EGP 217,895 million — and the bank was ALREADY at EGP 190,427 million on 30 June, so this asks for only +14.4% in the second half against +29.3% in the first. The path then decays toward nominal GDP. IT IS NOT A FLAT SHARE OF SYSTEM CREDIT, and that is the walk-forward's doing: a flat-share rule under-forecast this name at ev</w:t>
            </w:r>
          </w:p>
        </w:tc>
      </w:tr>
      <w:tr>
        <w:tc>
          <w:tcPr>
            <w:tcW w:type="dxa" w:w="1800"/>
          </w:tcPr>
          <w:p>
            <w:pPr>
              <w:spacing w:after="20"/>
            </w:pPr>
            <w:r>
              <w:rPr>
                <w:color w:val="1C3A36"/>
                <w:sz w:val="13"/>
              </w:rPr>
              <w:t>financing over assets</w:t>
            </w:r>
          </w:p>
        </w:tc>
        <w:tc>
          <w:tcPr>
            <w:tcW w:type="dxa" w:w="1440"/>
          </w:tcPr>
          <w:p>
            <w:pPr>
              <w:spacing w:after="20"/>
              <w:jc w:val="right"/>
            </w:pPr>
            <w:r>
              <w:rPr>
                <w:color w:val="1C3A36"/>
                <w:sz w:val="13"/>
              </w:rPr>
              <w:t>0.47 / 0.485 / 0.5 / 0.51 / 0.52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Financing to customers over total assets. FY2025 actual 42.46%; 30 June 2026 actual 45.96%. The bank is rotating out of treasury bills into customer financing as policy rates fall and bill yields compress, and the path continues that observed rotation at a decelerating pace. Every point is above both observations, which is the assumption, and it is sensitised.</w:t>
            </w:r>
          </w:p>
        </w:tc>
      </w:tr>
      <w:tr>
        <w:tc>
          <w:tcPr>
            <w:tcW w:type="dxa" w:w="1800"/>
          </w:tcPr>
          <w:p>
            <w:pPr>
              <w:spacing w:after="20"/>
            </w:pPr>
            <w:r>
              <w:rPr>
                <w:color w:val="1C3A36"/>
                <w:sz w:val="13"/>
              </w:rPr>
              <w:t>h1 2026 ecl</w:t>
            </w:r>
          </w:p>
        </w:tc>
        <w:tc>
          <w:tcPr>
            <w:tcW w:type="dxa" w:w="1440"/>
          </w:tcPr>
          <w:p>
            <w:pPr>
              <w:spacing w:after="20"/>
              <w:jc w:val="right"/>
            </w:pPr>
            <w:r>
              <w:rPr>
                <w:color w:val="1C3A36"/>
                <w:sz w:val="13"/>
              </w:rPr>
              <w:t>2.176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SINGLE MOST IMPORTANT FACT IN THE BASE YEAR. ADIB-Egypt charged EGP 2.176 million of expected credit losses in the six months to 30 June 2026 — an annualised 0.003% of average financing — against EGP 732.193 million in the same half of 2025 and EGP 1,514.062 million for the whole of FY2025. The line is filed as "Release / (Charge) Expected credit losses", note 11, and the income statement foots on it: every other line on t</w:t>
            </w:r>
          </w:p>
        </w:tc>
      </w:tr>
      <w:tr>
        <w:tc>
          <w:tcPr>
            <w:tcW w:type="dxa" w:w="1800"/>
          </w:tcPr>
          <w:p>
            <w:pPr>
              <w:spacing w:after="20"/>
            </w:pPr>
            <w:r>
              <w:rPr>
                <w:color w:val="1C3A36"/>
                <w:sz w:val="13"/>
              </w:rPr>
              <w:t>ibl over assets</w:t>
            </w:r>
          </w:p>
        </w:tc>
        <w:tc>
          <w:tcPr>
            <w:tcW w:type="dxa" w:w="1440"/>
          </w:tcPr>
          <w:p>
            <w:pPr>
              <w:spacing w:after="20"/>
              <w:jc w:val="right"/>
            </w:pPr>
            <w:r>
              <w:rPr>
                <w:color w:val="1C3A36"/>
                <w:sz w:val="13"/>
              </w:rPr>
              <w:t>0.855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Average interest-bearing liabilities over average total assets, held at the FY2025 observed 85.5%. The bank funds itself with deposits and that ratio has moved within two points across the whole panel.</w:t>
            </w:r>
          </w:p>
        </w:tc>
      </w:tr>
      <w:tr>
        <w:tc>
          <w:tcPr>
            <w:tcW w:type="dxa" w:w="1800"/>
          </w:tcPr>
          <w:p>
            <w:pPr>
              <w:spacing w:after="20"/>
            </w:pPr>
            <w:r>
              <w:rPr>
                <w:color w:val="1C3A36"/>
                <w:sz w:val="13"/>
              </w:rPr>
              <w:t>inflation path</w:t>
            </w:r>
          </w:p>
        </w:tc>
        <w:tc>
          <w:tcPr>
            <w:tcW w:type="dxa" w:w="1440"/>
          </w:tcPr>
          <w:p>
            <w:pPr>
              <w:spacing w:after="20"/>
              <w:jc w:val="right"/>
            </w:pPr>
            <w:r>
              <w:rPr>
                <w:color w:val="1C3A36"/>
                <w:sz w:val="13"/>
              </w:rPr>
              <w:t>0.16 / 0.12 / 0.09 / 0.075 / 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central-bank forecast. Held in the house macroeconomic path, the path every Egyptian study runs on.</w:t>
            </w:r>
          </w:p>
        </w:tc>
      </w:tr>
      <w:tr>
        <w:tc>
          <w:tcPr>
            <w:tcW w:type="dxa" w:w="1800"/>
          </w:tcPr>
          <w:p>
            <w:pPr>
              <w:spacing w:after="20"/>
            </w:pPr>
            <w:r>
              <w:rPr>
                <w:color w:val="1C3A36"/>
                <w:sz w:val="13"/>
              </w:rPr>
              <w:t>ke construction</w:t>
            </w:r>
          </w:p>
        </w:tc>
        <w:tc>
          <w:tcPr>
            <w:tcW w:type="dxa" w:w="1440"/>
          </w:tcPr>
          <w:p>
            <w:pPr>
              <w:spacing w:after="20"/>
              <w:jc w:val="right"/>
            </w:pPr>
            <w:r>
              <w:rPr>
                <w:color w:val="1C3A36"/>
                <w:sz w:val="13"/>
              </w:rPr>
              <w:t>same_beta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terminal cost of equity uses the SAME regression beta as the explicit window. ADIB-Egypt is a deposit-funded bank whose capital structure is its business, so there is no leverage to relever: the beta already embeds the balance sheet it is measured on. The record names the construction from a closed list so that two right answers a hundred basis points apart are not indistinguishable from a typo.</w:t>
            </w:r>
          </w:p>
        </w:tc>
      </w:tr>
      <w:tr>
        <w:tc>
          <w:tcPr>
            <w:tcW w:type="dxa" w:w="1800"/>
          </w:tcPr>
          <w:p>
            <w:pPr>
              <w:spacing w:after="20"/>
            </w:pPr>
            <w:r>
              <w:rPr>
                <w:color w:val="1C3A36"/>
                <w:sz w:val="13"/>
              </w:rPr>
              <w:t>latest reviewed</w:t>
            </w:r>
          </w:p>
        </w:tc>
        <w:tc>
          <w:tcPr>
            <w:tcW w:type="dxa" w:w="1440"/>
          </w:tcPr>
          <w:p>
            <w:pPr>
              <w:spacing w:after="20"/>
              <w:jc w:val="right"/>
            </w:pPr>
            <w:r>
              <w:rPr>
                <w:color w:val="1C3A36"/>
                <w:sz w:val="13"/>
              </w:rPr>
              <w:t>H1-2026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statements for the six months ended 30 June 2026, signed 30 July 2026. Attributable profit EGP 7,536.8 million, total assets EGP 414,302.1 million, financing to customers EGP 190,427.1 million, attributable equity EGP 43,557.9 million. This is the period the forecast is anchored on.</w:t>
            </w:r>
          </w:p>
        </w:tc>
      </w:tr>
      <w:tr>
        <w:tc>
          <w:tcPr>
            <w:tcW w:type="dxa" w:w="1800"/>
          </w:tcPr>
          <w:p>
            <w:pPr>
              <w:spacing w:after="20"/>
            </w:pPr>
            <w:r>
              <w:rPr>
                <w:color w:val="1C3A36"/>
                <w:sz w:val="13"/>
              </w:rPr>
              <w:t>lens architecture</w:t>
            </w:r>
          </w:p>
        </w:tc>
        <w:tc>
          <w:tcPr>
            <w:tcW w:type="dxa" w:w="1440"/>
          </w:tcPr>
          <w:p>
            <w:pPr>
              <w:spacing w:after="20"/>
              <w:jc w:val="right"/>
            </w:pPr>
            <w:r>
              <w:rPr>
                <w:color w:val="1C3A36"/>
                <w:sz w:val="13"/>
              </w:rPr>
              <w:t>class primary = dividend discount;</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bank class is keyed to a dividend-discount PRIMARY with residual income, a relative multiple and book value beside it. The central IS the primary. The envelope is the range of the three present-value reads and no spread is invented around it.</w:t>
            </w:r>
          </w:p>
        </w:tc>
      </w:tr>
      <w:tr>
        <w:tc>
          <w:tcPr>
            <w:tcW w:type="dxa" w:w="1800"/>
          </w:tcPr>
          <w:p>
            <w:pPr>
              <w:spacing w:after="20"/>
            </w:pPr>
            <w:r>
              <w:rPr>
                <w:color w:val="1C3A36"/>
                <w:sz w:val="13"/>
              </w:rPr>
              <w:t>nci share</w:t>
            </w:r>
          </w:p>
        </w:tc>
        <w:tc>
          <w:tcPr>
            <w:tcW w:type="dxa" w:w="1440"/>
          </w:tcPr>
          <w:p>
            <w:pPr>
              <w:spacing w:after="20"/>
              <w:jc w:val="right"/>
            </w:pPr>
            <w:r>
              <w:rPr>
                <w:color w:val="1C3A36"/>
                <w:sz w:val="13"/>
              </w:rPr>
              <w:t>0.001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A</w:t>
            </w:r>
          </w:p>
        </w:tc>
        <w:tc>
          <w:tcPr>
            <w:tcW w:type="dxa" w:w="5040"/>
          </w:tcPr>
          <w:p>
            <w:pPr>
              <w:spacing w:after="20"/>
              <w:jc w:val="right"/>
            </w:pPr>
            <w:r>
              <w:rPr>
                <w:color w:val="1C3A36"/>
                <w:sz w:val="13"/>
              </w:rPr>
              <w:t>Non-controlling interests take 0.10% of net profit — EGP 12.4 million of EGP 12,601.0 million in FY2025. Held at that level; it is immaterial and is carried rather than dropped so the bridge to attributable profit closes.</w:t>
            </w:r>
          </w:p>
        </w:tc>
      </w:tr>
      <w:tr>
        <w:tc>
          <w:tcPr>
            <w:tcW w:type="dxa" w:w="1800"/>
          </w:tcPr>
          <w:p>
            <w:pPr>
              <w:spacing w:after="20"/>
            </w:pPr>
            <w:r>
              <w:rPr>
                <w:color w:val="1C3A36"/>
                <w:sz w:val="13"/>
              </w:rPr>
              <w:t>other nii ratio</w:t>
            </w:r>
          </w:p>
        </w:tc>
        <w:tc>
          <w:tcPr>
            <w:tcW w:type="dxa" w:w="1440"/>
          </w:tcPr>
          <w:p>
            <w:pPr>
              <w:spacing w:after="20"/>
              <w:jc w:val="right"/>
            </w:pPr>
            <w:r>
              <w:rPr>
                <w:color w:val="1C3A36"/>
                <w:sz w:val="13"/>
              </w:rPr>
              <w:t xml:space="preserve">0.0028 / 0.0026 / 0.0024 / 0.0023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Dividends, net trading, share of associates and gains on investments, as one block, over average total assets. FY2025 actual 0.238%; the June 2026 half annualises to 0.372%, flattered by trading gains on a moving currency. The path normalises DOWN toward the FY2022-FY2024 average as the pound settles.</w:t>
            </w:r>
          </w:p>
        </w:tc>
      </w:tr>
      <w:tr>
        <w:tc>
          <w:tcPr>
            <w:tcW w:type="dxa" w:w="1800"/>
          </w:tcPr>
          <w:p>
            <w:pPr>
              <w:spacing w:after="20"/>
            </w:pPr>
            <w:r>
              <w:rPr>
                <w:color w:val="1C3A36"/>
                <w:sz w:val="13"/>
              </w:rPr>
              <w:t>other op ratio</w:t>
            </w:r>
          </w:p>
        </w:tc>
        <w:tc>
          <w:tcPr>
            <w:tcW w:type="dxa" w:w="1440"/>
          </w:tcPr>
          <w:p>
            <w:pPr>
              <w:spacing w:after="20"/>
              <w:jc w:val="right"/>
            </w:pPr>
            <w:r>
              <w:rPr>
                <w:color w:val="1C3A36"/>
                <w:sz w:val="13"/>
              </w:rPr>
              <w:t>-0.0075 / -0.007 / -0.0065 / -0.00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Other operating expenses over average total assets — deposit insurance, central-bank charges and the operating-provision line. FY2025 actual -0.387%; the June 2026 half annualises to -0.797%, more than double. The path opens at the reviewed level and decays, which is the conservative reading of a line that has doubled.</w:t>
            </w:r>
          </w:p>
        </w:tc>
      </w:tr>
      <w:tr>
        <w:tc>
          <w:tcPr>
            <w:tcW w:type="dxa" w:w="1800"/>
          </w:tcPr>
          <w:p>
            <w:pPr>
              <w:spacing w:after="20"/>
            </w:pPr>
            <w:r>
              <w:rPr>
                <w:color w:val="1C3A36"/>
                <w:sz w:val="13"/>
              </w:rPr>
              <w:t>payout</w:t>
            </w:r>
          </w:p>
        </w:tc>
        <w:tc>
          <w:tcPr>
            <w:tcW w:type="dxa" w:w="1440"/>
          </w:tcPr>
          <w:p>
            <w:pPr>
              <w:spacing w:after="20"/>
              <w:jc w:val="right"/>
            </w:pPr>
            <w:r>
              <w:rPr>
                <w:color w:val="1C3A36"/>
                <w:sz w:val="13"/>
              </w:rPr>
              <w:t>DERIVED — see below</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PAYOUT IS NOT TYPED. It is what is left after the balance sheet has taken the capital it needs: payout(t) = 1 - (target equity/assets x the year's asset growth) / attributable profit, floored at zero and capped at 80%. A typed payout path is an assumption about the single thing a growing bank has least discretion over, and typing one made this model's dividend and free-cash-flow lenses disagree by EGP 7 a share while its e</w:t>
            </w:r>
          </w:p>
        </w:tc>
      </w:tr>
      <w:tr>
        <w:tc>
          <w:tcPr>
            <w:tcW w:type="dxa" w:w="1800"/>
          </w:tcPr>
          <w:p>
            <w:pPr>
              <w:spacing w:after="20"/>
            </w:pPr>
            <w:r>
              <w:rPr>
                <w:color w:val="1C3A36"/>
                <w:sz w:val="13"/>
              </w:rPr>
              <w:t>peer comi price</w:t>
            </w:r>
          </w:p>
        </w:tc>
        <w:tc>
          <w:tcPr>
            <w:tcW w:type="dxa" w:w="1440"/>
          </w:tcPr>
          <w:p>
            <w:pPr>
              <w:spacing w:after="20"/>
              <w:jc w:val="right"/>
            </w:pPr>
            <w:r>
              <w:rPr>
                <w:color w:val="1C3A36"/>
                <w:sz w:val="13"/>
              </w:rPr>
              <w:t>138.98</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00"/>
          </w:tcPr>
          <w:p>
            <w:pPr>
              <w:spacing w:after="20"/>
            </w:pPr>
            <w:r>
              <w:rPr>
                <w:color w:val="1C3A36"/>
                <w:sz w:val="13"/>
              </w:rPr>
              <w:t>peer pb band</w:t>
            </w:r>
          </w:p>
        </w:tc>
        <w:tc>
          <w:tcPr>
            <w:tcW w:type="dxa" w:w="1440"/>
          </w:tcPr>
          <w:p>
            <w:pPr>
              <w:spacing w:after="20"/>
              <w:jc w:val="right"/>
            </w:pPr>
            <w:r>
              <w:rPr>
                <w:color w:val="1C3A36"/>
                <w:sz w:val="13"/>
              </w:rPr>
              <w:t>1.4 / 2.2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price-to-book band Egyptian large-cap banks trade in. It is a BAND and not a point because this study could not source a same-day book value for any Egyptian bank other than ADIB itself: the only peer whose price it holds on the same day is CIB, and CIB's own book value is not in this repository. The band is carried as a cross-check on the two cash-flow lenses, weighted at 15%, and it is NOT allowed to set the answer. Wher</w:t>
            </w:r>
          </w:p>
        </w:tc>
      </w:tr>
      <w:tr>
        <w:tc>
          <w:tcPr>
            <w:tcW w:type="dxa" w:w="1800"/>
          </w:tcPr>
          <w:p>
            <w:pPr>
              <w:spacing w:after="20"/>
            </w:pPr>
            <w:r>
              <w:rPr>
                <w:color w:val="1C3A36"/>
                <w:sz w:val="13"/>
              </w:rPr>
              <w:t>peer pe band</w:t>
            </w:r>
          </w:p>
        </w:tc>
        <w:tc>
          <w:tcPr>
            <w:tcW w:type="dxa" w:w="1440"/>
          </w:tcPr>
          <w:p>
            <w:pPr>
              <w:spacing w:after="20"/>
              <w:jc w:val="right"/>
            </w:pPr>
            <w:r>
              <w:rPr>
                <w:color w:val="1C3A36"/>
                <w:sz w:val="13"/>
              </w:rPr>
              <w:t>5.5 / 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trailing price-to-earnings band for the same group, on the same caveat.</w:t>
            </w:r>
          </w:p>
        </w:tc>
      </w:tr>
      <w:tr>
        <w:tc>
          <w:tcPr>
            <w:tcW w:type="dxa" w:w="1800"/>
          </w:tcPr>
          <w:p>
            <w:pPr>
              <w:spacing w:after="20"/>
            </w:pPr>
            <w:r>
              <w:rPr>
                <w:color w:val="1C3A36"/>
                <w:sz w:val="13"/>
              </w:rPr>
              <w:t>policy rate path</w:t>
            </w:r>
          </w:p>
        </w:tc>
        <w:tc>
          <w:tcPr>
            <w:tcW w:type="dxa" w:w="1440"/>
          </w:tcPr>
          <w:p>
            <w:pPr>
              <w:spacing w:after="20"/>
              <w:jc w:val="right"/>
            </w:pPr>
            <w:r>
              <w:rPr>
                <w:color w:val="1C3A36"/>
                <w:sz w:val="13"/>
              </w:rPr>
              <w:t>0.19 / 0.165 / 0.145 / 0.13 / 0.12</w:t>
            </w:r>
          </w:p>
        </w:tc>
        <w:tc>
          <w:tcPr>
            <w:tcW w:type="dxa" w:w="1080"/>
          </w:tcPr>
          <w:p>
            <w:pPr>
              <w:spacing w:after="20"/>
              <w:jc w:val="right"/>
            </w:pPr>
            <w:r>
              <w:rPr>
                <w:color w:val="1C3A36"/>
                <w:sz w:val="13"/>
              </w:rPr>
              <w:t>2026-08-20</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parameter and no valuation input is set from it independently.</w:t>
            </w:r>
          </w:p>
        </w:tc>
      </w:tr>
      <w:tr>
        <w:tc>
          <w:tcPr>
            <w:tcW w:type="dxa" w:w="1800"/>
          </w:tcPr>
          <w:p>
            <w:pPr>
              <w:spacing w:after="20"/>
            </w:pPr>
            <w:r>
              <w:rPr>
                <w:color w:val="1C3A36"/>
                <w:sz w:val="13"/>
              </w:rPr>
              <w:t>rf</w:t>
            </w:r>
          </w:p>
        </w:tc>
        <w:tc>
          <w:tcPr>
            <w:tcW w:type="dxa" w:w="1440"/>
          </w:tcPr>
          <w:p>
            <w:pPr>
              <w:spacing w:after="20"/>
              <w:jc w:val="right"/>
            </w:pPr>
            <w:r>
              <w:rPr>
                <w:color w:val="1C3A36"/>
                <w:sz w:val="13"/>
              </w:rPr>
              <w:t>0.23</w:t>
            </w:r>
          </w:p>
        </w:tc>
        <w:tc>
          <w:tcPr>
            <w:tcW w:type="dxa" w:w="1080"/>
          </w:tcPr>
          <w:p>
            <w:pPr>
              <w:spacing w:after="20"/>
              <w:jc w:val="right"/>
            </w:pPr>
            <w:r>
              <w:rPr>
                <w:color w:val="1C3A36"/>
                <w:sz w:val="13"/>
              </w:rPr>
              <w:t>2026-08-06</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attempted on 9 September 2026 down four routes and all four failed: the central bank's treasury-bond auction</w:t>
            </w:r>
          </w:p>
        </w:tc>
      </w:tr>
      <w:tr>
        <w:tc>
          <w:tcPr>
            <w:tcW w:type="dxa" w:w="1800"/>
          </w:tcPr>
          <w:p>
            <w:pPr>
              <w:spacing w:after="20"/>
            </w:pPr>
            <w:r>
              <w:rPr>
                <w:color w:val="1C3A36"/>
                <w:sz w:val="13"/>
              </w:rPr>
              <w:t>rf terminal</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00"/>
          </w:tcPr>
          <w:p>
            <w:pPr>
              <w:spacing w:after="20"/>
            </w:pPr>
            <w:r>
              <w:rPr>
                <w:color w:val="1C3A36"/>
                <w:sz w:val="13"/>
              </w:rPr>
              <w:t>shares</w:t>
            </w:r>
          </w:p>
        </w:tc>
        <w:tc>
          <w:tcPr>
            <w:tcW w:type="dxa" w:w="1440"/>
          </w:tcPr>
          <w:p>
            <w:pPr>
              <w:spacing w:after="20"/>
              <w:jc w:val="right"/>
            </w:pPr>
            <w:r>
              <w:rPr>
                <w:color w:val="1C3A36"/>
                <w:sz w:val="13"/>
              </w:rPr>
              <w:t>1500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ADIB-Egypt issued and paid-up capital of EGP 15,000,000 thousand at 30 June 2026, over the LE 10 par value the filings state (FY2018 note 34/2), = 1,500 million shares. THE CAPITAL FIGURE IS PROVED BY THE EQUITY BLOCK'S OWN ARITHMETIC RATHER THAN BY THE OCR: attributable equity of 43,557,932 less the subordinated-financing difference of 16,454 leaves 43,541,478 for capital plus reserves plus retained earnings; retained earning</w:t>
            </w:r>
          </w:p>
        </w:tc>
      </w:tr>
      <w:tr>
        <w:tc>
          <w:tcPr>
            <w:tcW w:type="dxa" w:w="1800"/>
          </w:tcPr>
          <w:p>
            <w:pPr>
              <w:spacing w:after="20"/>
            </w:pPr>
            <w:r>
              <w:rPr>
                <w:color w:val="1C3A36"/>
                <w:sz w:val="13"/>
              </w:rPr>
              <w:t>sov default spread</w:t>
            </w:r>
          </w:p>
        </w:tc>
        <w:tc>
          <w:tcPr>
            <w:tcW w:type="dxa" w:w="1440"/>
          </w:tcPr>
          <w:p>
            <w:pPr>
              <w:spacing w:after="20"/>
              <w:jc w:val="right"/>
            </w:pPr>
            <w:r>
              <w:rPr>
                <w:color w:val="1C3A36"/>
                <w:sz w:val="13"/>
              </w:rPr>
              <w:t>0.0342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 path carries 3.41% for the same field from the same file; the one-basis-point difference is a round</w:t>
            </w:r>
          </w:p>
        </w:tc>
      </w:tr>
      <w:tr>
        <w:tc>
          <w:tcPr>
            <w:tcW w:type="dxa" w:w="1800"/>
          </w:tcPr>
          <w:p>
            <w:pPr>
              <w:spacing w:after="20"/>
            </w:pPr>
            <w:r>
              <w:rPr>
                <w:color w:val="1C3A36"/>
                <w:sz w:val="13"/>
              </w:rPr>
              <w:t>sov default spread rating</w:t>
            </w:r>
          </w:p>
        </w:tc>
        <w:tc>
          <w:tcPr>
            <w:tcW w:type="dxa" w:w="1440"/>
          </w:tcPr>
          <w:p>
            <w:pPr>
              <w:spacing w:after="20"/>
              <w:jc w:val="right"/>
            </w:pPr>
            <w:r>
              <w:rPr>
                <w:color w:val="1C3A36"/>
                <w:sz w:val="13"/>
              </w:rPr>
              <w:t>0.059702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adjusted default spread on the rating basis (Moody's Caa1), 5.9702%, same vintage — the alternative construction, published for the audit trail and never mixed with the CDS basis.</w:t>
            </w:r>
          </w:p>
        </w:tc>
      </w:tr>
      <w:tr>
        <w:tc>
          <w:tcPr>
            <w:tcW w:type="dxa" w:w="1800"/>
          </w:tcPr>
          <w:p>
            <w:pPr>
              <w:spacing w:after="20"/>
            </w:pPr>
            <w:r>
              <w:rPr>
                <w:color w:val="1C3A36"/>
                <w:sz w:val="13"/>
              </w:rPr>
              <w:t>spot</w:t>
            </w:r>
          </w:p>
        </w:tc>
        <w:tc>
          <w:tcPr>
            <w:tcW w:type="dxa" w:w="1440"/>
          </w:tcPr>
          <w:p>
            <w:pPr>
              <w:spacing w:after="20"/>
              <w:jc w:val="right"/>
            </w:pPr>
            <w:r>
              <w:rPr>
                <w:color w:val="1C3A36"/>
                <w:sz w:val="13"/>
              </w:rPr>
              <w:t>52.05</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audited against nothing.</w:t>
            </w:r>
          </w:p>
        </w:tc>
      </w:tr>
      <w:tr>
        <w:tc>
          <w:tcPr>
            <w:tcW w:type="dxa" w:w="1800"/>
          </w:tcPr>
          <w:p>
            <w:pPr>
              <w:spacing w:after="20"/>
            </w:pPr>
            <w:r>
              <w:rPr>
                <w:color w:val="1C3A36"/>
                <w:sz w:val="13"/>
              </w:rPr>
              <w:t>target equity assets</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Attributable equity to total assets, held at 10.5% — the level ADIB-Egypt actually stood at on 30 June 2026 after its EGP 3 billion cash increase, against 9.98% at the FY2025 year end. THIS IS THE BINDING CONSTRAINT ON A GROWING BANK and the model pins the RATIO, not the increment: equity each year is 10.5% of that year's assets and the dividend is whatever profit is left after getting there. A bank growing its balance sheet 3</w:t>
            </w:r>
          </w:p>
        </w:tc>
      </w:tr>
      <w:tr>
        <w:tc>
          <w:tcPr>
            <w:tcW w:type="dxa" w:w="1800"/>
          </w:tcPr>
          <w:p>
            <w:pPr>
              <w:spacing w:after="20"/>
            </w:pPr>
            <w:r>
              <w:rPr>
                <w:color w:val="1C3A36"/>
                <w:sz w:val="13"/>
              </w:rPr>
              <w:t>tax rate</w:t>
            </w:r>
          </w:p>
        </w:tc>
        <w:tc>
          <w:tcPr>
            <w:tcW w:type="dxa" w:w="1440"/>
          </w:tcPr>
          <w:p>
            <w:pPr>
              <w:spacing w:after="20"/>
              <w:jc w:val="right"/>
            </w:pPr>
            <w:r>
              <w:rPr>
                <w:color w:val="1C3A36"/>
                <w:sz w:val="13"/>
              </w:rPr>
              <w:t>0.285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Effective tax rate. FY2025 actual 27.92%, FY2024 26.64%, the June 2026 half 29.58%. The Egyptian statutory corporate rate is 22.5%; an Egyptian bank pays materially more because the 20% withholding on treasury-bill income is not creditable and part of its cost base is disallowed. 28.5% sits inside the observed range and above the statutory rate for that reason.</w:t>
            </w:r>
          </w:p>
        </w:tc>
      </w:tr>
      <w:tr>
        <w:tc>
          <w:tcPr>
            <w:tcW w:type="dxa" w:w="1800"/>
          </w:tcPr>
          <w:p>
            <w:pPr>
              <w:spacing w:after="20"/>
            </w:pPr>
            <w:r>
              <w:rPr>
                <w:color w:val="1C3A36"/>
                <w:sz w:val="13"/>
              </w:rPr>
              <w:t>terminal growth</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equals the inflation inside it, so the terminal cannot grow faster than the money it is discounted in.</w:t>
            </w:r>
          </w:p>
        </w:tc>
      </w:tr>
    </w:tbl>
    <w:p>
      <w:pPr>
        <w:spacing w:after="40"/>
      </w:pPr>
    </w:p>
    <w:p>
      <w:pPr>
        <w:spacing w:after="200" w:before="0"/>
      </w:pPr>
      <w:r>
        <w:rPr>
          <w:b w:val="0"/>
          <w:i/>
          <w:color w:val="6E7B77"/>
          <w:sz w:val="17"/>
        </w:rPr>
        <w:t>Table 2 — the full input register.</w:t>
      </w:r>
    </w:p>
    <w:p>
      <w:pPr>
        <w:spacing w:after="120" w:before="280"/>
      </w:pPr>
      <w:r>
        <w:rPr>
          <w:b/>
          <w:i w:val="0"/>
          <w:color w:val="1C3A36"/>
          <w:sz w:val="30"/>
        </w:rPr>
        <w:t>3  Judgements,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600"/>
        <w:gridCol w:w="4320"/>
      </w:tblGrid>
      <w:tr>
        <w:tc>
          <w:tcPr>
            <w:tcW w:type="dxa" w:w="2160"/>
            <w:shd w:val="clear" w:color="auto" w:fill="EAF0EE"/>
          </w:tcPr>
          <w:p>
            <w:pPr>
              <w:spacing w:after="20"/>
            </w:pPr>
            <w:r>
              <w:rPr>
                <w:b/>
                <w:color w:val="1C3A36"/>
                <w:sz w:val="15"/>
              </w:rPr>
              <w:t>Judgement</w:t>
            </w:r>
          </w:p>
        </w:tc>
        <w:tc>
          <w:tcPr>
            <w:tcW w:type="dxa" w:w="3600"/>
            <w:shd w:val="clear" w:color="auto" w:fill="EAF0EE"/>
          </w:tcPr>
          <w:p>
            <w:pPr>
              <w:spacing w:after="20"/>
            </w:pPr>
            <w:r>
              <w:rPr>
                <w:b/>
                <w:color w:val="1C3A36"/>
                <w:sz w:val="15"/>
              </w:rPr>
              <w:t>What it is</w:t>
            </w:r>
          </w:p>
        </w:tc>
        <w:tc>
          <w:tcPr>
            <w:tcW w:type="dxa" w:w="432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cost of risk</w:t>
            </w:r>
          </w:p>
        </w:tc>
        <w:tc>
          <w:tcPr>
            <w:tcW w:type="dxa" w:w="3600"/>
          </w:tcPr>
          <w:p>
            <w:pPr>
              <w:spacing w:after="20"/>
              <w:jc w:val="right"/>
            </w:pPr>
            <w:r>
              <w:rPr>
                <w:color w:val="1C3A36"/>
                <w:sz w:val="15"/>
              </w:rPr>
              <w:t>1.00% of average financing in FY2026 and 1.30% thereafter, against a FY2022-25 mean of 2.09% and a June-2026 half of effectively zero</w:t>
            </w:r>
          </w:p>
        </w:tc>
        <w:tc>
          <w:tcPr>
            <w:tcW w:type="dxa" w:w="4320"/>
          </w:tcPr>
          <w:p>
            <w:pPr>
              <w:spacing w:after="20"/>
              <w:jc w:val="right"/>
            </w:pPr>
            <w:r>
              <w:rPr>
                <w:color w:val="1C3A36"/>
                <w:sz w:val="15"/>
              </w:rPr>
              <w:t>A third-quarter 2026 charge still near zero would say the release is structural and the assumption too harsh. A charge back above 2% would say the opposite. This is the single most consequential judgement in the study and it is worth EGP 10.86 a share.</w:t>
            </w:r>
          </w:p>
        </w:tc>
      </w:tr>
      <w:tr>
        <w:tc>
          <w:tcPr>
            <w:tcW w:type="dxa" w:w="2160"/>
          </w:tcPr>
          <w:p>
            <w:pPr>
              <w:spacing w:after="20"/>
            </w:pPr>
            <w:r>
              <w:rPr>
                <w:color w:val="1C3A36"/>
                <w:sz w:val="15"/>
              </w:rPr>
              <w:t>The share of Egyptian credit rises</w:t>
            </w:r>
          </w:p>
        </w:tc>
        <w:tc>
          <w:tcPr>
            <w:tcW w:type="dxa" w:w="3600"/>
          </w:tcPr>
          <w:p>
            <w:pPr>
              <w:spacing w:after="20"/>
              <w:jc w:val="right"/>
            </w:pPr>
            <w:r>
              <w:rPr>
                <w:color w:val="1C3A36"/>
                <w:sz w:val="15"/>
              </w:rPr>
              <w:t>financing grows at 2.26x nominal GDP in 2026, decaying to parity by 2030, taking the bank from 3.14% of Egyptian private credit to 4.42%</w:t>
            </w:r>
          </w:p>
        </w:tc>
        <w:tc>
          <w:tcPr>
            <w:tcW w:type="dxa" w:w="4320"/>
          </w:tcPr>
          <w:p>
            <w:pPr>
              <w:spacing w:after="20"/>
              <w:jc w:val="right"/>
            </w:pPr>
            <w:r>
              <w:rPr>
                <w:color w:val="1C3A36"/>
                <w:sz w:val="15"/>
              </w:rPr>
              <w:t>Two consecutive halves of financing growth at or below nominal GDP. The walk-forward beneath this study measured the historical drift at about 8.7% a year for a decade, so the assumption is slower than history and faster than none.</w:t>
            </w:r>
          </w:p>
        </w:tc>
      </w:tr>
      <w:tr>
        <w:tc>
          <w:tcPr>
            <w:tcW w:type="dxa" w:w="2160"/>
          </w:tcPr>
          <w:p>
            <w:pPr>
              <w:spacing w:after="20"/>
            </w:pPr>
            <w:r>
              <w:rPr>
                <w:color w:val="1C3A36"/>
                <w:sz w:val="15"/>
              </w:rPr>
              <w:t>The margin compresses with the policy glide</w:t>
            </w:r>
          </w:p>
        </w:tc>
        <w:tc>
          <w:tcPr>
            <w:tcW w:type="dxa" w:w="3600"/>
          </w:tcPr>
          <w:p>
            <w:pPr>
              <w:spacing w:after="20"/>
              <w:jc w:val="right"/>
            </w:pPr>
            <w:r>
              <w:rPr>
                <w:color w:val="1C3A36"/>
                <w:sz w:val="15"/>
              </w:rPr>
              <w:t>asset yield falls at about 0.75 of the central bank's published path and the cost of funds at about 0.80, so the margin goes from 6.64% to 4.81%</w:t>
            </w:r>
          </w:p>
        </w:tc>
        <w:tc>
          <w:tcPr>
            <w:tcW w:type="dxa" w:w="4320"/>
          </w:tcPr>
          <w:p>
            <w:pPr>
              <w:spacing w:after="20"/>
              <w:jc w:val="right"/>
            </w:pPr>
            <w:r>
              <w:rPr>
                <w:color w:val="1C3A36"/>
                <w:sz w:val="15"/>
              </w:rPr>
              <w:t>A half in which the margin holds while the policy rate falls. The Islamic financing book prices at origination for its whole term, so the mix could slow the repricing more than assumed — which would RAISE the value.</w:t>
            </w:r>
          </w:p>
        </w:tc>
      </w:tr>
      <w:tr>
        <w:tc>
          <w:tcPr>
            <w:tcW w:type="dxa" w:w="2160"/>
          </w:tcPr>
          <w:p>
            <w:pPr>
              <w:spacing w:after="20"/>
            </w:pPr>
            <w:r>
              <w:rPr>
                <w:color w:val="1C3A36"/>
                <w:sz w:val="15"/>
              </w:rPr>
              <w:t>Equity is pinned at 10.5% of assets</w:t>
            </w:r>
          </w:p>
        </w:tc>
        <w:tc>
          <w:tcPr>
            <w:tcW w:type="dxa" w:w="3600"/>
          </w:tcPr>
          <w:p>
            <w:pPr>
              <w:spacing w:after="20"/>
              <w:jc w:val="right"/>
            </w:pPr>
            <w:r>
              <w:rPr>
                <w:color w:val="1C3A36"/>
                <w:sz w:val="15"/>
              </w:rPr>
              <w:t>the level the bank actually stood at on 30 June 2026, and the constraint that makes the dividend what is left rather than what is chosen</w:t>
            </w:r>
          </w:p>
        </w:tc>
        <w:tc>
          <w:tcPr>
            <w:tcW w:type="dxa" w:w="4320"/>
          </w:tcPr>
          <w:p>
            <w:pPr>
              <w:spacing w:after="20"/>
              <w:jc w:val="right"/>
            </w:pPr>
            <w:r>
              <w:rPr>
                <w:color w:val="1C3A36"/>
                <w:sz w:val="15"/>
              </w:rPr>
              <w:t>A disclosed regulatory capital target materially different from it, or a balance sheet run at a visibly lower ratio for two years.</w:t>
            </w:r>
          </w:p>
        </w:tc>
      </w:tr>
      <w:tr>
        <w:tc>
          <w:tcPr>
            <w:tcW w:type="dxa" w:w="2160"/>
          </w:tcPr>
          <w:p>
            <w:pPr>
              <w:spacing w:after="20"/>
            </w:pPr>
            <w:r>
              <w:rPr>
                <w:color w:val="1C3A36"/>
                <w:sz w:val="15"/>
              </w:rPr>
              <w:t>The cost of equity is 29.81%</w:t>
            </w:r>
          </w:p>
        </w:tc>
        <w:tc>
          <w:tcPr>
            <w:tcW w:type="dxa" w:w="3600"/>
          </w:tcPr>
          <w:p>
            <w:pPr>
              <w:spacing w:after="20"/>
              <w:jc w:val="right"/>
            </w:pPr>
            <w:r>
              <w:rPr>
                <w:color w:val="1C3A36"/>
                <w:sz w:val="15"/>
              </w:rPr>
              <w:t>a 23.00% ten-year yield less a 3.42% sovereign spread, plus a 1.0747 beta times a 9.5164% total equity premium</w:t>
            </w:r>
          </w:p>
        </w:tc>
        <w:tc>
          <w:tcPr>
            <w:tcW w:type="dxa" w:w="4320"/>
          </w:tcPr>
          <w:p>
            <w:pPr>
              <w:spacing w:after="20"/>
              <w:jc w:val="right"/>
            </w:pPr>
            <w:r>
              <w:rPr>
                <w:color w:val="1C3A36"/>
                <w:sz w:val="15"/>
              </w:rPr>
              <w:t>A CURRENT ten-year yield. The one carried is 34 days old and the only recent market evidence found is 171 basis points lower. At 21.29% the central is EGP 43.74 rather than EGP 37.18.</w:t>
            </w:r>
          </w:p>
        </w:tc>
      </w:tr>
      <w:tr>
        <w:tc>
          <w:tcPr>
            <w:tcW w:type="dxa" w:w="2160"/>
          </w:tcPr>
          <w:p>
            <w:pPr>
              <w:spacing w:after="20"/>
            </w:pPr>
            <w:r>
              <w:rPr>
                <w:color w:val="1C3A36"/>
                <w:sz w:val="15"/>
              </w:rPr>
              <w:t>Terminal growth is 7.00%</w:t>
            </w:r>
          </w:p>
        </w:tc>
        <w:tc>
          <w:tcPr>
            <w:tcW w:type="dxa" w:w="3600"/>
          </w:tcPr>
          <w:p>
            <w:pPr>
              <w:spacing w:after="20"/>
              <w:jc w:val="right"/>
            </w:pPr>
            <w:r>
              <w:rPr>
                <w:color w:val="1C3A36"/>
                <w:sz w:val="15"/>
              </w:rPr>
              <w:t>equal to terminal inflation — zero real growth in perpetuity</w:t>
            </w:r>
          </w:p>
        </w:tc>
        <w:tc>
          <w:tcPr>
            <w:tcW w:type="dxa" w:w="4320"/>
          </w:tcPr>
          <w:p>
            <w:pPr>
              <w:spacing w:after="20"/>
              <w:jc w:val="right"/>
            </w:pPr>
            <w:r>
              <w:rPr>
                <w:color w:val="1C3A36"/>
                <w:sz w:val="15"/>
              </w:rPr>
              <w:t>Nothing in the evidence; it is deliberately the conservative end. A bank in an economy with private credit at 26% of GDP growing at zero real for ever is an assumption against value, and it is worth about 1.4% per percentage point.</w:t>
            </w:r>
          </w:p>
        </w:tc>
      </w:tr>
    </w:tbl>
    <w:p>
      <w:pPr>
        <w:spacing w:after="40"/>
      </w:pPr>
    </w:p>
    <w:p>
      <w:pPr>
        <w:spacing w:after="200" w:before="0"/>
      </w:pPr>
      <w:r>
        <w:rPr>
          <w:b w:val="0"/>
          <w:i/>
          <w:color w:val="6E7B77"/>
          <w:sz w:val="17"/>
        </w:rPr>
        <w:t>Table 3 — every judgement, and the observation that would kill it.</w:t>
      </w:r>
    </w:p>
    <w:p>
      <w:pPr>
        <w:spacing w:after="120" w:before="280"/>
      </w:pPr>
      <w:r>
        <w:rPr>
          <w:b/>
          <w:i w:val="0"/>
          <w:color w:val="1C3A36"/>
          <w:sz w:val="30"/>
        </w:rPr>
        <w:t>4  Negative results — what was looked for and not found</w:t>
      </w:r>
    </w:p>
    <w:p>
      <w:pPr>
        <w:spacing w:after="120" w:before="0"/>
      </w:pPr>
      <w:r>
        <w:rPr>
          <w:b w:val="0"/>
          <w:i w:val="0"/>
          <w:color w:val="1C3A36"/>
          <w:sz w:val="21"/>
        </w:rPr>
        <w:t>A source that would not yield is a fact worth recording. These are the attempts that failed,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4176"/>
        <w:gridCol w:w="3456"/>
      </w:tblGrid>
      <w:tr>
        <w:tc>
          <w:tcPr>
            <w:tcW w:type="dxa" w:w="2448"/>
            <w:shd w:val="clear" w:color="auto" w:fill="EAF0EE"/>
          </w:tcPr>
          <w:p>
            <w:pPr>
              <w:spacing w:after="20"/>
            </w:pPr>
            <w:r>
              <w:rPr>
                <w:b/>
                <w:color w:val="1C3A36"/>
                <w:sz w:val="14"/>
              </w:rPr>
              <w:t>What was sought</w:t>
            </w:r>
          </w:p>
        </w:tc>
        <w:tc>
          <w:tcPr>
            <w:tcW w:type="dxa" w:w="4176"/>
            <w:shd w:val="clear" w:color="auto" w:fill="EAF0EE"/>
          </w:tcPr>
          <w:p>
            <w:pPr>
              <w:spacing w:after="20"/>
            </w:pPr>
            <w:r>
              <w:rPr>
                <w:b/>
                <w:color w:val="1C3A36"/>
                <w:sz w:val="14"/>
              </w:rPr>
              <w:t>What happened</w:t>
            </w:r>
          </w:p>
        </w:tc>
        <w:tc>
          <w:tcPr>
            <w:tcW w:type="dxa" w:w="3456"/>
            <w:shd w:val="clear" w:color="auto" w:fill="EAF0EE"/>
          </w:tcPr>
          <w:p>
            <w:pPr>
              <w:spacing w:after="20"/>
            </w:pPr>
            <w:r>
              <w:rPr>
                <w:b/>
                <w:color w:val="1C3A36"/>
                <w:sz w:val="14"/>
              </w:rPr>
              <w:t>What was done instead</w:t>
            </w:r>
          </w:p>
        </w:tc>
      </w:tr>
      <w:tr>
        <w:tc>
          <w:tcPr>
            <w:tcW w:type="dxa" w:w="2448"/>
          </w:tcPr>
          <w:p>
            <w:pPr>
              <w:spacing w:after="20"/>
            </w:pPr>
            <w:r>
              <w:rPr>
                <w:color w:val="1C3A36"/>
                <w:sz w:val="14"/>
              </w:rPr>
              <w:t>ADIB-Egypt IR (trailing slash + /en/ prefix)</w:t>
            </w:r>
          </w:p>
        </w:tc>
        <w:tc>
          <w:tcPr>
            <w:tcW w:type="dxa" w:w="4176"/>
          </w:tcPr>
          <w:p>
            <w:pPr>
              <w:spacing w:after="20"/>
              <w:jc w:val="right"/>
            </w:pPr>
            <w:r>
              <w:rPr>
                <w:color w:val="1C3A36"/>
                <w:sz w:val="14"/>
              </w:rPr>
              <w:t>REJECTED by the site WAF ("Request Rejected", support ID returned). The path without the /en/ prefix serves the same page and was used.</w:t>
            </w:r>
          </w:p>
        </w:tc>
        <w:tc>
          <w:tcPr>
            <w:tcW w:type="dxa" w:w="3456"/>
          </w:tcPr>
          <w:p>
            <w:pPr>
              <w:spacing w:after="20"/>
              <w:jc w:val="right"/>
            </w:pPr>
            <w:r>
              <w:rPr>
                <w:color w:val="1C3A36"/>
                <w:sz w:val="14"/>
              </w:rPr>
            </w:r>
          </w:p>
        </w:tc>
      </w:tr>
      <w:tr>
        <w:tc>
          <w:tcPr>
            <w:tcW w:type="dxa" w:w="2448"/>
          </w:tcPr>
          <w:p>
            <w:pPr>
              <w:spacing w:after="20"/>
            </w:pPr>
            <w:r>
              <w:rPr>
                <w:color w:val="1C3A36"/>
                <w:sz w:val="14"/>
              </w:rPr>
              <w:t>FY2021 English consolidated, alternative names</w:t>
            </w:r>
          </w:p>
        </w:tc>
        <w:tc>
          <w:tcPr>
            <w:tcW w:type="dxa" w:w="4176"/>
          </w:tcPr>
          <w:p>
            <w:pPr>
              <w:spacing w:after="20"/>
              <w:jc w:val="right"/>
            </w:pPr>
            <w:r>
              <w:rPr>
                <w:color w:val="1C3A36"/>
                <w:sz w:val="14"/>
              </w:rPr>
              <w:t>404 on both</w:t>
            </w:r>
          </w:p>
        </w:tc>
        <w:tc>
          <w:tcPr>
            <w:tcW w:type="dxa" w:w="3456"/>
          </w:tcPr>
          <w:p>
            <w:pPr>
              <w:spacing w:after="20"/>
              <w:jc w:val="right"/>
            </w:pPr>
            <w:r>
              <w:rPr>
                <w:color w:val="1C3A36"/>
                <w:sz w:val="14"/>
              </w:rPr>
            </w:r>
          </w:p>
        </w:tc>
      </w:tr>
      <w:tr>
        <w:tc>
          <w:tcPr>
            <w:tcW w:type="dxa" w:w="2448"/>
          </w:tcPr>
          <w:p>
            <w:pPr>
              <w:spacing w:after="20"/>
            </w:pPr>
            <w:r>
              <w:rPr>
                <w:color w:val="1C3A36"/>
                <w:sz w:val="14"/>
              </w:rPr>
              <w:t>FY2021 standalone English</w:t>
            </w:r>
          </w:p>
        </w:tc>
        <w:tc>
          <w:tcPr>
            <w:tcW w:type="dxa" w:w="4176"/>
          </w:tcPr>
          <w:p>
            <w:pPr>
              <w:spacing w:after="20"/>
              <w:jc w:val="right"/>
            </w:pPr>
            <w:r>
              <w:rPr>
                <w:color w:val="1C3A36"/>
                <w:sz w:val="14"/>
              </w:rPr>
              <w:t>200 - standalone, not consolidated; NOT used, the panel is consolidated throughout</w:t>
            </w:r>
          </w:p>
        </w:tc>
        <w:tc>
          <w:tcPr>
            <w:tcW w:type="dxa" w:w="3456"/>
          </w:tcPr>
          <w:p>
            <w:pPr>
              <w:spacing w:after="20"/>
              <w:jc w:val="right"/>
            </w:pPr>
            <w:r>
              <w:rPr>
                <w:color w:val="1C3A36"/>
                <w:sz w:val="14"/>
              </w:rPr>
            </w:r>
          </w:p>
        </w:tc>
      </w:tr>
      <w:tr>
        <w:tc>
          <w:tcPr>
            <w:tcW w:type="dxa" w:w="2448"/>
          </w:tcPr>
          <w:p>
            <w:pPr>
              <w:spacing w:after="20"/>
            </w:pPr>
            <w:r>
              <w:rPr>
                <w:color w:val="1C3A36"/>
                <w:sz w:val="14"/>
              </w:rPr>
              <w:t>Board of Directors report FY2023</w:t>
            </w:r>
          </w:p>
        </w:tc>
        <w:tc>
          <w:tcPr>
            <w:tcW w:type="dxa" w:w="4176"/>
          </w:tcPr>
          <w:p>
            <w:pPr>
              <w:spacing w:after="20"/>
              <w:jc w:val="right"/>
            </w:pPr>
            <w:r>
              <w:rPr>
                <w:color w:val="1C3A36"/>
                <w:sz w:val="14"/>
              </w:rPr>
              <w:t>curl refused the unencoded space in the path; not retried, the FY2023 audited statements carry everything this run needs</w:t>
            </w:r>
          </w:p>
        </w:tc>
        <w:tc>
          <w:tcPr>
            <w:tcW w:type="dxa" w:w="3456"/>
          </w:tcPr>
          <w:p>
            <w:pPr>
              <w:spacing w:after="20"/>
              <w:jc w:val="right"/>
            </w:pPr>
            <w:r>
              <w:rPr>
                <w:color w:val="1C3A36"/>
                <w:sz w:val="14"/>
              </w:rPr>
            </w:r>
          </w:p>
        </w:tc>
      </w:tr>
      <w:tr>
        <w:tc>
          <w:tcPr>
            <w:tcW w:type="dxa" w:w="2448"/>
          </w:tcPr>
          <w:p>
            <w:pPr>
              <w:spacing w:after="20"/>
            </w:pPr>
            <w:r>
              <w:rPr>
                <w:color w:val="1C3A36"/>
                <w:sz w:val="14"/>
              </w:rPr>
              <w:t>A current Egyptian ten-year government bond yield</w:t>
            </w:r>
          </w:p>
        </w:tc>
        <w:tc>
          <w:tcPr>
            <w:tcW w:type="dxa" w:w="4176"/>
          </w:tcPr>
          <w:p>
            <w:pPr>
              <w:spacing w:after="20"/>
              <w:jc w:val="right"/>
            </w:pPr>
            <w:r>
              <w:rPr>
                <w:color w:val="1C3A36"/>
                <w:sz w:val="14"/>
              </w:rPr>
              <w:t>FOUR ROUTES, ALL FAILED on 9 September 2026: the central bank's treasury-bond auction pages return 404; its auction endpoint returns the website shell rather than data; two market-data providers render their yield tables in JavaScript, and one returns 403.</w:t>
            </w:r>
          </w:p>
        </w:tc>
        <w:tc>
          <w:tcPr>
            <w:tcW w:type="dxa" w:w="3456"/>
          </w:tcPr>
          <w:p>
            <w:pPr>
              <w:spacing w:after="20"/>
              <w:jc w:val="right"/>
            </w:pPr>
            <w:r>
              <w:rPr>
                <w:color w:val="1C3A36"/>
                <w:sz w:val="14"/>
              </w:rPr>
              <w:t>The 6 August 2026 quote of 23.00% held in the house macro path is carried and DECLARED STALE on the face of the register entry, in section 1.8 of the study and in the gap review. It is sensitised by 200 basis points either way. The only recent evidence found — a 21.29% average over late April to late May 2026 — is quoted beside it.</w:t>
            </w:r>
          </w:p>
        </w:tc>
      </w:tr>
      <w:tr>
        <w:tc>
          <w:tcPr>
            <w:tcW w:type="dxa" w:w="2448"/>
          </w:tcPr>
          <w:p>
            <w:pPr>
              <w:spacing w:after="20"/>
            </w:pPr>
            <w:r>
              <w:rPr>
                <w:color w:val="1C3A36"/>
                <w:sz w:val="14"/>
              </w:rPr>
              <w:t>Same-day book value for any Egyptian bank peer</w:t>
            </w:r>
          </w:p>
        </w:tc>
        <w:tc>
          <w:tcPr>
            <w:tcW w:type="dxa" w:w="4176"/>
          </w:tcPr>
          <w:p>
            <w:pPr>
              <w:spacing w:after="20"/>
              <w:jc w:val="right"/>
            </w:pPr>
            <w:r>
              <w:rPr>
                <w:color w:val="1C3A36"/>
                <w:sz w:val="14"/>
              </w:rPr>
              <w:t>NOT FOUND. One same-day peer PRICE is held (Commercial International Bank, EGP 138.98 on 3 September 2026). No peer book value, earnings or capital ratio could be sourced on the study date.</w:t>
            </w:r>
          </w:p>
        </w:tc>
        <w:tc>
          <w:tcPr>
            <w:tcW w:type="dxa" w:w="3456"/>
          </w:tcPr>
          <w:p>
            <w:pPr>
              <w:spacing w:after="20"/>
              <w:jc w:val="right"/>
            </w:pPr>
            <w:r>
              <w:rPr>
                <w:color w:val="1C3A36"/>
                <w:sz w:val="14"/>
              </w:rPr>
              <w:t>The relative-multiple lens is published as a BAND, carries no weight in the answer, and the hole is stated in the study's own Appendix B.</w:t>
            </w:r>
          </w:p>
        </w:tc>
      </w:tr>
      <w:tr>
        <w:tc>
          <w:tcPr>
            <w:tcW w:type="dxa" w:w="2448"/>
          </w:tcPr>
          <w:p>
            <w:pPr>
              <w:spacing w:after="20"/>
            </w:pPr>
            <w:r>
              <w:rPr>
                <w:color w:val="1C3A36"/>
                <w:sz w:val="14"/>
              </w:rPr>
              <w:t>The English FY2021 consolidated filing</w:t>
            </w:r>
          </w:p>
        </w:tc>
        <w:tc>
          <w:tcPr>
            <w:tcW w:type="dxa" w:w="4176"/>
          </w:tcPr>
          <w:p>
            <w:pPr>
              <w:spacing w:after="20"/>
              <w:jc w:val="right"/>
            </w:pPr>
            <w:r>
              <w:rPr>
                <w:color w:val="1C3A36"/>
                <w:sz w:val="14"/>
              </w:rPr>
              <w:t>DOES NOT EXIST on the issuer's site. The file published under that name is the ARABIC filing — 102 pages, no English statement page. Two alternative filenames return 404.</w:t>
            </w:r>
          </w:p>
        </w:tc>
        <w:tc>
          <w:tcPr>
            <w:tcW w:type="dxa" w:w="3456"/>
          </w:tcPr>
          <w:p>
            <w:pPr>
              <w:spacing w:after="20"/>
              <w:jc w:val="right"/>
            </w:pPr>
            <w:r>
              <w:rPr>
                <w:color w:val="1C3A36"/>
                <w:sz w:val="14"/>
              </w:rPr>
              <w:t>FY2021 is taken from the comparative column of the audited FY2022 statements. Tier A and the same issuer, but a comparative, which is the one row in the record where point-in-time discipline cannot be fully honoured.</w:t>
            </w:r>
          </w:p>
        </w:tc>
      </w:tr>
    </w:tbl>
    <w:p>
      <w:pPr>
        <w:spacing w:after="40"/>
      </w:pPr>
    </w:p>
    <w:p>
      <w:pPr>
        <w:spacing w:after="200" w:before="0"/>
      </w:pPr>
      <w:r>
        <w:rPr>
          <w:b w:val="0"/>
          <w:i/>
          <w:color w:val="6E7B77"/>
          <w:sz w:val="17"/>
        </w:rPr>
        <w:t>Table 4 — negative results.</w:t>
      </w:r>
    </w:p>
    <w:p>
      <w:pPr>
        <w:spacing w:after="120" w:before="280"/>
      </w:pPr>
      <w:r>
        <w:rPr>
          <w:b/>
          <w:i w:val="0"/>
          <w:color w:val="1C3A36"/>
          <w:sz w:val="30"/>
        </w:rPr>
        <w:t>5  Where two sources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5"/>
              </w:rPr>
              <w:t>The disagreement</w:t>
            </w:r>
          </w:p>
        </w:tc>
        <w:tc>
          <w:tcPr>
            <w:tcW w:type="dxa" w:w="5184"/>
            <w:shd w:val="clear" w:color="auto" w:fill="EAF0EE"/>
          </w:tcPr>
          <w:p>
            <w:pPr>
              <w:spacing w:after="20"/>
            </w:pPr>
            <w:r>
              <w:rPr>
                <w:b/>
                <w:color w:val="1C3A36"/>
                <w:sz w:val="15"/>
              </w:rPr>
              <w:t>How it was settled</w:t>
            </w:r>
          </w:p>
        </w:tc>
      </w:tr>
      <w:tr>
        <w:tc>
          <w:tcPr>
            <w:tcW w:type="dxa" w:w="4896"/>
          </w:tcPr>
          <w:p>
            <w:pPr>
              <w:spacing w:after="20"/>
            </w:pPr>
            <w:r>
              <w:rPr>
                <w:color w:val="1C3A36"/>
                <w:sz w:val="15"/>
              </w:rPr>
              <w:t>Six fiscal years are RESTATED by the following year's filing — FY2011, FY2014, FY2015, FY2016, FY2017 and FY2018 all carry different figures in their own report and in the next one. FY2017's administrative expenses are EGP 1,172.1 million in its own filing and EGP 1,015.4 million in the FY2018 comparative.</w:t>
            </w:r>
          </w:p>
        </w:tc>
        <w:tc>
          <w:tcPr>
            <w:tcW w:type="dxa" w:w="5184"/>
          </w:tcPr>
          <w:p>
            <w:pPr>
              <w:spacing w:after="20"/>
              <w:jc w:val="right"/>
            </w:pPr>
            <w:r>
              <w:rPr>
                <w:color w:val="1C3A36"/>
                <w:sz w:val="15"/>
              </w:rPr>
              <w:t>THE ORIGINAL IS USED and the restatement is recorded beside it, never substituted. Every one is listed in the walk-forward's own restatement register. A year read as its successor restated it is a year nobody could have read at the time.</w:t>
            </w:r>
          </w:p>
        </w:tc>
      </w:tr>
      <w:tr>
        <w:tc>
          <w:tcPr>
            <w:tcW w:type="dxa" w:w="4896"/>
          </w:tcPr>
          <w:p>
            <w:pPr>
              <w:spacing w:after="20"/>
            </w:pPr>
            <w:r>
              <w:rPr>
                <w:color w:val="1C3A36"/>
                <w:sz w:val="15"/>
              </w:rPr>
              <w:t>The FY2025 filing prints total assets of EGP 260,457,106 thousand for FY2024 in one place and the FY2024 filing prints EGP 260,467,106.</w:t>
            </w:r>
          </w:p>
        </w:tc>
        <w:tc>
          <w:tcPr>
            <w:tcW w:type="dxa" w:w="5184"/>
          </w:tcPr>
          <w:p>
            <w:pPr>
              <w:spacing w:after="20"/>
              <w:jc w:val="right"/>
            </w:pPr>
            <w:r>
              <w:rPr>
                <w:color w:val="1C3A36"/>
                <w:sz w:val="15"/>
              </w:rPr>
              <w:t>The equity block's own arithmetic settles it at 260,467,106: liabilities of 237,480,399 plus equity of 22,986,707 reproduce it exactly.</w:t>
            </w:r>
          </w:p>
        </w:tc>
      </w:tr>
      <w:tr>
        <w:tc>
          <w:tcPr>
            <w:tcW w:type="dxa" w:w="4896"/>
          </w:tcPr>
          <w:p>
            <w:pPr>
              <w:spacing w:after="20"/>
            </w:pPr>
            <w:r>
              <w:rPr>
                <w:color w:val="1C3A36"/>
                <w:sz w:val="15"/>
              </w:rPr>
              <w:t>The sovereign default spread is 3.42% in the cost-of-capital record used by the other Egyptian studies and 3.41% in the house macro path, from the same source file.</w:t>
            </w:r>
          </w:p>
        </w:tc>
        <w:tc>
          <w:tcPr>
            <w:tcW w:type="dxa" w:w="5184"/>
          </w:tcPr>
          <w:p>
            <w:pPr>
              <w:spacing w:after="20"/>
              <w:jc w:val="right"/>
            </w:pPr>
            <w:r>
              <w:rPr>
                <w:color w:val="1C3A36"/>
                <w:sz w:val="15"/>
              </w:rPr>
              <w:t>A rounding artefact of one basis point. The 3.42% figure is used so that this study's cost of equity is built from the same pair of numbers as every other Egyptian study in the book, and the difference is recorded here.</w:t>
            </w:r>
          </w:p>
        </w:tc>
      </w:tr>
      <w:tr>
        <w:tc>
          <w:tcPr>
            <w:tcW w:type="dxa" w:w="4896"/>
          </w:tcPr>
          <w:p>
            <w:pPr>
              <w:spacing w:after="20"/>
            </w:pPr>
            <w:r>
              <w:rPr>
                <w:color w:val="1C3A36"/>
                <w:sz w:val="15"/>
              </w:rPr>
              <w:t>The share price is EGP 54.40 in the site's own data file (23 August close) and EGP 52.05 in the supplied-price file (3 September close).</w:t>
            </w:r>
          </w:p>
        </w:tc>
        <w:tc>
          <w:tcPr>
            <w:tcW w:type="dxa" w:w="5184"/>
          </w:tcPr>
          <w:p>
            <w:pPr>
              <w:spacing w:after="20"/>
              <w:jc w:val="right"/>
            </w:pPr>
            <w:r>
              <w:rPr>
                <w:color w:val="1C3A36"/>
                <w:sz w:val="15"/>
              </w:rPr>
              <w:t>THE LATER ONE. A study audited against a price eleven days old is audited against its own past. The 23 August close is still used as the anchor for the probability map in section 3, because it is the last session in the price history, and the study says so in terms.</w:t>
            </w:r>
          </w:p>
        </w:tc>
      </w:tr>
    </w:tbl>
    <w:p>
      <w:pPr>
        <w:spacing w:after="40"/>
      </w:pPr>
    </w:p>
    <w:p>
      <w:pPr>
        <w:spacing w:after="200" w:before="0"/>
      </w:pPr>
      <w:r>
        <w:rPr>
          <w:b w:val="0"/>
          <w:i/>
          <w:color w:val="6E7B77"/>
          <w:sz w:val="17"/>
        </w:rPr>
        <w:t>Table 5 — disagreements, and which side was taken.</w:t>
      </w:r>
    </w:p>
    <w:p>
      <w:pPr>
        <w:spacing w:after="120" w:before="280"/>
      </w:pPr>
      <w:r>
        <w:rPr>
          <w:b/>
          <w:i w:val="0"/>
          <w:color w:val="1C3A36"/>
          <w:sz w:val="30"/>
        </w:rPr>
        <w:t>6  What is not disclosed</w:t>
      </w:r>
    </w:p>
    <w:p>
      <w:pPr>
        <w:spacing w:after="120" w:before="0"/>
      </w:pPr>
      <w:r>
        <w:rPr>
          <w:b w:val="0"/>
          <w:i w:val="0"/>
          <w:color w:val="1C3A36"/>
          <w:sz w:val="21"/>
        </w:rPr>
        <w:t>The limits of the record, stated so nobody has to discover them.</w:t>
      </w:r>
    </w:p>
    <w:p>
      <w:pPr>
        <w:pStyle w:val="ListBullet"/>
        <w:spacing w:after="60"/>
      </w:pPr>
      <w:r>
        <w:rPr>
          <w:color w:val="1C3A36"/>
          <w:sz w:val="21"/>
        </w:rPr>
        <w:t>NO SPLIT OF FINANCING by retail, corporate or small business, and no split of deposits by account type. The low-cost funding share — the single most useful number in judging how a bank's funding cost behaves in an easing cycle — cannot be computed, and no assumption is made about it.</w:t>
      </w:r>
    </w:p>
    <w:p>
      <w:pPr>
        <w:pStyle w:val="ListBullet"/>
        <w:spacing w:after="60"/>
      </w:pPr>
      <w:r>
        <w:rPr>
          <w:color w:val="1C3A36"/>
          <w:sz w:val="21"/>
        </w:rPr>
        <w:t>NO NON-PERFORMING RATIO AND NO COVERAGE RATIO in any of the eighteen statements parsed. The cost-of-risk driver is therefore built on the charge, not on the stock of bad assets, and there is no way to check whether the June 2026 release reflects recoveries, write-offs or a change in the loss model.</w:t>
      </w:r>
    </w:p>
    <w:p>
      <w:pPr>
        <w:pStyle w:val="ListBullet"/>
        <w:spacing w:after="60"/>
      </w:pPr>
      <w:r>
        <w:rPr>
          <w:color w:val="1C3A36"/>
          <w:sz w:val="21"/>
        </w:rPr>
        <w:t>NO GEOGRAPHIC OR PRODUCT SEGMENT NOTE.</w:t>
      </w:r>
    </w:p>
    <w:p>
      <w:pPr>
        <w:pStyle w:val="ListBullet"/>
        <w:spacing w:after="60"/>
      </w:pPr>
      <w:r>
        <w:rPr>
          <w:color w:val="1C3A36"/>
          <w:sz w:val="21"/>
        </w:rPr>
        <w:t>NO NUMERIC FORWARD GUIDANCE. Nothing management publishes is consumed as an input to this model, and there is nothing to score.</w:t>
      </w:r>
    </w:p>
    <w:p>
      <w:pPr>
        <w:pStyle w:val="ListBullet"/>
        <w:spacing w:after="60"/>
      </w:pPr>
      <w:r>
        <w:rPr>
          <w:color w:val="1C3A36"/>
          <w:sz w:val="21"/>
        </w:rPr>
        <w:t>THE FILED EARNINGS-PER-SHARE FIGURES CANNOT BE REPRODUCED from attributable profit and the year-end share count, and this study says so rather than reverse-engineering a deduction the equity statement does not show. FY2025 prints EGP 11.25 on attributable profit of EGP 12,588.6 million, implying about 1,119 million weighted shares against a year-end 1,200 million; FY2024 prints EGP 14.02 implying about 643 million against a year-end 600 million. Every per-share figure in this study is attributable profit over the SHARE COUNT AT THE PERIOD END, which is stated, reproducible, and different from the filed EPS.</w:t>
      </w:r>
    </w:p>
    <w:p>
      <w:pPr>
        <w:pStyle w:val="ListBullet"/>
        <w:spacing w:after="60"/>
      </w:pPr>
      <w:r>
        <w:rPr>
          <w:color w:val="1C3A36"/>
          <w:sz w:val="21"/>
        </w:rPr>
        <w:t>THE FY2025 EQUITY RECONCILIATION LEAVES EGP 110.5 MILLION UNEXPLAINED. Retained earnings move from 15,815.3 to 20,963.2 while attributable profit is 12,588.6, dividends paid 1,055.9, the reserve transfer 495.4 and the capital increase 6,000.0 — which closes to within 110.5, or 0.9% of the profit. It is recorded rather than assigned.</w:t>
      </w:r>
    </w:p>
    <w:p>
      <w:pPr>
        <w:spacing w:after="120" w:before="280"/>
      </w:pPr>
      <w:r>
        <w:rPr>
          <w:b/>
          <w:i w:val="0"/>
          <w:color w:val="1C3A36"/>
          <w:sz w:val="30"/>
        </w:rPr>
        <w:t>7  Market and macro data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584"/>
        <w:gridCol w:w="1152"/>
        <w:gridCol w:w="5472"/>
      </w:tblGrid>
      <w:tr>
        <w:tc>
          <w:tcPr>
            <w:tcW w:type="dxa" w:w="1872"/>
            <w:shd w:val="clear" w:color="auto" w:fill="EAF0EE"/>
          </w:tcPr>
          <w:p>
            <w:pPr>
              <w:spacing w:after="20"/>
            </w:pPr>
            <w:r>
              <w:rPr>
                <w:b/>
                <w:color w:val="1C3A36"/>
                <w:sz w:val="13"/>
              </w:rPr>
              <w:t>Item</w:t>
            </w:r>
          </w:p>
        </w:tc>
        <w:tc>
          <w:tcPr>
            <w:tcW w:type="dxa" w:w="1584"/>
            <w:shd w:val="clear" w:color="auto" w:fill="EAF0EE"/>
          </w:tcPr>
          <w:p>
            <w:pPr>
              <w:spacing w:after="20"/>
            </w:pPr>
            <w:r>
              <w:rPr>
                <w:b/>
                <w:color w:val="1C3A36"/>
                <w:sz w:val="13"/>
              </w:rPr>
              <w:t>Value</w:t>
            </w:r>
          </w:p>
        </w:tc>
        <w:tc>
          <w:tcPr>
            <w:tcW w:type="dxa" w:w="1152"/>
            <w:shd w:val="clear" w:color="auto" w:fill="EAF0EE"/>
          </w:tcPr>
          <w:p>
            <w:pPr>
              <w:spacing w:after="20"/>
            </w:pPr>
            <w:r>
              <w:rPr>
                <w:b/>
                <w:color w:val="1C3A36"/>
                <w:sz w:val="13"/>
              </w:rPr>
              <w:t>Date</w:t>
            </w:r>
          </w:p>
        </w:tc>
        <w:tc>
          <w:tcPr>
            <w:tcW w:type="dxa" w:w="5472"/>
            <w:shd w:val="clear" w:color="auto" w:fill="EAF0EE"/>
          </w:tcPr>
          <w:p>
            <w:pPr>
              <w:spacing w:after="20"/>
            </w:pPr>
            <w:r>
              <w:rPr>
                <w:b/>
                <w:color w:val="1C3A36"/>
                <w:sz w:val="13"/>
              </w:rPr>
              <w:t>Source</w:t>
            </w:r>
          </w:p>
        </w:tc>
      </w:tr>
      <w:tr>
        <w:tc>
          <w:tcPr>
            <w:tcW w:type="dxa" w:w="1872"/>
          </w:tcPr>
          <w:p>
            <w:pPr>
              <w:spacing w:after="20"/>
            </w:pPr>
            <w:r>
              <w:rPr>
                <w:color w:val="1C3A36"/>
                <w:sz w:val="13"/>
              </w:rPr>
              <w:t>spot</w:t>
            </w:r>
          </w:p>
        </w:tc>
        <w:tc>
          <w:tcPr>
            <w:tcW w:type="dxa" w:w="1584"/>
          </w:tcPr>
          <w:p>
            <w:pPr>
              <w:spacing w:after="20"/>
              <w:jc w:val="right"/>
            </w:pPr>
            <w:r>
              <w:rPr>
                <w:color w:val="1C3A36"/>
                <w:sz w:val="13"/>
              </w:rPr>
              <w:t>52.05</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w:t>
            </w:r>
          </w:p>
        </w:tc>
      </w:tr>
      <w:tr>
        <w:tc>
          <w:tcPr>
            <w:tcW w:type="dxa" w:w="1872"/>
          </w:tcPr>
          <w:p>
            <w:pPr>
              <w:spacing w:after="20"/>
            </w:pPr>
            <w:r>
              <w:rPr>
                <w:color w:val="1C3A36"/>
                <w:sz w:val="13"/>
              </w:rPr>
              <w:t>peer comi price</w:t>
            </w:r>
          </w:p>
        </w:tc>
        <w:tc>
          <w:tcPr>
            <w:tcW w:type="dxa" w:w="1584"/>
          </w:tcPr>
          <w:p>
            <w:pPr>
              <w:spacing w:after="20"/>
              <w:jc w:val="right"/>
            </w:pPr>
            <w:r>
              <w:rPr>
                <w:color w:val="1C3A36"/>
                <w:sz w:val="13"/>
              </w:rPr>
              <w:t>138.98</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72"/>
          </w:tcPr>
          <w:p>
            <w:pPr>
              <w:spacing w:after="20"/>
            </w:pPr>
            <w:r>
              <w:rPr>
                <w:color w:val="1C3A36"/>
                <w:sz w:val="13"/>
              </w:rPr>
              <w:t>beta</w:t>
            </w:r>
          </w:p>
        </w:tc>
        <w:tc>
          <w:tcPr>
            <w:tcW w:type="dxa" w:w="1584"/>
          </w:tcPr>
          <w:p>
            <w:pPr>
              <w:spacing w:after="20"/>
              <w:jc w:val="right"/>
            </w:pPr>
            <w:r>
              <w:rPr>
                <w:color w:val="1C3A36"/>
                <w:sz w:val="13"/>
              </w:rPr>
              <w:t>1.07469</w:t>
            </w:r>
          </w:p>
        </w:tc>
        <w:tc>
          <w:tcPr>
            <w:tcW w:type="dxa" w:w="1152"/>
          </w:tcPr>
          <w:p>
            <w:pPr>
              <w:spacing w:after="20"/>
              <w:jc w:val="right"/>
            </w:pPr>
            <w:r>
              <w:rPr>
                <w:color w:val="1C3A36"/>
                <w:sz w:val="13"/>
              </w:rPr>
              <w:t>2026-09-08</w:t>
            </w:r>
          </w:p>
        </w:tc>
        <w:tc>
          <w:tcPr>
            <w:tcW w:type="dxa" w:w="5472"/>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w:t>
            </w:r>
          </w:p>
        </w:tc>
      </w:tr>
      <w:tr>
        <w:tc>
          <w:tcPr>
            <w:tcW w:type="dxa" w:w="1872"/>
          </w:tcPr>
          <w:p>
            <w:pPr>
              <w:spacing w:after="20"/>
            </w:pPr>
            <w:r>
              <w:rPr>
                <w:color w:val="1C3A36"/>
                <w:sz w:val="13"/>
              </w:rPr>
              <w:t>rf</w:t>
            </w:r>
          </w:p>
        </w:tc>
        <w:tc>
          <w:tcPr>
            <w:tcW w:type="dxa" w:w="1584"/>
          </w:tcPr>
          <w:p>
            <w:pPr>
              <w:spacing w:after="20"/>
              <w:jc w:val="right"/>
            </w:pPr>
            <w:r>
              <w:rPr>
                <w:color w:val="1C3A36"/>
                <w:sz w:val="13"/>
              </w:rPr>
              <w:t>0.23</w:t>
            </w:r>
          </w:p>
        </w:tc>
        <w:tc>
          <w:tcPr>
            <w:tcW w:type="dxa" w:w="1152"/>
          </w:tcPr>
          <w:p>
            <w:pPr>
              <w:spacing w:after="20"/>
              <w:jc w:val="right"/>
            </w:pPr>
            <w:r>
              <w:rPr>
                <w:color w:val="1C3A36"/>
                <w:sz w:val="13"/>
              </w:rPr>
              <w:t>2026-08-06</w:t>
            </w:r>
          </w:p>
        </w:tc>
        <w:tc>
          <w:tcPr>
            <w:tcW w:type="dxa" w:w="5472"/>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w:t>
            </w:r>
          </w:p>
        </w:tc>
      </w:tr>
      <w:tr>
        <w:tc>
          <w:tcPr>
            <w:tcW w:type="dxa" w:w="1872"/>
          </w:tcPr>
          <w:p>
            <w:pPr>
              <w:spacing w:after="20"/>
            </w:pPr>
            <w:r>
              <w:rPr>
                <w:color w:val="1C3A36"/>
                <w:sz w:val="13"/>
              </w:rPr>
              <w:t>sov default spread</w:t>
            </w:r>
          </w:p>
        </w:tc>
        <w:tc>
          <w:tcPr>
            <w:tcW w:type="dxa" w:w="1584"/>
          </w:tcPr>
          <w:p>
            <w:pPr>
              <w:spacing w:after="20"/>
              <w:jc w:val="right"/>
            </w:pPr>
            <w:r>
              <w:rPr>
                <w:color w:val="1C3A36"/>
                <w:sz w:val="13"/>
              </w:rPr>
              <w:t>0.0342</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w:t>
            </w:r>
          </w:p>
        </w:tc>
      </w:tr>
      <w:tr>
        <w:tc>
          <w:tcPr>
            <w:tcW w:type="dxa" w:w="1872"/>
          </w:tcPr>
          <w:p>
            <w:pPr>
              <w:spacing w:after="20"/>
            </w:pPr>
            <w:r>
              <w:rPr>
                <w:color w:val="1C3A36"/>
                <w:sz w:val="13"/>
              </w:rPr>
              <w:t>erp</w:t>
            </w:r>
          </w:p>
        </w:tc>
        <w:tc>
          <w:tcPr>
            <w:tcW w:type="dxa" w:w="1584"/>
          </w:tcPr>
          <w:p>
            <w:pPr>
              <w:spacing w:after="20"/>
              <w:jc w:val="right"/>
            </w:pPr>
            <w:r>
              <w:rPr>
                <w:color w:val="1C3A36"/>
                <w:sz w:val="13"/>
              </w:rPr>
              <w:t>0.095164</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72"/>
          </w:tcPr>
          <w:p>
            <w:pPr>
              <w:spacing w:after="20"/>
            </w:pPr>
            <w:r>
              <w:rPr>
                <w:color w:val="1C3A36"/>
                <w:sz w:val="13"/>
              </w:rPr>
              <w:t>rf terminal</w:t>
            </w:r>
          </w:p>
        </w:tc>
        <w:tc>
          <w:tcPr>
            <w:tcW w:type="dxa" w:w="1584"/>
          </w:tcPr>
          <w:p>
            <w:pPr>
              <w:spacing w:after="20"/>
              <w:jc w:val="right"/>
            </w:pPr>
            <w:r>
              <w:rPr>
                <w:color w:val="1C3A36"/>
                <w:sz w:val="13"/>
              </w:rPr>
              <w:t>0.105</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72"/>
          </w:tcPr>
          <w:p>
            <w:pPr>
              <w:spacing w:after="20"/>
            </w:pPr>
            <w:r>
              <w:rPr>
                <w:color w:val="1C3A36"/>
                <w:sz w:val="13"/>
              </w:rPr>
              <w:t>erp terminal</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equity risk premium, 7.00%, normalised below today's crisis-era level toward the rating-class norm; never held flat into perpetuity.</w:t>
            </w:r>
          </w:p>
        </w:tc>
      </w:tr>
      <w:tr>
        <w:tc>
          <w:tcPr>
            <w:tcW w:type="dxa" w:w="1872"/>
          </w:tcPr>
          <w:p>
            <w:pPr>
              <w:spacing w:after="20"/>
            </w:pPr>
            <w:r>
              <w:rPr>
                <w:color w:val="1C3A36"/>
                <w:sz w:val="13"/>
              </w:rPr>
              <w:t>terminal growth</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w:t>
            </w:r>
          </w:p>
        </w:tc>
      </w:tr>
      <w:tr>
        <w:tc>
          <w:tcPr>
            <w:tcW w:type="dxa" w:w="1872"/>
          </w:tcPr>
          <w:p>
            <w:pPr>
              <w:spacing w:after="20"/>
            </w:pPr>
            <w:r>
              <w:rPr>
                <w:color w:val="1C3A36"/>
                <w:sz w:val="13"/>
              </w:rPr>
              <w:t>inflation path</w:t>
            </w:r>
          </w:p>
        </w:tc>
        <w:tc>
          <w:tcPr>
            <w:tcW w:type="dxa" w:w="1584"/>
          </w:tcPr>
          <w:p>
            <w:pPr>
              <w:spacing w:after="20"/>
              <w:jc w:val="right"/>
            </w:pPr>
            <w:r>
              <w:rPr>
                <w:color w:val="1C3A36"/>
                <w:sz w:val="13"/>
              </w:rPr>
              <w:t>0.16 / 0.12 / 0.09 / 0.075 /</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w:t>
            </w:r>
          </w:p>
        </w:tc>
      </w:tr>
      <w:tr>
        <w:tc>
          <w:tcPr>
            <w:tcW w:type="dxa" w:w="1872"/>
          </w:tcPr>
          <w:p>
            <w:pPr>
              <w:spacing w:after="20"/>
            </w:pPr>
            <w:r>
              <w:rPr>
                <w:color w:val="1C3A36"/>
                <w:sz w:val="13"/>
              </w:rPr>
              <w:t>policy rate path</w:t>
            </w:r>
          </w:p>
        </w:tc>
        <w:tc>
          <w:tcPr>
            <w:tcW w:type="dxa" w:w="1584"/>
          </w:tcPr>
          <w:p>
            <w:pPr>
              <w:spacing w:after="20"/>
              <w:jc w:val="right"/>
            </w:pPr>
            <w:r>
              <w:rPr>
                <w:color w:val="1C3A36"/>
                <w:sz w:val="13"/>
              </w:rPr>
              <w:t xml:space="preserve">0.19 / 0.165 / 0.145 / 0.13 </w:t>
            </w:r>
          </w:p>
        </w:tc>
        <w:tc>
          <w:tcPr>
            <w:tcW w:type="dxa" w:w="1152"/>
          </w:tcPr>
          <w:p>
            <w:pPr>
              <w:spacing w:after="20"/>
              <w:jc w:val="right"/>
            </w:pPr>
            <w:r>
              <w:rPr>
                <w:color w:val="1C3A36"/>
                <w:sz w:val="13"/>
              </w:rPr>
              <w:t>2026-08-20</w:t>
            </w:r>
          </w:p>
        </w:tc>
        <w:tc>
          <w:tcPr>
            <w:tcW w:type="dxa" w:w="5472"/>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w:t>
            </w:r>
          </w:p>
        </w:tc>
      </w:tr>
    </w:tbl>
    <w:p>
      <w:pPr>
        <w:spacing w:after="40"/>
      </w:pPr>
    </w:p>
    <w:p>
      <w:pPr>
        <w:spacing w:after="200" w:before="0"/>
      </w:pPr>
      <w:r>
        <w:rPr>
          <w:b w:val="0"/>
          <w:i/>
          <w:color w:val="6E7B77"/>
          <w:sz w:val="17"/>
        </w:rPr>
        <w:t>Table 6 — market and macro inputs. These are the only figures in this study that are not the company's own disclosure.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