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43.39. Free cash flow to equity gives EGP 42.10 and residual income EGP 44.92 — a spread of EGP 2.82 across the three present-value reads. The market is at EGP 52.05. The study is 16.6%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43.39</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42.10</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44.92</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46.61</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34.00</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42.10</w:t>
            </w:r>
          </w:p>
        </w:tc>
        <w:tc>
          <w:tcPr>
            <w:tcW w:type="dxa" w:w="3168"/>
          </w:tcPr>
          <w:p>
            <w:pPr>
              <w:spacing w:after="20"/>
              <w:jc w:val="right"/>
            </w:pPr>
            <w:r>
              <w:rPr>
                <w:color w:val="1C3A36"/>
                <w:sz w:val="18"/>
              </w:rPr>
              <w:t>-19.1%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43.39</w:t>
            </w:r>
          </w:p>
        </w:tc>
        <w:tc>
          <w:tcPr>
            <w:tcW w:type="dxa" w:w="3168"/>
          </w:tcPr>
          <w:p>
            <w:pPr>
              <w:spacing w:after="20"/>
              <w:jc w:val="right"/>
            </w:pPr>
            <w:r>
              <w:rPr>
                <w:color w:val="1C3A36"/>
                <w:sz w:val="18"/>
              </w:rPr>
              <w:t>-16.6%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44.92</w:t>
            </w:r>
          </w:p>
        </w:tc>
        <w:tc>
          <w:tcPr>
            <w:tcW w:type="dxa" w:w="3168"/>
          </w:tcPr>
          <w:p>
            <w:pPr>
              <w:spacing w:after="20"/>
              <w:jc w:val="right"/>
            </w:pPr>
            <w:r>
              <w:rPr>
                <w:color w:val="1C3A36"/>
                <w:sz w:val="18"/>
              </w:rPr>
              <w:t>-13.7%</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(1.61 times, from a 24.7% terminal return against a 18.0% terminal cost of equity and 7.0% growth), the same book is worth EGP 46.61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1.15 times forecast 2026 book and 4.1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34.00.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43.39. Residual income, the relative multiple and book value sit beside it as cross-checks, and free cash flow to equity is published because it is the same flow reached a different way. They are not averaged. The envelope is the range of the three present-value reads — EGP 42.10 at the low end, EGP 44.92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43.39</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42.10</w:t>
            </w:r>
          </w:p>
        </w:tc>
        <w:tc>
          <w:tcPr>
            <w:tcW w:type="dxa" w:w="1872"/>
          </w:tcPr>
          <w:p>
            <w:pPr>
              <w:spacing w:after="20"/>
              <w:jc w:val="right"/>
            </w:pPr>
            <w:r>
              <w:rPr>
                <w:color w:val="1C3A36"/>
                <w:sz w:val="17"/>
              </w:rPr>
              <w:t>-3.0%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44.92</w:t>
            </w:r>
          </w:p>
        </w:tc>
        <w:tc>
          <w:tcPr>
            <w:tcW w:type="dxa" w:w="1872"/>
          </w:tcPr>
          <w:p>
            <w:pPr>
              <w:spacing w:after="20"/>
              <w:jc w:val="right"/>
            </w:pPr>
            <w:r>
              <w:rPr>
                <w:color w:val="1C3A36"/>
                <w:sz w:val="17"/>
              </w:rPr>
              <w:t>3.5%</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40.2%</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46.61</w:t>
            </w:r>
          </w:p>
        </w:tc>
        <w:tc>
          <w:tcPr>
            <w:tcW w:type="dxa" w:w="1872"/>
          </w:tcPr>
          <w:p>
            <w:pPr>
              <w:spacing w:after="20"/>
              <w:jc w:val="right"/>
            </w:pPr>
            <w:r>
              <w:rPr>
                <w:color w:val="1C3A36"/>
                <w:sz w:val="17"/>
              </w:rPr>
              <w:t>7.4%</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34.00</w:t>
            </w:r>
          </w:p>
        </w:tc>
        <w:tc>
          <w:tcPr>
            <w:tcW w:type="dxa" w:w="1872"/>
          </w:tcPr>
          <w:p>
            <w:pPr>
              <w:spacing w:after="20"/>
              <w:jc w:val="right"/>
            </w:pPr>
            <w:r>
              <w:rPr>
                <w:color w:val="1C3A36"/>
                <w:sz w:val="17"/>
              </w:rPr>
              <w:t>-21.6%</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2.82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48.04 a share rather than EGP 43.39.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27.84%</w:t>
            </w:r>
          </w:p>
        </w:tc>
        <w:tc>
          <w:tcPr>
            <w:tcW w:type="dxa" w:w="1238"/>
          </w:tcPr>
          <w:p>
            <w:pPr>
              <w:spacing w:after="20"/>
              <w:jc w:val="right"/>
            </w:pPr>
            <w:r>
              <w:rPr>
                <w:color w:val="1C3A36"/>
                <w:sz w:val="16"/>
              </w:rPr>
              <w:t>25.88%</w:t>
            </w:r>
          </w:p>
        </w:tc>
        <w:tc>
          <w:tcPr>
            <w:tcW w:type="dxa" w:w="1238"/>
          </w:tcPr>
          <w:p>
            <w:pPr>
              <w:spacing w:after="20"/>
              <w:jc w:val="right"/>
            </w:pPr>
            <w:r>
              <w:rPr>
                <w:color w:val="1C3A36"/>
                <w:sz w:val="16"/>
              </w:rPr>
              <w:t>23.92%</w:t>
            </w:r>
          </w:p>
        </w:tc>
        <w:tc>
          <w:tcPr>
            <w:tcW w:type="dxa" w:w="1238"/>
          </w:tcPr>
          <w:p>
            <w:pPr>
              <w:spacing w:after="20"/>
              <w:jc w:val="right"/>
            </w:pPr>
            <w:r>
              <w:rPr>
                <w:color w:val="1C3A36"/>
                <w:sz w:val="16"/>
              </w:rPr>
              <w:t>21.95%</w:t>
            </w:r>
          </w:p>
        </w:tc>
        <w:tc>
          <w:tcPr>
            <w:tcW w:type="dxa" w:w="1238"/>
          </w:tcPr>
          <w:p>
            <w:pPr>
              <w:spacing w:after="20"/>
              <w:jc w:val="right"/>
            </w:pPr>
            <w:r>
              <w:rPr>
                <w:color w:val="1C3A36"/>
                <w:sz w:val="16"/>
              </w:rPr>
              <w:t>19.99%</w:t>
            </w:r>
          </w:p>
        </w:tc>
        <w:tc>
          <w:tcPr>
            <w:tcW w:type="dxa" w:w="1238"/>
          </w:tcPr>
          <w:p>
            <w:pPr>
              <w:spacing w:after="20"/>
              <w:jc w:val="right"/>
            </w:pPr>
            <w:r>
              <w:rPr>
                <w:color w:val="1C3A36"/>
                <w:sz w:val="16"/>
              </w:rPr>
              <w:t>18.02%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Egyptian total equity risk premium</w:t>
            </w:r>
          </w:p>
        </w:tc>
        <w:tc>
          <w:tcPr>
            <w:tcW w:type="dxa" w:w="1224"/>
          </w:tcPr>
          <w:p>
            <w:pPr>
              <w:spacing w:after="20"/>
              <w:jc w:val="right"/>
            </w:pPr>
            <w:r>
              <w:rPr>
                <w:color w:val="1C3A36"/>
                <w:sz w:val="16"/>
              </w:rPr>
              <w:t>9.52%</w:t>
            </w:r>
          </w:p>
        </w:tc>
        <w:tc>
          <w:tcPr>
            <w:tcW w:type="dxa" w:w="5256"/>
          </w:tcPr>
          <w:p>
            <w:pPr>
              <w:spacing w:after="20"/>
              <w:jc w:val="right"/>
            </w:pPr>
            <w:r>
              <w:rPr>
                <w:color w:val="1C3A36"/>
                <w:sz w:val="16"/>
              </w:rPr>
              <w:t>the total premium column, which is what multiplies beta; the country premium alone is not added on top</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29.81%</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18.02%</w:t>
            </w:r>
          </w:p>
        </w:tc>
        <w:tc>
          <w:tcPr>
            <w:tcW w:type="dxa" w:w="5256"/>
          </w:tcPr>
          <w:p>
            <w:pPr>
              <w:spacing w:after="20"/>
              <w:jc w:val="right"/>
            </w:pPr>
            <w:r>
              <w:rPr>
                <w:color w:val="1C3A36"/>
                <w:sz w:val="16"/>
              </w:rPr>
              <w:t>a 10.50% terminal risk-free rate — itself derived as 7.0% terminal inflation plus a 5.5%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31.52%, 171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519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43.74 rather than EGP 43.39.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38.50</w:t>
            </w:r>
          </w:p>
        </w:tc>
        <w:tc>
          <w:tcPr>
            <w:tcW w:type="dxa" w:w="1728"/>
          </w:tcPr>
          <w:p>
            <w:pPr>
              <w:spacing w:after="20"/>
              <w:jc w:val="right"/>
            </w:pPr>
            <w:r>
              <w:rPr>
                <w:color w:val="1C3A36"/>
                <w:sz w:val="17"/>
              </w:rPr>
              <w:t>-11.3%</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48.27</w:t>
            </w:r>
          </w:p>
        </w:tc>
        <w:tc>
          <w:tcPr>
            <w:tcW w:type="dxa" w:w="1728"/>
          </w:tcPr>
          <w:p>
            <w:pPr>
              <w:spacing w:after="20"/>
              <w:jc w:val="right"/>
            </w:pPr>
            <w:r>
              <w:rPr>
                <w:color w:val="1C3A36"/>
                <w:sz w:val="17"/>
              </w:rPr>
              <w:t>11.3%</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33.71</w:t>
            </w:r>
          </w:p>
        </w:tc>
        <w:tc>
          <w:tcPr>
            <w:tcW w:type="dxa" w:w="1728"/>
          </w:tcPr>
          <w:p>
            <w:pPr>
              <w:spacing w:after="20"/>
              <w:jc w:val="right"/>
            </w:pPr>
            <w:r>
              <w:rPr>
                <w:color w:val="1C3A36"/>
                <w:sz w:val="17"/>
              </w:rPr>
              <w:t>-22.3%</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53.07</w:t>
            </w:r>
          </w:p>
        </w:tc>
        <w:tc>
          <w:tcPr>
            <w:tcW w:type="dxa" w:w="1728"/>
          </w:tcPr>
          <w:p>
            <w:pPr>
              <w:spacing w:after="20"/>
              <w:jc w:val="right"/>
            </w:pPr>
            <w:r>
              <w:rPr>
                <w:color w:val="1C3A36"/>
                <w:sz w:val="17"/>
              </w:rPr>
              <w:t>22.3%</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35.11</w:t>
            </w:r>
          </w:p>
        </w:tc>
        <w:tc>
          <w:tcPr>
            <w:tcW w:type="dxa" w:w="1728"/>
          </w:tcPr>
          <w:p>
            <w:pPr>
              <w:spacing w:after="20"/>
              <w:jc w:val="right"/>
            </w:pPr>
            <w:r>
              <w:rPr>
                <w:color w:val="1C3A36"/>
                <w:sz w:val="17"/>
              </w:rPr>
              <w:t>-19.1%</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51.66</w:t>
            </w:r>
          </w:p>
        </w:tc>
        <w:tc>
          <w:tcPr>
            <w:tcW w:type="dxa" w:w="1728"/>
          </w:tcPr>
          <w:p>
            <w:pPr>
              <w:spacing w:after="20"/>
              <w:jc w:val="right"/>
            </w:pPr>
            <w:r>
              <w:rPr>
                <w:color w:val="1C3A36"/>
                <w:sz w:val="17"/>
              </w:rPr>
              <w:t>19.1%</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37.85</w:t>
            </w:r>
          </w:p>
        </w:tc>
        <w:tc>
          <w:tcPr>
            <w:tcW w:type="dxa" w:w="1728"/>
          </w:tcPr>
          <w:p>
            <w:pPr>
              <w:spacing w:after="20"/>
              <w:jc w:val="right"/>
            </w:pPr>
            <w:r>
              <w:rPr>
                <w:color w:val="1C3A36"/>
                <w:sz w:val="17"/>
              </w:rPr>
              <w:t>-12.8%</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49.64</w:t>
            </w:r>
          </w:p>
        </w:tc>
        <w:tc>
          <w:tcPr>
            <w:tcW w:type="dxa" w:w="1728"/>
          </w:tcPr>
          <w:p>
            <w:pPr>
              <w:spacing w:after="20"/>
              <w:jc w:val="right"/>
            </w:pPr>
            <w:r>
              <w:rPr>
                <w:color w:val="1C3A36"/>
                <w:sz w:val="17"/>
              </w:rPr>
              <w:t>14.4%</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35.83</w:t>
            </w:r>
          </w:p>
        </w:tc>
        <w:tc>
          <w:tcPr>
            <w:tcW w:type="dxa" w:w="1728"/>
          </w:tcPr>
          <w:p>
            <w:pPr>
              <w:spacing w:after="20"/>
              <w:jc w:val="right"/>
            </w:pPr>
            <w:r>
              <w:rPr>
                <w:color w:val="1C3A36"/>
                <w:sz w:val="17"/>
              </w:rPr>
              <w:t>-17.4%</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54.39</w:t>
            </w:r>
          </w:p>
        </w:tc>
        <w:tc>
          <w:tcPr>
            <w:tcW w:type="dxa" w:w="1728"/>
          </w:tcPr>
          <w:p>
            <w:pPr>
              <w:spacing w:after="20"/>
              <w:jc w:val="right"/>
            </w:pPr>
            <w:r>
              <w:rPr>
                <w:color w:val="1C3A36"/>
                <w:sz w:val="17"/>
              </w:rPr>
              <w:t>25.4%</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44.89</w:t>
            </w:r>
          </w:p>
        </w:tc>
        <w:tc>
          <w:tcPr>
            <w:tcW w:type="dxa" w:w="1728"/>
          </w:tcPr>
          <w:p>
            <w:pPr>
              <w:spacing w:after="20"/>
              <w:jc w:val="right"/>
            </w:pPr>
            <w:r>
              <w:rPr>
                <w:color w:val="1C3A36"/>
                <w:sz w:val="17"/>
              </w:rPr>
              <w:t>3.5%</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42.10</w:t>
            </w:r>
          </w:p>
        </w:tc>
        <w:tc>
          <w:tcPr>
            <w:tcW w:type="dxa" w:w="1728"/>
          </w:tcPr>
          <w:p>
            <w:pPr>
              <w:spacing w:after="20"/>
              <w:jc w:val="right"/>
            </w:pPr>
            <w:r>
              <w:rPr>
                <w:color w:val="1C3A36"/>
                <w:sz w:val="17"/>
              </w:rPr>
              <w:t>-3.0%</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22.3% of the value and fifty on the funding cost 19.1%. The loss charge is worth 11.3% per fifty basis points. Terminal growth is worth almost nothing — 3.5%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43.39, envelope EGP 42.10 to EGP 44.92, which is -16.6%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48.04.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22.3%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0.36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42.10 to EGP 44.92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48.04;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0.36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12.8%.</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371</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44</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11.3%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22.3%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17.4%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12.8%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29.81%. That is the entire disagreement — 519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43.74.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519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2.82 a share, which is small. The spread between the study and the market is EGP 8.66 a share, which is not. That shape — three lenses agreeing with each other and disagreeing with the price — is exactly the case where the lenses probably share an assumption. Here they share two: a 29.81%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