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40" w:before="120"/>
      </w:pPr>
      <w:r>
        <w:rPr>
          <w:b/>
          <w:i w:val="0"/>
          <w:color w:val="1C3A36"/>
          <w:sz w:val="30"/>
        </w:rPr>
        <w:t>Alinma Bank  (Tadawul: 1150)</w:t>
      </w:r>
    </w:p>
    <w:p>
      <w:pPr>
        <w:spacing w:after="80" w:before="0"/>
      </w:pPr>
      <w:r>
        <w:rPr>
          <w:b w:val="0"/>
          <w:i w:val="0"/>
          <w:color w:val="6E7B77"/>
          <w:sz w:val="20"/>
        </w:rPr>
        <w:t>Fundamental analysis · Technical analysis · Monte Carlo simulation — one integrated read</w:t>
      </w:r>
    </w:p>
    <w:p>
      <w:pPr>
        <w:spacing w:after="200" w:before="0"/>
      </w:pPr>
      <w:r>
        <w:rPr>
          <w:b/>
          <w:i w:val="0"/>
          <w:color w:val="1C3A36"/>
          <w:sz w:val="20"/>
        </w:rPr>
        <w:t>Anchor: SAR 24.00 (07 Jul 2026 close) · 3,000mn shares issued (12.8mn treasury; capital SAR 30bn after the Jan-2026 1-for-5 bonus) · market cap ≈ SAR 72bn · per-share figures on the 3,000mn issued basis.</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FIRST — what this study is, and is not.  </w:t>
            </w:r>
            <w:r>
              <w:rPr>
                <w:color w:val="1C3A36"/>
                <w:sz w:val="19"/>
              </w:rPr>
              <w:t>An educational, independent valuation study. It presents fair-value ranges and probability distributions — never a rating, never a target price, never a recommendation.</w:t>
            </w:r>
          </w:p>
          <w:p>
            <w:pPr>
              <w:spacing w:after="100"/>
            </w:pPr>
            <w:r>
              <w:rPr>
                <w:b/>
                <w:color w:val="1C3A36"/>
                <w:sz w:val="19"/>
              </w:rPr>
              <w:t xml:space="preserve">Two clocks, never blended.  </w:t>
            </w:r>
            <w:r>
              <w:rPr>
                <w:color w:val="1C3A36"/>
                <w:sz w:val="19"/>
              </w:rPr>
              <w:t>The fundamental fair value (~SAR 27.3) is a ~12-month anchor. Only the Monte Carlo T+20/T+60 percentiles are genuine 3-month figures. The MC drift deliberately excludes the fundamental value gap (lens independence).</w:t>
            </w:r>
          </w:p>
          <w:p>
            <w:pPr>
              <w:spacing w:after="100"/>
            </w:pPr>
            <w:r>
              <w:rPr>
                <w:b/>
                <w:color w:val="1C3A36"/>
                <w:sz w:val="19"/>
              </w:rPr>
              <w:t xml:space="preserve">The simulation's honesty tier.  </w:t>
            </w:r>
            <w:r>
              <w:rPr>
                <w:color w:val="1C3A36"/>
                <w:sz w:val="19"/>
              </w:rPr>
              <w:t>Step-0 verdict: PARITY under the market-panel gate — a calibrated distribution, market-panel validated; no single-name forecasting edge is claimed.</w:t>
            </w:r>
          </w:p>
          <w:p>
            <w:pPr>
              <w:spacing w:after="100"/>
            </w:pPr>
            <w:r>
              <w:rPr>
                <w:b/>
                <w:color w:val="1C3A36"/>
                <w:sz w:val="19"/>
              </w:rPr>
              <w:t xml:space="preserve">Flagged inputs.  </w:t>
            </w:r>
            <w:r>
              <w:rPr>
                <w:color w:val="1C3A36"/>
                <w:sz w:val="19"/>
              </w:rPr>
              <w:t>SAR 10Y risk-free is constructed (UST + Saudi Aa3/CDS spread) pending a SAGBI/iBoxx print; beta is a genuine but short-window regression; the Tier-1 sukuk split of equity is assembled from issuance records. All are Fundamental Driver Ledger rows.</w:t>
            </w:r>
          </w:p>
        </w:tc>
      </w:tr>
    </w:tbl>
    <w:p>
      <w:pPr>
        <w:spacing w:after="40"/>
      </w:pPr>
    </w:p>
    <w:p>
      <w:pPr>
        <w:spacing w:after="120" w:before="280"/>
      </w:pPr>
      <w:r>
        <w:rPr>
          <w:b/>
          <w:i w:val="0"/>
          <w:color w:val="1C3A36"/>
          <w:sz w:val="30"/>
        </w:rPr>
        <w:t>Headline</w:t>
      </w:r>
    </w:p>
    <w:p>
      <w:pPr>
        <w:spacing w:after="120" w:before="0"/>
      </w:pPr>
      <w:r>
        <w:rPr>
          <w:b/>
          <w:i w:val="0"/>
          <w:color w:val="1C3A36"/>
          <w:sz w:val="21"/>
        </w:rPr>
        <w:t xml:space="preserve">The model's read: modestly undervalued, on the condition that Alinma converts its growth into a durable ~16% through-cycle ROE. </w:t>
      </w:r>
      <w:r>
        <w:rPr>
          <w:b w:val="0"/>
          <w:i w:val="0"/>
          <w:color w:val="1C3A36"/>
          <w:sz w:val="21"/>
        </w:rPr>
        <w:t>Five fundamental lenses put fair value at SAR 19.9–31.2 with a weighted central of ~SAR 27.3 against a SAR 24.00 spot (+14%). The entire gap is a cost-of-equity argument: at our regressed beta the stock is cheap; at beta = 1.0 it is roughly fairly priced.</w:t>
      </w:r>
    </w:p>
    <w:p>
      <w:pPr>
        <w:spacing w:after="120" w:before="0"/>
      </w:pPr>
      <w:r>
        <w:rPr>
          <w:b w:val="0"/>
          <w:i w:val="0"/>
          <w:color w:val="1C3A36"/>
          <w:sz w:val="21"/>
        </w:rPr>
        <w:t>The bear case, stated fairly. The market is not obviously wrong. A ~2.1× multiple on common book for an 18.7% ROE bank implies a cost of equity near 9.2% — inside our own published Ke band (8.5–10.5%). If NIM compression runs past the guided glide as SAMA follows Fed cuts, if deposit competition keeps repricing the funding side, or if the growth phase demands more retained capital than the ~50% payout allows, the premium to book compresses and today's price needs no correction at all. The upside case requires the ROE glide to hold, not merely the volume growth.</w:t>
      </w:r>
    </w:p>
    <w:p>
      <w:pPr>
        <w:spacing w:after="120" w:before="280"/>
      </w:pPr>
      <w:r>
        <w:rPr>
          <w:b/>
          <w:i w:val="0"/>
          <w:color w:val="1C3A36"/>
          <w:sz w:val="30"/>
        </w:rPr>
        <w:t>Valuation summary — every read at a glance</w:t>
      </w:r>
    </w:p>
    <w:p>
      <w:pPr>
        <w:spacing w:after="120" w:before="0"/>
      </w:pPr>
      <w:r>
        <w:rPr>
          <w:b w:val="0"/>
          <w:i w:val="0"/>
          <w:color w:val="1C3A36"/>
          <w:sz w:val="19"/>
        </w:rPr>
        <w:t>One table for the reads that follow — what the bank is worth (fundamental), what the tape is doing (technical), what the next quarter's probabilities look like (Monte Carlo), and what three orthogonal experts conclude. The horizons differ by design and are never blended.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600"/>
            <w:shd w:val="clear" w:color="auto" w:fill="EAF0EE"/>
          </w:tcPr>
          <w:p>
            <w:pPr>
              <w:spacing w:after="20"/>
            </w:pPr>
            <w:r>
              <w:rPr>
                <w:b/>
                <w:color w:val="1C3A36"/>
                <w:sz w:val="18"/>
              </w:rPr>
              <w:t>Read</w:t>
            </w:r>
          </w:p>
        </w:tc>
        <w:tc>
          <w:tcPr>
            <w:tcW w:type="dxa" w:w="3312"/>
            <w:shd w:val="clear" w:color="auto" w:fill="EAF0EE"/>
          </w:tcPr>
          <w:p>
            <w:pPr>
              <w:spacing w:after="20"/>
            </w:pPr>
            <w:r>
              <w:rPr>
                <w:b/>
                <w:color w:val="1C3A36"/>
                <w:sz w:val="18"/>
              </w:rPr>
              <w:t>Fair value / signal</w:t>
            </w:r>
          </w:p>
        </w:tc>
        <w:tc>
          <w:tcPr>
            <w:tcW w:type="dxa" w:w="1584"/>
            <w:shd w:val="clear" w:color="auto" w:fill="EAF0EE"/>
          </w:tcPr>
          <w:p>
            <w:pPr>
              <w:spacing w:after="20"/>
            </w:pPr>
            <w:r>
              <w:rPr>
                <w:b/>
                <w:color w:val="1C3A36"/>
                <w:sz w:val="18"/>
              </w:rPr>
              <w:t>vs spot</w:t>
            </w:r>
          </w:p>
        </w:tc>
        <w:tc>
          <w:tcPr>
            <w:tcW w:type="dxa" w:w="1872"/>
            <w:shd w:val="clear" w:color="auto" w:fill="EAF0EE"/>
          </w:tcPr>
          <w:p>
            <w:pPr>
              <w:spacing w:after="20"/>
            </w:pPr>
            <w:r>
              <w:rPr>
                <w:b/>
                <w:color w:val="1C3A36"/>
                <w:sz w:val="18"/>
              </w:rPr>
              <w:t>Horizon</w:t>
            </w:r>
          </w:p>
        </w:tc>
      </w:tr>
      <w:tr>
        <w:tc>
          <w:tcPr>
            <w:tcW w:type="dxa" w:w="3600"/>
            <w:shd w:val="clear" w:color="auto" w:fill="F6F1E6"/>
          </w:tcPr>
          <w:p>
            <w:pPr>
              <w:spacing w:after="20"/>
            </w:pPr>
            <w:r>
              <w:rPr>
                <w:b/>
                <w:color w:val="1C3A36"/>
                <w:sz w:val="18"/>
              </w:rPr>
              <w:t>FUNDAMENTAL</w:t>
            </w:r>
          </w:p>
        </w:tc>
        <w:tc>
          <w:tcPr>
            <w:tcW w:type="dxa" w:w="3312"/>
            <w:shd w:val="clear" w:color="auto" w:fill="F6F1E6"/>
          </w:tcPr>
          <w:p>
            <w:pPr>
              <w:spacing w:after="20"/>
              <w:jc w:val="right"/>
            </w:pPr>
            <w:r>
              <w:rPr>
                <w:b/>
                <w:color w:val="1C3A36"/>
                <w:sz w:val="18"/>
              </w:rPr>
            </w:r>
          </w:p>
        </w:tc>
        <w:tc>
          <w:tcPr>
            <w:tcW w:type="dxa" w:w="1584"/>
            <w:shd w:val="clear" w:color="auto" w:fill="F6F1E6"/>
          </w:tcPr>
          <w:p>
            <w:pPr>
              <w:spacing w:after="20"/>
              <w:jc w:val="right"/>
            </w:pPr>
            <w:r>
              <w:rPr>
                <w:b/>
                <w:color w:val="1C3A36"/>
                <w:sz w:val="18"/>
              </w:rPr>
            </w:r>
          </w:p>
        </w:tc>
        <w:tc>
          <w:tcPr>
            <w:tcW w:type="dxa" w:w="1872"/>
            <w:shd w:val="clear" w:color="auto" w:fill="F6F1E6"/>
          </w:tcPr>
          <w:p>
            <w:pPr>
              <w:spacing w:after="20"/>
              <w:jc w:val="right"/>
            </w:pPr>
            <w:r>
              <w:rPr>
                <w:b/>
                <w:color w:val="1C3A36"/>
                <w:sz w:val="18"/>
              </w:rPr>
            </w:r>
          </w:p>
        </w:tc>
      </w:tr>
      <w:tr>
        <w:tc>
          <w:tcPr>
            <w:tcW w:type="dxa" w:w="3600"/>
          </w:tcPr>
          <w:p>
            <w:pPr>
              <w:spacing w:after="20"/>
            </w:pPr>
            <w:r>
              <w:rPr>
                <w:color w:val="1C3A36"/>
                <w:sz w:val="18"/>
              </w:rPr>
              <w:t>Dividend discount (primary)</w:t>
            </w:r>
          </w:p>
        </w:tc>
        <w:tc>
          <w:tcPr>
            <w:tcW w:type="dxa" w:w="3312"/>
          </w:tcPr>
          <w:p>
            <w:pPr>
              <w:spacing w:after="20"/>
              <w:jc w:val="right"/>
            </w:pPr>
            <w:r>
              <w:rPr>
                <w:color w:val="1C3A36"/>
                <w:sz w:val="18"/>
              </w:rPr>
              <w:t>SAR 31.2</w:t>
            </w:r>
          </w:p>
        </w:tc>
        <w:tc>
          <w:tcPr>
            <w:tcW w:type="dxa" w:w="1584"/>
          </w:tcPr>
          <w:p>
            <w:pPr>
              <w:spacing w:after="20"/>
              <w:jc w:val="right"/>
            </w:pPr>
            <w:r>
              <w:rPr>
                <w:color w:val="1C3A36"/>
                <w:sz w:val="18"/>
              </w:rPr>
              <w:t>+30%</w:t>
            </w:r>
          </w:p>
        </w:tc>
        <w:tc>
          <w:tcPr>
            <w:tcW w:type="dxa" w:w="1872"/>
          </w:tcPr>
          <w:p>
            <w:pPr>
              <w:spacing w:after="20"/>
              <w:jc w:val="right"/>
            </w:pPr>
            <w:r>
              <w:rPr>
                <w:color w:val="1C3A36"/>
                <w:sz w:val="18"/>
              </w:rPr>
              <w:t>~12m anchor</w:t>
            </w:r>
          </w:p>
        </w:tc>
      </w:tr>
      <w:tr>
        <w:tc>
          <w:tcPr>
            <w:tcW w:type="dxa" w:w="3600"/>
          </w:tcPr>
          <w:p>
            <w:pPr>
              <w:spacing w:after="20"/>
            </w:pPr>
            <w:r>
              <w:rPr>
                <w:color w:val="1C3A36"/>
                <w:sz w:val="18"/>
              </w:rPr>
              <w:t>Residual income</w:t>
            </w:r>
          </w:p>
        </w:tc>
        <w:tc>
          <w:tcPr>
            <w:tcW w:type="dxa" w:w="3312"/>
          </w:tcPr>
          <w:p>
            <w:pPr>
              <w:spacing w:after="20"/>
              <w:jc w:val="right"/>
            </w:pPr>
            <w:r>
              <w:rPr>
                <w:color w:val="1C3A36"/>
                <w:sz w:val="18"/>
              </w:rPr>
              <w:t>SAR 28.4</w:t>
            </w:r>
          </w:p>
        </w:tc>
        <w:tc>
          <w:tcPr>
            <w:tcW w:type="dxa" w:w="1584"/>
          </w:tcPr>
          <w:p>
            <w:pPr>
              <w:spacing w:after="20"/>
              <w:jc w:val="right"/>
            </w:pPr>
            <w:r>
              <w:rPr>
                <w:color w:val="1C3A36"/>
                <w:sz w:val="18"/>
              </w:rPr>
              <w:t>+18%</w:t>
            </w:r>
          </w:p>
        </w:tc>
        <w:tc>
          <w:tcPr>
            <w:tcW w:type="dxa" w:w="1872"/>
          </w:tcPr>
          <w:p>
            <w:pPr>
              <w:spacing w:after="20"/>
              <w:jc w:val="right"/>
            </w:pPr>
            <w:r>
              <w:rPr>
                <w:color w:val="1C3A36"/>
                <w:sz w:val="18"/>
              </w:rPr>
              <w:t>~12m anchor</w:t>
            </w:r>
          </w:p>
        </w:tc>
      </w:tr>
      <w:tr>
        <w:tc>
          <w:tcPr>
            <w:tcW w:type="dxa" w:w="3600"/>
          </w:tcPr>
          <w:p>
            <w:pPr>
              <w:spacing w:after="20"/>
            </w:pPr>
            <w:r>
              <w:rPr>
                <w:color w:val="1C3A36"/>
                <w:sz w:val="18"/>
              </w:rPr>
              <w:t>Equity DCF (FCFE)</w:t>
            </w:r>
          </w:p>
        </w:tc>
        <w:tc>
          <w:tcPr>
            <w:tcW w:type="dxa" w:w="3312"/>
          </w:tcPr>
          <w:p>
            <w:pPr>
              <w:spacing w:after="20"/>
              <w:jc w:val="right"/>
            </w:pPr>
            <w:r>
              <w:rPr>
                <w:color w:val="1C3A36"/>
                <w:sz w:val="18"/>
              </w:rPr>
              <w:t>SAR 23.8</w:t>
            </w:r>
          </w:p>
        </w:tc>
        <w:tc>
          <w:tcPr>
            <w:tcW w:type="dxa" w:w="1584"/>
          </w:tcPr>
          <w:p>
            <w:pPr>
              <w:spacing w:after="20"/>
              <w:jc w:val="right"/>
            </w:pPr>
            <w:r>
              <w:rPr>
                <w:color w:val="1C3A36"/>
                <w:sz w:val="18"/>
              </w:rPr>
              <w:t>-1%</w:t>
            </w:r>
          </w:p>
        </w:tc>
        <w:tc>
          <w:tcPr>
            <w:tcW w:type="dxa" w:w="1872"/>
          </w:tcPr>
          <w:p>
            <w:pPr>
              <w:spacing w:after="20"/>
              <w:jc w:val="right"/>
            </w:pPr>
            <w:r>
              <w:rPr>
                <w:color w:val="1C3A36"/>
                <w:sz w:val="18"/>
              </w:rPr>
              <w:t>~12m anchor</w:t>
            </w:r>
          </w:p>
        </w:tc>
      </w:tr>
      <w:tr>
        <w:tc>
          <w:tcPr>
            <w:tcW w:type="dxa" w:w="3600"/>
          </w:tcPr>
          <w:p>
            <w:pPr>
              <w:spacing w:after="20"/>
            </w:pPr>
            <w:r>
              <w:rPr>
                <w:color w:val="1C3A36"/>
                <w:sz w:val="18"/>
              </w:rPr>
              <w:t>Relative multiples</w:t>
            </w:r>
          </w:p>
        </w:tc>
        <w:tc>
          <w:tcPr>
            <w:tcW w:type="dxa" w:w="3312"/>
          </w:tcPr>
          <w:p>
            <w:pPr>
              <w:spacing w:after="20"/>
              <w:jc w:val="right"/>
            </w:pPr>
            <w:r>
              <w:rPr>
                <w:color w:val="1C3A36"/>
                <w:sz w:val="18"/>
              </w:rPr>
              <w:t>SAR 25.7</w:t>
            </w:r>
          </w:p>
        </w:tc>
        <w:tc>
          <w:tcPr>
            <w:tcW w:type="dxa" w:w="1584"/>
          </w:tcPr>
          <w:p>
            <w:pPr>
              <w:spacing w:after="20"/>
              <w:jc w:val="right"/>
            </w:pPr>
            <w:r>
              <w:rPr>
                <w:color w:val="1C3A36"/>
                <w:sz w:val="18"/>
              </w:rPr>
              <w:t>+7%</w:t>
            </w:r>
          </w:p>
        </w:tc>
        <w:tc>
          <w:tcPr>
            <w:tcW w:type="dxa" w:w="1872"/>
          </w:tcPr>
          <w:p>
            <w:pPr>
              <w:spacing w:after="20"/>
              <w:jc w:val="right"/>
            </w:pPr>
            <w:r>
              <w:rPr>
                <w:color w:val="1C3A36"/>
                <w:sz w:val="18"/>
              </w:rPr>
              <w:t>spot-relative</w:t>
            </w:r>
          </w:p>
        </w:tc>
      </w:tr>
      <w:tr>
        <w:tc>
          <w:tcPr>
            <w:tcW w:type="dxa" w:w="3600"/>
          </w:tcPr>
          <w:p>
            <w:pPr>
              <w:spacing w:after="20"/>
            </w:pPr>
            <w:r>
              <w:rPr>
                <w:color w:val="1C3A36"/>
                <w:sz w:val="18"/>
              </w:rPr>
              <w:t>Normalized floor</w:t>
            </w:r>
          </w:p>
        </w:tc>
        <w:tc>
          <w:tcPr>
            <w:tcW w:type="dxa" w:w="3312"/>
          </w:tcPr>
          <w:p>
            <w:pPr>
              <w:spacing w:after="20"/>
              <w:jc w:val="right"/>
            </w:pPr>
            <w:r>
              <w:rPr>
                <w:color w:val="1C3A36"/>
                <w:sz w:val="18"/>
              </w:rPr>
              <w:t>SAR 19.9</w:t>
            </w:r>
          </w:p>
        </w:tc>
        <w:tc>
          <w:tcPr>
            <w:tcW w:type="dxa" w:w="1584"/>
          </w:tcPr>
          <w:p>
            <w:pPr>
              <w:spacing w:after="20"/>
              <w:jc w:val="right"/>
            </w:pPr>
            <w:r>
              <w:rPr>
                <w:color w:val="1C3A36"/>
                <w:sz w:val="18"/>
              </w:rPr>
              <w:t>-17%</w:t>
            </w:r>
          </w:p>
        </w:tc>
        <w:tc>
          <w:tcPr>
            <w:tcW w:type="dxa" w:w="1872"/>
          </w:tcPr>
          <w:p>
            <w:pPr>
              <w:spacing w:after="20"/>
              <w:jc w:val="right"/>
            </w:pPr>
            <w:r>
              <w:rPr>
                <w:color w:val="1C3A36"/>
                <w:sz w:val="18"/>
              </w:rPr>
              <w:t>through-cycle</w:t>
            </w:r>
          </w:p>
        </w:tc>
      </w:tr>
      <w:tr>
        <w:tc>
          <w:tcPr>
            <w:tcW w:type="dxa" w:w="3600"/>
            <w:shd w:val="clear" w:color="auto" w:fill="F6F1E6"/>
          </w:tcPr>
          <w:p>
            <w:pPr>
              <w:spacing w:after="20"/>
            </w:pPr>
            <w:r>
              <w:rPr>
                <w:b/>
                <w:color w:val="1C3A36"/>
                <w:sz w:val="18"/>
              </w:rPr>
              <w:t>TECHNICAL</w:t>
            </w:r>
          </w:p>
        </w:tc>
        <w:tc>
          <w:tcPr>
            <w:tcW w:type="dxa" w:w="3312"/>
            <w:shd w:val="clear" w:color="auto" w:fill="F6F1E6"/>
          </w:tcPr>
          <w:p>
            <w:pPr>
              <w:spacing w:after="20"/>
              <w:jc w:val="right"/>
            </w:pPr>
            <w:r>
              <w:rPr>
                <w:b/>
                <w:color w:val="1C3A36"/>
                <w:sz w:val="18"/>
              </w:rPr>
            </w:r>
          </w:p>
        </w:tc>
        <w:tc>
          <w:tcPr>
            <w:tcW w:type="dxa" w:w="1584"/>
            <w:shd w:val="clear" w:color="auto" w:fill="F6F1E6"/>
          </w:tcPr>
          <w:p>
            <w:pPr>
              <w:spacing w:after="20"/>
              <w:jc w:val="right"/>
            </w:pPr>
            <w:r>
              <w:rPr>
                <w:b/>
                <w:color w:val="1C3A36"/>
                <w:sz w:val="18"/>
              </w:rPr>
            </w:r>
          </w:p>
        </w:tc>
        <w:tc>
          <w:tcPr>
            <w:tcW w:type="dxa" w:w="1872"/>
            <w:shd w:val="clear" w:color="auto" w:fill="F6F1E6"/>
          </w:tcPr>
          <w:p>
            <w:pPr>
              <w:spacing w:after="20"/>
              <w:jc w:val="right"/>
            </w:pPr>
            <w:r>
              <w:rPr>
                <w:b/>
                <w:color w:val="1C3A36"/>
                <w:sz w:val="18"/>
              </w:rPr>
            </w:r>
          </w:p>
        </w:tc>
      </w:tr>
      <w:tr>
        <w:tc>
          <w:tcPr>
            <w:tcW w:type="dxa" w:w="3600"/>
          </w:tcPr>
          <w:p>
            <w:pPr>
              <w:spacing w:after="20"/>
            </w:pPr>
            <w:r>
              <w:rPr>
                <w:color w:val="1C3A36"/>
                <w:sz w:val="18"/>
              </w:rPr>
              <w:t>MA stack / RSI / MACD</w:t>
            </w:r>
          </w:p>
        </w:tc>
        <w:tc>
          <w:tcPr>
            <w:tcW w:type="dxa" w:w="3312"/>
          </w:tcPr>
          <w:p>
            <w:pPr>
              <w:spacing w:after="20"/>
              <w:jc w:val="right"/>
            </w:pPr>
            <w:r>
              <w:rPr>
                <w:color w:val="1C3A36"/>
                <w:sz w:val="18"/>
              </w:rPr>
              <w:t>Price below MA20/50/100; RSI 11; MACD histogram -0.14</w:t>
            </w:r>
          </w:p>
        </w:tc>
        <w:tc>
          <w:tcPr>
            <w:tcW w:type="dxa" w:w="1584"/>
          </w:tcPr>
          <w:p>
            <w:pPr>
              <w:spacing w:after="20"/>
              <w:jc w:val="right"/>
            </w:pPr>
            <w:r>
              <w:rPr>
                <w:color w:val="1C3A36"/>
                <w:sz w:val="18"/>
              </w:rPr>
              <w:t>corrective</w:t>
            </w:r>
          </w:p>
        </w:tc>
        <w:tc>
          <w:tcPr>
            <w:tcW w:type="dxa" w:w="1872"/>
          </w:tcPr>
          <w:p>
            <w:pPr>
              <w:spacing w:after="20"/>
              <w:jc w:val="right"/>
            </w:pPr>
            <w:r>
              <w:rPr>
                <w:color w:val="1C3A36"/>
                <w:sz w:val="18"/>
              </w:rPr>
              <w:t>weeks</w:t>
            </w:r>
          </w:p>
        </w:tc>
      </w:tr>
      <w:tr>
        <w:tc>
          <w:tcPr>
            <w:tcW w:type="dxa" w:w="3600"/>
            <w:shd w:val="clear" w:color="auto" w:fill="F6F1E6"/>
          </w:tcPr>
          <w:p>
            <w:pPr>
              <w:spacing w:after="20"/>
            </w:pPr>
            <w:r>
              <w:rPr>
                <w:b/>
                <w:color w:val="1C3A36"/>
                <w:sz w:val="18"/>
              </w:rPr>
              <w:t>MONTE CARLO</w:t>
            </w:r>
          </w:p>
        </w:tc>
        <w:tc>
          <w:tcPr>
            <w:tcW w:type="dxa" w:w="3312"/>
            <w:shd w:val="clear" w:color="auto" w:fill="F6F1E6"/>
          </w:tcPr>
          <w:p>
            <w:pPr>
              <w:spacing w:after="20"/>
              <w:jc w:val="right"/>
            </w:pPr>
            <w:r>
              <w:rPr>
                <w:b/>
                <w:color w:val="1C3A36"/>
                <w:sz w:val="18"/>
              </w:rPr>
            </w:r>
          </w:p>
        </w:tc>
        <w:tc>
          <w:tcPr>
            <w:tcW w:type="dxa" w:w="1584"/>
            <w:shd w:val="clear" w:color="auto" w:fill="F6F1E6"/>
          </w:tcPr>
          <w:p>
            <w:pPr>
              <w:spacing w:after="20"/>
              <w:jc w:val="right"/>
            </w:pPr>
            <w:r>
              <w:rPr>
                <w:b/>
                <w:color w:val="1C3A36"/>
                <w:sz w:val="18"/>
              </w:rPr>
            </w:r>
          </w:p>
        </w:tc>
        <w:tc>
          <w:tcPr>
            <w:tcW w:type="dxa" w:w="1872"/>
            <w:shd w:val="clear" w:color="auto" w:fill="F6F1E6"/>
          </w:tcPr>
          <w:p>
            <w:pPr>
              <w:spacing w:after="20"/>
              <w:jc w:val="right"/>
            </w:pPr>
            <w:r>
              <w:rPr>
                <w:b/>
                <w:color w:val="1C3A36"/>
                <w:sz w:val="18"/>
              </w:rPr>
            </w:r>
          </w:p>
        </w:tc>
      </w:tr>
      <w:tr>
        <w:tc>
          <w:tcPr>
            <w:tcW w:type="dxa" w:w="3600"/>
          </w:tcPr>
          <w:p>
            <w:pPr>
              <w:spacing w:after="20"/>
            </w:pPr>
            <w:r>
              <w:rPr>
                <w:color w:val="1C3A36"/>
                <w:sz w:val="18"/>
              </w:rPr>
              <w:t>T+60 median (50% band)</w:t>
            </w:r>
          </w:p>
        </w:tc>
        <w:tc>
          <w:tcPr>
            <w:tcW w:type="dxa" w:w="3312"/>
          </w:tcPr>
          <w:p>
            <w:pPr>
              <w:spacing w:after="20"/>
              <w:jc w:val="right"/>
            </w:pPr>
            <w:r>
              <w:rPr>
                <w:color w:val="1C3A36"/>
                <w:sz w:val="18"/>
              </w:rPr>
              <w:t>SAR 24.00 (22.82–25.24)</w:t>
            </w:r>
          </w:p>
        </w:tc>
        <w:tc>
          <w:tcPr>
            <w:tcW w:type="dxa" w:w="1584"/>
          </w:tcPr>
          <w:p>
            <w:pPr>
              <w:spacing w:after="20"/>
              <w:jc w:val="right"/>
            </w:pPr>
            <w:r>
              <w:rPr>
                <w:color w:val="1C3A36"/>
                <w:sz w:val="18"/>
              </w:rPr>
              <w:t>-0.0%</w:t>
            </w:r>
          </w:p>
        </w:tc>
        <w:tc>
          <w:tcPr>
            <w:tcW w:type="dxa" w:w="1872"/>
          </w:tcPr>
          <w:p>
            <w:pPr>
              <w:spacing w:after="20"/>
              <w:jc w:val="right"/>
            </w:pPr>
            <w:r>
              <w:rPr>
                <w:color w:val="1C3A36"/>
                <w:sz w:val="18"/>
              </w:rPr>
              <w:t>3 months</w:t>
            </w:r>
          </w:p>
        </w:tc>
      </w:tr>
      <w:tr>
        <w:tc>
          <w:tcPr>
            <w:tcW w:type="dxa" w:w="3600"/>
            <w:shd w:val="clear" w:color="auto" w:fill="F6F1E6"/>
          </w:tcPr>
          <w:p>
            <w:pPr>
              <w:spacing w:after="20"/>
            </w:pPr>
            <w:r>
              <w:rPr>
                <w:b/>
                <w:color w:val="1C3A36"/>
                <w:sz w:val="18"/>
              </w:rPr>
              <w:t>EXPERT PANEL</w:t>
            </w:r>
          </w:p>
        </w:tc>
        <w:tc>
          <w:tcPr>
            <w:tcW w:type="dxa" w:w="3312"/>
            <w:shd w:val="clear" w:color="auto" w:fill="F6F1E6"/>
          </w:tcPr>
          <w:p>
            <w:pPr>
              <w:spacing w:after="20"/>
              <w:jc w:val="right"/>
            </w:pPr>
            <w:r>
              <w:rPr>
                <w:b/>
                <w:color w:val="1C3A36"/>
                <w:sz w:val="18"/>
              </w:rPr>
            </w:r>
          </w:p>
        </w:tc>
        <w:tc>
          <w:tcPr>
            <w:tcW w:type="dxa" w:w="1584"/>
            <w:shd w:val="clear" w:color="auto" w:fill="F6F1E6"/>
          </w:tcPr>
          <w:p>
            <w:pPr>
              <w:spacing w:after="20"/>
              <w:jc w:val="right"/>
            </w:pPr>
            <w:r>
              <w:rPr>
                <w:b/>
                <w:color w:val="1C3A36"/>
                <w:sz w:val="18"/>
              </w:rPr>
            </w:r>
          </w:p>
        </w:tc>
        <w:tc>
          <w:tcPr>
            <w:tcW w:type="dxa" w:w="1872"/>
            <w:shd w:val="clear" w:color="auto" w:fill="F6F1E6"/>
          </w:tcPr>
          <w:p>
            <w:pPr>
              <w:spacing w:after="20"/>
              <w:jc w:val="right"/>
            </w:pPr>
            <w:r>
              <w:rPr>
                <w:b/>
                <w:color w:val="1C3A36"/>
                <w:sz w:val="18"/>
              </w:rPr>
            </w:r>
          </w:p>
        </w:tc>
      </w:tr>
      <w:tr>
        <w:tc>
          <w:tcPr>
            <w:tcW w:type="dxa" w:w="3600"/>
          </w:tcPr>
          <w:p>
            <w:pPr>
              <w:spacing w:after="20"/>
            </w:pPr>
            <w:r>
              <w:rPr>
                <w:color w:val="1C3A36"/>
                <w:sz w:val="18"/>
              </w:rPr>
              <w:t>Three-lens span (App. C)</w:t>
            </w:r>
          </w:p>
        </w:tc>
        <w:tc>
          <w:tcPr>
            <w:tcW w:type="dxa" w:w="3312"/>
          </w:tcPr>
          <w:p>
            <w:pPr>
              <w:spacing w:after="20"/>
              <w:jc w:val="right"/>
            </w:pPr>
            <w:r>
              <w:rPr>
                <w:color w:val="1C3A36"/>
                <w:sz w:val="18"/>
              </w:rPr>
              <w:t>SAR ~21.5–29.5</w:t>
            </w:r>
          </w:p>
        </w:tc>
        <w:tc>
          <w:tcPr>
            <w:tcW w:type="dxa" w:w="1584"/>
          </w:tcPr>
          <w:p>
            <w:pPr>
              <w:spacing w:after="20"/>
              <w:jc w:val="right"/>
            </w:pPr>
            <w:r>
              <w:rPr>
                <w:color w:val="1C3A36"/>
                <w:sz w:val="18"/>
              </w:rPr>
              <w:t>straddles spot</w:t>
            </w:r>
          </w:p>
        </w:tc>
        <w:tc>
          <w:tcPr>
            <w:tcW w:type="dxa" w:w="1872"/>
          </w:tcPr>
          <w:p>
            <w:pPr>
              <w:spacing w:after="20"/>
              <w:jc w:val="right"/>
            </w:pPr>
            <w:r>
              <w:rPr>
                <w:color w:val="1C3A36"/>
                <w:sz w:val="18"/>
              </w:rPr>
              <w:t>method-dependent</w:t>
            </w:r>
          </w:p>
        </w:tc>
      </w:tr>
      <w:tr>
        <w:tc>
          <w:tcPr>
            <w:tcW w:type="dxa" w:w="3600"/>
            <w:shd w:val="clear" w:color="auto" w:fill="F6F1E6"/>
          </w:tcPr>
          <w:p>
            <w:pPr>
              <w:spacing w:after="20"/>
            </w:pPr>
            <w:r>
              <w:rPr>
                <w:b/>
                <w:color w:val="1C3A36"/>
                <w:sz w:val="18"/>
              </w:rPr>
              <w:t>WEIGHTED CENTRAL</w:t>
            </w:r>
          </w:p>
        </w:tc>
        <w:tc>
          <w:tcPr>
            <w:tcW w:type="dxa" w:w="3312"/>
            <w:shd w:val="clear" w:color="auto" w:fill="F6F1E6"/>
          </w:tcPr>
          <w:p>
            <w:pPr>
              <w:spacing w:after="20"/>
              <w:jc w:val="right"/>
            </w:pPr>
            <w:r>
              <w:rPr>
                <w:b/>
                <w:color w:val="1C3A36"/>
                <w:sz w:val="18"/>
              </w:rPr>
              <w:t>SAR 27.3</w:t>
            </w:r>
          </w:p>
        </w:tc>
        <w:tc>
          <w:tcPr>
            <w:tcW w:type="dxa" w:w="1584"/>
            <w:shd w:val="clear" w:color="auto" w:fill="F6F1E6"/>
          </w:tcPr>
          <w:p>
            <w:pPr>
              <w:spacing w:after="20"/>
              <w:jc w:val="right"/>
            </w:pPr>
            <w:r>
              <w:rPr>
                <w:b/>
                <w:color w:val="1C3A36"/>
                <w:sz w:val="18"/>
              </w:rPr>
              <w:t>+13.8%</w:t>
            </w:r>
          </w:p>
        </w:tc>
        <w:tc>
          <w:tcPr>
            <w:tcW w:type="dxa" w:w="1872"/>
            <w:shd w:val="clear" w:color="auto" w:fill="F6F1E6"/>
          </w:tcPr>
          <w:p>
            <w:pPr>
              <w:spacing w:after="20"/>
              <w:jc w:val="right"/>
            </w:pPr>
            <w:r>
              <w:rPr>
                <w:b/>
                <w:color w:val="1C3A36"/>
                <w:sz w:val="18"/>
              </w:rPr>
              <w:t>fundamental clock</w:t>
            </w:r>
          </w:p>
        </w:tc>
      </w:tr>
    </w:tbl>
    <w:p>
      <w:pPr>
        <w:spacing w:after="40"/>
      </w:pPr>
    </w:p>
    <w:p>
      <w:pPr>
        <w:spacing w:after="120" w:before="0"/>
      </w:pPr>
      <w:r>
        <w:rPr>
          <w:b/>
          <w:i w:val="0"/>
          <w:color w:val="1C3A36"/>
          <w:sz w:val="21"/>
        </w:rPr>
        <w:t xml:space="preserve">Bottom line.  </w:t>
      </w:r>
      <w:r>
        <w:rPr>
          <w:b w:val="0"/>
          <w:i w:val="0"/>
          <w:color w:val="1C3A36"/>
          <w:sz w:val="21"/>
        </w:rPr>
        <w:t>The fundamental lenses point one way — spot below fair — and disagree only on distance (the Ke crux). The tape is corrective under a falling MA stack, and the three-month simulation is honestly flat: the carry anchor nets to ~zero because Alinma's ~4.2% dividend yield approximately equals the Saudi risk-free, so the expected total return over the quarter arrives as dividend, not price.</w:t>
      </w:r>
    </w:p>
    <w:p>
      <w:pPr>
        <w:spacing w:after="120" w:before="280"/>
      </w:pPr>
      <w:r>
        <w:rPr>
          <w:b/>
          <w:i w:val="0"/>
          <w:color w:val="1C3A36"/>
          <w:sz w:val="30"/>
        </w:rPr>
        <w:t>Company overview — Alinma Bank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2304"/>
            <w:shd w:val="clear" w:color="auto" w:fill="EAF0EE"/>
          </w:tcPr>
          <w:p>
            <w:pPr>
              <w:spacing w:after="20"/>
            </w:pPr>
            <w:r>
              <w:rPr>
                <w:b/>
                <w:color w:val="1C3A36"/>
                <w:sz w:val="18"/>
              </w:rPr>
              <w:t>Item</w:t>
            </w:r>
          </w:p>
        </w:tc>
        <w:tc>
          <w:tcPr>
            <w:tcW w:type="dxa" w:w="8064"/>
            <w:shd w:val="clear" w:color="auto" w:fill="EAF0EE"/>
          </w:tcPr>
          <w:p>
            <w:pPr>
              <w:spacing w:after="20"/>
            </w:pPr>
            <w:r>
              <w:rPr>
                <w:b/>
                <w:color w:val="1C3A36"/>
                <w:sz w:val="18"/>
              </w:rPr>
              <w:t>Detail</w:t>
            </w:r>
          </w:p>
        </w:tc>
      </w:tr>
      <w:tr>
        <w:tc>
          <w:tcPr>
            <w:tcW w:type="dxa" w:w="2304"/>
          </w:tcPr>
          <w:p>
            <w:pPr>
              <w:spacing w:after="20"/>
            </w:pPr>
            <w:r>
              <w:rPr>
                <w:color w:val="1C3A36"/>
                <w:sz w:val="18"/>
              </w:rPr>
              <w:t>Franchise</w:t>
            </w:r>
          </w:p>
        </w:tc>
        <w:tc>
          <w:tcPr>
            <w:tcW w:type="dxa" w:w="8064"/>
          </w:tcPr>
          <w:p>
            <w:pPr>
              <w:spacing w:after="20"/>
              <w:jc w:val="right"/>
            </w:pPr>
            <w:r>
              <w:rPr>
                <w:color w:val="1C3A36"/>
                <w:sz w:val="18"/>
              </w:rPr>
              <w:t>Fastest-growing large Saudi Islamic bank; founded 2006, retail + corporate + treasury, Alinma Capital subsidiary</w:t>
            </w:r>
          </w:p>
        </w:tc>
      </w:tr>
      <w:tr>
        <w:tc>
          <w:tcPr>
            <w:tcW w:type="dxa" w:w="2304"/>
          </w:tcPr>
          <w:p>
            <w:pPr>
              <w:spacing w:after="20"/>
            </w:pPr>
            <w:r>
              <w:rPr>
                <w:color w:val="1C3A36"/>
                <w:sz w:val="18"/>
              </w:rPr>
              <w:t>Scale (FY25)</w:t>
            </w:r>
          </w:p>
        </w:tc>
        <w:tc>
          <w:tcPr>
            <w:tcW w:type="dxa" w:w="8064"/>
          </w:tcPr>
          <w:p>
            <w:pPr>
              <w:spacing w:after="20"/>
              <w:jc w:val="right"/>
            </w:pPr>
            <w:r>
              <w:rPr>
                <w:color w:val="1C3A36"/>
                <w:sz w:val="18"/>
              </w:rPr>
              <w:t>Assets SAR 311,067mn · financing SAR 229,747mn · deposits SAR 227,374mn</w:t>
            </w:r>
          </w:p>
        </w:tc>
      </w:tr>
      <w:tr>
        <w:tc>
          <w:tcPr>
            <w:tcW w:type="dxa" w:w="2304"/>
          </w:tcPr>
          <w:p>
            <w:pPr>
              <w:spacing w:after="20"/>
            </w:pPr>
            <w:r>
              <w:rPr>
                <w:color w:val="1C3A36"/>
                <w:sz w:val="18"/>
              </w:rPr>
              <w:t>Profitability (FY25)</w:t>
            </w:r>
          </w:p>
        </w:tc>
        <w:tc>
          <w:tcPr>
            <w:tcW w:type="dxa" w:w="8064"/>
          </w:tcPr>
          <w:p>
            <w:pPr>
              <w:spacing w:after="20"/>
              <w:jc w:val="right"/>
            </w:pPr>
            <w:r>
              <w:rPr>
                <w:color w:val="1C3A36"/>
                <w:sz w:val="18"/>
              </w:rPr>
              <w:t>Net income SAR 6,397mn (+10%) · ROE 18.7% · ROA 2.18% · NIM ~3.55% · C/I 31.2%</w:t>
            </w:r>
          </w:p>
        </w:tc>
      </w:tr>
      <w:tr>
        <w:tc>
          <w:tcPr>
            <w:tcW w:type="dxa" w:w="2304"/>
          </w:tcPr>
          <w:p>
            <w:pPr>
              <w:spacing w:after="20"/>
            </w:pPr>
            <w:r>
              <w:rPr>
                <w:color w:val="1C3A36"/>
                <w:sz w:val="18"/>
              </w:rPr>
              <w:t>Asset quality</w:t>
            </w:r>
          </w:p>
        </w:tc>
        <w:tc>
          <w:tcPr>
            <w:tcW w:type="dxa" w:w="8064"/>
          </w:tcPr>
          <w:p>
            <w:pPr>
              <w:spacing w:after="20"/>
              <w:jc w:val="right"/>
            </w:pPr>
            <w:r>
              <w:rPr>
                <w:color w:val="1C3A36"/>
                <w:sz w:val="18"/>
              </w:rPr>
              <w:t>NPL ~1.45% · coverage 150.3% · cost of risk 49bp (from 77bp in 2023)</w:t>
            </w:r>
          </w:p>
        </w:tc>
      </w:tr>
      <w:tr>
        <w:tc>
          <w:tcPr>
            <w:tcW w:type="dxa" w:w="2304"/>
          </w:tcPr>
          <w:p>
            <w:pPr>
              <w:spacing w:after="20"/>
            </w:pPr>
            <w:r>
              <w:rPr>
                <w:color w:val="1C3A36"/>
                <w:sz w:val="18"/>
              </w:rPr>
              <w:t>Capital</w:t>
            </w:r>
          </w:p>
        </w:tc>
        <w:tc>
          <w:tcPr>
            <w:tcW w:type="dxa" w:w="8064"/>
          </w:tcPr>
          <w:p>
            <w:pPr>
              <w:spacing w:after="20"/>
              <w:jc w:val="right"/>
            </w:pPr>
            <w:r>
              <w:rPr>
                <w:color w:val="1C3A36"/>
                <w:sz w:val="18"/>
              </w:rPr>
              <w:t>CAR 18.0% (Pillar-1 17.7% FY24) · Tier-1 sukuk ~SAR 13.75bn across three issuances (flagged — FS note 11)</w:t>
            </w:r>
          </w:p>
        </w:tc>
      </w:tr>
      <w:tr>
        <w:tc>
          <w:tcPr>
            <w:tcW w:type="dxa" w:w="2304"/>
          </w:tcPr>
          <w:p>
            <w:pPr>
              <w:spacing w:after="20"/>
            </w:pPr>
            <w:r>
              <w:rPr>
                <w:color w:val="1C3A36"/>
                <w:sz w:val="18"/>
              </w:rPr>
              <w:t>Capital action</w:t>
            </w:r>
          </w:p>
        </w:tc>
        <w:tc>
          <w:tcPr>
            <w:tcW w:type="dxa" w:w="8064"/>
          </w:tcPr>
          <w:p>
            <w:pPr>
              <w:spacing w:after="20"/>
              <w:jc w:val="right"/>
            </w:pPr>
            <w:r>
              <w:rPr>
                <w:color w:val="1C3A36"/>
                <w:sz w:val="18"/>
              </w:rPr>
              <w:t>Jan-2026 1-for-5 bonus: 2,500mn → 3,000mn shares (capital SAR 25bn → 30bn)</w:t>
            </w:r>
          </w:p>
        </w:tc>
      </w:tr>
      <w:tr>
        <w:tc>
          <w:tcPr>
            <w:tcW w:type="dxa" w:w="2304"/>
          </w:tcPr>
          <w:p>
            <w:pPr>
              <w:spacing w:after="20"/>
            </w:pPr>
            <w:r>
              <w:rPr>
                <w:color w:val="1C3A36"/>
                <w:sz w:val="18"/>
              </w:rPr>
              <w:t>Dividend</w:t>
            </w:r>
          </w:p>
        </w:tc>
        <w:tc>
          <w:tcPr>
            <w:tcW w:type="dxa" w:w="8064"/>
          </w:tcPr>
          <w:p>
            <w:pPr>
              <w:spacing w:after="20"/>
              <w:jc w:val="right"/>
            </w:pPr>
            <w:r>
              <w:rPr>
                <w:color w:val="1C3A36"/>
                <w:sz w:val="18"/>
              </w:rPr>
              <w:t>SAR 0.25/quarter post-bonus (SAR 1.00/yr run-rate) ≈ 4.2% yield · ~47% payout</w:t>
            </w:r>
          </w:p>
        </w:tc>
      </w:tr>
      <w:tr>
        <w:tc>
          <w:tcPr>
            <w:tcW w:type="dxa" w:w="2304"/>
          </w:tcPr>
          <w:p>
            <w:pPr>
              <w:spacing w:after="20"/>
            </w:pPr>
            <w:r>
              <w:rPr>
                <w:color w:val="1C3A36"/>
                <w:sz w:val="18"/>
              </w:rPr>
              <w:t>Strategy</w:t>
            </w:r>
          </w:p>
        </w:tc>
        <w:tc>
          <w:tcPr>
            <w:tcW w:type="dxa" w:w="8064"/>
          </w:tcPr>
          <w:p>
            <w:pPr>
              <w:spacing w:after="20"/>
              <w:jc w:val="right"/>
            </w:pPr>
            <w:r>
              <w:rPr>
                <w:color w:val="1C3A36"/>
                <w:sz w:val="18"/>
              </w:rPr>
              <w:t>Vision-2030 credit demand, project finance, SME +31% (2023), digital build-out; '2025 strategy' concluded, next phase under way</w:t>
            </w:r>
          </w:p>
        </w:tc>
      </w:tr>
      <w:tr>
        <w:tc>
          <w:tcPr>
            <w:tcW w:type="dxa" w:w="2304"/>
          </w:tcPr>
          <w:p>
            <w:pPr>
              <w:spacing w:after="20"/>
            </w:pPr>
            <w:r>
              <w:rPr>
                <w:color w:val="1C3A36"/>
                <w:sz w:val="18"/>
              </w:rPr>
              <w:t>Listing</w:t>
            </w:r>
          </w:p>
        </w:tc>
        <w:tc>
          <w:tcPr>
            <w:tcW w:type="dxa" w:w="8064"/>
          </w:tcPr>
          <w:p>
            <w:pPr>
              <w:spacing w:after="20"/>
              <w:jc w:val="right"/>
            </w:pPr>
            <w:r>
              <w:rPr>
                <w:color w:val="1C3A36"/>
                <w:sz w:val="18"/>
              </w:rPr>
              <w:t>Tadawul 1150 · market cap ≈ SAR 71.7bn · among the four largest Saudi banks by market value</w:t>
            </w:r>
          </w:p>
        </w:tc>
      </w:tr>
    </w:tbl>
    <w:p>
      <w:pPr>
        <w:spacing w:after="40"/>
      </w:pPr>
    </w:p>
    <w:p>
      <w:pPr>
        <w:spacing w:after="120" w:before="280"/>
      </w:pPr>
      <w:r>
        <w:rPr>
          <w:b/>
          <w:i w:val="0"/>
          <w:color w:val="1C3A36"/>
          <w:sz w:val="30"/>
        </w:rPr>
        <w:t>1  Fundamental valuation</w:t>
      </w:r>
    </w:p>
    <w:p>
      <w:pPr>
        <w:spacing w:after="120" w:before="0"/>
      </w:pPr>
      <w:r>
        <w:rPr>
          <w:b w:val="0"/>
          <w:i w:val="0"/>
          <w:color w:val="1C3A36"/>
          <w:sz w:val="19"/>
        </w:rPr>
        <w:t>Instrument class: bank. The lens hierarchy follows the house bank pattern — a dividend discount model as the primary read (banks are valued on distributable earnings under a regulatory capital constraint), a multi-period residual-income build and an equity DCF as genuine cross-checks, relative multiples for the market read, and a normalized floor. Leverage means enterprise-value tools (FCFF, EV/EBITDA) are the wrong instruments here; everything is equity-side.</w:t>
      </w:r>
    </w:p>
    <w:p>
      <w:pPr>
        <w:spacing w:after="80" w:before="200"/>
      </w:pPr>
      <w:r>
        <w:rPr>
          <w:b/>
          <w:i w:val="0"/>
          <w:color w:val="1C3A36"/>
          <w:sz w:val="24"/>
        </w:rPr>
        <w:t>1.1  Dividend discount model — the primary lens</w:t>
      </w:r>
    </w:p>
    <w:p>
      <w:pPr>
        <w:spacing w:after="120" w:before="0"/>
      </w:pPr>
      <w:r>
        <w:rPr>
          <w:b w:val="0"/>
          <w:i w:val="0"/>
          <w:color w:val="1C3A36"/>
          <w:sz w:val="21"/>
        </w:rPr>
        <w:t>Five explicit dividend years from the driver build (§1.7), then a terminal value whose payout is forced consistent with terminal growth: payout_t = 1 − g/ROE_t = 1 − 3.0%/16.0% = 81.25%. That consistency matters: Alinma retains ~53% today because it is still compounding at ~18–19% ROE; a terminal value that grows dividends at 3% while silently keeping the 47% payout would throw away the retained half of terminal earnings.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440"/>
        <w:gridCol w:w="1440"/>
        <w:gridCol w:w="1440"/>
        <w:gridCol w:w="1440"/>
        <w:gridCol w:w="1440"/>
        <w:gridCol w:w="1440"/>
        <w:gridCol w:w="1440"/>
      </w:tblGrid>
      <w:tr>
        <w:tc>
          <w:tcPr>
            <w:tcW w:type="dxa" w:w="3600"/>
            <w:shd w:val="clear" w:color="auto" w:fill="EAF0EE"/>
          </w:tcPr>
          <w:p>
            <w:pPr>
              <w:spacing w:after="20"/>
            </w:pPr>
            <w:r>
              <w:rPr>
                <w:b/>
                <w:color w:val="1C3A36"/>
                <w:sz w:val="18"/>
              </w:rPr>
              <w:t>SAR / share</w:t>
            </w:r>
          </w:p>
        </w:tc>
        <w:tc>
          <w:tcPr>
            <w:tcW w:type="dxa" w:w="1224"/>
            <w:shd w:val="clear" w:color="auto" w:fill="EAF0EE"/>
          </w:tcPr>
          <w:p>
            <w:pPr>
              <w:spacing w:after="20"/>
            </w:pPr>
            <w:r>
              <w:rPr>
                <w:b/>
                <w:color w:val="1C3A36"/>
                <w:sz w:val="18"/>
              </w:rPr>
              <w:t>FY26e</w:t>
            </w:r>
          </w:p>
        </w:tc>
        <w:tc>
          <w:tcPr>
            <w:tcW w:type="dxa" w:w="1224"/>
            <w:shd w:val="clear" w:color="auto" w:fill="EAF0EE"/>
          </w:tcPr>
          <w:p>
            <w:pPr>
              <w:spacing w:after="20"/>
            </w:pPr>
            <w:r>
              <w:rPr>
                <w:b/>
                <w:color w:val="1C3A36"/>
                <w:sz w:val="18"/>
              </w:rPr>
              <w:t>FY27e</w:t>
            </w:r>
          </w:p>
        </w:tc>
        <w:tc>
          <w:tcPr>
            <w:tcW w:type="dxa" w:w="1224"/>
            <w:shd w:val="clear" w:color="auto" w:fill="EAF0EE"/>
          </w:tcPr>
          <w:p>
            <w:pPr>
              <w:spacing w:after="20"/>
            </w:pPr>
            <w:r>
              <w:rPr>
                <w:b/>
                <w:color w:val="1C3A36"/>
                <w:sz w:val="18"/>
              </w:rPr>
              <w:t>FY28e</w:t>
            </w:r>
          </w:p>
        </w:tc>
        <w:tc>
          <w:tcPr>
            <w:tcW w:type="dxa" w:w="1224"/>
            <w:shd w:val="clear" w:color="auto" w:fill="EAF0EE"/>
          </w:tcPr>
          <w:p>
            <w:pPr>
              <w:spacing w:after="20"/>
            </w:pPr>
            <w:r>
              <w:rPr>
                <w:b/>
                <w:color w:val="1C3A36"/>
                <w:sz w:val="18"/>
              </w:rPr>
              <w:t>FY29e</w:t>
            </w:r>
          </w:p>
        </w:tc>
        <w:tc>
          <w:tcPr>
            <w:tcW w:type="dxa" w:w="1224"/>
            <w:shd w:val="clear" w:color="auto" w:fill="EAF0EE"/>
          </w:tcPr>
          <w:p>
            <w:pPr>
              <w:spacing w:after="20"/>
            </w:pPr>
            <w:r>
              <w:rPr>
                <w:b/>
                <w:color w:val="1C3A36"/>
                <w:sz w:val="18"/>
              </w:rPr>
              <w:t>FY30e</w:t>
            </w:r>
          </w:p>
        </w:tc>
        <w:tc>
          <w:tcPr>
            <w:tcW w:type="dxa" w:w="1944"/>
            <w:shd w:val="clear" w:color="auto" w:fill="EAF0EE"/>
          </w:tcPr>
          <w:p>
            <w:pPr>
              <w:spacing w:after="20"/>
            </w:pPr>
            <w:r>
              <w:rPr>
                <w:b/>
                <w:color w:val="1C3A36"/>
                <w:sz w:val="18"/>
              </w:rPr>
              <w:t>Terminal</w:t>
            </w:r>
          </w:p>
        </w:tc>
      </w:tr>
      <w:tr>
        <w:tc>
          <w:tcPr>
            <w:tcW w:type="dxa" w:w="3600"/>
          </w:tcPr>
          <w:p>
            <w:pPr>
              <w:spacing w:after="20"/>
            </w:pPr>
            <w:r>
              <w:rPr>
                <w:color w:val="1C3A36"/>
                <w:sz w:val="18"/>
              </w:rPr>
              <w:t>DPS</w:t>
            </w:r>
          </w:p>
        </w:tc>
        <w:tc>
          <w:tcPr>
            <w:tcW w:type="dxa" w:w="1224"/>
          </w:tcPr>
          <w:p>
            <w:pPr>
              <w:spacing w:after="20"/>
              <w:jc w:val="right"/>
            </w:pPr>
            <w:r>
              <w:rPr>
                <w:color w:val="1C3A36"/>
                <w:sz w:val="18"/>
              </w:rPr>
              <w:t>1.02</w:t>
            </w:r>
          </w:p>
        </w:tc>
        <w:tc>
          <w:tcPr>
            <w:tcW w:type="dxa" w:w="1224"/>
          </w:tcPr>
          <w:p>
            <w:pPr>
              <w:spacing w:after="20"/>
              <w:jc w:val="right"/>
            </w:pPr>
            <w:r>
              <w:rPr>
                <w:color w:val="1C3A36"/>
                <w:sz w:val="18"/>
              </w:rPr>
              <w:t>1.16</w:t>
            </w:r>
          </w:p>
        </w:tc>
        <w:tc>
          <w:tcPr>
            <w:tcW w:type="dxa" w:w="1224"/>
          </w:tcPr>
          <w:p>
            <w:pPr>
              <w:spacing w:after="20"/>
              <w:jc w:val="right"/>
            </w:pPr>
            <w:r>
              <w:rPr>
                <w:color w:val="1C3A36"/>
                <w:sz w:val="18"/>
              </w:rPr>
              <w:t>1.31</w:t>
            </w:r>
          </w:p>
        </w:tc>
        <w:tc>
          <w:tcPr>
            <w:tcW w:type="dxa" w:w="1224"/>
          </w:tcPr>
          <w:p>
            <w:pPr>
              <w:spacing w:after="20"/>
              <w:jc w:val="right"/>
            </w:pPr>
            <w:r>
              <w:rPr>
                <w:color w:val="1C3A36"/>
                <w:sz w:val="18"/>
              </w:rPr>
              <w:t>1.46</w:t>
            </w:r>
          </w:p>
        </w:tc>
        <w:tc>
          <w:tcPr>
            <w:tcW w:type="dxa" w:w="1224"/>
          </w:tcPr>
          <w:p>
            <w:pPr>
              <w:spacing w:after="20"/>
              <w:jc w:val="right"/>
            </w:pPr>
            <w:r>
              <w:rPr>
                <w:color w:val="1C3A36"/>
                <w:sz w:val="18"/>
              </w:rPr>
              <w:t>1.59</w:t>
            </w:r>
          </w:p>
        </w:tc>
        <w:tc>
          <w:tcPr>
            <w:tcW w:type="dxa" w:w="1944"/>
          </w:tcPr>
          <w:p>
            <w:pPr>
              <w:spacing w:after="20"/>
              <w:jc w:val="right"/>
            </w:pPr>
            <w:r>
              <w:rPr>
                <w:color w:val="1C3A36"/>
                <w:sz w:val="18"/>
              </w:rPr>
            </w:r>
          </w:p>
        </w:tc>
      </w:tr>
      <w:tr>
        <w:tc>
          <w:tcPr>
            <w:tcW w:type="dxa" w:w="3600"/>
          </w:tcPr>
          <w:p>
            <w:pPr>
              <w:spacing w:after="20"/>
            </w:pPr>
            <w:r>
              <w:rPr>
                <w:color w:val="1C3A36"/>
                <w:sz w:val="18"/>
              </w:rPr>
              <w:t>Discount factor @ Ke</w:t>
            </w:r>
          </w:p>
        </w:tc>
        <w:tc>
          <w:tcPr>
            <w:tcW w:type="dxa" w:w="1224"/>
          </w:tcPr>
          <w:p>
            <w:pPr>
              <w:spacing w:after="20"/>
              <w:jc w:val="right"/>
            </w:pPr>
            <w:r>
              <w:rPr>
                <w:color w:val="1C3A36"/>
                <w:sz w:val="18"/>
              </w:rPr>
              <w:t>0.914</w:t>
            </w:r>
          </w:p>
        </w:tc>
        <w:tc>
          <w:tcPr>
            <w:tcW w:type="dxa" w:w="1224"/>
          </w:tcPr>
          <w:p>
            <w:pPr>
              <w:spacing w:after="20"/>
              <w:jc w:val="right"/>
            </w:pPr>
            <w:r>
              <w:rPr>
                <w:color w:val="1C3A36"/>
                <w:sz w:val="18"/>
              </w:rPr>
              <w:t>0.835</w:t>
            </w:r>
          </w:p>
        </w:tc>
        <w:tc>
          <w:tcPr>
            <w:tcW w:type="dxa" w:w="1224"/>
          </w:tcPr>
          <w:p>
            <w:pPr>
              <w:spacing w:after="20"/>
              <w:jc w:val="right"/>
            </w:pPr>
            <w:r>
              <w:rPr>
                <w:color w:val="1C3A36"/>
                <w:sz w:val="18"/>
              </w:rPr>
              <w:t>0.763</w:t>
            </w:r>
          </w:p>
        </w:tc>
        <w:tc>
          <w:tcPr>
            <w:tcW w:type="dxa" w:w="1224"/>
          </w:tcPr>
          <w:p>
            <w:pPr>
              <w:spacing w:after="20"/>
              <w:jc w:val="right"/>
            </w:pPr>
            <w:r>
              <w:rPr>
                <w:color w:val="1C3A36"/>
                <w:sz w:val="18"/>
              </w:rPr>
              <w:t>0.697</w:t>
            </w:r>
          </w:p>
        </w:tc>
        <w:tc>
          <w:tcPr>
            <w:tcW w:type="dxa" w:w="1224"/>
          </w:tcPr>
          <w:p>
            <w:pPr>
              <w:spacing w:after="20"/>
              <w:jc w:val="right"/>
            </w:pPr>
            <w:r>
              <w:rPr>
                <w:color w:val="1C3A36"/>
                <w:sz w:val="18"/>
              </w:rPr>
              <w:t>0.636</w:t>
            </w:r>
          </w:p>
        </w:tc>
        <w:tc>
          <w:tcPr>
            <w:tcW w:type="dxa" w:w="1944"/>
          </w:tcPr>
          <w:p>
            <w:pPr>
              <w:spacing w:after="20"/>
              <w:jc w:val="right"/>
            </w:pPr>
            <w:r>
              <w:rPr>
                <w:color w:val="1C3A36"/>
                <w:sz w:val="18"/>
              </w:rPr>
            </w:r>
          </w:p>
        </w:tc>
      </w:tr>
      <w:tr>
        <w:tc>
          <w:tcPr>
            <w:tcW w:type="dxa" w:w="3600"/>
          </w:tcPr>
          <w:p>
            <w:pPr>
              <w:spacing w:after="20"/>
            </w:pPr>
            <w:r>
              <w:rPr>
                <w:color w:val="1C3A36"/>
                <w:sz w:val="18"/>
              </w:rPr>
              <w:t>PV of DPS</w:t>
            </w:r>
          </w:p>
        </w:tc>
        <w:tc>
          <w:tcPr>
            <w:tcW w:type="dxa" w:w="1224"/>
          </w:tcPr>
          <w:p>
            <w:pPr>
              <w:spacing w:after="20"/>
              <w:jc w:val="right"/>
            </w:pPr>
            <w:r>
              <w:rPr>
                <w:color w:val="1C3A36"/>
                <w:sz w:val="18"/>
              </w:rPr>
              <w:t>0.93</w:t>
            </w:r>
          </w:p>
        </w:tc>
        <w:tc>
          <w:tcPr>
            <w:tcW w:type="dxa" w:w="1224"/>
          </w:tcPr>
          <w:p>
            <w:pPr>
              <w:spacing w:after="20"/>
              <w:jc w:val="right"/>
            </w:pPr>
            <w:r>
              <w:rPr>
                <w:color w:val="1C3A36"/>
                <w:sz w:val="18"/>
              </w:rPr>
              <w:t>0.97</w:t>
            </w:r>
          </w:p>
        </w:tc>
        <w:tc>
          <w:tcPr>
            <w:tcW w:type="dxa" w:w="1224"/>
          </w:tcPr>
          <w:p>
            <w:pPr>
              <w:spacing w:after="20"/>
              <w:jc w:val="right"/>
            </w:pPr>
            <w:r>
              <w:rPr>
                <w:color w:val="1C3A36"/>
                <w:sz w:val="18"/>
              </w:rPr>
              <w:t>1.00</w:t>
            </w:r>
          </w:p>
        </w:tc>
        <w:tc>
          <w:tcPr>
            <w:tcW w:type="dxa" w:w="1224"/>
          </w:tcPr>
          <w:p>
            <w:pPr>
              <w:spacing w:after="20"/>
              <w:jc w:val="right"/>
            </w:pPr>
            <w:r>
              <w:rPr>
                <w:color w:val="1C3A36"/>
                <w:sz w:val="18"/>
              </w:rPr>
              <w:t>1.02</w:t>
            </w:r>
          </w:p>
        </w:tc>
        <w:tc>
          <w:tcPr>
            <w:tcW w:type="dxa" w:w="1224"/>
          </w:tcPr>
          <w:p>
            <w:pPr>
              <w:spacing w:after="20"/>
              <w:jc w:val="right"/>
            </w:pPr>
            <w:r>
              <w:rPr>
                <w:color w:val="1C3A36"/>
                <w:sz w:val="18"/>
              </w:rPr>
              <w:t>1.01</w:t>
            </w:r>
          </w:p>
        </w:tc>
        <w:tc>
          <w:tcPr>
            <w:tcW w:type="dxa" w:w="1944"/>
          </w:tcPr>
          <w:p>
            <w:pPr>
              <w:spacing w:after="20"/>
              <w:jc w:val="right"/>
            </w:pPr>
            <w:r>
              <w:rPr>
                <w:color w:val="1C3A36"/>
                <w:sz w:val="18"/>
              </w:rPr>
            </w:r>
          </w:p>
        </w:tc>
      </w:tr>
      <w:tr>
        <w:tc>
          <w:tcPr>
            <w:tcW w:type="dxa" w:w="3600"/>
          </w:tcPr>
          <w:p>
            <w:pPr>
              <w:spacing w:after="20"/>
            </w:pPr>
            <w:r>
              <w:rPr>
                <w:color w:val="1C3A36"/>
                <w:sz w:val="18"/>
              </w:rPr>
              <w:t>Terminal payout 1−g/ROE_t</w:t>
            </w:r>
          </w:p>
        </w:tc>
        <w:tc>
          <w:tcPr>
            <w:tcW w:type="dxa" w:w="1224"/>
          </w:tcPr>
          <w:p>
            <w:pPr>
              <w:spacing w:after="20"/>
              <w:jc w:val="right"/>
            </w:pPr>
            <w:r>
              <w:rPr>
                <w:color w:val="1C3A36"/>
                <w:sz w:val="18"/>
              </w:rPr>
            </w:r>
          </w:p>
        </w:tc>
        <w:tc>
          <w:tcPr>
            <w:tcW w:type="dxa" w:w="1224"/>
          </w:tcPr>
          <w:p>
            <w:pPr>
              <w:spacing w:after="20"/>
              <w:jc w:val="right"/>
            </w:pPr>
            <w:r>
              <w:rPr>
                <w:color w:val="1C3A36"/>
                <w:sz w:val="18"/>
              </w:rPr>
            </w:r>
          </w:p>
        </w:tc>
        <w:tc>
          <w:tcPr>
            <w:tcW w:type="dxa" w:w="1224"/>
          </w:tcPr>
          <w:p>
            <w:pPr>
              <w:spacing w:after="20"/>
              <w:jc w:val="right"/>
            </w:pPr>
            <w:r>
              <w:rPr>
                <w:color w:val="1C3A36"/>
                <w:sz w:val="18"/>
              </w:rPr>
            </w:r>
          </w:p>
        </w:tc>
        <w:tc>
          <w:tcPr>
            <w:tcW w:type="dxa" w:w="1224"/>
          </w:tcPr>
          <w:p>
            <w:pPr>
              <w:spacing w:after="20"/>
              <w:jc w:val="right"/>
            </w:pPr>
            <w:r>
              <w:rPr>
                <w:color w:val="1C3A36"/>
                <w:sz w:val="18"/>
              </w:rPr>
            </w:r>
          </w:p>
        </w:tc>
        <w:tc>
          <w:tcPr>
            <w:tcW w:type="dxa" w:w="1224"/>
          </w:tcPr>
          <w:p>
            <w:pPr>
              <w:spacing w:after="20"/>
              <w:jc w:val="right"/>
            </w:pPr>
            <w:r>
              <w:rPr>
                <w:color w:val="1C3A36"/>
                <w:sz w:val="18"/>
              </w:rPr>
            </w:r>
          </w:p>
        </w:tc>
        <w:tc>
          <w:tcPr>
            <w:tcW w:type="dxa" w:w="1944"/>
          </w:tcPr>
          <w:p>
            <w:pPr>
              <w:spacing w:after="20"/>
              <w:jc w:val="right"/>
            </w:pPr>
            <w:r>
              <w:rPr>
                <w:color w:val="1C3A36"/>
                <w:sz w:val="18"/>
              </w:rPr>
              <w:t>81.2%</w:t>
            </w:r>
          </w:p>
        </w:tc>
      </w:tr>
      <w:tr>
        <w:tc>
          <w:tcPr>
            <w:tcW w:type="dxa" w:w="3600"/>
          </w:tcPr>
          <w:p>
            <w:pPr>
              <w:spacing w:after="20"/>
            </w:pPr>
            <w:r>
              <w:rPr>
                <w:color w:val="1C3A36"/>
                <w:sz w:val="18"/>
              </w:rPr>
              <w:t>Terminal DPS = EPS30×(1+g)×payout_t</w:t>
            </w:r>
          </w:p>
        </w:tc>
        <w:tc>
          <w:tcPr>
            <w:tcW w:type="dxa" w:w="1224"/>
          </w:tcPr>
          <w:p>
            <w:pPr>
              <w:spacing w:after="20"/>
              <w:jc w:val="right"/>
            </w:pPr>
            <w:r>
              <w:rPr>
                <w:color w:val="1C3A36"/>
                <w:sz w:val="18"/>
              </w:rPr>
            </w:r>
          </w:p>
        </w:tc>
        <w:tc>
          <w:tcPr>
            <w:tcW w:type="dxa" w:w="1224"/>
          </w:tcPr>
          <w:p>
            <w:pPr>
              <w:spacing w:after="20"/>
              <w:jc w:val="right"/>
            </w:pPr>
            <w:r>
              <w:rPr>
                <w:color w:val="1C3A36"/>
                <w:sz w:val="18"/>
              </w:rPr>
            </w:r>
          </w:p>
        </w:tc>
        <w:tc>
          <w:tcPr>
            <w:tcW w:type="dxa" w:w="1224"/>
          </w:tcPr>
          <w:p>
            <w:pPr>
              <w:spacing w:after="20"/>
              <w:jc w:val="right"/>
            </w:pPr>
            <w:r>
              <w:rPr>
                <w:color w:val="1C3A36"/>
                <w:sz w:val="18"/>
              </w:rPr>
            </w:r>
          </w:p>
        </w:tc>
        <w:tc>
          <w:tcPr>
            <w:tcW w:type="dxa" w:w="1224"/>
          </w:tcPr>
          <w:p>
            <w:pPr>
              <w:spacing w:after="20"/>
              <w:jc w:val="right"/>
            </w:pPr>
            <w:r>
              <w:rPr>
                <w:color w:val="1C3A36"/>
                <w:sz w:val="18"/>
              </w:rPr>
            </w:r>
          </w:p>
        </w:tc>
        <w:tc>
          <w:tcPr>
            <w:tcW w:type="dxa" w:w="1224"/>
          </w:tcPr>
          <w:p>
            <w:pPr>
              <w:spacing w:after="20"/>
              <w:jc w:val="right"/>
            </w:pPr>
            <w:r>
              <w:rPr>
                <w:color w:val="1C3A36"/>
                <w:sz w:val="18"/>
              </w:rPr>
            </w:r>
          </w:p>
        </w:tc>
        <w:tc>
          <w:tcPr>
            <w:tcW w:type="dxa" w:w="1944"/>
          </w:tcPr>
          <w:p>
            <w:pPr>
              <w:spacing w:after="20"/>
              <w:jc w:val="right"/>
            </w:pPr>
            <w:r>
              <w:rPr>
                <w:color w:val="1C3A36"/>
                <w:sz w:val="18"/>
              </w:rPr>
              <w:t>2.67</w:t>
            </w:r>
          </w:p>
        </w:tc>
      </w:tr>
      <w:tr>
        <w:tc>
          <w:tcPr>
            <w:tcW w:type="dxa" w:w="3600"/>
          </w:tcPr>
          <w:p>
            <w:pPr>
              <w:spacing w:after="20"/>
            </w:pPr>
            <w:r>
              <w:rPr>
                <w:color w:val="1C3A36"/>
                <w:sz w:val="18"/>
              </w:rPr>
              <w:t>TV = DPS_t/(Ke−g); PV of TV</w:t>
            </w:r>
          </w:p>
        </w:tc>
        <w:tc>
          <w:tcPr>
            <w:tcW w:type="dxa" w:w="1224"/>
          </w:tcPr>
          <w:p>
            <w:pPr>
              <w:spacing w:after="20"/>
              <w:jc w:val="right"/>
            </w:pPr>
            <w:r>
              <w:rPr>
                <w:color w:val="1C3A36"/>
                <w:sz w:val="18"/>
              </w:rPr>
            </w:r>
          </w:p>
        </w:tc>
        <w:tc>
          <w:tcPr>
            <w:tcW w:type="dxa" w:w="1224"/>
          </w:tcPr>
          <w:p>
            <w:pPr>
              <w:spacing w:after="20"/>
              <w:jc w:val="right"/>
            </w:pPr>
            <w:r>
              <w:rPr>
                <w:color w:val="1C3A36"/>
                <w:sz w:val="18"/>
              </w:rPr>
            </w:r>
          </w:p>
        </w:tc>
        <w:tc>
          <w:tcPr>
            <w:tcW w:type="dxa" w:w="1224"/>
          </w:tcPr>
          <w:p>
            <w:pPr>
              <w:spacing w:after="20"/>
              <w:jc w:val="right"/>
            </w:pPr>
            <w:r>
              <w:rPr>
                <w:color w:val="1C3A36"/>
                <w:sz w:val="18"/>
              </w:rPr>
            </w:r>
          </w:p>
        </w:tc>
        <w:tc>
          <w:tcPr>
            <w:tcW w:type="dxa" w:w="1224"/>
          </w:tcPr>
          <w:p>
            <w:pPr>
              <w:spacing w:after="20"/>
              <w:jc w:val="right"/>
            </w:pPr>
            <w:r>
              <w:rPr>
                <w:color w:val="1C3A36"/>
                <w:sz w:val="18"/>
              </w:rPr>
            </w:r>
          </w:p>
        </w:tc>
        <w:tc>
          <w:tcPr>
            <w:tcW w:type="dxa" w:w="1224"/>
          </w:tcPr>
          <w:p>
            <w:pPr>
              <w:spacing w:after="20"/>
              <w:jc w:val="right"/>
            </w:pPr>
            <w:r>
              <w:rPr>
                <w:color w:val="1C3A36"/>
                <w:sz w:val="18"/>
              </w:rPr>
            </w:r>
          </w:p>
        </w:tc>
        <w:tc>
          <w:tcPr>
            <w:tcW w:type="dxa" w:w="1944"/>
          </w:tcPr>
          <w:p>
            <w:pPr>
              <w:spacing w:after="20"/>
              <w:jc w:val="right"/>
            </w:pPr>
            <w:r>
              <w:rPr>
                <w:color w:val="1C3A36"/>
                <w:sz w:val="18"/>
              </w:rPr>
              <w:t>41.32 → 26.30</w:t>
            </w:r>
          </w:p>
        </w:tc>
      </w:tr>
      <w:tr>
        <w:tc>
          <w:tcPr>
            <w:tcW w:type="dxa" w:w="3600"/>
            <w:shd w:val="clear" w:color="auto" w:fill="F6F1E6"/>
          </w:tcPr>
          <w:p>
            <w:pPr>
              <w:spacing w:after="20"/>
            </w:pPr>
            <w:r>
              <w:rPr>
                <w:b/>
                <w:color w:val="1C3A36"/>
                <w:sz w:val="18"/>
              </w:rPr>
              <w:t>DDM fair value</w:t>
            </w:r>
          </w:p>
        </w:tc>
        <w:tc>
          <w:tcPr>
            <w:tcW w:type="dxa" w:w="1224"/>
            <w:shd w:val="clear" w:color="auto" w:fill="F6F1E6"/>
          </w:tcPr>
          <w:p>
            <w:pPr>
              <w:spacing w:after="20"/>
              <w:jc w:val="right"/>
            </w:pPr>
            <w:r>
              <w:rPr>
                <w:b/>
                <w:color w:val="1C3A36"/>
                <w:sz w:val="18"/>
              </w:rPr>
            </w:r>
          </w:p>
        </w:tc>
        <w:tc>
          <w:tcPr>
            <w:tcW w:type="dxa" w:w="1224"/>
            <w:shd w:val="clear" w:color="auto" w:fill="F6F1E6"/>
          </w:tcPr>
          <w:p>
            <w:pPr>
              <w:spacing w:after="20"/>
              <w:jc w:val="right"/>
            </w:pPr>
            <w:r>
              <w:rPr>
                <w:b/>
                <w:color w:val="1C3A36"/>
                <w:sz w:val="18"/>
              </w:rPr>
            </w:r>
          </w:p>
        </w:tc>
        <w:tc>
          <w:tcPr>
            <w:tcW w:type="dxa" w:w="1224"/>
            <w:shd w:val="clear" w:color="auto" w:fill="F6F1E6"/>
          </w:tcPr>
          <w:p>
            <w:pPr>
              <w:spacing w:after="20"/>
              <w:jc w:val="right"/>
            </w:pPr>
            <w:r>
              <w:rPr>
                <w:b/>
                <w:color w:val="1C3A36"/>
                <w:sz w:val="18"/>
              </w:rPr>
            </w:r>
          </w:p>
        </w:tc>
        <w:tc>
          <w:tcPr>
            <w:tcW w:type="dxa" w:w="1224"/>
            <w:shd w:val="clear" w:color="auto" w:fill="F6F1E6"/>
          </w:tcPr>
          <w:p>
            <w:pPr>
              <w:spacing w:after="20"/>
              <w:jc w:val="right"/>
            </w:pPr>
            <w:r>
              <w:rPr>
                <w:b/>
                <w:color w:val="1C3A36"/>
                <w:sz w:val="18"/>
              </w:rPr>
            </w:r>
          </w:p>
        </w:tc>
        <w:tc>
          <w:tcPr>
            <w:tcW w:type="dxa" w:w="1224"/>
            <w:shd w:val="clear" w:color="auto" w:fill="F6F1E6"/>
          </w:tcPr>
          <w:p>
            <w:pPr>
              <w:spacing w:after="20"/>
              <w:jc w:val="right"/>
            </w:pPr>
            <w:r>
              <w:rPr>
                <w:b/>
                <w:color w:val="1C3A36"/>
                <w:sz w:val="18"/>
              </w:rPr>
            </w:r>
          </w:p>
        </w:tc>
        <w:tc>
          <w:tcPr>
            <w:tcW w:type="dxa" w:w="1944"/>
            <w:shd w:val="clear" w:color="auto" w:fill="F6F1E6"/>
          </w:tcPr>
          <w:p>
            <w:pPr>
              <w:spacing w:after="20"/>
              <w:jc w:val="right"/>
            </w:pPr>
            <w:r>
              <w:rPr>
                <w:b/>
                <w:color w:val="1C3A36"/>
                <w:sz w:val="18"/>
              </w:rPr>
              <w:t>SAR 31.23</w:t>
            </w:r>
          </w:p>
        </w:tc>
      </w:tr>
    </w:tbl>
    <w:p>
      <w:pPr>
        <w:spacing w:after="40"/>
      </w:pPr>
    </w:p>
    <w:p>
      <w:pPr>
        <w:spacing w:after="120" w:before="0"/>
      </w:pPr>
      <w:r>
        <w:rPr>
          <w:b/>
          <w:i w:val="0"/>
          <w:color w:val="1C3A36"/>
          <w:sz w:val="21"/>
        </w:rPr>
        <w:t xml:space="preserve">Cost of equity, built bottom-up.  </w:t>
      </w:r>
      <w:r>
        <w:rPr>
          <w:b w:val="0"/>
          <w:i w:val="0"/>
          <w:color w:val="1C3A36"/>
          <w:sz w:val="21"/>
        </w:rPr>
        <w:t>rf = 4.8% SAR 10Y — constructed as UST 4.46% plus the Saudi Aa3/CDS spread (0.51–0.98%, Damodaran Jan-2026) because no reliable open SAR sukuk quote was accessible; flagged, replaced by a FTSE SAGBI/iBoxx print at first update. ERP from Damodaran's original file only: 5.0% rating-based (Aa3), 5.7% CDS-based. Beta 0.74 is a genuine regression against TASI (n=40, R²=0.29, SE=0.18) — it passes the usability gate but the window is short, so the grid is mandatory. Ke corners: 8.5% / 9.0% at regressed beta, 9.8% / 10.5% at beta = 1.0; the base Ke 9.5% is the disclosed four-corner mean, and §1.10 prices the whole rectangle.</w:t>
      </w:r>
    </w:p>
    <w:p>
      <w:pPr>
        <w:spacing w:after="80" w:before="200"/>
      </w:pPr>
      <w:r>
        <w:rPr>
          <w:b/>
          <w:i w:val="0"/>
          <w:color w:val="1C3A36"/>
          <w:sz w:val="24"/>
        </w:rPr>
        <w:t>1.2  Discounted cash flow (equity DCF / FCFE)</w:t>
      </w:r>
    </w:p>
    <w:p>
      <w:pPr>
        <w:spacing w:after="120" w:before="0"/>
      </w:pPr>
      <w:r>
        <w:rPr>
          <w:b w:val="0"/>
          <w:i w:val="0"/>
          <w:color w:val="1C3A36"/>
          <w:sz w:val="21"/>
        </w:rPr>
        <w:t>The bank form of a free-cash-flow build: what the equity could actually distribute after funding growth. FCFE = attributable net income − capital retained to hold CET1 against RWA growth. Same Ke, same terminal g. Full waterfall — never an output-only line: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744"/>
            <w:shd w:val="clear" w:color="auto" w:fill="EAF0EE"/>
          </w:tcPr>
          <w:p>
            <w:pPr>
              <w:spacing w:after="20"/>
            </w:pPr>
            <w:r>
              <w:rPr>
                <w:b/>
                <w:color w:val="1C3A36"/>
                <w:sz w:val="18"/>
              </w:rPr>
              <w:t>SAR mn</w:t>
            </w:r>
          </w:p>
        </w:tc>
        <w:tc>
          <w:tcPr>
            <w:tcW w:type="dxa" w:w="1368"/>
            <w:shd w:val="clear" w:color="auto" w:fill="EAF0EE"/>
          </w:tcPr>
          <w:p>
            <w:pPr>
              <w:spacing w:after="20"/>
            </w:pPr>
            <w:r>
              <w:rPr>
                <w:b/>
                <w:color w:val="1C3A36"/>
                <w:sz w:val="18"/>
              </w:rPr>
              <w:t>FY26e</w:t>
            </w:r>
          </w:p>
        </w:tc>
        <w:tc>
          <w:tcPr>
            <w:tcW w:type="dxa" w:w="1368"/>
            <w:shd w:val="clear" w:color="auto" w:fill="EAF0EE"/>
          </w:tcPr>
          <w:p>
            <w:pPr>
              <w:spacing w:after="20"/>
            </w:pPr>
            <w:r>
              <w:rPr>
                <w:b/>
                <w:color w:val="1C3A36"/>
                <w:sz w:val="18"/>
              </w:rPr>
              <w:t>FY27e</w:t>
            </w:r>
          </w:p>
        </w:tc>
        <w:tc>
          <w:tcPr>
            <w:tcW w:type="dxa" w:w="1368"/>
            <w:shd w:val="clear" w:color="auto" w:fill="EAF0EE"/>
          </w:tcPr>
          <w:p>
            <w:pPr>
              <w:spacing w:after="20"/>
            </w:pPr>
            <w:r>
              <w:rPr>
                <w:b/>
                <w:color w:val="1C3A36"/>
                <w:sz w:val="18"/>
              </w:rPr>
              <w:t>FY28e</w:t>
            </w:r>
          </w:p>
        </w:tc>
        <w:tc>
          <w:tcPr>
            <w:tcW w:type="dxa" w:w="1368"/>
            <w:shd w:val="clear" w:color="auto" w:fill="EAF0EE"/>
          </w:tcPr>
          <w:p>
            <w:pPr>
              <w:spacing w:after="20"/>
            </w:pPr>
            <w:r>
              <w:rPr>
                <w:b/>
                <w:color w:val="1C3A36"/>
                <w:sz w:val="18"/>
              </w:rPr>
              <w:t>FY29e</w:t>
            </w:r>
          </w:p>
        </w:tc>
        <w:tc>
          <w:tcPr>
            <w:tcW w:type="dxa" w:w="1800"/>
            <w:shd w:val="clear" w:color="auto" w:fill="EAF0EE"/>
          </w:tcPr>
          <w:p>
            <w:pPr>
              <w:spacing w:after="20"/>
            </w:pPr>
            <w:r>
              <w:rPr>
                <w:b/>
                <w:color w:val="1C3A36"/>
                <w:sz w:val="18"/>
              </w:rPr>
              <w:t>FY30e</w:t>
            </w:r>
          </w:p>
        </w:tc>
      </w:tr>
      <w:tr>
        <w:tc>
          <w:tcPr>
            <w:tcW w:type="dxa" w:w="3744"/>
          </w:tcPr>
          <w:p>
            <w:pPr>
              <w:spacing w:after="20"/>
            </w:pPr>
            <w:r>
              <w:rPr>
                <w:color w:val="1C3A36"/>
                <w:sz w:val="18"/>
              </w:rPr>
              <w:t>NI to common</w:t>
            </w:r>
          </w:p>
        </w:tc>
        <w:tc>
          <w:tcPr>
            <w:tcW w:type="dxa" w:w="1368"/>
          </w:tcPr>
          <w:p>
            <w:pPr>
              <w:spacing w:after="20"/>
              <w:jc w:val="right"/>
            </w:pPr>
            <w:r>
              <w:rPr>
                <w:color w:val="1C3A36"/>
                <w:sz w:val="18"/>
              </w:rPr>
              <w:t>6,531</w:t>
            </w:r>
          </w:p>
        </w:tc>
        <w:tc>
          <w:tcPr>
            <w:tcW w:type="dxa" w:w="1368"/>
          </w:tcPr>
          <w:p>
            <w:pPr>
              <w:spacing w:after="20"/>
              <w:jc w:val="right"/>
            </w:pPr>
            <w:r>
              <w:rPr>
                <w:color w:val="1C3A36"/>
                <w:sz w:val="18"/>
              </w:rPr>
              <w:t>7,228</w:t>
            </w:r>
          </w:p>
        </w:tc>
        <w:tc>
          <w:tcPr>
            <w:tcW w:type="dxa" w:w="1368"/>
          </w:tcPr>
          <w:p>
            <w:pPr>
              <w:spacing w:after="20"/>
              <w:jc w:val="right"/>
            </w:pPr>
            <w:r>
              <w:rPr>
                <w:color w:val="1C3A36"/>
                <w:sz w:val="18"/>
              </w:rPr>
              <w:t>7,999</w:t>
            </w:r>
          </w:p>
        </w:tc>
        <w:tc>
          <w:tcPr>
            <w:tcW w:type="dxa" w:w="1368"/>
          </w:tcPr>
          <w:p>
            <w:pPr>
              <w:spacing w:after="20"/>
              <w:jc w:val="right"/>
            </w:pPr>
            <w:r>
              <w:rPr>
                <w:color w:val="1C3A36"/>
                <w:sz w:val="18"/>
              </w:rPr>
              <w:t>8,780</w:t>
            </w:r>
          </w:p>
        </w:tc>
        <w:tc>
          <w:tcPr>
            <w:tcW w:type="dxa" w:w="1800"/>
          </w:tcPr>
          <w:p>
            <w:pPr>
              <w:spacing w:after="20"/>
              <w:jc w:val="right"/>
            </w:pPr>
            <w:r>
              <w:rPr>
                <w:color w:val="1C3A36"/>
                <w:sz w:val="18"/>
              </w:rPr>
              <w:t>9,565</w:t>
            </w:r>
          </w:p>
        </w:tc>
      </w:tr>
      <w:tr>
        <w:tc>
          <w:tcPr>
            <w:tcW w:type="dxa" w:w="3744"/>
          </w:tcPr>
          <w:p>
            <w:pPr>
              <w:spacing w:after="20"/>
            </w:pPr>
            <w:r>
              <w:rPr>
                <w:color w:val="1C3A36"/>
                <w:sz w:val="18"/>
              </w:rPr>
              <w:t>Δ RWA</w:t>
            </w:r>
          </w:p>
        </w:tc>
        <w:tc>
          <w:tcPr>
            <w:tcW w:type="dxa" w:w="1368"/>
          </w:tcPr>
          <w:p>
            <w:pPr>
              <w:spacing w:after="20"/>
              <w:jc w:val="right"/>
            </w:pPr>
            <w:r>
              <w:rPr>
                <w:color w:val="1C3A36"/>
                <w:sz w:val="18"/>
              </w:rPr>
              <w:t>27,296</w:t>
            </w:r>
          </w:p>
        </w:tc>
        <w:tc>
          <w:tcPr>
            <w:tcW w:type="dxa" w:w="1368"/>
          </w:tcPr>
          <w:p>
            <w:pPr>
              <w:spacing w:after="20"/>
              <w:jc w:val="right"/>
            </w:pPr>
            <w:r>
              <w:rPr>
                <w:color w:val="1C3A36"/>
                <w:sz w:val="18"/>
              </w:rPr>
              <w:t>28,144</w:t>
            </w:r>
          </w:p>
        </w:tc>
        <w:tc>
          <w:tcPr>
            <w:tcW w:type="dxa" w:w="1368"/>
          </w:tcPr>
          <w:p>
            <w:pPr>
              <w:spacing w:after="20"/>
              <w:jc w:val="right"/>
            </w:pPr>
            <w:r>
              <w:rPr>
                <w:color w:val="1C3A36"/>
                <w:sz w:val="18"/>
              </w:rPr>
              <w:t>25,987</w:t>
            </w:r>
          </w:p>
        </w:tc>
        <w:tc>
          <w:tcPr>
            <w:tcW w:type="dxa" w:w="1368"/>
          </w:tcPr>
          <w:p>
            <w:pPr>
              <w:spacing w:after="20"/>
              <w:jc w:val="right"/>
            </w:pPr>
            <w:r>
              <w:rPr>
                <w:color w:val="1C3A36"/>
                <w:sz w:val="18"/>
              </w:rPr>
              <w:t>25,493</w:t>
            </w:r>
          </w:p>
        </w:tc>
        <w:tc>
          <w:tcPr>
            <w:tcW w:type="dxa" w:w="1800"/>
          </w:tcPr>
          <w:p>
            <w:pPr>
              <w:spacing w:after="20"/>
              <w:jc w:val="right"/>
            </w:pPr>
            <w:r>
              <w:rPr>
                <w:color w:val="1C3A36"/>
                <w:sz w:val="18"/>
              </w:rPr>
              <w:t>24,496</w:t>
            </w:r>
          </w:p>
        </w:tc>
      </w:tr>
      <w:tr>
        <w:tc>
          <w:tcPr>
            <w:tcW w:type="dxa" w:w="3744"/>
          </w:tcPr>
          <w:p>
            <w:pPr>
              <w:spacing w:after="20"/>
            </w:pPr>
            <w:r>
              <w:rPr>
                <w:color w:val="1C3A36"/>
                <w:sz w:val="18"/>
              </w:rPr>
              <w:t>Capital charge (16% × ΔRWA)</w:t>
            </w:r>
          </w:p>
        </w:tc>
        <w:tc>
          <w:tcPr>
            <w:tcW w:type="dxa" w:w="1368"/>
          </w:tcPr>
          <w:p>
            <w:pPr>
              <w:spacing w:after="20"/>
              <w:jc w:val="right"/>
            </w:pPr>
            <w:r>
              <w:rPr>
                <w:color w:val="1C3A36"/>
                <w:sz w:val="18"/>
              </w:rPr>
              <w:t>4,367</w:t>
            </w:r>
          </w:p>
        </w:tc>
        <w:tc>
          <w:tcPr>
            <w:tcW w:type="dxa" w:w="1368"/>
          </w:tcPr>
          <w:p>
            <w:pPr>
              <w:spacing w:after="20"/>
              <w:jc w:val="right"/>
            </w:pPr>
            <w:r>
              <w:rPr>
                <w:color w:val="1C3A36"/>
                <w:sz w:val="18"/>
              </w:rPr>
              <w:t>4,503</w:t>
            </w:r>
          </w:p>
        </w:tc>
        <w:tc>
          <w:tcPr>
            <w:tcW w:type="dxa" w:w="1368"/>
          </w:tcPr>
          <w:p>
            <w:pPr>
              <w:spacing w:after="20"/>
              <w:jc w:val="right"/>
            </w:pPr>
            <w:r>
              <w:rPr>
                <w:color w:val="1C3A36"/>
                <w:sz w:val="18"/>
              </w:rPr>
              <w:t>4,158</w:t>
            </w:r>
          </w:p>
        </w:tc>
        <w:tc>
          <w:tcPr>
            <w:tcW w:type="dxa" w:w="1368"/>
          </w:tcPr>
          <w:p>
            <w:pPr>
              <w:spacing w:after="20"/>
              <w:jc w:val="right"/>
            </w:pPr>
            <w:r>
              <w:rPr>
                <w:color w:val="1C3A36"/>
                <w:sz w:val="18"/>
              </w:rPr>
              <w:t>4,079</w:t>
            </w:r>
          </w:p>
        </w:tc>
        <w:tc>
          <w:tcPr>
            <w:tcW w:type="dxa" w:w="1800"/>
          </w:tcPr>
          <w:p>
            <w:pPr>
              <w:spacing w:after="20"/>
              <w:jc w:val="right"/>
            </w:pPr>
            <w:r>
              <w:rPr>
                <w:color w:val="1C3A36"/>
                <w:sz w:val="18"/>
              </w:rPr>
              <w:t>3,919</w:t>
            </w:r>
          </w:p>
        </w:tc>
      </w:tr>
      <w:tr>
        <w:tc>
          <w:tcPr>
            <w:tcW w:type="dxa" w:w="3744"/>
          </w:tcPr>
          <w:p>
            <w:pPr>
              <w:spacing w:after="20"/>
            </w:pPr>
            <w:r>
              <w:rPr>
                <w:color w:val="1C3A36"/>
                <w:sz w:val="18"/>
              </w:rPr>
              <w:t>FCFE</w:t>
            </w:r>
          </w:p>
        </w:tc>
        <w:tc>
          <w:tcPr>
            <w:tcW w:type="dxa" w:w="1368"/>
          </w:tcPr>
          <w:p>
            <w:pPr>
              <w:spacing w:after="20"/>
              <w:jc w:val="right"/>
            </w:pPr>
            <w:r>
              <w:rPr>
                <w:color w:val="1C3A36"/>
                <w:sz w:val="18"/>
              </w:rPr>
              <w:t>2,164</w:t>
            </w:r>
          </w:p>
        </w:tc>
        <w:tc>
          <w:tcPr>
            <w:tcW w:type="dxa" w:w="1368"/>
          </w:tcPr>
          <w:p>
            <w:pPr>
              <w:spacing w:after="20"/>
              <w:jc w:val="right"/>
            </w:pPr>
            <w:r>
              <w:rPr>
                <w:color w:val="1C3A36"/>
                <w:sz w:val="18"/>
              </w:rPr>
              <w:t>2,725</w:t>
            </w:r>
          </w:p>
        </w:tc>
        <w:tc>
          <w:tcPr>
            <w:tcW w:type="dxa" w:w="1368"/>
          </w:tcPr>
          <w:p>
            <w:pPr>
              <w:spacing w:after="20"/>
              <w:jc w:val="right"/>
            </w:pPr>
            <w:r>
              <w:rPr>
                <w:color w:val="1C3A36"/>
                <w:sz w:val="18"/>
              </w:rPr>
              <w:t>3,841</w:t>
            </w:r>
          </w:p>
        </w:tc>
        <w:tc>
          <w:tcPr>
            <w:tcW w:type="dxa" w:w="1368"/>
          </w:tcPr>
          <w:p>
            <w:pPr>
              <w:spacing w:after="20"/>
              <w:jc w:val="right"/>
            </w:pPr>
            <w:r>
              <w:rPr>
                <w:color w:val="1C3A36"/>
                <w:sz w:val="18"/>
              </w:rPr>
              <w:t>4,701</w:t>
            </w:r>
          </w:p>
        </w:tc>
        <w:tc>
          <w:tcPr>
            <w:tcW w:type="dxa" w:w="1800"/>
          </w:tcPr>
          <w:p>
            <w:pPr>
              <w:spacing w:after="20"/>
              <w:jc w:val="right"/>
            </w:pPr>
            <w:r>
              <w:rPr>
                <w:color w:val="1C3A36"/>
                <w:sz w:val="18"/>
              </w:rPr>
              <w:t>5,646</w:t>
            </w:r>
          </w:p>
        </w:tc>
      </w:tr>
      <w:tr>
        <w:tc>
          <w:tcPr>
            <w:tcW w:type="dxa" w:w="3744"/>
          </w:tcPr>
          <w:p>
            <w:pPr>
              <w:spacing w:after="20"/>
            </w:pPr>
            <w:r>
              <w:rPr>
                <w:color w:val="1C3A36"/>
                <w:sz w:val="18"/>
              </w:rPr>
              <w:t>PV of FCFE @ Ke</w:t>
            </w:r>
          </w:p>
        </w:tc>
        <w:tc>
          <w:tcPr>
            <w:tcW w:type="dxa" w:w="1368"/>
          </w:tcPr>
          <w:p>
            <w:pPr>
              <w:spacing w:after="20"/>
              <w:jc w:val="right"/>
            </w:pPr>
            <w:r>
              <w:rPr>
                <w:color w:val="1C3A36"/>
                <w:sz w:val="18"/>
              </w:rPr>
              <w:t>1,977</w:t>
            </w:r>
          </w:p>
        </w:tc>
        <w:tc>
          <w:tcPr>
            <w:tcW w:type="dxa" w:w="1368"/>
          </w:tcPr>
          <w:p>
            <w:pPr>
              <w:spacing w:after="20"/>
              <w:jc w:val="right"/>
            </w:pPr>
            <w:r>
              <w:rPr>
                <w:color w:val="1C3A36"/>
                <w:sz w:val="18"/>
              </w:rPr>
              <w:t>2,275</w:t>
            </w:r>
          </w:p>
        </w:tc>
        <w:tc>
          <w:tcPr>
            <w:tcW w:type="dxa" w:w="1368"/>
          </w:tcPr>
          <w:p>
            <w:pPr>
              <w:spacing w:after="20"/>
              <w:jc w:val="right"/>
            </w:pPr>
            <w:r>
              <w:rPr>
                <w:color w:val="1C3A36"/>
                <w:sz w:val="18"/>
              </w:rPr>
              <w:t>2,929</w:t>
            </w:r>
          </w:p>
        </w:tc>
        <w:tc>
          <w:tcPr>
            <w:tcW w:type="dxa" w:w="1368"/>
          </w:tcPr>
          <w:p>
            <w:pPr>
              <w:spacing w:after="20"/>
              <w:jc w:val="right"/>
            </w:pPr>
            <w:r>
              <w:rPr>
                <w:color w:val="1C3A36"/>
                <w:sz w:val="18"/>
              </w:rPr>
              <w:t>3,275</w:t>
            </w:r>
          </w:p>
        </w:tc>
        <w:tc>
          <w:tcPr>
            <w:tcW w:type="dxa" w:w="1800"/>
          </w:tcPr>
          <w:p>
            <w:pPr>
              <w:spacing w:after="20"/>
              <w:jc w:val="right"/>
            </w:pPr>
            <w:r>
              <w:rPr>
                <w:color w:val="1C3A36"/>
                <w:sz w:val="18"/>
              </w:rPr>
              <w:t>3,593</w:t>
            </w:r>
          </w:p>
        </w:tc>
      </w:tr>
      <w:tr>
        <w:tc>
          <w:tcPr>
            <w:tcW w:type="dxa" w:w="3744"/>
          </w:tcPr>
          <w:p>
            <w:pPr>
              <w:spacing w:after="20"/>
            </w:pPr>
            <w:r>
              <w:rPr>
                <w:color w:val="1C3A36"/>
                <w:sz w:val="18"/>
              </w:rPr>
              <w:t>TV = FCFE30×(1+g)/(Ke−g), PV</w:t>
            </w:r>
          </w:p>
        </w:tc>
        <w:tc>
          <w:tcPr>
            <w:tcW w:type="dxa" w:w="1368"/>
          </w:tcPr>
          <w:p>
            <w:pPr>
              <w:spacing w:after="20"/>
              <w:jc w:val="right"/>
            </w:pPr>
            <w:r>
              <w:rPr>
                <w:color w:val="1C3A36"/>
                <w:sz w:val="18"/>
              </w:rPr>
            </w:r>
          </w:p>
        </w:tc>
        <w:tc>
          <w:tcPr>
            <w:tcW w:type="dxa" w:w="1368"/>
          </w:tcPr>
          <w:p>
            <w:pPr>
              <w:spacing w:after="20"/>
              <w:jc w:val="right"/>
            </w:pPr>
            <w:r>
              <w:rPr>
                <w:color w:val="1C3A36"/>
                <w:sz w:val="18"/>
              </w:rPr>
            </w:r>
          </w:p>
        </w:tc>
        <w:tc>
          <w:tcPr>
            <w:tcW w:type="dxa" w:w="1368"/>
          </w:tcPr>
          <w:p>
            <w:pPr>
              <w:spacing w:after="20"/>
              <w:jc w:val="right"/>
            </w:pPr>
            <w:r>
              <w:rPr>
                <w:color w:val="1C3A36"/>
                <w:sz w:val="18"/>
              </w:rPr>
            </w:r>
          </w:p>
        </w:tc>
        <w:tc>
          <w:tcPr>
            <w:tcW w:type="dxa" w:w="1368"/>
          </w:tcPr>
          <w:p>
            <w:pPr>
              <w:spacing w:after="20"/>
              <w:jc w:val="right"/>
            </w:pPr>
            <w:r>
              <w:rPr>
                <w:color w:val="1C3A36"/>
                <w:sz w:val="18"/>
              </w:rPr>
            </w:r>
          </w:p>
        </w:tc>
        <w:tc>
          <w:tcPr>
            <w:tcW w:type="dxa" w:w="1800"/>
          </w:tcPr>
          <w:p>
            <w:pPr>
              <w:spacing w:after="20"/>
              <w:jc w:val="right"/>
            </w:pPr>
            <w:r>
              <w:rPr>
                <w:color w:val="1C3A36"/>
                <w:sz w:val="18"/>
              </w:rPr>
              <w:t>57,322</w:t>
            </w:r>
          </w:p>
        </w:tc>
      </w:tr>
      <w:tr>
        <w:tc>
          <w:tcPr>
            <w:tcW w:type="dxa" w:w="3744"/>
            <w:shd w:val="clear" w:color="auto" w:fill="F6F1E6"/>
          </w:tcPr>
          <w:p>
            <w:pPr>
              <w:spacing w:after="20"/>
            </w:pPr>
            <w:r>
              <w:rPr>
                <w:b/>
                <w:color w:val="1C3A36"/>
                <w:sz w:val="18"/>
              </w:rPr>
              <w:t>Equity value → per share (÷3,000mn)</w:t>
            </w:r>
          </w:p>
        </w:tc>
        <w:tc>
          <w:tcPr>
            <w:tcW w:type="dxa" w:w="1368"/>
            <w:shd w:val="clear" w:color="auto" w:fill="F6F1E6"/>
          </w:tcPr>
          <w:p>
            <w:pPr>
              <w:spacing w:after="20"/>
              <w:jc w:val="right"/>
            </w:pPr>
            <w:r>
              <w:rPr>
                <w:b/>
                <w:color w:val="1C3A36"/>
                <w:sz w:val="18"/>
              </w:rPr>
            </w:r>
          </w:p>
        </w:tc>
        <w:tc>
          <w:tcPr>
            <w:tcW w:type="dxa" w:w="1368"/>
            <w:shd w:val="clear" w:color="auto" w:fill="F6F1E6"/>
          </w:tcPr>
          <w:p>
            <w:pPr>
              <w:spacing w:after="20"/>
              <w:jc w:val="right"/>
            </w:pPr>
            <w:r>
              <w:rPr>
                <w:b/>
                <w:color w:val="1C3A36"/>
                <w:sz w:val="18"/>
              </w:rPr>
            </w:r>
          </w:p>
        </w:tc>
        <w:tc>
          <w:tcPr>
            <w:tcW w:type="dxa" w:w="1368"/>
            <w:shd w:val="clear" w:color="auto" w:fill="F6F1E6"/>
          </w:tcPr>
          <w:p>
            <w:pPr>
              <w:spacing w:after="20"/>
              <w:jc w:val="right"/>
            </w:pPr>
            <w:r>
              <w:rPr>
                <w:b/>
                <w:color w:val="1C3A36"/>
                <w:sz w:val="18"/>
              </w:rPr>
            </w:r>
          </w:p>
        </w:tc>
        <w:tc>
          <w:tcPr>
            <w:tcW w:type="dxa" w:w="1368"/>
            <w:shd w:val="clear" w:color="auto" w:fill="F6F1E6"/>
          </w:tcPr>
          <w:p>
            <w:pPr>
              <w:spacing w:after="20"/>
              <w:jc w:val="right"/>
            </w:pPr>
            <w:r>
              <w:rPr>
                <w:b/>
                <w:color w:val="1C3A36"/>
                <w:sz w:val="18"/>
              </w:rPr>
            </w:r>
          </w:p>
        </w:tc>
        <w:tc>
          <w:tcPr>
            <w:tcW w:type="dxa" w:w="1800"/>
            <w:shd w:val="clear" w:color="auto" w:fill="F6F1E6"/>
          </w:tcPr>
          <w:p>
            <w:pPr>
              <w:spacing w:after="20"/>
              <w:jc w:val="right"/>
            </w:pPr>
            <w:r>
              <w:rPr>
                <w:b/>
                <w:color w:val="1C3A36"/>
                <w:sz w:val="18"/>
              </w:rPr>
              <w:t>SAR 23.79</w:t>
            </w:r>
          </w:p>
        </w:tc>
      </w:tr>
    </w:tbl>
    <w:p>
      <w:pPr>
        <w:spacing w:after="40"/>
      </w:pPr>
    </w:p>
    <w:p>
      <w:pPr>
        <w:spacing w:after="120" w:before="0"/>
      </w:pPr>
      <w:r>
        <w:rPr>
          <w:b w:val="0"/>
          <w:i w:val="0"/>
          <w:color w:val="1C3A36"/>
          <w:sz w:val="19"/>
        </w:rPr>
        <w:t>FCFE prices lowest of the intrinsic lenses (SAR 23.8) because the growth years consume capital: mid-teens RWA growth at a 16% CET1 target absorbs roughly SAR 3.9–4.4bn a year, leaving near-term distributable cash well below earnings. That is not a flaw — it is the honest price of growth, and it is why the DDM (which credits the retained capital's future ROE explicitly) sits higher.</w:t>
      </w:r>
    </w:p>
    <w:p>
      <w:pPr>
        <w:spacing w:after="80" w:before="200"/>
      </w:pPr>
      <w:r>
        <w:rPr>
          <w:b/>
          <w:i w:val="0"/>
          <w:color w:val="1C3A36"/>
          <w:sz w:val="24"/>
        </w:rPr>
        <w:t>1.3  Residual income valuation</w:t>
      </w:r>
    </w:p>
    <w:p>
      <w:pPr>
        <w:spacing w:after="120" w:before="0"/>
      </w:pPr>
      <w:r>
        <w:rPr>
          <w:b w:val="0"/>
          <w:i w:val="0"/>
          <w:color w:val="1C3A36"/>
          <w:sz w:val="21"/>
        </w:rPr>
        <w:t>The EFG-house bank method: value = today's book plus the present value of everything the bank earns above its equity charge. It anchors on the balance sheet, so terminal assumptions do less work than in the DDM — a genuine third method, not a re-arranged second.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4176"/>
            <w:shd w:val="clear" w:color="auto" w:fill="EAF0EE"/>
          </w:tcPr>
          <w:p>
            <w:pPr>
              <w:spacing w:after="20"/>
            </w:pPr>
            <w:r>
              <w:rPr>
                <w:b/>
                <w:color w:val="1C3A36"/>
                <w:sz w:val="18"/>
              </w:rPr>
              <w:t>SAR / share</w:t>
            </w:r>
          </w:p>
        </w:tc>
        <w:tc>
          <w:tcPr>
            <w:tcW w:type="dxa" w:w="1296"/>
            <w:shd w:val="clear" w:color="auto" w:fill="EAF0EE"/>
          </w:tcPr>
          <w:p>
            <w:pPr>
              <w:spacing w:after="20"/>
            </w:pPr>
            <w:r>
              <w:rPr>
                <w:b/>
                <w:color w:val="1C3A36"/>
                <w:sz w:val="18"/>
              </w:rPr>
              <w:t>FY26e</w:t>
            </w:r>
          </w:p>
        </w:tc>
        <w:tc>
          <w:tcPr>
            <w:tcW w:type="dxa" w:w="1296"/>
            <w:shd w:val="clear" w:color="auto" w:fill="EAF0EE"/>
          </w:tcPr>
          <w:p>
            <w:pPr>
              <w:spacing w:after="20"/>
            </w:pPr>
            <w:r>
              <w:rPr>
                <w:b/>
                <w:color w:val="1C3A36"/>
                <w:sz w:val="18"/>
              </w:rPr>
              <w:t>FY27e</w:t>
            </w:r>
          </w:p>
        </w:tc>
        <w:tc>
          <w:tcPr>
            <w:tcW w:type="dxa" w:w="1296"/>
            <w:shd w:val="clear" w:color="auto" w:fill="EAF0EE"/>
          </w:tcPr>
          <w:p>
            <w:pPr>
              <w:spacing w:after="20"/>
            </w:pPr>
            <w:r>
              <w:rPr>
                <w:b/>
                <w:color w:val="1C3A36"/>
                <w:sz w:val="18"/>
              </w:rPr>
              <w:t>FY28e</w:t>
            </w:r>
          </w:p>
        </w:tc>
        <w:tc>
          <w:tcPr>
            <w:tcW w:type="dxa" w:w="1296"/>
            <w:shd w:val="clear" w:color="auto" w:fill="EAF0EE"/>
          </w:tcPr>
          <w:p>
            <w:pPr>
              <w:spacing w:after="20"/>
            </w:pPr>
            <w:r>
              <w:rPr>
                <w:b/>
                <w:color w:val="1C3A36"/>
                <w:sz w:val="18"/>
              </w:rPr>
              <w:t>FY29e</w:t>
            </w:r>
          </w:p>
        </w:tc>
        <w:tc>
          <w:tcPr>
            <w:tcW w:type="dxa" w:w="1584"/>
            <w:shd w:val="clear" w:color="auto" w:fill="EAF0EE"/>
          </w:tcPr>
          <w:p>
            <w:pPr>
              <w:spacing w:after="20"/>
            </w:pPr>
            <w:r>
              <w:rPr>
                <w:b/>
                <w:color w:val="1C3A36"/>
                <w:sz w:val="18"/>
              </w:rPr>
              <w:t>FY30e</w:t>
            </w:r>
          </w:p>
        </w:tc>
      </w:tr>
      <w:tr>
        <w:tc>
          <w:tcPr>
            <w:tcW w:type="dxa" w:w="4176"/>
          </w:tcPr>
          <w:p>
            <w:pPr>
              <w:spacing w:after="20"/>
            </w:pPr>
            <w:r>
              <w:rPr>
                <w:color w:val="1C3A36"/>
                <w:sz w:val="18"/>
              </w:rPr>
              <w:t>Opening BVPS</w:t>
            </w:r>
          </w:p>
        </w:tc>
        <w:tc>
          <w:tcPr>
            <w:tcW w:type="dxa" w:w="1296"/>
          </w:tcPr>
          <w:p>
            <w:pPr>
              <w:spacing w:after="20"/>
              <w:jc w:val="right"/>
            </w:pPr>
            <w:r>
              <w:rPr>
                <w:color w:val="1C3A36"/>
                <w:sz w:val="18"/>
              </w:rPr>
              <w:t>11.50</w:t>
            </w:r>
          </w:p>
        </w:tc>
        <w:tc>
          <w:tcPr>
            <w:tcW w:type="dxa" w:w="1296"/>
          </w:tcPr>
          <w:p>
            <w:pPr>
              <w:spacing w:after="20"/>
              <w:jc w:val="right"/>
            </w:pPr>
            <w:r>
              <w:rPr>
                <w:color w:val="1C3A36"/>
                <w:sz w:val="18"/>
              </w:rPr>
              <w:t>12.65</w:t>
            </w:r>
          </w:p>
        </w:tc>
        <w:tc>
          <w:tcPr>
            <w:tcW w:type="dxa" w:w="1296"/>
          </w:tcPr>
          <w:p>
            <w:pPr>
              <w:spacing w:after="20"/>
              <w:jc w:val="right"/>
            </w:pPr>
            <w:r>
              <w:rPr>
                <w:color w:val="1C3A36"/>
                <w:sz w:val="18"/>
              </w:rPr>
              <w:t>13.90</w:t>
            </w:r>
          </w:p>
        </w:tc>
        <w:tc>
          <w:tcPr>
            <w:tcW w:type="dxa" w:w="1296"/>
          </w:tcPr>
          <w:p>
            <w:pPr>
              <w:spacing w:after="20"/>
              <w:jc w:val="right"/>
            </w:pPr>
            <w:r>
              <w:rPr>
                <w:color w:val="1C3A36"/>
                <w:sz w:val="18"/>
              </w:rPr>
              <w:t>15.26</w:t>
            </w:r>
          </w:p>
        </w:tc>
        <w:tc>
          <w:tcPr>
            <w:tcW w:type="dxa" w:w="1584"/>
          </w:tcPr>
          <w:p>
            <w:pPr>
              <w:spacing w:after="20"/>
              <w:jc w:val="right"/>
            </w:pPr>
            <w:r>
              <w:rPr>
                <w:color w:val="1C3A36"/>
                <w:sz w:val="18"/>
              </w:rPr>
              <w:t>16.73</w:t>
            </w:r>
          </w:p>
        </w:tc>
      </w:tr>
      <w:tr>
        <w:tc>
          <w:tcPr>
            <w:tcW w:type="dxa" w:w="4176"/>
          </w:tcPr>
          <w:p>
            <w:pPr>
              <w:spacing w:after="20"/>
            </w:pPr>
            <w:r>
              <w:rPr>
                <w:color w:val="1C3A36"/>
                <w:sz w:val="18"/>
              </w:rPr>
              <w:t>EPS</w:t>
            </w:r>
          </w:p>
        </w:tc>
        <w:tc>
          <w:tcPr>
            <w:tcW w:type="dxa" w:w="1296"/>
          </w:tcPr>
          <w:p>
            <w:pPr>
              <w:spacing w:after="20"/>
              <w:jc w:val="right"/>
            </w:pPr>
            <w:r>
              <w:rPr>
                <w:color w:val="1C3A36"/>
                <w:sz w:val="18"/>
              </w:rPr>
              <w:t>2.18</w:t>
            </w:r>
          </w:p>
        </w:tc>
        <w:tc>
          <w:tcPr>
            <w:tcW w:type="dxa" w:w="1296"/>
          </w:tcPr>
          <w:p>
            <w:pPr>
              <w:spacing w:after="20"/>
              <w:jc w:val="right"/>
            </w:pPr>
            <w:r>
              <w:rPr>
                <w:color w:val="1C3A36"/>
                <w:sz w:val="18"/>
              </w:rPr>
              <w:t>2.41</w:t>
            </w:r>
          </w:p>
        </w:tc>
        <w:tc>
          <w:tcPr>
            <w:tcW w:type="dxa" w:w="1296"/>
          </w:tcPr>
          <w:p>
            <w:pPr>
              <w:spacing w:after="20"/>
              <w:jc w:val="right"/>
            </w:pPr>
            <w:r>
              <w:rPr>
                <w:color w:val="1C3A36"/>
                <w:sz w:val="18"/>
              </w:rPr>
              <w:t>2.67</w:t>
            </w:r>
          </w:p>
        </w:tc>
        <w:tc>
          <w:tcPr>
            <w:tcW w:type="dxa" w:w="1296"/>
          </w:tcPr>
          <w:p>
            <w:pPr>
              <w:spacing w:after="20"/>
              <w:jc w:val="right"/>
            </w:pPr>
            <w:r>
              <w:rPr>
                <w:color w:val="1C3A36"/>
                <w:sz w:val="18"/>
              </w:rPr>
              <w:t>2.93</w:t>
            </w:r>
          </w:p>
        </w:tc>
        <w:tc>
          <w:tcPr>
            <w:tcW w:type="dxa" w:w="1584"/>
          </w:tcPr>
          <w:p>
            <w:pPr>
              <w:spacing w:after="20"/>
              <w:jc w:val="right"/>
            </w:pPr>
            <w:r>
              <w:rPr>
                <w:color w:val="1C3A36"/>
                <w:sz w:val="18"/>
              </w:rPr>
              <w:t>3.19</w:t>
            </w:r>
          </w:p>
        </w:tc>
      </w:tr>
      <w:tr>
        <w:tc>
          <w:tcPr>
            <w:tcW w:type="dxa" w:w="4176"/>
          </w:tcPr>
          <w:p>
            <w:pPr>
              <w:spacing w:after="20"/>
            </w:pPr>
            <w:r>
              <w:rPr>
                <w:color w:val="1C3A36"/>
                <w:sz w:val="18"/>
              </w:rPr>
              <w:t>Equity charge Ke×BV</w:t>
            </w:r>
          </w:p>
        </w:tc>
        <w:tc>
          <w:tcPr>
            <w:tcW w:type="dxa" w:w="1296"/>
          </w:tcPr>
          <w:p>
            <w:pPr>
              <w:spacing w:after="20"/>
              <w:jc w:val="right"/>
            </w:pPr>
            <w:r>
              <w:rPr>
                <w:color w:val="1C3A36"/>
                <w:sz w:val="18"/>
              </w:rPr>
              <w:t>1.09</w:t>
            </w:r>
          </w:p>
        </w:tc>
        <w:tc>
          <w:tcPr>
            <w:tcW w:type="dxa" w:w="1296"/>
          </w:tcPr>
          <w:p>
            <w:pPr>
              <w:spacing w:after="20"/>
              <w:jc w:val="right"/>
            </w:pPr>
            <w:r>
              <w:rPr>
                <w:color w:val="1C3A36"/>
                <w:sz w:val="18"/>
              </w:rPr>
              <w:t>1.20</w:t>
            </w:r>
          </w:p>
        </w:tc>
        <w:tc>
          <w:tcPr>
            <w:tcW w:type="dxa" w:w="1296"/>
          </w:tcPr>
          <w:p>
            <w:pPr>
              <w:spacing w:after="20"/>
              <w:jc w:val="right"/>
            </w:pPr>
            <w:r>
              <w:rPr>
                <w:color w:val="1C3A36"/>
                <w:sz w:val="18"/>
              </w:rPr>
              <w:t>1.31</w:t>
            </w:r>
          </w:p>
        </w:tc>
        <w:tc>
          <w:tcPr>
            <w:tcW w:type="dxa" w:w="1296"/>
          </w:tcPr>
          <w:p>
            <w:pPr>
              <w:spacing w:after="20"/>
              <w:jc w:val="right"/>
            </w:pPr>
            <w:r>
              <w:rPr>
                <w:color w:val="1C3A36"/>
                <w:sz w:val="18"/>
              </w:rPr>
              <w:t>1.44</w:t>
            </w:r>
          </w:p>
        </w:tc>
        <w:tc>
          <w:tcPr>
            <w:tcW w:type="dxa" w:w="1584"/>
          </w:tcPr>
          <w:p>
            <w:pPr>
              <w:spacing w:after="20"/>
              <w:jc w:val="right"/>
            </w:pPr>
            <w:r>
              <w:rPr>
                <w:color w:val="1C3A36"/>
                <w:sz w:val="18"/>
              </w:rPr>
              <w:t>1.58</w:t>
            </w:r>
          </w:p>
        </w:tc>
      </w:tr>
      <w:tr>
        <w:tc>
          <w:tcPr>
            <w:tcW w:type="dxa" w:w="4176"/>
          </w:tcPr>
          <w:p>
            <w:pPr>
              <w:spacing w:after="20"/>
            </w:pPr>
            <w:r>
              <w:rPr>
                <w:color w:val="1C3A36"/>
                <w:sz w:val="18"/>
              </w:rPr>
              <w:t>Residual income</w:t>
            </w:r>
          </w:p>
        </w:tc>
        <w:tc>
          <w:tcPr>
            <w:tcW w:type="dxa" w:w="1296"/>
          </w:tcPr>
          <w:p>
            <w:pPr>
              <w:spacing w:after="20"/>
              <w:jc w:val="right"/>
            </w:pPr>
            <w:r>
              <w:rPr>
                <w:color w:val="1C3A36"/>
                <w:sz w:val="18"/>
              </w:rPr>
              <w:t>1.09</w:t>
            </w:r>
          </w:p>
        </w:tc>
        <w:tc>
          <w:tcPr>
            <w:tcW w:type="dxa" w:w="1296"/>
          </w:tcPr>
          <w:p>
            <w:pPr>
              <w:spacing w:after="20"/>
              <w:jc w:val="right"/>
            </w:pPr>
            <w:r>
              <w:rPr>
                <w:color w:val="1C3A36"/>
                <w:sz w:val="18"/>
              </w:rPr>
              <w:t>1.21</w:t>
            </w:r>
          </w:p>
        </w:tc>
        <w:tc>
          <w:tcPr>
            <w:tcW w:type="dxa" w:w="1296"/>
          </w:tcPr>
          <w:p>
            <w:pPr>
              <w:spacing w:after="20"/>
              <w:jc w:val="right"/>
            </w:pPr>
            <w:r>
              <w:rPr>
                <w:color w:val="1C3A36"/>
                <w:sz w:val="18"/>
              </w:rPr>
              <w:t>1.35</w:t>
            </w:r>
          </w:p>
        </w:tc>
        <w:tc>
          <w:tcPr>
            <w:tcW w:type="dxa" w:w="1296"/>
          </w:tcPr>
          <w:p>
            <w:pPr>
              <w:spacing w:after="20"/>
              <w:jc w:val="right"/>
            </w:pPr>
            <w:r>
              <w:rPr>
                <w:color w:val="1C3A36"/>
                <w:sz w:val="18"/>
              </w:rPr>
              <w:t>1.48</w:t>
            </w:r>
          </w:p>
        </w:tc>
        <w:tc>
          <w:tcPr>
            <w:tcW w:type="dxa" w:w="1584"/>
          </w:tcPr>
          <w:p>
            <w:pPr>
              <w:spacing w:after="20"/>
              <w:jc w:val="right"/>
            </w:pPr>
            <w:r>
              <w:rPr>
                <w:color w:val="1C3A36"/>
                <w:sz w:val="18"/>
              </w:rPr>
              <w:t>1.61</w:t>
            </w:r>
          </w:p>
        </w:tc>
      </w:tr>
      <w:tr>
        <w:tc>
          <w:tcPr>
            <w:tcW w:type="dxa" w:w="4176"/>
          </w:tcPr>
          <w:p>
            <w:pPr>
              <w:spacing w:after="20"/>
            </w:pPr>
            <w:r>
              <w:rPr>
                <w:color w:val="1C3A36"/>
                <w:sz w:val="18"/>
              </w:rPr>
              <w:t>PV of RI</w:t>
            </w:r>
          </w:p>
        </w:tc>
        <w:tc>
          <w:tcPr>
            <w:tcW w:type="dxa" w:w="1296"/>
          </w:tcPr>
          <w:p>
            <w:pPr>
              <w:spacing w:after="20"/>
              <w:jc w:val="right"/>
            </w:pPr>
            <w:r>
              <w:rPr>
                <w:color w:val="1C3A36"/>
                <w:sz w:val="18"/>
              </w:rPr>
              <w:t>1.00</w:t>
            </w:r>
          </w:p>
        </w:tc>
        <w:tc>
          <w:tcPr>
            <w:tcW w:type="dxa" w:w="1296"/>
          </w:tcPr>
          <w:p>
            <w:pPr>
              <w:spacing w:after="20"/>
              <w:jc w:val="right"/>
            </w:pPr>
            <w:r>
              <w:rPr>
                <w:color w:val="1C3A36"/>
                <w:sz w:val="18"/>
              </w:rPr>
              <w:t>1.01</w:t>
            </w:r>
          </w:p>
        </w:tc>
        <w:tc>
          <w:tcPr>
            <w:tcW w:type="dxa" w:w="1296"/>
          </w:tcPr>
          <w:p>
            <w:pPr>
              <w:spacing w:after="20"/>
              <w:jc w:val="right"/>
            </w:pPr>
            <w:r>
              <w:rPr>
                <w:color w:val="1C3A36"/>
                <w:sz w:val="18"/>
              </w:rPr>
              <w:t>1.03</w:t>
            </w:r>
          </w:p>
        </w:tc>
        <w:tc>
          <w:tcPr>
            <w:tcW w:type="dxa" w:w="1296"/>
          </w:tcPr>
          <w:p>
            <w:pPr>
              <w:spacing w:after="20"/>
              <w:jc w:val="right"/>
            </w:pPr>
            <w:r>
              <w:rPr>
                <w:color w:val="1C3A36"/>
                <w:sz w:val="18"/>
              </w:rPr>
              <w:t>1.03</w:t>
            </w:r>
          </w:p>
        </w:tc>
        <w:tc>
          <w:tcPr>
            <w:tcW w:type="dxa" w:w="1584"/>
          </w:tcPr>
          <w:p>
            <w:pPr>
              <w:spacing w:after="20"/>
              <w:jc w:val="right"/>
            </w:pPr>
            <w:r>
              <w:rPr>
                <w:color w:val="1C3A36"/>
                <w:sz w:val="18"/>
              </w:rPr>
              <w:t>1.02</w:t>
            </w:r>
          </w:p>
        </w:tc>
      </w:tr>
      <w:tr>
        <w:tc>
          <w:tcPr>
            <w:tcW w:type="dxa" w:w="4176"/>
          </w:tcPr>
          <w:p>
            <w:pPr>
              <w:spacing w:after="20"/>
            </w:pPr>
            <w:r>
              <w:rPr>
                <w:color w:val="1C3A36"/>
                <w:sz w:val="18"/>
              </w:rPr>
              <w:t>Terminal [justified P/B − 1]×BV30, PV</w:t>
            </w:r>
          </w:p>
        </w:tc>
        <w:tc>
          <w:tcPr>
            <w:tcW w:type="dxa" w:w="1296"/>
          </w:tcPr>
          <w:p>
            <w:pPr>
              <w:spacing w:after="20"/>
              <w:jc w:val="right"/>
            </w:pPr>
            <w:r>
              <w:rPr>
                <w:color w:val="1C3A36"/>
                <w:sz w:val="18"/>
              </w:rPr>
            </w:r>
          </w:p>
        </w:tc>
        <w:tc>
          <w:tcPr>
            <w:tcW w:type="dxa" w:w="1296"/>
          </w:tcPr>
          <w:p>
            <w:pPr>
              <w:spacing w:after="20"/>
              <w:jc w:val="right"/>
            </w:pPr>
            <w:r>
              <w:rPr>
                <w:color w:val="1C3A36"/>
                <w:sz w:val="18"/>
              </w:rPr>
            </w:r>
          </w:p>
        </w:tc>
        <w:tc>
          <w:tcPr>
            <w:tcW w:type="dxa" w:w="1296"/>
          </w:tcPr>
          <w:p>
            <w:pPr>
              <w:spacing w:after="20"/>
              <w:jc w:val="right"/>
            </w:pPr>
            <w:r>
              <w:rPr>
                <w:color w:val="1C3A36"/>
                <w:sz w:val="18"/>
              </w:rPr>
            </w:r>
          </w:p>
        </w:tc>
        <w:tc>
          <w:tcPr>
            <w:tcW w:type="dxa" w:w="1296"/>
          </w:tcPr>
          <w:p>
            <w:pPr>
              <w:spacing w:after="20"/>
              <w:jc w:val="right"/>
            </w:pPr>
            <w:r>
              <w:rPr>
                <w:color w:val="1C3A36"/>
                <w:sz w:val="18"/>
              </w:rPr>
            </w:r>
          </w:p>
        </w:tc>
        <w:tc>
          <w:tcPr>
            <w:tcW w:type="dxa" w:w="1584"/>
          </w:tcPr>
          <w:p>
            <w:pPr>
              <w:spacing w:after="20"/>
              <w:jc w:val="right"/>
            </w:pPr>
            <w:r>
              <w:rPr>
                <w:color w:val="1C3A36"/>
                <w:sz w:val="18"/>
              </w:rPr>
              <w:t>11.82</w:t>
            </w:r>
          </w:p>
        </w:tc>
      </w:tr>
      <w:tr>
        <w:tc>
          <w:tcPr>
            <w:tcW w:type="dxa" w:w="4176"/>
            <w:shd w:val="clear" w:color="auto" w:fill="F6F1E6"/>
          </w:tcPr>
          <w:p>
            <w:pPr>
              <w:spacing w:after="20"/>
            </w:pPr>
            <w:r>
              <w:rPr>
                <w:b/>
                <w:color w:val="1C3A36"/>
                <w:sz w:val="18"/>
              </w:rPr>
              <w:t>RI fair value = BV₀ 11.50 + ΣPV + terminal</w:t>
            </w:r>
          </w:p>
        </w:tc>
        <w:tc>
          <w:tcPr>
            <w:tcW w:type="dxa" w:w="1296"/>
            <w:shd w:val="clear" w:color="auto" w:fill="F6F1E6"/>
          </w:tcPr>
          <w:p>
            <w:pPr>
              <w:spacing w:after="20"/>
              <w:jc w:val="right"/>
            </w:pPr>
            <w:r>
              <w:rPr>
                <w:b/>
                <w:color w:val="1C3A36"/>
                <w:sz w:val="18"/>
              </w:rPr>
            </w:r>
          </w:p>
        </w:tc>
        <w:tc>
          <w:tcPr>
            <w:tcW w:type="dxa" w:w="1296"/>
            <w:shd w:val="clear" w:color="auto" w:fill="F6F1E6"/>
          </w:tcPr>
          <w:p>
            <w:pPr>
              <w:spacing w:after="20"/>
              <w:jc w:val="right"/>
            </w:pPr>
            <w:r>
              <w:rPr>
                <w:b/>
                <w:color w:val="1C3A36"/>
                <w:sz w:val="18"/>
              </w:rPr>
            </w:r>
          </w:p>
        </w:tc>
        <w:tc>
          <w:tcPr>
            <w:tcW w:type="dxa" w:w="1296"/>
            <w:shd w:val="clear" w:color="auto" w:fill="F6F1E6"/>
          </w:tcPr>
          <w:p>
            <w:pPr>
              <w:spacing w:after="20"/>
              <w:jc w:val="right"/>
            </w:pPr>
            <w:r>
              <w:rPr>
                <w:b/>
                <w:color w:val="1C3A36"/>
                <w:sz w:val="18"/>
              </w:rPr>
            </w:r>
          </w:p>
        </w:tc>
        <w:tc>
          <w:tcPr>
            <w:tcW w:type="dxa" w:w="1296"/>
            <w:shd w:val="clear" w:color="auto" w:fill="F6F1E6"/>
          </w:tcPr>
          <w:p>
            <w:pPr>
              <w:spacing w:after="20"/>
              <w:jc w:val="right"/>
            </w:pPr>
            <w:r>
              <w:rPr>
                <w:b/>
                <w:color w:val="1C3A36"/>
                <w:sz w:val="18"/>
              </w:rPr>
            </w:r>
          </w:p>
        </w:tc>
        <w:tc>
          <w:tcPr>
            <w:tcW w:type="dxa" w:w="1584"/>
            <w:shd w:val="clear" w:color="auto" w:fill="F6F1E6"/>
          </w:tcPr>
          <w:p>
            <w:pPr>
              <w:spacing w:after="20"/>
              <w:jc w:val="right"/>
            </w:pPr>
            <w:r>
              <w:rPr>
                <w:b/>
                <w:color w:val="1C3A36"/>
                <w:sz w:val="18"/>
              </w:rPr>
              <w:t>SAR 28.41</w:t>
            </w:r>
          </w:p>
        </w:tc>
      </w:tr>
    </w:tbl>
    <w:p>
      <w:pPr>
        <w:spacing w:after="40"/>
      </w:pPr>
    </w:p>
    <w:p>
      <w:pPr>
        <w:spacing w:after="80" w:before="200"/>
      </w:pPr>
      <w:r>
        <w:rPr>
          <w:b/>
          <w:i w:val="0"/>
          <w:color w:val="1C3A36"/>
          <w:sz w:val="24"/>
        </w:rPr>
        <w:t>1.4  Relative multiples</w:t>
      </w:r>
    </w:p>
    <w:p>
      <w:pPr>
        <w:spacing w:after="120" w:before="0"/>
      </w:pPr>
      <w:r>
        <w:rPr>
          <w:b w:val="0"/>
          <w:i w:val="0"/>
          <w:color w:val="1C3A36"/>
          <w:sz w:val="21"/>
        </w:rPr>
        <w:t>Where the Saudi banks price book against returns (Appendix B carries the full peer set). Alinma's ~2.1× / ~18.7% pairing sits ON the sector's P/B–ROE line — the market already pays for the growth. Our read applies the line's slope at Alinma's ROE with a modest growth-quality premium, cross-checked on forward earnings: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744"/>
            <w:shd w:val="clear" w:color="auto" w:fill="EAF0EE"/>
          </w:tcPr>
          <w:p>
            <w:pPr>
              <w:spacing w:after="20"/>
            </w:pPr>
            <w:r>
              <w:rPr>
                <w:b/>
                <w:color w:val="1C3A36"/>
                <w:sz w:val="18"/>
              </w:rPr>
              <w:t>Read</w:t>
            </w:r>
          </w:p>
        </w:tc>
        <w:tc>
          <w:tcPr>
            <w:tcW w:type="dxa" w:w="1728"/>
            <w:shd w:val="clear" w:color="auto" w:fill="EAF0EE"/>
          </w:tcPr>
          <w:p>
            <w:pPr>
              <w:spacing w:after="20"/>
            </w:pPr>
            <w:r>
              <w:rPr>
                <w:b/>
                <w:color w:val="1C3A36"/>
                <w:sz w:val="18"/>
              </w:rPr>
              <w:t>Multiple</w:t>
            </w:r>
          </w:p>
        </w:tc>
        <w:tc>
          <w:tcPr>
            <w:tcW w:type="dxa" w:w="2448"/>
            <w:shd w:val="clear" w:color="auto" w:fill="EAF0EE"/>
          </w:tcPr>
          <w:p>
            <w:pPr>
              <w:spacing w:after="20"/>
            </w:pPr>
            <w:r>
              <w:rPr>
                <w:b/>
                <w:color w:val="1C3A36"/>
                <w:sz w:val="18"/>
              </w:rPr>
              <w:t>Applied to</w:t>
            </w:r>
          </w:p>
        </w:tc>
        <w:tc>
          <w:tcPr>
            <w:tcW w:type="dxa" w:w="2160"/>
            <w:shd w:val="clear" w:color="auto" w:fill="EAF0EE"/>
          </w:tcPr>
          <w:p>
            <w:pPr>
              <w:spacing w:after="20"/>
            </w:pPr>
            <w:r>
              <w:rPr>
                <w:b/>
                <w:color w:val="1C3A36"/>
                <w:sz w:val="18"/>
              </w:rPr>
              <w:t>Fair value</w:t>
            </w:r>
          </w:p>
        </w:tc>
      </w:tr>
      <w:tr>
        <w:tc>
          <w:tcPr>
            <w:tcW w:type="dxa" w:w="3744"/>
          </w:tcPr>
          <w:p>
            <w:pPr>
              <w:spacing w:after="20"/>
            </w:pPr>
            <w:r>
              <w:rPr>
                <w:color w:val="1C3A36"/>
                <w:sz w:val="18"/>
              </w:rPr>
              <w:t>Peer P/B–ROE line at 18.7% ROE</w:t>
            </w:r>
          </w:p>
        </w:tc>
        <w:tc>
          <w:tcPr>
            <w:tcW w:type="dxa" w:w="1728"/>
          </w:tcPr>
          <w:p>
            <w:pPr>
              <w:spacing w:after="20"/>
              <w:jc w:val="right"/>
            </w:pPr>
            <w:r>
              <w:rPr>
                <w:color w:val="1C3A36"/>
                <w:sz w:val="18"/>
              </w:rPr>
              <w:t>2.30×</w:t>
            </w:r>
          </w:p>
        </w:tc>
        <w:tc>
          <w:tcPr>
            <w:tcW w:type="dxa" w:w="2448"/>
          </w:tcPr>
          <w:p>
            <w:pPr>
              <w:spacing w:after="20"/>
              <w:jc w:val="right"/>
            </w:pPr>
            <w:r>
              <w:rPr>
                <w:color w:val="1C3A36"/>
                <w:sz w:val="18"/>
              </w:rPr>
              <w:t>BVPS25 11.50</w:t>
            </w:r>
          </w:p>
        </w:tc>
        <w:tc>
          <w:tcPr>
            <w:tcW w:type="dxa" w:w="2160"/>
          </w:tcPr>
          <w:p>
            <w:pPr>
              <w:spacing w:after="20"/>
              <w:jc w:val="right"/>
            </w:pPr>
            <w:r>
              <w:rPr>
                <w:color w:val="1C3A36"/>
                <w:sz w:val="18"/>
              </w:rPr>
              <w:t>SAR 26.4</w:t>
            </w:r>
          </w:p>
        </w:tc>
      </w:tr>
      <w:tr>
        <w:tc>
          <w:tcPr>
            <w:tcW w:type="dxa" w:w="3744"/>
          </w:tcPr>
          <w:p>
            <w:pPr>
              <w:spacing w:after="20"/>
            </w:pPr>
            <w:r>
              <w:rPr>
                <w:color w:val="1C3A36"/>
                <w:sz w:val="18"/>
              </w:rPr>
              <w:t>Forward P/E (sector growth cohort)</w:t>
            </w:r>
          </w:p>
        </w:tc>
        <w:tc>
          <w:tcPr>
            <w:tcW w:type="dxa" w:w="1728"/>
          </w:tcPr>
          <w:p>
            <w:pPr>
              <w:spacing w:after="20"/>
              <w:jc w:val="right"/>
            </w:pPr>
            <w:r>
              <w:rPr>
                <w:color w:val="1C3A36"/>
                <w:sz w:val="18"/>
              </w:rPr>
              <w:t>11.5×</w:t>
            </w:r>
          </w:p>
        </w:tc>
        <w:tc>
          <w:tcPr>
            <w:tcW w:type="dxa" w:w="2448"/>
          </w:tcPr>
          <w:p>
            <w:pPr>
              <w:spacing w:after="20"/>
              <w:jc w:val="right"/>
            </w:pPr>
            <w:r>
              <w:rPr>
                <w:color w:val="1C3A36"/>
                <w:sz w:val="18"/>
              </w:rPr>
              <w:t>EPS FY26e 2.18</w:t>
            </w:r>
          </w:p>
        </w:tc>
        <w:tc>
          <w:tcPr>
            <w:tcW w:type="dxa" w:w="2160"/>
          </w:tcPr>
          <w:p>
            <w:pPr>
              <w:spacing w:after="20"/>
              <w:jc w:val="right"/>
            </w:pPr>
            <w:r>
              <w:rPr>
                <w:color w:val="1C3A36"/>
                <w:sz w:val="18"/>
              </w:rPr>
              <w:t>SAR 25.0</w:t>
            </w:r>
          </w:p>
        </w:tc>
      </w:tr>
      <w:tr>
        <w:tc>
          <w:tcPr>
            <w:tcW w:type="dxa" w:w="3744"/>
            <w:shd w:val="clear" w:color="auto" w:fill="F6F1E6"/>
          </w:tcPr>
          <w:p>
            <w:pPr>
              <w:spacing w:after="20"/>
            </w:pPr>
            <w:r>
              <w:rPr>
                <w:b/>
                <w:color w:val="1C3A36"/>
                <w:sz w:val="18"/>
              </w:rPr>
              <w:t>Blend (equal weight)</w:t>
            </w:r>
          </w:p>
        </w:tc>
        <w:tc>
          <w:tcPr>
            <w:tcW w:type="dxa" w:w="1728"/>
            <w:shd w:val="clear" w:color="auto" w:fill="F6F1E6"/>
          </w:tcPr>
          <w:p>
            <w:pPr>
              <w:spacing w:after="20"/>
              <w:jc w:val="right"/>
            </w:pPr>
            <w:r>
              <w:rPr>
                <w:b/>
                <w:color w:val="1C3A36"/>
                <w:sz w:val="18"/>
              </w:rPr>
              <w:t>—</w:t>
            </w:r>
          </w:p>
        </w:tc>
        <w:tc>
          <w:tcPr>
            <w:tcW w:type="dxa" w:w="2448"/>
            <w:shd w:val="clear" w:color="auto" w:fill="F6F1E6"/>
          </w:tcPr>
          <w:p>
            <w:pPr>
              <w:spacing w:after="20"/>
              <w:jc w:val="right"/>
            </w:pPr>
            <w:r>
              <w:rPr>
                <w:b/>
                <w:color w:val="1C3A36"/>
                <w:sz w:val="18"/>
              </w:rPr>
              <w:t>—</w:t>
            </w:r>
          </w:p>
        </w:tc>
        <w:tc>
          <w:tcPr>
            <w:tcW w:type="dxa" w:w="2160"/>
            <w:shd w:val="clear" w:color="auto" w:fill="F6F1E6"/>
          </w:tcPr>
          <w:p>
            <w:pPr>
              <w:spacing w:after="20"/>
              <w:jc w:val="right"/>
            </w:pPr>
            <w:r>
              <w:rPr>
                <w:b/>
                <w:color w:val="1C3A36"/>
                <w:sz w:val="18"/>
              </w:rPr>
              <w:t>SAR 25.7</w:t>
            </w:r>
          </w:p>
        </w:tc>
      </w:tr>
    </w:tbl>
    <w:p>
      <w:pPr>
        <w:spacing w:after="40"/>
      </w:pPr>
    </w:p>
    <w:p>
      <w:pPr>
        <w:spacing w:after="80" w:before="200"/>
      </w:pPr>
      <w:r>
        <w:rPr>
          <w:b/>
          <w:i w:val="0"/>
          <w:color w:val="1C3A36"/>
          <w:sz w:val="24"/>
        </w:rPr>
        <w:t>1.5  Normalized earnings power — the floor</w:t>
      </w:r>
    </w:p>
    <w:p>
      <w:pPr>
        <w:spacing w:after="120" w:before="0"/>
      </w:pPr>
      <w:r>
        <w:rPr>
          <w:b w:val="0"/>
          <w:i w:val="0"/>
          <w:color w:val="1C3A36"/>
          <w:sz w:val="21"/>
        </w:rPr>
        <w:t>Strip the growth premium and the regressed beta: at beta = 1.0 on the CDS-based ERP (Ke 10.5%) and a through-cycle 16% ROE, the justified multiple is (16−3)/(10.52−3) = 1.73× book → SAR 19.9. That is the price at which every generous assumption has been surrendered — the anchor for the bear case, ~17% below spot.</w:t>
      </w:r>
    </w:p>
    <w:p>
      <w:pPr>
        <w:spacing w:after="80" w:before="200"/>
      </w:pPr>
      <w:r>
        <w:rPr>
          <w:b/>
          <w:i w:val="0"/>
          <w:color w:val="1C3A36"/>
          <w:sz w:val="24"/>
        </w:rPr>
        <w:t>1.6  Synthesis — five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3168"/>
            <w:shd w:val="clear" w:color="auto" w:fill="EAF0EE"/>
          </w:tcPr>
          <w:p>
            <w:pPr>
              <w:spacing w:after="20"/>
            </w:pPr>
            <w:r>
              <w:rPr>
                <w:b/>
                <w:color w:val="1C3A36"/>
                <w:sz w:val="18"/>
              </w:rPr>
              <w:t>Lens</w:t>
            </w:r>
          </w:p>
        </w:tc>
        <w:tc>
          <w:tcPr>
            <w:tcW w:type="dxa" w:w="1440"/>
            <w:shd w:val="clear" w:color="auto" w:fill="EAF0EE"/>
          </w:tcPr>
          <w:p>
            <w:pPr>
              <w:spacing w:after="20"/>
            </w:pPr>
            <w:r>
              <w:rPr>
                <w:b/>
                <w:color w:val="1C3A36"/>
                <w:sz w:val="18"/>
              </w:rPr>
              <w:t>Bear</w:t>
            </w:r>
          </w:p>
        </w:tc>
        <w:tc>
          <w:tcPr>
            <w:tcW w:type="dxa" w:w="1440"/>
            <w:shd w:val="clear" w:color="auto" w:fill="EAF0EE"/>
          </w:tcPr>
          <w:p>
            <w:pPr>
              <w:spacing w:after="20"/>
            </w:pPr>
            <w:r>
              <w:rPr>
                <w:b/>
                <w:color w:val="1C3A36"/>
                <w:sz w:val="18"/>
              </w:rPr>
              <w:t>Base</w:t>
            </w:r>
          </w:p>
        </w:tc>
        <w:tc>
          <w:tcPr>
            <w:tcW w:type="dxa" w:w="1440"/>
            <w:shd w:val="clear" w:color="auto" w:fill="EAF0EE"/>
          </w:tcPr>
          <w:p>
            <w:pPr>
              <w:spacing w:after="20"/>
            </w:pPr>
            <w:r>
              <w:rPr>
                <w:b/>
                <w:color w:val="1C3A36"/>
                <w:sz w:val="18"/>
              </w:rPr>
              <w:t>Bull</w:t>
            </w:r>
          </w:p>
        </w:tc>
        <w:tc>
          <w:tcPr>
            <w:tcW w:type="dxa" w:w="1440"/>
            <w:shd w:val="clear" w:color="auto" w:fill="EAF0EE"/>
          </w:tcPr>
          <w:p>
            <w:pPr>
              <w:spacing w:after="20"/>
            </w:pPr>
            <w:r>
              <w:rPr>
                <w:b/>
                <w:color w:val="1C3A36"/>
                <w:sz w:val="18"/>
              </w:rPr>
              <w:t>Weight</w:t>
            </w:r>
          </w:p>
        </w:tc>
      </w:tr>
      <w:tr>
        <w:tc>
          <w:tcPr>
            <w:tcW w:type="dxa" w:w="3168"/>
          </w:tcPr>
          <w:p>
            <w:pPr>
              <w:spacing w:after="20"/>
            </w:pPr>
            <w:r>
              <w:rPr>
                <w:color w:val="1C3A36"/>
                <w:sz w:val="18"/>
              </w:rPr>
              <w:t>DDM (primary)</w:t>
            </w:r>
          </w:p>
        </w:tc>
        <w:tc>
          <w:tcPr>
            <w:tcW w:type="dxa" w:w="1440"/>
          </w:tcPr>
          <w:p>
            <w:pPr>
              <w:spacing w:after="20"/>
              <w:jc w:val="right"/>
            </w:pPr>
            <w:r>
              <w:rPr>
                <w:color w:val="1C3A36"/>
                <w:sz w:val="18"/>
              </w:rPr>
              <w:t>24.5</w:t>
            </w:r>
          </w:p>
        </w:tc>
        <w:tc>
          <w:tcPr>
            <w:tcW w:type="dxa" w:w="1440"/>
          </w:tcPr>
          <w:p>
            <w:pPr>
              <w:spacing w:after="20"/>
              <w:jc w:val="right"/>
            </w:pPr>
            <w:r>
              <w:rPr>
                <w:color w:val="1C3A36"/>
                <w:sz w:val="18"/>
              </w:rPr>
              <w:t>31.2</w:t>
            </w:r>
          </w:p>
        </w:tc>
        <w:tc>
          <w:tcPr>
            <w:tcW w:type="dxa" w:w="1440"/>
          </w:tcPr>
          <w:p>
            <w:pPr>
              <w:spacing w:after="20"/>
              <w:jc w:val="right"/>
            </w:pPr>
            <w:r>
              <w:rPr>
                <w:color w:val="1C3A36"/>
                <w:sz w:val="18"/>
              </w:rPr>
              <w:t>41.5</w:t>
            </w:r>
          </w:p>
        </w:tc>
        <w:tc>
          <w:tcPr>
            <w:tcW w:type="dxa" w:w="1440"/>
          </w:tcPr>
          <w:p>
            <w:pPr>
              <w:spacing w:after="20"/>
              <w:jc w:val="right"/>
            </w:pPr>
            <w:r>
              <w:rPr>
                <w:color w:val="1C3A36"/>
                <w:sz w:val="18"/>
              </w:rPr>
              <w:t>35%</w:t>
            </w:r>
          </w:p>
        </w:tc>
      </w:tr>
      <w:tr>
        <w:tc>
          <w:tcPr>
            <w:tcW w:type="dxa" w:w="3168"/>
          </w:tcPr>
          <w:p>
            <w:pPr>
              <w:spacing w:after="20"/>
            </w:pPr>
            <w:r>
              <w:rPr>
                <w:color w:val="1C3A36"/>
                <w:sz w:val="18"/>
              </w:rPr>
              <w:t>Residual income</w:t>
            </w:r>
          </w:p>
        </w:tc>
        <w:tc>
          <w:tcPr>
            <w:tcW w:type="dxa" w:w="1440"/>
          </w:tcPr>
          <w:p>
            <w:pPr>
              <w:spacing w:after="20"/>
              <w:jc w:val="right"/>
            </w:pPr>
            <w:r>
              <w:rPr>
                <w:color w:val="1C3A36"/>
                <w:sz w:val="18"/>
              </w:rPr>
              <w:t>22.4</w:t>
            </w:r>
          </w:p>
        </w:tc>
        <w:tc>
          <w:tcPr>
            <w:tcW w:type="dxa" w:w="1440"/>
          </w:tcPr>
          <w:p>
            <w:pPr>
              <w:spacing w:after="20"/>
              <w:jc w:val="right"/>
            </w:pPr>
            <w:r>
              <w:rPr>
                <w:color w:val="1C3A36"/>
                <w:sz w:val="18"/>
              </w:rPr>
              <w:t>28.4</w:t>
            </w:r>
          </w:p>
        </w:tc>
        <w:tc>
          <w:tcPr>
            <w:tcW w:type="dxa" w:w="1440"/>
          </w:tcPr>
          <w:p>
            <w:pPr>
              <w:spacing w:after="20"/>
              <w:jc w:val="right"/>
            </w:pPr>
            <w:r>
              <w:rPr>
                <w:color w:val="1C3A36"/>
                <w:sz w:val="18"/>
              </w:rPr>
              <w:t>37.6</w:t>
            </w:r>
          </w:p>
        </w:tc>
        <w:tc>
          <w:tcPr>
            <w:tcW w:type="dxa" w:w="1440"/>
          </w:tcPr>
          <w:p>
            <w:pPr>
              <w:spacing w:after="20"/>
              <w:jc w:val="right"/>
            </w:pPr>
            <w:r>
              <w:rPr>
                <w:color w:val="1C3A36"/>
                <w:sz w:val="18"/>
              </w:rPr>
              <w:t>20%</w:t>
            </w:r>
          </w:p>
        </w:tc>
      </w:tr>
      <w:tr>
        <w:tc>
          <w:tcPr>
            <w:tcW w:type="dxa" w:w="3168"/>
          </w:tcPr>
          <w:p>
            <w:pPr>
              <w:spacing w:after="20"/>
            </w:pPr>
            <w:r>
              <w:rPr>
                <w:color w:val="1C3A36"/>
                <w:sz w:val="18"/>
              </w:rPr>
              <w:t>Equity DCF (FCFE)</w:t>
            </w:r>
          </w:p>
        </w:tc>
        <w:tc>
          <w:tcPr>
            <w:tcW w:type="dxa" w:w="1440"/>
          </w:tcPr>
          <w:p>
            <w:pPr>
              <w:spacing w:after="20"/>
              <w:jc w:val="right"/>
            </w:pPr>
            <w:r>
              <w:rPr>
                <w:color w:val="1C3A36"/>
                <w:sz w:val="18"/>
              </w:rPr>
              <w:t>18.9</w:t>
            </w:r>
          </w:p>
        </w:tc>
        <w:tc>
          <w:tcPr>
            <w:tcW w:type="dxa" w:w="1440"/>
          </w:tcPr>
          <w:p>
            <w:pPr>
              <w:spacing w:after="20"/>
              <w:jc w:val="right"/>
            </w:pPr>
            <w:r>
              <w:rPr>
                <w:color w:val="1C3A36"/>
                <w:sz w:val="18"/>
              </w:rPr>
              <w:t>23.8</w:t>
            </w:r>
          </w:p>
        </w:tc>
        <w:tc>
          <w:tcPr>
            <w:tcW w:type="dxa" w:w="1440"/>
          </w:tcPr>
          <w:p>
            <w:pPr>
              <w:spacing w:after="20"/>
              <w:jc w:val="right"/>
            </w:pPr>
            <w:r>
              <w:rPr>
                <w:color w:val="1C3A36"/>
                <w:sz w:val="18"/>
              </w:rPr>
              <w:t>31.3</w:t>
            </w:r>
          </w:p>
        </w:tc>
        <w:tc>
          <w:tcPr>
            <w:tcW w:type="dxa" w:w="1440"/>
          </w:tcPr>
          <w:p>
            <w:pPr>
              <w:spacing w:after="20"/>
              <w:jc w:val="right"/>
            </w:pPr>
            <w:r>
              <w:rPr>
                <w:color w:val="1C3A36"/>
                <w:sz w:val="18"/>
              </w:rPr>
              <w:t>15%</w:t>
            </w:r>
          </w:p>
        </w:tc>
      </w:tr>
      <w:tr>
        <w:tc>
          <w:tcPr>
            <w:tcW w:type="dxa" w:w="3168"/>
          </w:tcPr>
          <w:p>
            <w:pPr>
              <w:spacing w:after="20"/>
            </w:pPr>
            <w:r>
              <w:rPr>
                <w:color w:val="1C3A36"/>
                <w:sz w:val="18"/>
              </w:rPr>
              <w:t>Relative multiples</w:t>
            </w:r>
          </w:p>
        </w:tc>
        <w:tc>
          <w:tcPr>
            <w:tcW w:type="dxa" w:w="1440"/>
          </w:tcPr>
          <w:p>
            <w:pPr>
              <w:spacing w:after="20"/>
              <w:jc w:val="right"/>
            </w:pPr>
            <w:r>
              <w:rPr>
                <w:color w:val="1C3A36"/>
                <w:sz w:val="18"/>
              </w:rPr>
              <w:t>21.8</w:t>
            </w:r>
          </w:p>
        </w:tc>
        <w:tc>
          <w:tcPr>
            <w:tcW w:type="dxa" w:w="1440"/>
          </w:tcPr>
          <w:p>
            <w:pPr>
              <w:spacing w:after="20"/>
              <w:jc w:val="right"/>
            </w:pPr>
            <w:r>
              <w:rPr>
                <w:color w:val="1C3A36"/>
                <w:sz w:val="18"/>
              </w:rPr>
              <w:t>25.7</w:t>
            </w:r>
          </w:p>
        </w:tc>
        <w:tc>
          <w:tcPr>
            <w:tcW w:type="dxa" w:w="1440"/>
          </w:tcPr>
          <w:p>
            <w:pPr>
              <w:spacing w:after="20"/>
              <w:jc w:val="right"/>
            </w:pPr>
            <w:r>
              <w:rPr>
                <w:color w:val="1C3A36"/>
                <w:sz w:val="18"/>
              </w:rPr>
              <w:t>31.0</w:t>
            </w:r>
          </w:p>
        </w:tc>
        <w:tc>
          <w:tcPr>
            <w:tcW w:type="dxa" w:w="1440"/>
          </w:tcPr>
          <w:p>
            <w:pPr>
              <w:spacing w:after="20"/>
              <w:jc w:val="right"/>
            </w:pPr>
            <w:r>
              <w:rPr>
                <w:color w:val="1C3A36"/>
                <w:sz w:val="18"/>
              </w:rPr>
              <w:t>20%</w:t>
            </w:r>
          </w:p>
        </w:tc>
      </w:tr>
      <w:tr>
        <w:tc>
          <w:tcPr>
            <w:tcW w:type="dxa" w:w="3168"/>
          </w:tcPr>
          <w:p>
            <w:pPr>
              <w:spacing w:after="20"/>
            </w:pPr>
            <w:r>
              <w:rPr>
                <w:color w:val="1C3A36"/>
                <w:sz w:val="18"/>
              </w:rPr>
              <w:t>Normalized floor</w:t>
            </w:r>
          </w:p>
        </w:tc>
        <w:tc>
          <w:tcPr>
            <w:tcW w:type="dxa" w:w="1440"/>
          </w:tcPr>
          <w:p>
            <w:pPr>
              <w:spacing w:after="20"/>
              <w:jc w:val="right"/>
            </w:pPr>
            <w:r>
              <w:rPr>
                <w:color w:val="1C3A36"/>
                <w:sz w:val="18"/>
              </w:rPr>
              <w:t>17.9</w:t>
            </w:r>
          </w:p>
        </w:tc>
        <w:tc>
          <w:tcPr>
            <w:tcW w:type="dxa" w:w="1440"/>
          </w:tcPr>
          <w:p>
            <w:pPr>
              <w:spacing w:after="20"/>
              <w:jc w:val="right"/>
            </w:pPr>
            <w:r>
              <w:rPr>
                <w:color w:val="1C3A36"/>
                <w:sz w:val="18"/>
              </w:rPr>
              <w:t>19.9</w:t>
            </w:r>
          </w:p>
        </w:tc>
        <w:tc>
          <w:tcPr>
            <w:tcW w:type="dxa" w:w="1440"/>
          </w:tcPr>
          <w:p>
            <w:pPr>
              <w:spacing w:after="20"/>
              <w:jc w:val="right"/>
            </w:pPr>
            <w:r>
              <w:rPr>
                <w:color w:val="1C3A36"/>
                <w:sz w:val="18"/>
              </w:rPr>
              <w:t>22.9</w:t>
            </w:r>
          </w:p>
        </w:tc>
        <w:tc>
          <w:tcPr>
            <w:tcW w:type="dxa" w:w="1440"/>
          </w:tcPr>
          <w:p>
            <w:pPr>
              <w:spacing w:after="20"/>
              <w:jc w:val="right"/>
            </w:pPr>
            <w:r>
              <w:rPr>
                <w:color w:val="1C3A36"/>
                <w:sz w:val="18"/>
              </w:rPr>
              <w:t>10%</w:t>
            </w:r>
          </w:p>
        </w:tc>
      </w:tr>
      <w:tr>
        <w:tc>
          <w:tcPr>
            <w:tcW w:type="dxa" w:w="3168"/>
            <w:shd w:val="clear" w:color="auto" w:fill="F6F1E6"/>
          </w:tcPr>
          <w:p>
            <w:pPr>
              <w:spacing w:after="20"/>
            </w:pPr>
            <w:r>
              <w:rPr>
                <w:b/>
                <w:color w:val="1C3A36"/>
                <w:sz w:val="18"/>
              </w:rPr>
              <w:t>Weighted central</w:t>
            </w:r>
          </w:p>
        </w:tc>
        <w:tc>
          <w:tcPr>
            <w:tcW w:type="dxa" w:w="1440"/>
            <w:shd w:val="clear" w:color="auto" w:fill="F6F1E6"/>
          </w:tcPr>
          <w:p>
            <w:pPr>
              <w:spacing w:after="20"/>
              <w:jc w:val="right"/>
            </w:pPr>
            <w:r>
              <w:rPr>
                <w:b/>
                <w:color w:val="1C3A36"/>
                <w:sz w:val="18"/>
              </w:rPr>
              <w:t>24.6</w:t>
            </w:r>
          </w:p>
        </w:tc>
        <w:tc>
          <w:tcPr>
            <w:tcW w:type="dxa" w:w="1440"/>
            <w:shd w:val="clear" w:color="auto" w:fill="F6F1E6"/>
          </w:tcPr>
          <w:p>
            <w:pPr>
              <w:spacing w:after="20"/>
              <w:jc w:val="right"/>
            </w:pPr>
            <w:r>
              <w:rPr>
                <w:b/>
                <w:color w:val="1C3A36"/>
                <w:sz w:val="18"/>
              </w:rPr>
              <w:t>27.3</w:t>
            </w:r>
          </w:p>
        </w:tc>
        <w:tc>
          <w:tcPr>
            <w:tcW w:type="dxa" w:w="1440"/>
            <w:shd w:val="clear" w:color="auto" w:fill="F6F1E6"/>
          </w:tcPr>
          <w:p>
            <w:pPr>
              <w:spacing w:after="20"/>
              <w:jc w:val="right"/>
            </w:pPr>
            <w:r>
              <w:rPr>
                <w:b/>
                <w:color w:val="1C3A36"/>
                <w:sz w:val="18"/>
              </w:rPr>
              <w:t>30.0</w:t>
            </w:r>
          </w:p>
        </w:tc>
        <w:tc>
          <w:tcPr>
            <w:tcW w:type="dxa" w:w="1440"/>
            <w:shd w:val="clear" w:color="auto" w:fill="F6F1E6"/>
          </w:tcPr>
          <w:p>
            <w:pPr>
              <w:spacing w:after="20"/>
              <w:jc w:val="right"/>
            </w:pPr>
            <w:r>
              <w:rPr>
                <w:b/>
                <w:color w:val="1C3A36"/>
                <w:sz w:val="18"/>
              </w:rPr>
              <w:t>100%</w:t>
            </w:r>
          </w:p>
        </w:tc>
      </w:tr>
    </w:tbl>
    <w:p>
      <w:pPr>
        <w:spacing w:after="40"/>
      </w:pPr>
    </w:p>
    <w:p>
      <w:pPr>
        <w:spacing w:after="40"/>
        <w:jc w:val="center"/>
      </w:pPr>
      <w:r>
        <w:drawing>
          <wp:inline xmlns:a="http://schemas.openxmlformats.org/drawingml/2006/main" xmlns:pic="http://schemas.openxmlformats.org/drawingml/2006/picture">
            <wp:extent cx="6309360" cy="2796933"/>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796933"/>
                    </a:xfrm>
                    <a:prstGeom prst="rect"/>
                  </pic:spPr>
                </pic:pic>
              </a:graphicData>
            </a:graphic>
          </wp:inline>
        </w:drawing>
      </w:r>
    </w:p>
    <w:p>
      <w:pPr>
        <w:spacing w:after="200" w:before="0"/>
      </w:pPr>
      <w:r>
        <w:rPr>
          <w:b w:val="0"/>
          <w:i/>
          <w:color w:val="6E7B77"/>
          <w:sz w:val="17"/>
        </w:rPr>
        <w:t>Figure 1 — Valuation football field: bear–bull span per lens; brass tick = base; ink line = spot 24.00.</w:t>
      </w:r>
    </w:p>
    <w:p>
      <w:pPr>
        <w:spacing w:after="120" w:before="0"/>
      </w:pPr>
      <w:r>
        <w:rPr>
          <w:b w:val="0"/>
          <w:i w:val="0"/>
          <w:color w:val="1C3A36"/>
          <w:sz w:val="19"/>
        </w:rPr>
        <w:t>The bear ends of the intrinsic lenses cluster at SAR 19–22 (Ke = 11%), the bull ends at SAR 29–36 (Ke = 8%). Spot sits in the lower half of the span. Market-implied Ke at 2.1× book and a 16% fade is ≈9.2% — comfortably inside our own uncertainty. This study's claim is therefore deliberately modest: the risk-reward is asymmetric to the upside if the ROE glide holds, and the crux is the discount rate, not the earnings forecast.</w:t>
      </w:r>
    </w:p>
    <w:p>
      <w:pPr>
        <w:spacing w:after="80" w:before="200"/>
      </w:pPr>
      <w:r>
        <w:rPr>
          <w:b/>
          <w:i w:val="0"/>
          <w:color w:val="1C3A36"/>
          <w:sz w:val="24"/>
        </w:rPr>
        <w:t>1.7  The bank driver build — a deeper look</w:t>
      </w:r>
    </w:p>
    <w:p>
      <w:pPr>
        <w:spacing w:after="120" w:before="0"/>
      </w:pPr>
      <w:r>
        <w:rPr>
          <w:b w:val="0"/>
          <w:i w:val="0"/>
          <w:color w:val="1C3A36"/>
          <w:sz w:val="21"/>
        </w:rPr>
        <w:t>Where the forecast actually comes from. Three linked schedules: the margin engine (volumes × NIM), the efficiency and risk lines, and the capital that the growth consumes. Every driver is a blue cell in the companion Excel; nothing downstream is hard-coded.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120"/>
        <w:gridCol w:w="1120"/>
        <w:gridCol w:w="1120"/>
        <w:gridCol w:w="1120"/>
        <w:gridCol w:w="1120"/>
        <w:gridCol w:w="1120"/>
        <w:gridCol w:w="1120"/>
        <w:gridCol w:w="1120"/>
        <w:gridCol w:w="1120"/>
      </w:tblGrid>
      <w:tr>
        <w:tc>
          <w:tcPr>
            <w:tcW w:type="dxa" w:w="2232"/>
            <w:shd w:val="clear" w:color="auto" w:fill="EAF0EE"/>
          </w:tcPr>
          <w:p>
            <w:pPr>
              <w:spacing w:after="20"/>
            </w:pPr>
            <w:r>
              <w:rPr>
                <w:b/>
                <w:color w:val="1C3A36"/>
                <w:sz w:val="17"/>
              </w:rPr>
              <w:t>Driver</w:t>
            </w:r>
          </w:p>
        </w:tc>
        <w:tc>
          <w:tcPr>
            <w:tcW w:type="dxa" w:w="1037"/>
            <w:shd w:val="clear" w:color="auto" w:fill="EAF0EE"/>
          </w:tcPr>
          <w:p>
            <w:pPr>
              <w:spacing w:after="20"/>
            </w:pPr>
            <w:r>
              <w:rPr>
                <w:b/>
                <w:color w:val="1C3A36"/>
                <w:sz w:val="17"/>
              </w:rPr>
              <w:t>FY23</w:t>
            </w:r>
          </w:p>
        </w:tc>
        <w:tc>
          <w:tcPr>
            <w:tcW w:type="dxa" w:w="1037"/>
            <w:shd w:val="clear" w:color="auto" w:fill="EAF0EE"/>
          </w:tcPr>
          <w:p>
            <w:pPr>
              <w:spacing w:after="20"/>
            </w:pPr>
            <w:r>
              <w:rPr>
                <w:b/>
                <w:color w:val="1C3A36"/>
                <w:sz w:val="17"/>
              </w:rPr>
              <w:t>FY24</w:t>
            </w:r>
          </w:p>
        </w:tc>
        <w:tc>
          <w:tcPr>
            <w:tcW w:type="dxa" w:w="1037"/>
            <w:shd w:val="clear" w:color="auto" w:fill="EAF0EE"/>
          </w:tcPr>
          <w:p>
            <w:pPr>
              <w:spacing w:after="20"/>
            </w:pPr>
            <w:r>
              <w:rPr>
                <w:b/>
                <w:color w:val="1C3A36"/>
                <w:sz w:val="17"/>
              </w:rPr>
              <w:t>FY25</w:t>
            </w:r>
          </w:p>
        </w:tc>
        <w:tc>
          <w:tcPr>
            <w:tcW w:type="dxa" w:w="1037"/>
            <w:shd w:val="clear" w:color="auto" w:fill="EAF0EE"/>
          </w:tcPr>
          <w:p>
            <w:pPr>
              <w:spacing w:after="20"/>
            </w:pPr>
            <w:r>
              <w:rPr>
                <w:b/>
                <w:color w:val="1C3A36"/>
                <w:sz w:val="17"/>
              </w:rPr>
              <w:t>FY26e</w:t>
            </w:r>
          </w:p>
        </w:tc>
        <w:tc>
          <w:tcPr>
            <w:tcW w:type="dxa" w:w="1037"/>
            <w:shd w:val="clear" w:color="auto" w:fill="EAF0EE"/>
          </w:tcPr>
          <w:p>
            <w:pPr>
              <w:spacing w:after="20"/>
            </w:pPr>
            <w:r>
              <w:rPr>
                <w:b/>
                <w:color w:val="1C3A36"/>
                <w:sz w:val="17"/>
              </w:rPr>
              <w:t>FY27e</w:t>
            </w:r>
          </w:p>
        </w:tc>
        <w:tc>
          <w:tcPr>
            <w:tcW w:type="dxa" w:w="1037"/>
            <w:shd w:val="clear" w:color="auto" w:fill="EAF0EE"/>
          </w:tcPr>
          <w:p>
            <w:pPr>
              <w:spacing w:after="20"/>
            </w:pPr>
            <w:r>
              <w:rPr>
                <w:b/>
                <w:color w:val="1C3A36"/>
                <w:sz w:val="17"/>
              </w:rPr>
              <w:t>FY28e</w:t>
            </w:r>
          </w:p>
        </w:tc>
        <w:tc>
          <w:tcPr>
            <w:tcW w:type="dxa" w:w="1037"/>
            <w:shd w:val="clear" w:color="auto" w:fill="EAF0EE"/>
          </w:tcPr>
          <w:p>
            <w:pPr>
              <w:spacing w:after="20"/>
            </w:pPr>
            <w:r>
              <w:rPr>
                <w:b/>
                <w:color w:val="1C3A36"/>
                <w:sz w:val="17"/>
              </w:rPr>
              <w:t>FY29e</w:t>
            </w:r>
          </w:p>
        </w:tc>
        <w:tc>
          <w:tcPr>
            <w:tcW w:type="dxa" w:w="1037"/>
            <w:shd w:val="clear" w:color="auto" w:fill="EAF0EE"/>
          </w:tcPr>
          <w:p>
            <w:pPr>
              <w:spacing w:after="20"/>
            </w:pPr>
            <w:r>
              <w:rPr>
                <w:b/>
                <w:color w:val="1C3A36"/>
                <w:sz w:val="17"/>
              </w:rPr>
              <w:t>FY30e</w:t>
            </w:r>
          </w:p>
        </w:tc>
      </w:tr>
      <w:tr>
        <w:tc>
          <w:tcPr>
            <w:tcW w:type="dxa" w:w="2232"/>
          </w:tcPr>
          <w:p>
            <w:pPr>
              <w:spacing w:after="20"/>
            </w:pPr>
            <w:r>
              <w:rPr>
                <w:color w:val="1C3A36"/>
                <w:sz w:val="17"/>
              </w:rPr>
              <w:t>Financing growth</w:t>
            </w:r>
          </w:p>
        </w:tc>
        <w:tc>
          <w:tcPr>
            <w:tcW w:type="dxa" w:w="1037"/>
          </w:tcPr>
          <w:p>
            <w:pPr>
              <w:spacing w:after="20"/>
              <w:jc w:val="right"/>
            </w:pPr>
            <w:r>
              <w:rPr>
                <w:color w:val="1C3A36"/>
                <w:sz w:val="17"/>
              </w:rPr>
              <w:t>—</w:t>
            </w:r>
          </w:p>
        </w:tc>
        <w:tc>
          <w:tcPr>
            <w:tcW w:type="dxa" w:w="1037"/>
          </w:tcPr>
          <w:p>
            <w:pPr>
              <w:spacing w:after="20"/>
              <w:jc w:val="right"/>
            </w:pPr>
            <w:r>
              <w:rPr>
                <w:color w:val="1C3A36"/>
                <w:sz w:val="17"/>
              </w:rPr>
              <w:t>+15.6%</w:t>
            </w:r>
          </w:p>
        </w:tc>
        <w:tc>
          <w:tcPr>
            <w:tcW w:type="dxa" w:w="1037"/>
          </w:tcPr>
          <w:p>
            <w:pPr>
              <w:spacing w:after="20"/>
              <w:jc w:val="right"/>
            </w:pPr>
            <w:r>
              <w:rPr>
                <w:color w:val="1C3A36"/>
                <w:sz w:val="17"/>
              </w:rPr>
              <w:t>+13.6%</w:t>
            </w:r>
          </w:p>
        </w:tc>
        <w:tc>
          <w:tcPr>
            <w:tcW w:type="dxa" w:w="1037"/>
          </w:tcPr>
          <w:p>
            <w:pPr>
              <w:spacing w:after="20"/>
              <w:jc w:val="right"/>
            </w:pPr>
            <w:r>
              <w:rPr>
                <w:color w:val="1C3A36"/>
                <w:sz w:val="17"/>
              </w:rPr>
              <w:t>+13%</w:t>
            </w:r>
          </w:p>
        </w:tc>
        <w:tc>
          <w:tcPr>
            <w:tcW w:type="dxa" w:w="1037"/>
          </w:tcPr>
          <w:p>
            <w:pPr>
              <w:spacing w:after="20"/>
              <w:jc w:val="right"/>
            </w:pPr>
            <w:r>
              <w:rPr>
                <w:color w:val="1C3A36"/>
                <w:sz w:val="17"/>
              </w:rPr>
              <w:t>+12%</w:t>
            </w:r>
          </w:p>
        </w:tc>
        <w:tc>
          <w:tcPr>
            <w:tcW w:type="dxa" w:w="1037"/>
          </w:tcPr>
          <w:p>
            <w:pPr>
              <w:spacing w:after="20"/>
              <w:jc w:val="right"/>
            </w:pPr>
            <w:r>
              <w:rPr>
                <w:color w:val="1C3A36"/>
                <w:sz w:val="17"/>
              </w:rPr>
              <w:t>+10%</w:t>
            </w:r>
          </w:p>
        </w:tc>
        <w:tc>
          <w:tcPr>
            <w:tcW w:type="dxa" w:w="1037"/>
          </w:tcPr>
          <w:p>
            <w:pPr>
              <w:spacing w:after="20"/>
              <w:jc w:val="right"/>
            </w:pPr>
            <w:r>
              <w:rPr>
                <w:color w:val="1C3A36"/>
                <w:sz w:val="17"/>
              </w:rPr>
              <w:t>+9%</w:t>
            </w:r>
          </w:p>
        </w:tc>
        <w:tc>
          <w:tcPr>
            <w:tcW w:type="dxa" w:w="1037"/>
          </w:tcPr>
          <w:p>
            <w:pPr>
              <w:spacing w:after="20"/>
              <w:jc w:val="right"/>
            </w:pPr>
            <w:r>
              <w:rPr>
                <w:color w:val="1C3A36"/>
                <w:sz w:val="17"/>
              </w:rPr>
              <w:t>+8%</w:t>
            </w:r>
          </w:p>
        </w:tc>
      </w:tr>
      <w:tr>
        <w:tc>
          <w:tcPr>
            <w:tcW w:type="dxa" w:w="2232"/>
          </w:tcPr>
          <w:p>
            <w:pPr>
              <w:spacing w:after="20"/>
            </w:pPr>
            <w:r>
              <w:rPr>
                <w:color w:val="1C3A36"/>
                <w:sz w:val="17"/>
              </w:rPr>
              <w:t>Financing, SAR bn</w:t>
            </w:r>
          </w:p>
        </w:tc>
        <w:tc>
          <w:tcPr>
            <w:tcW w:type="dxa" w:w="1037"/>
          </w:tcPr>
          <w:p>
            <w:pPr>
              <w:spacing w:after="20"/>
              <w:jc w:val="right"/>
            </w:pPr>
            <w:r>
              <w:rPr>
                <w:color w:val="1C3A36"/>
                <w:sz w:val="17"/>
              </w:rPr>
              <w:t>175.0</w:t>
            </w:r>
          </w:p>
        </w:tc>
        <w:tc>
          <w:tcPr>
            <w:tcW w:type="dxa" w:w="1037"/>
          </w:tcPr>
          <w:p>
            <w:pPr>
              <w:spacing w:after="20"/>
              <w:jc w:val="right"/>
            </w:pPr>
            <w:r>
              <w:rPr>
                <w:color w:val="1C3A36"/>
                <w:sz w:val="17"/>
              </w:rPr>
              <w:t>202.3</w:t>
            </w:r>
          </w:p>
        </w:tc>
        <w:tc>
          <w:tcPr>
            <w:tcW w:type="dxa" w:w="1037"/>
          </w:tcPr>
          <w:p>
            <w:pPr>
              <w:spacing w:after="20"/>
              <w:jc w:val="right"/>
            </w:pPr>
            <w:r>
              <w:rPr>
                <w:color w:val="1C3A36"/>
                <w:sz w:val="17"/>
              </w:rPr>
              <w:t>229.7</w:t>
            </w:r>
          </w:p>
        </w:tc>
        <w:tc>
          <w:tcPr>
            <w:tcW w:type="dxa" w:w="1037"/>
          </w:tcPr>
          <w:p>
            <w:pPr>
              <w:spacing w:after="20"/>
              <w:jc w:val="right"/>
            </w:pPr>
            <w:r>
              <w:rPr>
                <w:color w:val="1C3A36"/>
                <w:sz w:val="17"/>
              </w:rPr>
              <w:t>259.6</w:t>
            </w:r>
          </w:p>
        </w:tc>
        <w:tc>
          <w:tcPr>
            <w:tcW w:type="dxa" w:w="1037"/>
          </w:tcPr>
          <w:p>
            <w:pPr>
              <w:spacing w:after="20"/>
              <w:jc w:val="right"/>
            </w:pPr>
            <w:r>
              <w:rPr>
                <w:color w:val="1C3A36"/>
                <w:sz w:val="17"/>
              </w:rPr>
              <w:t>290.8</w:t>
            </w:r>
          </w:p>
        </w:tc>
        <w:tc>
          <w:tcPr>
            <w:tcW w:type="dxa" w:w="1037"/>
          </w:tcPr>
          <w:p>
            <w:pPr>
              <w:spacing w:after="20"/>
              <w:jc w:val="right"/>
            </w:pPr>
            <w:r>
              <w:rPr>
                <w:color w:val="1C3A36"/>
                <w:sz w:val="17"/>
              </w:rPr>
              <w:t>319.8</w:t>
            </w:r>
          </w:p>
        </w:tc>
        <w:tc>
          <w:tcPr>
            <w:tcW w:type="dxa" w:w="1037"/>
          </w:tcPr>
          <w:p>
            <w:pPr>
              <w:spacing w:after="20"/>
              <w:jc w:val="right"/>
            </w:pPr>
            <w:r>
              <w:rPr>
                <w:color w:val="1C3A36"/>
                <w:sz w:val="17"/>
              </w:rPr>
              <w:t>348.6</w:t>
            </w:r>
          </w:p>
        </w:tc>
        <w:tc>
          <w:tcPr>
            <w:tcW w:type="dxa" w:w="1037"/>
          </w:tcPr>
          <w:p>
            <w:pPr>
              <w:spacing w:after="20"/>
              <w:jc w:val="right"/>
            </w:pPr>
            <w:r>
              <w:rPr>
                <w:color w:val="1C3A36"/>
                <w:sz w:val="17"/>
              </w:rPr>
              <w:t>376.5</w:t>
            </w:r>
          </w:p>
        </w:tc>
      </w:tr>
      <w:tr>
        <w:tc>
          <w:tcPr>
            <w:tcW w:type="dxa" w:w="2232"/>
          </w:tcPr>
          <w:p>
            <w:pPr>
              <w:spacing w:after="20"/>
            </w:pPr>
            <w:r>
              <w:rPr>
                <w:color w:val="1C3A36"/>
                <w:sz w:val="17"/>
              </w:rPr>
              <w:t>NIM</w:t>
            </w:r>
          </w:p>
        </w:tc>
        <w:tc>
          <w:tcPr>
            <w:tcW w:type="dxa" w:w="1037"/>
          </w:tcPr>
          <w:p>
            <w:pPr>
              <w:spacing w:after="20"/>
              <w:jc w:val="right"/>
            </w:pPr>
            <w:r>
              <w:rPr>
                <w:color w:val="1C3A36"/>
                <w:sz w:val="17"/>
              </w:rPr>
              <w:t>3.81%</w:t>
            </w:r>
          </w:p>
        </w:tc>
        <w:tc>
          <w:tcPr>
            <w:tcW w:type="dxa" w:w="1037"/>
          </w:tcPr>
          <w:p>
            <w:pPr>
              <w:spacing w:after="20"/>
              <w:jc w:val="right"/>
            </w:pPr>
            <w:r>
              <w:rPr>
                <w:color w:val="1C3A36"/>
                <w:sz w:val="17"/>
              </w:rPr>
              <w:t>3.70%</w:t>
            </w:r>
          </w:p>
        </w:tc>
        <w:tc>
          <w:tcPr>
            <w:tcW w:type="dxa" w:w="1037"/>
          </w:tcPr>
          <w:p>
            <w:pPr>
              <w:spacing w:after="20"/>
              <w:jc w:val="right"/>
            </w:pPr>
            <w:r>
              <w:rPr>
                <w:color w:val="1C3A36"/>
                <w:sz w:val="17"/>
              </w:rPr>
              <w:t>3.55%</w:t>
            </w:r>
          </w:p>
        </w:tc>
        <w:tc>
          <w:tcPr>
            <w:tcW w:type="dxa" w:w="1037"/>
          </w:tcPr>
          <w:p>
            <w:pPr>
              <w:spacing w:after="20"/>
              <w:jc w:val="right"/>
            </w:pPr>
            <w:r>
              <w:rPr>
                <w:color w:val="1C3A36"/>
                <w:sz w:val="17"/>
              </w:rPr>
              <w:t>3.45%</w:t>
            </w:r>
          </w:p>
        </w:tc>
        <w:tc>
          <w:tcPr>
            <w:tcW w:type="dxa" w:w="1037"/>
          </w:tcPr>
          <w:p>
            <w:pPr>
              <w:spacing w:after="20"/>
              <w:jc w:val="right"/>
            </w:pPr>
            <w:r>
              <w:rPr>
                <w:color w:val="1C3A36"/>
                <w:sz w:val="17"/>
              </w:rPr>
              <w:t>3.40%</w:t>
            </w:r>
          </w:p>
        </w:tc>
        <w:tc>
          <w:tcPr>
            <w:tcW w:type="dxa" w:w="1037"/>
          </w:tcPr>
          <w:p>
            <w:pPr>
              <w:spacing w:after="20"/>
              <w:jc w:val="right"/>
            </w:pPr>
            <w:r>
              <w:rPr>
                <w:color w:val="1C3A36"/>
                <w:sz w:val="17"/>
              </w:rPr>
              <w:t>3.40%</w:t>
            </w:r>
          </w:p>
        </w:tc>
        <w:tc>
          <w:tcPr>
            <w:tcW w:type="dxa" w:w="1037"/>
          </w:tcPr>
          <w:p>
            <w:pPr>
              <w:spacing w:after="20"/>
              <w:jc w:val="right"/>
            </w:pPr>
            <w:r>
              <w:rPr>
                <w:color w:val="1C3A36"/>
                <w:sz w:val="17"/>
              </w:rPr>
              <w:t>3.40%</w:t>
            </w:r>
          </w:p>
        </w:tc>
        <w:tc>
          <w:tcPr>
            <w:tcW w:type="dxa" w:w="1037"/>
          </w:tcPr>
          <w:p>
            <w:pPr>
              <w:spacing w:after="20"/>
              <w:jc w:val="right"/>
            </w:pPr>
            <w:r>
              <w:rPr>
                <w:color w:val="1C3A36"/>
                <w:sz w:val="17"/>
              </w:rPr>
              <w:t>3.40%</w:t>
            </w:r>
          </w:p>
        </w:tc>
      </w:tr>
      <w:tr>
        <w:tc>
          <w:tcPr>
            <w:tcW w:type="dxa" w:w="2232"/>
          </w:tcPr>
          <w:p>
            <w:pPr>
              <w:spacing w:after="20"/>
            </w:pPr>
            <w:r>
              <w:rPr>
                <w:color w:val="1C3A36"/>
                <w:sz w:val="17"/>
              </w:rPr>
              <w:t>NII, SAR mn</w:t>
            </w:r>
          </w:p>
        </w:tc>
        <w:tc>
          <w:tcPr>
            <w:tcW w:type="dxa" w:w="1037"/>
          </w:tcPr>
          <w:p>
            <w:pPr>
              <w:spacing w:after="20"/>
              <w:jc w:val="right"/>
            </w:pPr>
            <w:r>
              <w:rPr>
                <w:color w:val="1C3A36"/>
                <w:sz w:val="17"/>
              </w:rPr>
              <w:t>7,655</w:t>
            </w:r>
          </w:p>
        </w:tc>
        <w:tc>
          <w:tcPr>
            <w:tcW w:type="dxa" w:w="1037"/>
          </w:tcPr>
          <w:p>
            <w:pPr>
              <w:spacing w:after="20"/>
              <w:jc w:val="right"/>
            </w:pPr>
            <w:r>
              <w:rPr>
                <w:color w:val="1C3A36"/>
                <w:sz w:val="17"/>
              </w:rPr>
              <w:t>8,649</w:t>
            </w:r>
          </w:p>
        </w:tc>
        <w:tc>
          <w:tcPr>
            <w:tcW w:type="dxa" w:w="1037"/>
          </w:tcPr>
          <w:p>
            <w:pPr>
              <w:spacing w:after="20"/>
              <w:jc w:val="right"/>
            </w:pPr>
            <w:r>
              <w:rPr>
                <w:color w:val="1C3A36"/>
                <w:sz w:val="17"/>
              </w:rPr>
              <w:t>9,377</w:t>
            </w:r>
          </w:p>
        </w:tc>
        <w:tc>
          <w:tcPr>
            <w:tcW w:type="dxa" w:w="1037"/>
          </w:tcPr>
          <w:p>
            <w:pPr>
              <w:spacing w:after="20"/>
              <w:jc w:val="right"/>
            </w:pPr>
            <w:r>
              <w:rPr>
                <w:color w:val="1C3A36"/>
                <w:sz w:val="17"/>
              </w:rPr>
              <w:t>10,493</w:t>
            </w:r>
          </w:p>
        </w:tc>
        <w:tc>
          <w:tcPr>
            <w:tcW w:type="dxa" w:w="1037"/>
          </w:tcPr>
          <w:p>
            <w:pPr>
              <w:spacing w:after="20"/>
              <w:jc w:val="right"/>
            </w:pPr>
            <w:r>
              <w:rPr>
                <w:color w:val="1C3A36"/>
                <w:sz w:val="17"/>
              </w:rPr>
              <w:t>11,569</w:t>
            </w:r>
          </w:p>
        </w:tc>
        <w:tc>
          <w:tcPr>
            <w:tcW w:type="dxa" w:w="1037"/>
          </w:tcPr>
          <w:p>
            <w:pPr>
              <w:spacing w:after="20"/>
              <w:jc w:val="right"/>
            </w:pPr>
            <w:r>
              <w:rPr>
                <w:color w:val="1C3A36"/>
                <w:sz w:val="17"/>
              </w:rPr>
              <w:t>12,781</w:t>
            </w:r>
          </w:p>
        </w:tc>
        <w:tc>
          <w:tcPr>
            <w:tcW w:type="dxa" w:w="1037"/>
          </w:tcPr>
          <w:p>
            <w:pPr>
              <w:spacing w:after="20"/>
              <w:jc w:val="right"/>
            </w:pPr>
            <w:r>
              <w:rPr>
                <w:color w:val="1C3A36"/>
                <w:sz w:val="17"/>
              </w:rPr>
              <w:t>13,957</w:t>
            </w:r>
          </w:p>
        </w:tc>
        <w:tc>
          <w:tcPr>
            <w:tcW w:type="dxa" w:w="1037"/>
          </w:tcPr>
          <w:p>
            <w:pPr>
              <w:spacing w:after="20"/>
              <w:jc w:val="right"/>
            </w:pPr>
            <w:r>
              <w:rPr>
                <w:color w:val="1C3A36"/>
                <w:sz w:val="17"/>
              </w:rPr>
              <w:t>15,114</w:t>
            </w:r>
          </w:p>
        </w:tc>
      </w:tr>
      <w:tr>
        <w:tc>
          <w:tcPr>
            <w:tcW w:type="dxa" w:w="2232"/>
          </w:tcPr>
          <w:p>
            <w:pPr>
              <w:spacing w:after="20"/>
            </w:pPr>
            <w:r>
              <w:rPr>
                <w:color w:val="1C3A36"/>
                <w:sz w:val="17"/>
              </w:rPr>
              <w:t>Cost-to-income</w:t>
            </w:r>
          </w:p>
        </w:tc>
        <w:tc>
          <w:tcPr>
            <w:tcW w:type="dxa" w:w="1037"/>
          </w:tcPr>
          <w:p>
            <w:pPr>
              <w:spacing w:after="20"/>
              <w:jc w:val="right"/>
            </w:pPr>
            <w:r>
              <w:rPr>
                <w:color w:val="1C3A36"/>
                <w:sz w:val="17"/>
              </w:rPr>
              <w:t>31.3%</w:t>
            </w:r>
          </w:p>
        </w:tc>
        <w:tc>
          <w:tcPr>
            <w:tcW w:type="dxa" w:w="1037"/>
          </w:tcPr>
          <w:p>
            <w:pPr>
              <w:spacing w:after="20"/>
              <w:jc w:val="right"/>
            </w:pPr>
            <w:r>
              <w:rPr>
                <w:color w:val="1C3A36"/>
                <w:sz w:val="17"/>
              </w:rPr>
              <w:t>30.9%</w:t>
            </w:r>
          </w:p>
        </w:tc>
        <w:tc>
          <w:tcPr>
            <w:tcW w:type="dxa" w:w="1037"/>
          </w:tcPr>
          <w:p>
            <w:pPr>
              <w:spacing w:after="20"/>
              <w:jc w:val="right"/>
            </w:pPr>
            <w:r>
              <w:rPr>
                <w:color w:val="1C3A36"/>
                <w:sz w:val="17"/>
              </w:rPr>
              <w:t>31.2%</w:t>
            </w:r>
          </w:p>
        </w:tc>
        <w:tc>
          <w:tcPr>
            <w:tcW w:type="dxa" w:w="1037"/>
          </w:tcPr>
          <w:p>
            <w:pPr>
              <w:spacing w:after="20"/>
              <w:jc w:val="right"/>
            </w:pPr>
            <w:r>
              <w:rPr>
                <w:color w:val="1C3A36"/>
                <w:sz w:val="17"/>
              </w:rPr>
              <w:t>31.5%</w:t>
            </w:r>
          </w:p>
        </w:tc>
        <w:tc>
          <w:tcPr>
            <w:tcW w:type="dxa" w:w="1037"/>
          </w:tcPr>
          <w:p>
            <w:pPr>
              <w:spacing w:after="20"/>
              <w:jc w:val="right"/>
            </w:pPr>
            <w:r>
              <w:rPr>
                <w:color w:val="1C3A36"/>
                <w:sz w:val="17"/>
              </w:rPr>
              <w:t>31.2%</w:t>
            </w:r>
          </w:p>
        </w:tc>
        <w:tc>
          <w:tcPr>
            <w:tcW w:type="dxa" w:w="1037"/>
          </w:tcPr>
          <w:p>
            <w:pPr>
              <w:spacing w:after="20"/>
              <w:jc w:val="right"/>
            </w:pPr>
            <w:r>
              <w:rPr>
                <w:color w:val="1C3A36"/>
                <w:sz w:val="17"/>
              </w:rPr>
              <w:t>31.0%</w:t>
            </w:r>
          </w:p>
        </w:tc>
        <w:tc>
          <w:tcPr>
            <w:tcW w:type="dxa" w:w="1037"/>
          </w:tcPr>
          <w:p>
            <w:pPr>
              <w:spacing w:after="20"/>
              <w:jc w:val="right"/>
            </w:pPr>
            <w:r>
              <w:rPr>
                <w:color w:val="1C3A36"/>
                <w:sz w:val="17"/>
              </w:rPr>
              <w:t>30.8%</w:t>
            </w:r>
          </w:p>
        </w:tc>
        <w:tc>
          <w:tcPr>
            <w:tcW w:type="dxa" w:w="1037"/>
          </w:tcPr>
          <w:p>
            <w:pPr>
              <w:spacing w:after="20"/>
              <w:jc w:val="right"/>
            </w:pPr>
            <w:r>
              <w:rPr>
                <w:color w:val="1C3A36"/>
                <w:sz w:val="17"/>
              </w:rPr>
              <w:t>30.5%</w:t>
            </w:r>
          </w:p>
        </w:tc>
      </w:tr>
      <w:tr>
        <w:tc>
          <w:tcPr>
            <w:tcW w:type="dxa" w:w="2232"/>
          </w:tcPr>
          <w:p>
            <w:pPr>
              <w:spacing w:after="20"/>
            </w:pPr>
            <w:r>
              <w:rPr>
                <w:color w:val="1C3A36"/>
                <w:sz w:val="17"/>
              </w:rPr>
              <w:t>Cost of risk</w:t>
            </w:r>
          </w:p>
        </w:tc>
        <w:tc>
          <w:tcPr>
            <w:tcW w:type="dxa" w:w="1037"/>
          </w:tcPr>
          <w:p>
            <w:pPr>
              <w:spacing w:after="20"/>
              <w:jc w:val="right"/>
            </w:pPr>
            <w:r>
              <w:rPr>
                <w:color w:val="1C3A36"/>
                <w:sz w:val="17"/>
              </w:rPr>
              <w:t>77bp</w:t>
            </w:r>
          </w:p>
        </w:tc>
        <w:tc>
          <w:tcPr>
            <w:tcW w:type="dxa" w:w="1037"/>
          </w:tcPr>
          <w:p>
            <w:pPr>
              <w:spacing w:after="20"/>
              <w:jc w:val="right"/>
            </w:pPr>
            <w:r>
              <w:rPr>
                <w:color w:val="1C3A36"/>
                <w:sz w:val="17"/>
              </w:rPr>
              <w:t>55bp</w:t>
            </w:r>
          </w:p>
        </w:tc>
        <w:tc>
          <w:tcPr>
            <w:tcW w:type="dxa" w:w="1037"/>
          </w:tcPr>
          <w:p>
            <w:pPr>
              <w:spacing w:after="20"/>
              <w:jc w:val="right"/>
            </w:pPr>
            <w:r>
              <w:rPr>
                <w:color w:val="1C3A36"/>
                <w:sz w:val="17"/>
              </w:rPr>
              <w:t>49bp</w:t>
            </w:r>
          </w:p>
        </w:tc>
        <w:tc>
          <w:tcPr>
            <w:tcW w:type="dxa" w:w="1037"/>
          </w:tcPr>
          <w:p>
            <w:pPr>
              <w:spacing w:after="20"/>
              <w:jc w:val="right"/>
            </w:pPr>
            <w:r>
              <w:rPr>
                <w:color w:val="1C3A36"/>
                <w:sz w:val="17"/>
              </w:rPr>
              <w:t>50bp</w:t>
            </w:r>
          </w:p>
        </w:tc>
        <w:tc>
          <w:tcPr>
            <w:tcW w:type="dxa" w:w="1037"/>
          </w:tcPr>
          <w:p>
            <w:pPr>
              <w:spacing w:after="20"/>
              <w:jc w:val="right"/>
            </w:pPr>
            <w:r>
              <w:rPr>
                <w:color w:val="1C3A36"/>
                <w:sz w:val="17"/>
              </w:rPr>
              <w:t>50bp</w:t>
            </w:r>
          </w:p>
        </w:tc>
        <w:tc>
          <w:tcPr>
            <w:tcW w:type="dxa" w:w="1037"/>
          </w:tcPr>
          <w:p>
            <w:pPr>
              <w:spacing w:after="20"/>
              <w:jc w:val="right"/>
            </w:pPr>
            <w:r>
              <w:rPr>
                <w:color w:val="1C3A36"/>
                <w:sz w:val="17"/>
              </w:rPr>
              <w:t>50bp</w:t>
            </w:r>
          </w:p>
        </w:tc>
        <w:tc>
          <w:tcPr>
            <w:tcW w:type="dxa" w:w="1037"/>
          </w:tcPr>
          <w:p>
            <w:pPr>
              <w:spacing w:after="20"/>
              <w:jc w:val="right"/>
            </w:pPr>
            <w:r>
              <w:rPr>
                <w:color w:val="1C3A36"/>
                <w:sz w:val="17"/>
              </w:rPr>
              <w:t>50bp</w:t>
            </w:r>
          </w:p>
        </w:tc>
        <w:tc>
          <w:tcPr>
            <w:tcW w:type="dxa" w:w="1037"/>
          </w:tcPr>
          <w:p>
            <w:pPr>
              <w:spacing w:after="20"/>
              <w:jc w:val="right"/>
            </w:pPr>
            <w:r>
              <w:rPr>
                <w:color w:val="1C3A36"/>
                <w:sz w:val="17"/>
              </w:rPr>
              <w:t>50bp</w:t>
            </w:r>
          </w:p>
        </w:tc>
      </w:tr>
      <w:tr>
        <w:tc>
          <w:tcPr>
            <w:tcW w:type="dxa" w:w="2232"/>
          </w:tcPr>
          <w:p>
            <w:pPr>
              <w:spacing w:after="20"/>
            </w:pPr>
            <w:r>
              <w:rPr>
                <w:color w:val="1C3A36"/>
                <w:sz w:val="17"/>
              </w:rPr>
              <w:t>Payout ratio</w:t>
            </w:r>
          </w:p>
        </w:tc>
        <w:tc>
          <w:tcPr>
            <w:tcW w:type="dxa" w:w="1037"/>
          </w:tcPr>
          <w:p>
            <w:pPr>
              <w:spacing w:after="20"/>
              <w:jc w:val="right"/>
            </w:pPr>
            <w:r>
              <w:rPr>
                <w:color w:val="1C3A36"/>
                <w:sz w:val="17"/>
              </w:rPr>
              <w:t>~52%</w:t>
            </w:r>
          </w:p>
        </w:tc>
        <w:tc>
          <w:tcPr>
            <w:tcW w:type="dxa" w:w="1037"/>
          </w:tcPr>
          <w:p>
            <w:pPr>
              <w:spacing w:after="20"/>
              <w:jc w:val="right"/>
            </w:pPr>
            <w:r>
              <w:rPr>
                <w:color w:val="1C3A36"/>
                <w:sz w:val="17"/>
              </w:rPr>
              <w:t>~47%</w:t>
            </w:r>
          </w:p>
        </w:tc>
        <w:tc>
          <w:tcPr>
            <w:tcW w:type="dxa" w:w="1037"/>
          </w:tcPr>
          <w:p>
            <w:pPr>
              <w:spacing w:after="20"/>
              <w:jc w:val="right"/>
            </w:pPr>
            <w:r>
              <w:rPr>
                <w:color w:val="1C3A36"/>
                <w:sz w:val="17"/>
              </w:rPr>
              <w:t>~47%</w:t>
            </w:r>
          </w:p>
        </w:tc>
        <w:tc>
          <w:tcPr>
            <w:tcW w:type="dxa" w:w="1037"/>
          </w:tcPr>
          <w:p>
            <w:pPr>
              <w:spacing w:after="20"/>
              <w:jc w:val="right"/>
            </w:pPr>
            <w:r>
              <w:rPr>
                <w:color w:val="1C3A36"/>
                <w:sz w:val="17"/>
              </w:rPr>
              <w:t>47%</w:t>
            </w:r>
          </w:p>
        </w:tc>
        <w:tc>
          <w:tcPr>
            <w:tcW w:type="dxa" w:w="1037"/>
          </w:tcPr>
          <w:p>
            <w:pPr>
              <w:spacing w:after="20"/>
              <w:jc w:val="right"/>
            </w:pPr>
            <w:r>
              <w:rPr>
                <w:color w:val="1C3A36"/>
                <w:sz w:val="17"/>
              </w:rPr>
              <w:t>48%</w:t>
            </w:r>
          </w:p>
        </w:tc>
        <w:tc>
          <w:tcPr>
            <w:tcW w:type="dxa" w:w="1037"/>
          </w:tcPr>
          <w:p>
            <w:pPr>
              <w:spacing w:after="20"/>
              <w:jc w:val="right"/>
            </w:pPr>
            <w:r>
              <w:rPr>
                <w:color w:val="1C3A36"/>
                <w:sz w:val="17"/>
              </w:rPr>
              <w:t>49%</w:t>
            </w:r>
          </w:p>
        </w:tc>
        <w:tc>
          <w:tcPr>
            <w:tcW w:type="dxa" w:w="1037"/>
          </w:tcPr>
          <w:p>
            <w:pPr>
              <w:spacing w:after="20"/>
              <w:jc w:val="right"/>
            </w:pPr>
            <w:r>
              <w:rPr>
                <w:color w:val="1C3A36"/>
                <w:sz w:val="17"/>
              </w:rPr>
              <w:t>50%</w:t>
            </w:r>
          </w:p>
        </w:tc>
        <w:tc>
          <w:tcPr>
            <w:tcW w:type="dxa" w:w="1037"/>
          </w:tcPr>
          <w:p>
            <w:pPr>
              <w:spacing w:after="20"/>
              <w:jc w:val="right"/>
            </w:pPr>
            <w:r>
              <w:rPr>
                <w:color w:val="1C3A36"/>
                <w:sz w:val="17"/>
              </w:rPr>
              <w:t>50%</w:t>
            </w:r>
          </w:p>
        </w:tc>
      </w:tr>
    </w:tbl>
    <w:p>
      <w:pPr>
        <w:spacing w:after="40"/>
      </w:pPr>
    </w:p>
    <w:p>
      <w:pPr>
        <w:spacing w:after="120" w:before="0"/>
      </w:pPr>
      <w:r>
        <w:rPr>
          <w:b w:val="0"/>
          <w:i w:val="0"/>
          <w:color w:val="1C3A36"/>
          <w:sz w:val="19"/>
        </w:rPr>
        <w:t>The NIM story carries the margin engine. FY23's 3.81% was the rate-cycle peak; deposit competition took 10bp in 2024 and ~15bp in 2025 (management flagged elevated funding costs on the Q1-25 call and cut its own NIM guidance). We glide to 3.45% in FY26 as SAMA follows Fed cuts — asset yields reprice down faster than the large CASA base gives relief — then hold 3.40%: Alinma's Islamic retail franchise (~8% CASA growth) is precisely the funding mix that stabilises margins in a down-rate world.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600"/>
            <w:shd w:val="clear" w:color="auto" w:fill="EAF0EE"/>
          </w:tcPr>
          <w:p>
            <w:pPr>
              <w:spacing w:after="20"/>
            </w:pPr>
            <w:r>
              <w:rPr>
                <w:b/>
                <w:color w:val="1C3A36"/>
                <w:sz w:val="18"/>
              </w:rPr>
              <w:t>DuPont decomposition</w:t>
            </w:r>
          </w:p>
        </w:tc>
        <w:tc>
          <w:tcPr>
            <w:tcW w:type="dxa" w:w="1368"/>
            <w:shd w:val="clear" w:color="auto" w:fill="EAF0EE"/>
          </w:tcPr>
          <w:p>
            <w:pPr>
              <w:spacing w:after="20"/>
            </w:pPr>
            <w:r>
              <w:rPr>
                <w:b/>
                <w:color w:val="1C3A36"/>
                <w:sz w:val="18"/>
              </w:rPr>
              <w:t>FY23</w:t>
            </w:r>
          </w:p>
        </w:tc>
        <w:tc>
          <w:tcPr>
            <w:tcW w:type="dxa" w:w="1368"/>
            <w:shd w:val="clear" w:color="auto" w:fill="EAF0EE"/>
          </w:tcPr>
          <w:p>
            <w:pPr>
              <w:spacing w:after="20"/>
            </w:pPr>
            <w:r>
              <w:rPr>
                <w:b/>
                <w:color w:val="1C3A36"/>
                <w:sz w:val="18"/>
              </w:rPr>
              <w:t>FY24</w:t>
            </w:r>
          </w:p>
        </w:tc>
        <w:tc>
          <w:tcPr>
            <w:tcW w:type="dxa" w:w="1368"/>
            <w:shd w:val="clear" w:color="auto" w:fill="EAF0EE"/>
          </w:tcPr>
          <w:p>
            <w:pPr>
              <w:spacing w:after="20"/>
            </w:pPr>
            <w:r>
              <w:rPr>
                <w:b/>
                <w:color w:val="1C3A36"/>
                <w:sz w:val="18"/>
              </w:rPr>
              <w:t>FY25</w:t>
            </w:r>
          </w:p>
        </w:tc>
        <w:tc>
          <w:tcPr>
            <w:tcW w:type="dxa" w:w="1368"/>
            <w:shd w:val="clear" w:color="auto" w:fill="EAF0EE"/>
          </w:tcPr>
          <w:p>
            <w:pPr>
              <w:spacing w:after="20"/>
            </w:pPr>
            <w:r>
              <w:rPr>
                <w:b/>
                <w:color w:val="1C3A36"/>
                <w:sz w:val="18"/>
              </w:rPr>
              <w:t>FY26e</w:t>
            </w:r>
          </w:p>
        </w:tc>
        <w:tc>
          <w:tcPr>
            <w:tcW w:type="dxa" w:w="1368"/>
            <w:shd w:val="clear" w:color="auto" w:fill="EAF0EE"/>
          </w:tcPr>
          <w:p>
            <w:pPr>
              <w:spacing w:after="20"/>
            </w:pPr>
            <w:r>
              <w:rPr>
                <w:b/>
                <w:color w:val="1C3A36"/>
                <w:sz w:val="18"/>
              </w:rPr>
              <w:t>FY27e</w:t>
            </w:r>
          </w:p>
        </w:tc>
      </w:tr>
      <w:tr>
        <w:tc>
          <w:tcPr>
            <w:tcW w:type="dxa" w:w="3600"/>
          </w:tcPr>
          <w:p>
            <w:pPr>
              <w:spacing w:after="20"/>
            </w:pPr>
            <w:r>
              <w:rPr>
                <w:color w:val="1C3A36"/>
                <w:sz w:val="18"/>
              </w:rPr>
              <w:t>Net margin (NI/op. income)</w:t>
            </w:r>
          </w:p>
        </w:tc>
        <w:tc>
          <w:tcPr>
            <w:tcW w:type="dxa" w:w="1368"/>
          </w:tcPr>
          <w:p>
            <w:pPr>
              <w:spacing w:after="20"/>
              <w:jc w:val="right"/>
            </w:pPr>
            <w:r>
              <w:rPr>
                <w:color w:val="1C3A36"/>
                <w:sz w:val="18"/>
              </w:rPr>
              <w:t>49.8%</w:t>
            </w:r>
          </w:p>
        </w:tc>
        <w:tc>
          <w:tcPr>
            <w:tcW w:type="dxa" w:w="1368"/>
          </w:tcPr>
          <w:p>
            <w:pPr>
              <w:spacing w:after="20"/>
              <w:jc w:val="right"/>
            </w:pPr>
            <w:r>
              <w:rPr>
                <w:color w:val="1C3A36"/>
                <w:sz w:val="18"/>
              </w:rPr>
              <w:t>53.3%</w:t>
            </w:r>
          </w:p>
        </w:tc>
        <w:tc>
          <w:tcPr>
            <w:tcW w:type="dxa" w:w="1368"/>
          </w:tcPr>
          <w:p>
            <w:pPr>
              <w:spacing w:after="20"/>
              <w:jc w:val="right"/>
            </w:pPr>
            <w:r>
              <w:rPr>
                <w:color w:val="1C3A36"/>
                <w:sz w:val="18"/>
              </w:rPr>
              <w:t>53.7%</w:t>
            </w:r>
          </w:p>
        </w:tc>
        <w:tc>
          <w:tcPr>
            <w:tcW w:type="dxa" w:w="1368"/>
          </w:tcPr>
          <w:p>
            <w:pPr>
              <w:spacing w:after="20"/>
              <w:jc w:val="right"/>
            </w:pPr>
            <w:r>
              <w:rPr>
                <w:color w:val="1C3A36"/>
                <w:sz w:val="18"/>
              </w:rPr>
              <w:t>54.8%</w:t>
            </w:r>
          </w:p>
        </w:tc>
        <w:tc>
          <w:tcPr>
            <w:tcW w:type="dxa" w:w="1368"/>
          </w:tcPr>
          <w:p>
            <w:pPr>
              <w:spacing w:after="20"/>
              <w:jc w:val="right"/>
            </w:pPr>
            <w:r>
              <w:rPr>
                <w:color w:val="1C3A36"/>
                <w:sz w:val="18"/>
              </w:rPr>
              <w:t>55.4%</w:t>
            </w:r>
          </w:p>
        </w:tc>
      </w:tr>
      <w:tr>
        <w:tc>
          <w:tcPr>
            <w:tcW w:type="dxa" w:w="3600"/>
          </w:tcPr>
          <w:p>
            <w:pPr>
              <w:spacing w:after="20"/>
            </w:pPr>
            <w:r>
              <w:rPr>
                <w:color w:val="1C3A36"/>
                <w:sz w:val="18"/>
              </w:rPr>
              <w:t>Asset turn (op. income/assets)</w:t>
            </w:r>
          </w:p>
        </w:tc>
        <w:tc>
          <w:tcPr>
            <w:tcW w:type="dxa" w:w="1368"/>
          </w:tcPr>
          <w:p>
            <w:pPr>
              <w:spacing w:after="20"/>
              <w:jc w:val="right"/>
            </w:pPr>
            <w:r>
              <w:rPr>
                <w:color w:val="1C3A36"/>
                <w:sz w:val="18"/>
              </w:rPr>
              <w:t>4.42%</w:t>
            </w:r>
          </w:p>
        </w:tc>
        <w:tc>
          <w:tcPr>
            <w:tcW w:type="dxa" w:w="1368"/>
          </w:tcPr>
          <w:p>
            <w:pPr>
              <w:spacing w:after="20"/>
              <w:jc w:val="right"/>
            </w:pPr>
            <w:r>
              <w:rPr>
                <w:color w:val="1C3A36"/>
                <w:sz w:val="18"/>
              </w:rPr>
              <w:t>4.26%</w:t>
            </w:r>
          </w:p>
        </w:tc>
        <w:tc>
          <w:tcPr>
            <w:tcW w:type="dxa" w:w="1368"/>
          </w:tcPr>
          <w:p>
            <w:pPr>
              <w:spacing w:after="20"/>
              <w:jc w:val="right"/>
            </w:pPr>
            <w:r>
              <w:rPr>
                <w:color w:val="1C3A36"/>
                <w:sz w:val="18"/>
              </w:rPr>
              <w:t>4.05%</w:t>
            </w:r>
          </w:p>
        </w:tc>
        <w:tc>
          <w:tcPr>
            <w:tcW w:type="dxa" w:w="1368"/>
          </w:tcPr>
          <w:p>
            <w:pPr>
              <w:spacing w:after="20"/>
              <w:jc w:val="right"/>
            </w:pPr>
            <w:r>
              <w:rPr>
                <w:color w:val="1C3A36"/>
                <w:sz w:val="18"/>
              </w:rPr>
              <w:t>3.94%</w:t>
            </w:r>
          </w:p>
        </w:tc>
        <w:tc>
          <w:tcPr>
            <w:tcW w:type="dxa" w:w="1368"/>
          </w:tcPr>
          <w:p>
            <w:pPr>
              <w:spacing w:after="20"/>
              <w:jc w:val="right"/>
            </w:pPr>
            <w:r>
              <w:rPr>
                <w:color w:val="1C3A36"/>
                <w:sz w:val="18"/>
              </w:rPr>
              <w:t>3.90%</w:t>
            </w:r>
          </w:p>
        </w:tc>
      </w:tr>
      <w:tr>
        <w:tc>
          <w:tcPr>
            <w:tcW w:type="dxa" w:w="3600"/>
          </w:tcPr>
          <w:p>
            <w:pPr>
              <w:spacing w:after="20"/>
            </w:pPr>
            <w:r>
              <w:rPr>
                <w:color w:val="1C3A36"/>
                <w:sz w:val="18"/>
              </w:rPr>
              <w:t>Leverage (assets/common equity)</w:t>
            </w:r>
          </w:p>
        </w:tc>
        <w:tc>
          <w:tcPr>
            <w:tcW w:type="dxa" w:w="1368"/>
          </w:tcPr>
          <w:p>
            <w:pPr>
              <w:spacing w:after="20"/>
              <w:jc w:val="right"/>
            </w:pPr>
            <w:r>
              <w:rPr>
                <w:color w:val="1C3A36"/>
                <w:sz w:val="18"/>
              </w:rPr>
              <w:t>8.6×</w:t>
            </w:r>
          </w:p>
        </w:tc>
        <w:tc>
          <w:tcPr>
            <w:tcW w:type="dxa" w:w="1368"/>
          </w:tcPr>
          <w:p>
            <w:pPr>
              <w:spacing w:after="20"/>
              <w:jc w:val="right"/>
            </w:pPr>
            <w:r>
              <w:rPr>
                <w:color w:val="1C3A36"/>
                <w:sz w:val="18"/>
              </w:rPr>
              <w:t>9.0×</w:t>
            </w:r>
          </w:p>
        </w:tc>
        <w:tc>
          <w:tcPr>
            <w:tcW w:type="dxa" w:w="1368"/>
          </w:tcPr>
          <w:p>
            <w:pPr>
              <w:spacing w:after="20"/>
              <w:jc w:val="right"/>
            </w:pPr>
            <w:r>
              <w:rPr>
                <w:color w:val="1C3A36"/>
                <w:sz w:val="18"/>
              </w:rPr>
              <w:t>9.4×</w:t>
            </w:r>
          </w:p>
        </w:tc>
        <w:tc>
          <w:tcPr>
            <w:tcW w:type="dxa" w:w="1368"/>
          </w:tcPr>
          <w:p>
            <w:pPr>
              <w:spacing w:after="20"/>
              <w:jc w:val="right"/>
            </w:pPr>
            <w:r>
              <w:rPr>
                <w:color w:val="1C3A36"/>
                <w:sz w:val="18"/>
              </w:rPr>
              <w:t>9.3×</w:t>
            </w:r>
          </w:p>
        </w:tc>
        <w:tc>
          <w:tcPr>
            <w:tcW w:type="dxa" w:w="1368"/>
          </w:tcPr>
          <w:p>
            <w:pPr>
              <w:spacing w:after="20"/>
              <w:jc w:val="right"/>
            </w:pPr>
            <w:r>
              <w:rPr>
                <w:color w:val="1C3A36"/>
                <w:sz w:val="18"/>
              </w:rPr>
              <w:t>9.2×</w:t>
            </w:r>
          </w:p>
        </w:tc>
      </w:tr>
      <w:tr>
        <w:tc>
          <w:tcPr>
            <w:tcW w:type="dxa" w:w="3600"/>
            <w:shd w:val="clear" w:color="auto" w:fill="F6F1E6"/>
          </w:tcPr>
          <w:p>
            <w:pPr>
              <w:spacing w:after="20"/>
            </w:pPr>
            <w:r>
              <w:rPr>
                <w:b/>
                <w:color w:val="1C3A36"/>
                <w:sz w:val="18"/>
              </w:rPr>
              <w:t>= ROE (common)</w:t>
            </w:r>
          </w:p>
        </w:tc>
        <w:tc>
          <w:tcPr>
            <w:tcW w:type="dxa" w:w="1368"/>
            <w:shd w:val="clear" w:color="auto" w:fill="F6F1E6"/>
          </w:tcPr>
          <w:p>
            <w:pPr>
              <w:spacing w:after="20"/>
              <w:jc w:val="right"/>
            </w:pPr>
            <w:r>
              <w:rPr>
                <w:b/>
                <w:color w:val="1C3A36"/>
                <w:sz w:val="18"/>
              </w:rPr>
              <w:t>17.2%</w:t>
            </w:r>
          </w:p>
        </w:tc>
        <w:tc>
          <w:tcPr>
            <w:tcW w:type="dxa" w:w="1368"/>
            <w:shd w:val="clear" w:color="auto" w:fill="F6F1E6"/>
          </w:tcPr>
          <w:p>
            <w:pPr>
              <w:spacing w:after="20"/>
              <w:jc w:val="right"/>
            </w:pPr>
            <w:r>
              <w:rPr>
                <w:b/>
                <w:color w:val="1C3A36"/>
                <w:sz w:val="18"/>
              </w:rPr>
              <w:t>18.8%</w:t>
            </w:r>
          </w:p>
        </w:tc>
        <w:tc>
          <w:tcPr>
            <w:tcW w:type="dxa" w:w="1368"/>
            <w:shd w:val="clear" w:color="auto" w:fill="F6F1E6"/>
          </w:tcPr>
          <w:p>
            <w:pPr>
              <w:spacing w:after="20"/>
              <w:jc w:val="right"/>
            </w:pPr>
            <w:r>
              <w:rPr>
                <w:b/>
                <w:color w:val="1C3A36"/>
                <w:sz w:val="18"/>
              </w:rPr>
              <w:t>18.7%</w:t>
            </w:r>
          </w:p>
        </w:tc>
        <w:tc>
          <w:tcPr>
            <w:tcW w:type="dxa" w:w="1368"/>
            <w:shd w:val="clear" w:color="auto" w:fill="F6F1E6"/>
          </w:tcPr>
          <w:p>
            <w:pPr>
              <w:spacing w:after="20"/>
              <w:jc w:val="right"/>
            </w:pPr>
            <w:r>
              <w:rPr>
                <w:b/>
                <w:color w:val="1C3A36"/>
                <w:sz w:val="18"/>
              </w:rPr>
              <w:t>18.0%</w:t>
            </w:r>
          </w:p>
        </w:tc>
        <w:tc>
          <w:tcPr>
            <w:tcW w:type="dxa" w:w="1368"/>
            <w:shd w:val="clear" w:color="auto" w:fill="F6F1E6"/>
          </w:tcPr>
          <w:p>
            <w:pPr>
              <w:spacing w:after="20"/>
              <w:jc w:val="right"/>
            </w:pPr>
            <w:r>
              <w:rPr>
                <w:b/>
                <w:color w:val="1C3A36"/>
                <w:sz w:val="18"/>
              </w:rPr>
              <w:t>18.5%</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440"/>
        <w:gridCol w:w="1440"/>
        <w:gridCol w:w="1440"/>
        <w:gridCol w:w="1440"/>
        <w:gridCol w:w="1440"/>
        <w:gridCol w:w="1440"/>
        <w:gridCol w:w="1440"/>
      </w:tblGrid>
      <w:tr>
        <w:tc>
          <w:tcPr>
            <w:tcW w:type="dxa" w:w="3024"/>
            <w:shd w:val="clear" w:color="auto" w:fill="EAF0EE"/>
          </w:tcPr>
          <w:p>
            <w:pPr>
              <w:spacing w:after="20"/>
            </w:pPr>
            <w:r>
              <w:rPr>
                <w:b/>
                <w:color w:val="1C3A36"/>
                <w:sz w:val="17"/>
              </w:rPr>
              <w:t>Capital schedule</w:t>
            </w:r>
          </w:p>
        </w:tc>
        <w:tc>
          <w:tcPr>
            <w:tcW w:type="dxa" w:w="1368"/>
            <w:shd w:val="clear" w:color="auto" w:fill="EAF0EE"/>
          </w:tcPr>
          <w:p>
            <w:pPr>
              <w:spacing w:after="20"/>
            </w:pPr>
            <w:r>
              <w:rPr>
                <w:b/>
                <w:color w:val="1C3A36"/>
                <w:sz w:val="17"/>
              </w:rPr>
              <w:t>FY25</w:t>
            </w:r>
          </w:p>
        </w:tc>
        <w:tc>
          <w:tcPr>
            <w:tcW w:type="dxa" w:w="1368"/>
            <w:shd w:val="clear" w:color="auto" w:fill="EAF0EE"/>
          </w:tcPr>
          <w:p>
            <w:pPr>
              <w:spacing w:after="20"/>
            </w:pPr>
            <w:r>
              <w:rPr>
                <w:b/>
                <w:color w:val="1C3A36"/>
                <w:sz w:val="17"/>
              </w:rPr>
              <w:t>FY26e</w:t>
            </w:r>
          </w:p>
        </w:tc>
        <w:tc>
          <w:tcPr>
            <w:tcW w:type="dxa" w:w="1368"/>
            <w:shd w:val="clear" w:color="auto" w:fill="EAF0EE"/>
          </w:tcPr>
          <w:p>
            <w:pPr>
              <w:spacing w:after="20"/>
            </w:pPr>
            <w:r>
              <w:rPr>
                <w:b/>
                <w:color w:val="1C3A36"/>
                <w:sz w:val="17"/>
              </w:rPr>
              <w:t>FY27e</w:t>
            </w:r>
          </w:p>
        </w:tc>
        <w:tc>
          <w:tcPr>
            <w:tcW w:type="dxa" w:w="1368"/>
            <w:shd w:val="clear" w:color="auto" w:fill="EAF0EE"/>
          </w:tcPr>
          <w:p>
            <w:pPr>
              <w:spacing w:after="20"/>
            </w:pPr>
            <w:r>
              <w:rPr>
                <w:b/>
                <w:color w:val="1C3A36"/>
                <w:sz w:val="17"/>
              </w:rPr>
              <w:t>FY28e</w:t>
            </w:r>
          </w:p>
        </w:tc>
        <w:tc>
          <w:tcPr>
            <w:tcW w:type="dxa" w:w="1368"/>
            <w:shd w:val="clear" w:color="auto" w:fill="EAF0EE"/>
          </w:tcPr>
          <w:p>
            <w:pPr>
              <w:spacing w:after="20"/>
            </w:pPr>
            <w:r>
              <w:rPr>
                <w:b/>
                <w:color w:val="1C3A36"/>
                <w:sz w:val="17"/>
              </w:rPr>
              <w:t>FY29e</w:t>
            </w:r>
          </w:p>
        </w:tc>
        <w:tc>
          <w:tcPr>
            <w:tcW w:type="dxa" w:w="1368"/>
            <w:shd w:val="clear" w:color="auto" w:fill="EAF0EE"/>
          </w:tcPr>
          <w:p>
            <w:pPr>
              <w:spacing w:after="20"/>
            </w:pPr>
            <w:r>
              <w:rPr>
                <w:b/>
                <w:color w:val="1C3A36"/>
                <w:sz w:val="17"/>
              </w:rPr>
              <w:t>FY30e</w:t>
            </w:r>
          </w:p>
        </w:tc>
      </w:tr>
      <w:tr>
        <w:tc>
          <w:tcPr>
            <w:tcW w:type="dxa" w:w="3024"/>
          </w:tcPr>
          <w:p>
            <w:pPr>
              <w:spacing w:after="20"/>
            </w:pPr>
            <w:r>
              <w:rPr>
                <w:color w:val="1C3A36"/>
                <w:sz w:val="17"/>
              </w:rPr>
              <w:t>Common equity, SAR mn</w:t>
            </w:r>
          </w:p>
        </w:tc>
        <w:tc>
          <w:tcPr>
            <w:tcW w:type="dxa" w:w="1368"/>
          </w:tcPr>
          <w:p>
            <w:pPr>
              <w:spacing w:after="20"/>
              <w:jc w:val="right"/>
            </w:pPr>
            <w:r>
              <w:rPr>
                <w:color w:val="1C3A36"/>
                <w:sz w:val="17"/>
              </w:rPr>
              <w:t>34,491</w:t>
            </w:r>
          </w:p>
        </w:tc>
        <w:tc>
          <w:tcPr>
            <w:tcW w:type="dxa" w:w="1368"/>
          </w:tcPr>
          <w:p>
            <w:pPr>
              <w:spacing w:after="20"/>
              <w:jc w:val="right"/>
            </w:pPr>
            <w:r>
              <w:rPr>
                <w:color w:val="1C3A36"/>
                <w:sz w:val="17"/>
              </w:rPr>
              <w:t>37,962</w:t>
            </w:r>
          </w:p>
        </w:tc>
        <w:tc>
          <w:tcPr>
            <w:tcW w:type="dxa" w:w="1368"/>
          </w:tcPr>
          <w:p>
            <w:pPr>
              <w:spacing w:after="20"/>
              <w:jc w:val="right"/>
            </w:pPr>
            <w:r>
              <w:rPr>
                <w:color w:val="1C3A36"/>
                <w:sz w:val="17"/>
              </w:rPr>
              <w:t>41,711</w:t>
            </w:r>
          </w:p>
        </w:tc>
        <w:tc>
          <w:tcPr>
            <w:tcW w:type="dxa" w:w="1368"/>
          </w:tcPr>
          <w:p>
            <w:pPr>
              <w:spacing w:after="20"/>
              <w:jc w:val="right"/>
            </w:pPr>
            <w:r>
              <w:rPr>
                <w:color w:val="1C3A36"/>
                <w:sz w:val="17"/>
              </w:rPr>
              <w:t>45,780</w:t>
            </w:r>
          </w:p>
        </w:tc>
        <w:tc>
          <w:tcPr>
            <w:tcW w:type="dxa" w:w="1368"/>
          </w:tcPr>
          <w:p>
            <w:pPr>
              <w:spacing w:after="20"/>
              <w:jc w:val="right"/>
            </w:pPr>
            <w:r>
              <w:rPr>
                <w:color w:val="1C3A36"/>
                <w:sz w:val="17"/>
              </w:rPr>
              <w:t>50,179</w:t>
            </w:r>
          </w:p>
        </w:tc>
        <w:tc>
          <w:tcPr>
            <w:tcW w:type="dxa" w:w="1368"/>
          </w:tcPr>
          <w:p>
            <w:pPr>
              <w:spacing w:after="20"/>
              <w:jc w:val="right"/>
            </w:pPr>
            <w:r>
              <w:rPr>
                <w:color w:val="1C3A36"/>
                <w:sz w:val="17"/>
              </w:rPr>
              <w:t>54,974</w:t>
            </w:r>
          </w:p>
        </w:tc>
      </w:tr>
      <w:tr>
        <w:tc>
          <w:tcPr>
            <w:tcW w:type="dxa" w:w="3024"/>
          </w:tcPr>
          <w:p>
            <w:pPr>
              <w:spacing w:after="20"/>
            </w:pPr>
            <w:r>
              <w:rPr>
                <w:color w:val="1C3A36"/>
                <w:sz w:val="17"/>
              </w:rPr>
              <w:t>RWA, SAR mn</w:t>
            </w:r>
          </w:p>
        </w:tc>
        <w:tc>
          <w:tcPr>
            <w:tcW w:type="dxa" w:w="1368"/>
          </w:tcPr>
          <w:p>
            <w:pPr>
              <w:spacing w:after="20"/>
              <w:jc w:val="right"/>
            </w:pPr>
            <w:r>
              <w:rPr>
                <w:color w:val="1C3A36"/>
                <w:sz w:val="17"/>
              </w:rPr>
              <w:t>233,300</w:t>
            </w:r>
          </w:p>
        </w:tc>
        <w:tc>
          <w:tcPr>
            <w:tcW w:type="dxa" w:w="1368"/>
          </w:tcPr>
          <w:p>
            <w:pPr>
              <w:spacing w:after="20"/>
              <w:jc w:val="right"/>
            </w:pPr>
            <w:r>
              <w:rPr>
                <w:color w:val="1C3A36"/>
                <w:sz w:val="17"/>
              </w:rPr>
              <w:t>260,596</w:t>
            </w:r>
          </w:p>
        </w:tc>
        <w:tc>
          <w:tcPr>
            <w:tcW w:type="dxa" w:w="1368"/>
          </w:tcPr>
          <w:p>
            <w:pPr>
              <w:spacing w:after="20"/>
              <w:jc w:val="right"/>
            </w:pPr>
            <w:r>
              <w:rPr>
                <w:color w:val="1C3A36"/>
                <w:sz w:val="17"/>
              </w:rPr>
              <w:t>288,741</w:t>
            </w:r>
          </w:p>
        </w:tc>
        <w:tc>
          <w:tcPr>
            <w:tcW w:type="dxa" w:w="1368"/>
          </w:tcPr>
          <w:p>
            <w:pPr>
              <w:spacing w:after="20"/>
              <w:jc w:val="right"/>
            </w:pPr>
            <w:r>
              <w:rPr>
                <w:color w:val="1C3A36"/>
                <w:sz w:val="17"/>
              </w:rPr>
              <w:t>314,728</w:t>
            </w:r>
          </w:p>
        </w:tc>
        <w:tc>
          <w:tcPr>
            <w:tcW w:type="dxa" w:w="1368"/>
          </w:tcPr>
          <w:p>
            <w:pPr>
              <w:spacing w:after="20"/>
              <w:jc w:val="right"/>
            </w:pPr>
            <w:r>
              <w:rPr>
                <w:color w:val="1C3A36"/>
                <w:sz w:val="17"/>
              </w:rPr>
              <w:t>340,220</w:t>
            </w:r>
          </w:p>
        </w:tc>
        <w:tc>
          <w:tcPr>
            <w:tcW w:type="dxa" w:w="1368"/>
          </w:tcPr>
          <w:p>
            <w:pPr>
              <w:spacing w:after="20"/>
              <w:jc w:val="right"/>
            </w:pPr>
            <w:r>
              <w:rPr>
                <w:color w:val="1C3A36"/>
                <w:sz w:val="17"/>
              </w:rPr>
              <w:t>364,716</w:t>
            </w:r>
          </w:p>
        </w:tc>
      </w:tr>
      <w:tr>
        <w:tc>
          <w:tcPr>
            <w:tcW w:type="dxa" w:w="3024"/>
          </w:tcPr>
          <w:p>
            <w:pPr>
              <w:spacing w:after="20"/>
            </w:pPr>
            <w:r>
              <w:rPr>
                <w:color w:val="1C3A36"/>
                <w:sz w:val="17"/>
              </w:rPr>
              <w:t>CET1 (common/RWA)</w:t>
            </w:r>
          </w:p>
        </w:tc>
        <w:tc>
          <w:tcPr>
            <w:tcW w:type="dxa" w:w="1368"/>
          </w:tcPr>
          <w:p>
            <w:pPr>
              <w:spacing w:after="20"/>
              <w:jc w:val="right"/>
            </w:pPr>
            <w:r>
              <w:rPr>
                <w:color w:val="1C3A36"/>
                <w:sz w:val="17"/>
              </w:rPr>
              <w:t>14.8%</w:t>
            </w:r>
          </w:p>
        </w:tc>
        <w:tc>
          <w:tcPr>
            <w:tcW w:type="dxa" w:w="1368"/>
          </w:tcPr>
          <w:p>
            <w:pPr>
              <w:spacing w:after="20"/>
              <w:jc w:val="right"/>
            </w:pPr>
            <w:r>
              <w:rPr>
                <w:color w:val="1C3A36"/>
                <w:sz w:val="17"/>
              </w:rPr>
              <w:t>14.6%</w:t>
            </w:r>
          </w:p>
        </w:tc>
        <w:tc>
          <w:tcPr>
            <w:tcW w:type="dxa" w:w="1368"/>
          </w:tcPr>
          <w:p>
            <w:pPr>
              <w:spacing w:after="20"/>
              <w:jc w:val="right"/>
            </w:pPr>
            <w:r>
              <w:rPr>
                <w:color w:val="1C3A36"/>
                <w:sz w:val="17"/>
              </w:rPr>
              <w:t>14.4%</w:t>
            </w:r>
          </w:p>
        </w:tc>
        <w:tc>
          <w:tcPr>
            <w:tcW w:type="dxa" w:w="1368"/>
          </w:tcPr>
          <w:p>
            <w:pPr>
              <w:spacing w:after="20"/>
              <w:jc w:val="right"/>
            </w:pPr>
            <w:r>
              <w:rPr>
                <w:color w:val="1C3A36"/>
                <w:sz w:val="17"/>
              </w:rPr>
              <w:t>14.5%</w:t>
            </w:r>
          </w:p>
        </w:tc>
        <w:tc>
          <w:tcPr>
            <w:tcW w:type="dxa" w:w="1368"/>
          </w:tcPr>
          <w:p>
            <w:pPr>
              <w:spacing w:after="20"/>
              <w:jc w:val="right"/>
            </w:pPr>
            <w:r>
              <w:rPr>
                <w:color w:val="1C3A36"/>
                <w:sz w:val="17"/>
              </w:rPr>
              <w:t>14.7%</w:t>
            </w:r>
          </w:p>
        </w:tc>
        <w:tc>
          <w:tcPr>
            <w:tcW w:type="dxa" w:w="1368"/>
          </w:tcPr>
          <w:p>
            <w:pPr>
              <w:spacing w:after="20"/>
              <w:jc w:val="right"/>
            </w:pPr>
            <w:r>
              <w:rPr>
                <w:color w:val="1C3A36"/>
                <w:sz w:val="17"/>
              </w:rPr>
              <w:t>15.1%</w:t>
            </w:r>
          </w:p>
        </w:tc>
      </w:tr>
      <w:tr>
        <w:tc>
          <w:tcPr>
            <w:tcW w:type="dxa" w:w="3024"/>
          </w:tcPr>
          <w:p>
            <w:pPr>
              <w:spacing w:after="20"/>
            </w:pPr>
            <w:r>
              <w:rPr>
                <w:color w:val="1C3A36"/>
                <w:sz w:val="17"/>
              </w:rPr>
              <w:t>CAR total (reported/est.)</w:t>
            </w:r>
          </w:p>
        </w:tc>
        <w:tc>
          <w:tcPr>
            <w:tcW w:type="dxa" w:w="1368"/>
          </w:tcPr>
          <w:p>
            <w:pPr>
              <w:spacing w:after="20"/>
              <w:jc w:val="right"/>
            </w:pPr>
            <w:r>
              <w:rPr>
                <w:color w:val="1C3A36"/>
                <w:sz w:val="17"/>
              </w:rPr>
              <w:t>18.0%</w:t>
            </w:r>
          </w:p>
        </w:tc>
        <w:tc>
          <w:tcPr>
            <w:tcW w:type="dxa" w:w="1368"/>
          </w:tcPr>
          <w:p>
            <w:pPr>
              <w:spacing w:after="20"/>
              <w:jc w:val="right"/>
            </w:pPr>
            <w:r>
              <w:rPr>
                <w:color w:val="1C3A36"/>
                <w:sz w:val="17"/>
              </w:rPr>
              <w:t>18.0%</w:t>
            </w:r>
          </w:p>
        </w:tc>
        <w:tc>
          <w:tcPr>
            <w:tcW w:type="dxa" w:w="1368"/>
          </w:tcPr>
          <w:p>
            <w:pPr>
              <w:spacing w:after="20"/>
              <w:jc w:val="right"/>
            </w:pPr>
            <w:r>
              <w:rPr>
                <w:color w:val="1C3A36"/>
                <w:sz w:val="17"/>
              </w:rPr>
              <w:t>18.0%</w:t>
            </w:r>
          </w:p>
        </w:tc>
        <w:tc>
          <w:tcPr>
            <w:tcW w:type="dxa" w:w="1368"/>
          </w:tcPr>
          <w:p>
            <w:pPr>
              <w:spacing w:after="20"/>
              <w:jc w:val="right"/>
            </w:pPr>
            <w:r>
              <w:rPr>
                <w:color w:val="1C3A36"/>
                <w:sz w:val="17"/>
              </w:rPr>
              <w:t>18.1%</w:t>
            </w:r>
          </w:p>
        </w:tc>
        <w:tc>
          <w:tcPr>
            <w:tcW w:type="dxa" w:w="1368"/>
          </w:tcPr>
          <w:p>
            <w:pPr>
              <w:spacing w:after="20"/>
              <w:jc w:val="right"/>
            </w:pPr>
            <w:r>
              <w:rPr>
                <w:color w:val="1C3A36"/>
                <w:sz w:val="17"/>
              </w:rPr>
              <w:t>18.2%</w:t>
            </w:r>
          </w:p>
        </w:tc>
        <w:tc>
          <w:tcPr>
            <w:tcW w:type="dxa" w:w="1368"/>
          </w:tcPr>
          <w:p>
            <w:pPr>
              <w:spacing w:after="20"/>
              <w:jc w:val="right"/>
            </w:pPr>
            <w:r>
              <w:rPr>
                <w:color w:val="1C3A36"/>
                <w:sz w:val="17"/>
              </w:rPr>
              <w:t>—</w:t>
            </w:r>
          </w:p>
        </w:tc>
      </w:tr>
      <w:tr>
        <w:tc>
          <w:tcPr>
            <w:tcW w:type="dxa" w:w="3024"/>
          </w:tcPr>
          <w:p>
            <w:pPr>
              <w:spacing w:after="20"/>
            </w:pPr>
            <w:r>
              <w:rPr>
                <w:color w:val="1C3A36"/>
                <w:sz w:val="17"/>
              </w:rPr>
              <w:t>Dividends, SAR mn</w:t>
            </w:r>
          </w:p>
        </w:tc>
        <w:tc>
          <w:tcPr>
            <w:tcW w:type="dxa" w:w="1368"/>
          </w:tcPr>
          <w:p>
            <w:pPr>
              <w:spacing w:after="20"/>
              <w:jc w:val="right"/>
            </w:pPr>
            <w:r>
              <w:rPr>
                <w:color w:val="1C3A36"/>
                <w:sz w:val="17"/>
              </w:rPr>
              <w:t>3,000</w:t>
            </w:r>
          </w:p>
        </w:tc>
        <w:tc>
          <w:tcPr>
            <w:tcW w:type="dxa" w:w="1368"/>
          </w:tcPr>
          <w:p>
            <w:pPr>
              <w:spacing w:after="20"/>
              <w:jc w:val="right"/>
            </w:pPr>
            <w:r>
              <w:rPr>
                <w:color w:val="1C3A36"/>
                <w:sz w:val="17"/>
              </w:rPr>
              <w:t>3,060</w:t>
            </w:r>
          </w:p>
        </w:tc>
        <w:tc>
          <w:tcPr>
            <w:tcW w:type="dxa" w:w="1368"/>
          </w:tcPr>
          <w:p>
            <w:pPr>
              <w:spacing w:after="20"/>
              <w:jc w:val="right"/>
            </w:pPr>
            <w:r>
              <w:rPr>
                <w:color w:val="1C3A36"/>
                <w:sz w:val="17"/>
              </w:rPr>
              <w:t>3,480</w:t>
            </w:r>
          </w:p>
        </w:tc>
        <w:tc>
          <w:tcPr>
            <w:tcW w:type="dxa" w:w="1368"/>
          </w:tcPr>
          <w:p>
            <w:pPr>
              <w:spacing w:after="20"/>
              <w:jc w:val="right"/>
            </w:pPr>
            <w:r>
              <w:rPr>
                <w:color w:val="1C3A36"/>
                <w:sz w:val="17"/>
              </w:rPr>
              <w:t>3,930</w:t>
            </w:r>
          </w:p>
        </w:tc>
        <w:tc>
          <w:tcPr>
            <w:tcW w:type="dxa" w:w="1368"/>
          </w:tcPr>
          <w:p>
            <w:pPr>
              <w:spacing w:after="20"/>
              <w:jc w:val="right"/>
            </w:pPr>
            <w:r>
              <w:rPr>
                <w:color w:val="1C3A36"/>
                <w:sz w:val="17"/>
              </w:rPr>
              <w:t>4,380</w:t>
            </w:r>
          </w:p>
        </w:tc>
        <w:tc>
          <w:tcPr>
            <w:tcW w:type="dxa" w:w="1368"/>
          </w:tcPr>
          <w:p>
            <w:pPr>
              <w:spacing w:after="20"/>
              <w:jc w:val="right"/>
            </w:pPr>
            <w:r>
              <w:rPr>
                <w:color w:val="1C3A36"/>
                <w:sz w:val="17"/>
              </w:rPr>
              <w:t>4,770</w:t>
            </w:r>
          </w:p>
        </w:tc>
      </w:tr>
      <w:tr>
        <w:tc>
          <w:tcPr>
            <w:tcW w:type="dxa" w:w="3024"/>
          </w:tcPr>
          <w:p>
            <w:pPr>
              <w:spacing w:after="20"/>
            </w:pPr>
            <w:r>
              <w:rPr>
                <w:color w:val="1C3A36"/>
                <w:sz w:val="17"/>
              </w:rPr>
              <w:t>Retained, SAR mn</w:t>
            </w:r>
          </w:p>
        </w:tc>
        <w:tc>
          <w:tcPr>
            <w:tcW w:type="dxa" w:w="1368"/>
          </w:tcPr>
          <w:p>
            <w:pPr>
              <w:spacing w:after="20"/>
              <w:jc w:val="right"/>
            </w:pPr>
            <w:r>
              <w:rPr>
                <w:color w:val="1C3A36"/>
                <w:sz w:val="17"/>
              </w:rPr>
              <w:t>2,894</w:t>
            </w:r>
          </w:p>
        </w:tc>
        <w:tc>
          <w:tcPr>
            <w:tcW w:type="dxa" w:w="1368"/>
          </w:tcPr>
          <w:p>
            <w:pPr>
              <w:spacing w:after="20"/>
              <w:jc w:val="right"/>
            </w:pPr>
            <w:r>
              <w:rPr>
                <w:color w:val="1C3A36"/>
                <w:sz w:val="17"/>
              </w:rPr>
              <w:t>3,471</w:t>
            </w:r>
          </w:p>
        </w:tc>
        <w:tc>
          <w:tcPr>
            <w:tcW w:type="dxa" w:w="1368"/>
          </w:tcPr>
          <w:p>
            <w:pPr>
              <w:spacing w:after="20"/>
              <w:jc w:val="right"/>
            </w:pPr>
            <w:r>
              <w:rPr>
                <w:color w:val="1C3A36"/>
                <w:sz w:val="17"/>
              </w:rPr>
              <w:t>3,748</w:t>
            </w:r>
          </w:p>
        </w:tc>
        <w:tc>
          <w:tcPr>
            <w:tcW w:type="dxa" w:w="1368"/>
          </w:tcPr>
          <w:p>
            <w:pPr>
              <w:spacing w:after="20"/>
              <w:jc w:val="right"/>
            </w:pPr>
            <w:r>
              <w:rPr>
                <w:color w:val="1C3A36"/>
                <w:sz w:val="17"/>
              </w:rPr>
              <w:t>4,069</w:t>
            </w:r>
          </w:p>
        </w:tc>
        <w:tc>
          <w:tcPr>
            <w:tcW w:type="dxa" w:w="1368"/>
          </w:tcPr>
          <w:p>
            <w:pPr>
              <w:spacing w:after="20"/>
              <w:jc w:val="right"/>
            </w:pPr>
            <w:r>
              <w:rPr>
                <w:color w:val="1C3A36"/>
                <w:sz w:val="17"/>
              </w:rPr>
              <w:t>4,400</w:t>
            </w:r>
          </w:p>
        </w:tc>
        <w:tc>
          <w:tcPr>
            <w:tcW w:type="dxa" w:w="1368"/>
          </w:tcPr>
          <w:p>
            <w:pPr>
              <w:spacing w:after="20"/>
              <w:jc w:val="right"/>
            </w:pPr>
            <w:r>
              <w:rPr>
                <w:color w:val="1C3A36"/>
                <w:sz w:val="17"/>
              </w:rPr>
              <w:t>4,795</w:t>
            </w:r>
          </w:p>
        </w:tc>
      </w:tr>
    </w:tbl>
    <w:p>
      <w:pPr>
        <w:spacing w:after="40"/>
      </w:pPr>
    </w:p>
    <w:p>
      <w:pPr>
        <w:spacing w:after="120" w:before="0"/>
      </w:pPr>
      <w:r>
        <w:rPr>
          <w:b w:val="0"/>
          <w:i w:val="0"/>
          <w:color w:val="1C3A36"/>
          <w:sz w:val="19"/>
        </w:rPr>
        <w:t>Key earnings drivers, EFG house format — two years back, two forward: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3600"/>
            <w:shd w:val="clear" w:color="auto" w:fill="EAF0EE"/>
          </w:tcPr>
          <w:p>
            <w:pPr>
              <w:spacing w:after="20"/>
            </w:pPr>
            <w:r>
              <w:rPr>
                <w:b/>
                <w:color w:val="1C3A36"/>
                <w:sz w:val="17"/>
              </w:rPr>
              <w:t>Key earnings drivers</w:t>
            </w:r>
          </w:p>
        </w:tc>
        <w:tc>
          <w:tcPr>
            <w:tcW w:type="dxa" w:w="1440"/>
            <w:shd w:val="clear" w:color="auto" w:fill="EAF0EE"/>
          </w:tcPr>
          <w:p>
            <w:pPr>
              <w:spacing w:after="20"/>
            </w:pPr>
            <w:r>
              <w:rPr>
                <w:b/>
                <w:color w:val="1C3A36"/>
                <w:sz w:val="17"/>
              </w:rPr>
              <w:t>FY24</w:t>
            </w:r>
          </w:p>
        </w:tc>
        <w:tc>
          <w:tcPr>
            <w:tcW w:type="dxa" w:w="1440"/>
            <w:shd w:val="clear" w:color="auto" w:fill="EAF0EE"/>
          </w:tcPr>
          <w:p>
            <w:pPr>
              <w:spacing w:after="20"/>
            </w:pPr>
            <w:r>
              <w:rPr>
                <w:b/>
                <w:color w:val="1C3A36"/>
                <w:sz w:val="17"/>
              </w:rPr>
              <w:t>FY25</w:t>
            </w:r>
          </w:p>
        </w:tc>
        <w:tc>
          <w:tcPr>
            <w:tcW w:type="dxa" w:w="1440"/>
            <w:shd w:val="clear" w:color="auto" w:fill="EAF0EE"/>
          </w:tcPr>
          <w:p>
            <w:pPr>
              <w:spacing w:after="20"/>
            </w:pPr>
            <w:r>
              <w:rPr>
                <w:b/>
                <w:color w:val="1C3A36"/>
                <w:sz w:val="17"/>
              </w:rPr>
              <w:t>FY26e</w:t>
            </w:r>
          </w:p>
        </w:tc>
        <w:tc>
          <w:tcPr>
            <w:tcW w:type="dxa" w:w="1440"/>
            <w:shd w:val="clear" w:color="auto" w:fill="EAF0EE"/>
          </w:tcPr>
          <w:p>
            <w:pPr>
              <w:spacing w:after="20"/>
            </w:pPr>
            <w:r>
              <w:rPr>
                <w:b/>
                <w:color w:val="1C3A36"/>
                <w:sz w:val="17"/>
              </w:rPr>
              <w:t>FY27e</w:t>
            </w:r>
          </w:p>
        </w:tc>
      </w:tr>
      <w:tr>
        <w:tc>
          <w:tcPr>
            <w:tcW w:type="dxa" w:w="3600"/>
          </w:tcPr>
          <w:p>
            <w:pPr>
              <w:spacing w:after="20"/>
            </w:pPr>
            <w:r>
              <w:rPr>
                <w:color w:val="1C3A36"/>
                <w:sz w:val="17"/>
              </w:rPr>
              <w:t>Financing growth</w:t>
            </w:r>
          </w:p>
        </w:tc>
        <w:tc>
          <w:tcPr>
            <w:tcW w:type="dxa" w:w="1440"/>
          </w:tcPr>
          <w:p>
            <w:pPr>
              <w:spacing w:after="20"/>
              <w:jc w:val="right"/>
            </w:pPr>
            <w:r>
              <w:rPr>
                <w:color w:val="1C3A36"/>
                <w:sz w:val="17"/>
              </w:rPr>
              <w:t>15.6%</w:t>
            </w:r>
          </w:p>
        </w:tc>
        <w:tc>
          <w:tcPr>
            <w:tcW w:type="dxa" w:w="1440"/>
          </w:tcPr>
          <w:p>
            <w:pPr>
              <w:spacing w:after="20"/>
              <w:jc w:val="right"/>
            </w:pPr>
            <w:r>
              <w:rPr>
                <w:color w:val="1C3A36"/>
                <w:sz w:val="17"/>
              </w:rPr>
              <w:t>13.6%</w:t>
            </w:r>
          </w:p>
        </w:tc>
        <w:tc>
          <w:tcPr>
            <w:tcW w:type="dxa" w:w="1440"/>
          </w:tcPr>
          <w:p>
            <w:pPr>
              <w:spacing w:after="20"/>
              <w:jc w:val="right"/>
            </w:pPr>
            <w:r>
              <w:rPr>
                <w:color w:val="1C3A36"/>
                <w:sz w:val="17"/>
              </w:rPr>
              <w:t>13.0%</w:t>
            </w:r>
          </w:p>
        </w:tc>
        <w:tc>
          <w:tcPr>
            <w:tcW w:type="dxa" w:w="1440"/>
          </w:tcPr>
          <w:p>
            <w:pPr>
              <w:spacing w:after="20"/>
              <w:jc w:val="right"/>
            </w:pPr>
            <w:r>
              <w:rPr>
                <w:color w:val="1C3A36"/>
                <w:sz w:val="17"/>
              </w:rPr>
              <w:t>12.0%</w:t>
            </w:r>
          </w:p>
        </w:tc>
      </w:tr>
      <w:tr>
        <w:tc>
          <w:tcPr>
            <w:tcW w:type="dxa" w:w="3600"/>
          </w:tcPr>
          <w:p>
            <w:pPr>
              <w:spacing w:after="20"/>
            </w:pPr>
            <w:r>
              <w:rPr>
                <w:color w:val="1C3A36"/>
                <w:sz w:val="17"/>
              </w:rPr>
              <w:t>Deposit growth</w:t>
            </w:r>
          </w:p>
        </w:tc>
        <w:tc>
          <w:tcPr>
            <w:tcW w:type="dxa" w:w="1440"/>
          </w:tcPr>
          <w:p>
            <w:pPr>
              <w:spacing w:after="20"/>
              <w:jc w:val="right"/>
            </w:pPr>
            <w:r>
              <w:rPr>
                <w:color w:val="1C3A36"/>
                <w:sz w:val="17"/>
              </w:rPr>
              <w:t>12.1%</w:t>
            </w:r>
          </w:p>
        </w:tc>
        <w:tc>
          <w:tcPr>
            <w:tcW w:type="dxa" w:w="1440"/>
          </w:tcPr>
          <w:p>
            <w:pPr>
              <w:spacing w:after="20"/>
              <w:jc w:val="right"/>
            </w:pPr>
            <w:r>
              <w:rPr>
                <w:color w:val="1C3A36"/>
                <w:sz w:val="17"/>
              </w:rPr>
              <w:t>8.0%</w:t>
            </w:r>
          </w:p>
        </w:tc>
        <w:tc>
          <w:tcPr>
            <w:tcW w:type="dxa" w:w="1440"/>
          </w:tcPr>
          <w:p>
            <w:pPr>
              <w:spacing w:after="20"/>
              <w:jc w:val="right"/>
            </w:pPr>
            <w:r>
              <w:rPr>
                <w:color w:val="1C3A36"/>
                <w:sz w:val="17"/>
              </w:rPr>
              <w:t>11.1%</w:t>
            </w:r>
          </w:p>
        </w:tc>
        <w:tc>
          <w:tcPr>
            <w:tcW w:type="dxa" w:w="1440"/>
          </w:tcPr>
          <w:p>
            <w:pPr>
              <w:spacing w:after="20"/>
              <w:jc w:val="right"/>
            </w:pPr>
            <w:r>
              <w:rPr>
                <w:color w:val="1C3A36"/>
                <w:sz w:val="17"/>
              </w:rPr>
              <w:t>10.2%</w:t>
            </w:r>
          </w:p>
        </w:tc>
      </w:tr>
      <w:tr>
        <w:tc>
          <w:tcPr>
            <w:tcW w:type="dxa" w:w="3600"/>
          </w:tcPr>
          <w:p>
            <w:pPr>
              <w:spacing w:after="20"/>
            </w:pPr>
            <w:r>
              <w:rPr>
                <w:color w:val="1C3A36"/>
                <w:sz w:val="17"/>
              </w:rPr>
              <w:t>NIM</w:t>
            </w:r>
          </w:p>
        </w:tc>
        <w:tc>
          <w:tcPr>
            <w:tcW w:type="dxa" w:w="1440"/>
          </w:tcPr>
          <w:p>
            <w:pPr>
              <w:spacing w:after="20"/>
              <w:jc w:val="right"/>
            </w:pPr>
            <w:r>
              <w:rPr>
                <w:color w:val="1C3A36"/>
                <w:sz w:val="17"/>
              </w:rPr>
              <w:t>3.70%</w:t>
            </w:r>
          </w:p>
        </w:tc>
        <w:tc>
          <w:tcPr>
            <w:tcW w:type="dxa" w:w="1440"/>
          </w:tcPr>
          <w:p>
            <w:pPr>
              <w:spacing w:after="20"/>
              <w:jc w:val="right"/>
            </w:pPr>
            <w:r>
              <w:rPr>
                <w:color w:val="1C3A36"/>
                <w:sz w:val="17"/>
              </w:rPr>
              <w:t>3.55%</w:t>
            </w:r>
          </w:p>
        </w:tc>
        <w:tc>
          <w:tcPr>
            <w:tcW w:type="dxa" w:w="1440"/>
          </w:tcPr>
          <w:p>
            <w:pPr>
              <w:spacing w:after="20"/>
              <w:jc w:val="right"/>
            </w:pPr>
            <w:r>
              <w:rPr>
                <w:color w:val="1C3A36"/>
                <w:sz w:val="17"/>
              </w:rPr>
              <w:t>3.45%</w:t>
            </w:r>
          </w:p>
        </w:tc>
        <w:tc>
          <w:tcPr>
            <w:tcW w:type="dxa" w:w="1440"/>
          </w:tcPr>
          <w:p>
            <w:pPr>
              <w:spacing w:after="20"/>
              <w:jc w:val="right"/>
            </w:pPr>
            <w:r>
              <w:rPr>
                <w:color w:val="1C3A36"/>
                <w:sz w:val="17"/>
              </w:rPr>
              <w:t>3.40%</w:t>
            </w:r>
          </w:p>
        </w:tc>
      </w:tr>
      <w:tr>
        <w:tc>
          <w:tcPr>
            <w:tcW w:type="dxa" w:w="3600"/>
          </w:tcPr>
          <w:p>
            <w:pPr>
              <w:spacing w:after="20"/>
            </w:pPr>
            <w:r>
              <w:rPr>
                <w:color w:val="1C3A36"/>
                <w:sz w:val="17"/>
              </w:rPr>
              <w:t>NII growth</w:t>
            </w:r>
          </w:p>
        </w:tc>
        <w:tc>
          <w:tcPr>
            <w:tcW w:type="dxa" w:w="1440"/>
          </w:tcPr>
          <w:p>
            <w:pPr>
              <w:spacing w:after="20"/>
              <w:jc w:val="right"/>
            </w:pPr>
            <w:r>
              <w:rPr>
                <w:color w:val="1C3A36"/>
                <w:sz w:val="17"/>
              </w:rPr>
              <w:t>13.0%</w:t>
            </w:r>
          </w:p>
        </w:tc>
        <w:tc>
          <w:tcPr>
            <w:tcW w:type="dxa" w:w="1440"/>
          </w:tcPr>
          <w:p>
            <w:pPr>
              <w:spacing w:after="20"/>
              <w:jc w:val="right"/>
            </w:pPr>
            <w:r>
              <w:rPr>
                <w:color w:val="1C3A36"/>
                <w:sz w:val="17"/>
              </w:rPr>
              <w:t>8.4%</w:t>
            </w:r>
          </w:p>
        </w:tc>
        <w:tc>
          <w:tcPr>
            <w:tcW w:type="dxa" w:w="1440"/>
          </w:tcPr>
          <w:p>
            <w:pPr>
              <w:spacing w:after="20"/>
              <w:jc w:val="right"/>
            </w:pPr>
            <w:r>
              <w:rPr>
                <w:color w:val="1C3A36"/>
                <w:sz w:val="17"/>
              </w:rPr>
              <w:t>11.9%</w:t>
            </w:r>
          </w:p>
        </w:tc>
        <w:tc>
          <w:tcPr>
            <w:tcW w:type="dxa" w:w="1440"/>
          </w:tcPr>
          <w:p>
            <w:pPr>
              <w:spacing w:after="20"/>
              <w:jc w:val="right"/>
            </w:pPr>
            <w:r>
              <w:rPr>
                <w:color w:val="1C3A36"/>
                <w:sz w:val="17"/>
              </w:rPr>
              <w:t>10.3%</w:t>
            </w:r>
          </w:p>
        </w:tc>
      </w:tr>
      <w:tr>
        <w:tc>
          <w:tcPr>
            <w:tcW w:type="dxa" w:w="3600"/>
          </w:tcPr>
          <w:p>
            <w:pPr>
              <w:spacing w:after="20"/>
            </w:pPr>
            <w:r>
              <w:rPr>
                <w:color w:val="1C3A36"/>
                <w:sz w:val="17"/>
              </w:rPr>
              <w:t>Fee / non-funded growth</w:t>
            </w:r>
          </w:p>
        </w:tc>
        <w:tc>
          <w:tcPr>
            <w:tcW w:type="dxa" w:w="1440"/>
          </w:tcPr>
          <w:p>
            <w:pPr>
              <w:spacing w:after="20"/>
              <w:jc w:val="right"/>
            </w:pPr>
            <w:r>
              <w:rPr>
                <w:color w:val="1C3A36"/>
                <w:sz w:val="17"/>
              </w:rPr>
              <w:t>10.6%</w:t>
            </w:r>
          </w:p>
        </w:tc>
        <w:tc>
          <w:tcPr>
            <w:tcW w:type="dxa" w:w="1440"/>
          </w:tcPr>
          <w:p>
            <w:pPr>
              <w:spacing w:after="20"/>
              <w:jc w:val="right"/>
            </w:pPr>
            <w:r>
              <w:rPr>
                <w:color w:val="1C3A36"/>
                <w:sz w:val="17"/>
              </w:rPr>
              <w:t>10.3%</w:t>
            </w:r>
          </w:p>
        </w:tc>
        <w:tc>
          <w:tcPr>
            <w:tcW w:type="dxa" w:w="1440"/>
          </w:tcPr>
          <w:p>
            <w:pPr>
              <w:spacing w:after="20"/>
              <w:jc w:val="right"/>
            </w:pPr>
            <w:r>
              <w:rPr>
                <w:color w:val="1C3A36"/>
                <w:sz w:val="17"/>
              </w:rPr>
              <w:t>9.0%</w:t>
            </w:r>
          </w:p>
        </w:tc>
        <w:tc>
          <w:tcPr>
            <w:tcW w:type="dxa" w:w="1440"/>
          </w:tcPr>
          <w:p>
            <w:pPr>
              <w:spacing w:after="20"/>
              <w:jc w:val="right"/>
            </w:pPr>
            <w:r>
              <w:rPr>
                <w:color w:val="1C3A36"/>
                <w:sz w:val="17"/>
              </w:rPr>
              <w:t>9.0%</w:t>
            </w:r>
          </w:p>
        </w:tc>
      </w:tr>
      <w:tr>
        <w:tc>
          <w:tcPr>
            <w:tcW w:type="dxa" w:w="3600"/>
          </w:tcPr>
          <w:p>
            <w:pPr>
              <w:spacing w:after="20"/>
            </w:pPr>
            <w:r>
              <w:rPr>
                <w:color w:val="1C3A36"/>
                <w:sz w:val="17"/>
              </w:rPr>
              <w:t>Revenue growth</w:t>
            </w:r>
          </w:p>
        </w:tc>
        <w:tc>
          <w:tcPr>
            <w:tcW w:type="dxa" w:w="1440"/>
          </w:tcPr>
          <w:p>
            <w:pPr>
              <w:spacing w:after="20"/>
              <w:jc w:val="right"/>
            </w:pPr>
            <w:r>
              <w:rPr>
                <w:color w:val="1C3A36"/>
                <w:sz w:val="17"/>
              </w:rPr>
              <w:t>12.5%</w:t>
            </w:r>
          </w:p>
        </w:tc>
        <w:tc>
          <w:tcPr>
            <w:tcW w:type="dxa" w:w="1440"/>
          </w:tcPr>
          <w:p>
            <w:pPr>
              <w:spacing w:after="20"/>
              <w:jc w:val="right"/>
            </w:pPr>
            <w:r>
              <w:rPr>
                <w:color w:val="1C3A36"/>
                <w:sz w:val="17"/>
              </w:rPr>
              <w:t>8.8%</w:t>
            </w:r>
          </w:p>
        </w:tc>
        <w:tc>
          <w:tcPr>
            <w:tcW w:type="dxa" w:w="1440"/>
          </w:tcPr>
          <w:p>
            <w:pPr>
              <w:spacing w:after="20"/>
              <w:jc w:val="right"/>
            </w:pPr>
            <w:r>
              <w:rPr>
                <w:color w:val="1C3A36"/>
                <w:sz w:val="17"/>
              </w:rPr>
              <w:t>11.3%</w:t>
            </w:r>
          </w:p>
        </w:tc>
        <w:tc>
          <w:tcPr>
            <w:tcW w:type="dxa" w:w="1440"/>
          </w:tcPr>
          <w:p>
            <w:pPr>
              <w:spacing w:after="20"/>
              <w:jc w:val="right"/>
            </w:pPr>
            <w:r>
              <w:rPr>
                <w:color w:val="1C3A36"/>
                <w:sz w:val="17"/>
              </w:rPr>
              <w:t>10.0%</w:t>
            </w:r>
          </w:p>
        </w:tc>
      </w:tr>
      <w:tr>
        <w:tc>
          <w:tcPr>
            <w:tcW w:type="dxa" w:w="3600"/>
          </w:tcPr>
          <w:p>
            <w:pPr>
              <w:spacing w:after="20"/>
            </w:pPr>
            <w:r>
              <w:rPr>
                <w:color w:val="1C3A36"/>
                <w:sz w:val="17"/>
              </w:rPr>
              <w:t>Opex growth</w:t>
            </w:r>
          </w:p>
        </w:tc>
        <w:tc>
          <w:tcPr>
            <w:tcW w:type="dxa" w:w="1440"/>
          </w:tcPr>
          <w:p>
            <w:pPr>
              <w:spacing w:after="20"/>
              <w:jc w:val="right"/>
            </w:pPr>
            <w:r>
              <w:rPr>
                <w:color w:val="1C3A36"/>
                <w:sz w:val="17"/>
              </w:rPr>
              <w:t>11.2%</w:t>
            </w:r>
          </w:p>
        </w:tc>
        <w:tc>
          <w:tcPr>
            <w:tcW w:type="dxa" w:w="1440"/>
          </w:tcPr>
          <w:p>
            <w:pPr>
              <w:spacing w:after="20"/>
              <w:jc w:val="right"/>
            </w:pPr>
            <w:r>
              <w:rPr>
                <w:color w:val="1C3A36"/>
                <w:sz w:val="17"/>
              </w:rPr>
              <w:t>9.8%</w:t>
            </w:r>
          </w:p>
        </w:tc>
        <w:tc>
          <w:tcPr>
            <w:tcW w:type="dxa" w:w="1440"/>
          </w:tcPr>
          <w:p>
            <w:pPr>
              <w:spacing w:after="20"/>
              <w:jc w:val="right"/>
            </w:pPr>
            <w:r>
              <w:rPr>
                <w:color w:val="1C3A36"/>
                <w:sz w:val="17"/>
              </w:rPr>
              <w:t>12.4%</w:t>
            </w:r>
          </w:p>
        </w:tc>
        <w:tc>
          <w:tcPr>
            <w:tcW w:type="dxa" w:w="1440"/>
          </w:tcPr>
          <w:p>
            <w:pPr>
              <w:spacing w:after="20"/>
              <w:jc w:val="right"/>
            </w:pPr>
            <w:r>
              <w:rPr>
                <w:color w:val="1C3A36"/>
                <w:sz w:val="17"/>
              </w:rPr>
              <w:t>9.0%</w:t>
            </w:r>
          </w:p>
        </w:tc>
      </w:tr>
      <w:tr>
        <w:tc>
          <w:tcPr>
            <w:tcW w:type="dxa" w:w="3600"/>
          </w:tcPr>
          <w:p>
            <w:pPr>
              <w:spacing w:after="20"/>
            </w:pPr>
            <w:r>
              <w:rPr>
                <w:color w:val="1C3A36"/>
                <w:sz w:val="17"/>
              </w:rPr>
              <w:t>Cost-to-income</w:t>
            </w:r>
          </w:p>
        </w:tc>
        <w:tc>
          <w:tcPr>
            <w:tcW w:type="dxa" w:w="1440"/>
          </w:tcPr>
          <w:p>
            <w:pPr>
              <w:spacing w:after="20"/>
              <w:jc w:val="right"/>
            </w:pPr>
            <w:r>
              <w:rPr>
                <w:color w:val="1C3A36"/>
                <w:sz w:val="17"/>
              </w:rPr>
              <w:t>30.9%</w:t>
            </w:r>
          </w:p>
        </w:tc>
        <w:tc>
          <w:tcPr>
            <w:tcW w:type="dxa" w:w="1440"/>
          </w:tcPr>
          <w:p>
            <w:pPr>
              <w:spacing w:after="20"/>
              <w:jc w:val="right"/>
            </w:pPr>
            <w:r>
              <w:rPr>
                <w:color w:val="1C3A36"/>
                <w:sz w:val="17"/>
              </w:rPr>
              <w:t>31.2%</w:t>
            </w:r>
          </w:p>
        </w:tc>
        <w:tc>
          <w:tcPr>
            <w:tcW w:type="dxa" w:w="1440"/>
          </w:tcPr>
          <w:p>
            <w:pPr>
              <w:spacing w:after="20"/>
              <w:jc w:val="right"/>
            </w:pPr>
            <w:r>
              <w:rPr>
                <w:color w:val="1C3A36"/>
                <w:sz w:val="17"/>
              </w:rPr>
              <w:t>31.5%</w:t>
            </w:r>
          </w:p>
        </w:tc>
        <w:tc>
          <w:tcPr>
            <w:tcW w:type="dxa" w:w="1440"/>
          </w:tcPr>
          <w:p>
            <w:pPr>
              <w:spacing w:after="20"/>
              <w:jc w:val="right"/>
            </w:pPr>
            <w:r>
              <w:rPr>
                <w:color w:val="1C3A36"/>
                <w:sz w:val="17"/>
              </w:rPr>
              <w:t>31.2%</w:t>
            </w:r>
          </w:p>
        </w:tc>
      </w:tr>
      <w:tr>
        <w:tc>
          <w:tcPr>
            <w:tcW w:type="dxa" w:w="3600"/>
          </w:tcPr>
          <w:p>
            <w:pPr>
              <w:spacing w:after="20"/>
            </w:pPr>
            <w:r>
              <w:rPr>
                <w:color w:val="1C3A36"/>
                <w:sz w:val="17"/>
              </w:rPr>
              <w:t>Cost of risk</w:t>
            </w:r>
          </w:p>
        </w:tc>
        <w:tc>
          <w:tcPr>
            <w:tcW w:type="dxa" w:w="1440"/>
          </w:tcPr>
          <w:p>
            <w:pPr>
              <w:spacing w:after="20"/>
              <w:jc w:val="right"/>
            </w:pPr>
            <w:r>
              <w:rPr>
                <w:color w:val="1C3A36"/>
                <w:sz w:val="17"/>
              </w:rPr>
              <w:t>55bp</w:t>
            </w:r>
          </w:p>
        </w:tc>
        <w:tc>
          <w:tcPr>
            <w:tcW w:type="dxa" w:w="1440"/>
          </w:tcPr>
          <w:p>
            <w:pPr>
              <w:spacing w:after="20"/>
              <w:jc w:val="right"/>
            </w:pPr>
            <w:r>
              <w:rPr>
                <w:color w:val="1C3A36"/>
                <w:sz w:val="17"/>
              </w:rPr>
              <w:t>49bp</w:t>
            </w:r>
          </w:p>
        </w:tc>
        <w:tc>
          <w:tcPr>
            <w:tcW w:type="dxa" w:w="1440"/>
          </w:tcPr>
          <w:p>
            <w:pPr>
              <w:spacing w:after="20"/>
              <w:jc w:val="right"/>
            </w:pPr>
            <w:r>
              <w:rPr>
                <w:color w:val="1C3A36"/>
                <w:sz w:val="17"/>
              </w:rPr>
              <w:t>50bp</w:t>
            </w:r>
          </w:p>
        </w:tc>
        <w:tc>
          <w:tcPr>
            <w:tcW w:type="dxa" w:w="1440"/>
          </w:tcPr>
          <w:p>
            <w:pPr>
              <w:spacing w:after="20"/>
              <w:jc w:val="right"/>
            </w:pPr>
            <w:r>
              <w:rPr>
                <w:color w:val="1C3A36"/>
                <w:sz w:val="17"/>
              </w:rPr>
              <w:t>50bp</w:t>
            </w:r>
          </w:p>
        </w:tc>
      </w:tr>
      <w:tr>
        <w:tc>
          <w:tcPr>
            <w:tcW w:type="dxa" w:w="3600"/>
          </w:tcPr>
          <w:p>
            <w:pPr>
              <w:spacing w:after="20"/>
            </w:pPr>
            <w:r>
              <w:rPr>
                <w:color w:val="1C3A36"/>
                <w:sz w:val="17"/>
              </w:rPr>
              <w:t>Earnings growth</w:t>
            </w:r>
          </w:p>
        </w:tc>
        <w:tc>
          <w:tcPr>
            <w:tcW w:type="dxa" w:w="1440"/>
          </w:tcPr>
          <w:p>
            <w:pPr>
              <w:spacing w:after="20"/>
              <w:jc w:val="right"/>
            </w:pPr>
            <w:r>
              <w:rPr>
                <w:color w:val="1C3A36"/>
                <w:sz w:val="17"/>
              </w:rPr>
              <w:t>+20.5%</w:t>
            </w:r>
          </w:p>
        </w:tc>
        <w:tc>
          <w:tcPr>
            <w:tcW w:type="dxa" w:w="1440"/>
          </w:tcPr>
          <w:p>
            <w:pPr>
              <w:spacing w:after="20"/>
              <w:jc w:val="right"/>
            </w:pPr>
            <w:r>
              <w:rPr>
                <w:color w:val="1C3A36"/>
                <w:sz w:val="17"/>
              </w:rPr>
              <w:t>+9.7%</w:t>
            </w:r>
          </w:p>
        </w:tc>
        <w:tc>
          <w:tcPr>
            <w:tcW w:type="dxa" w:w="1440"/>
          </w:tcPr>
          <w:p>
            <w:pPr>
              <w:spacing w:after="20"/>
              <w:jc w:val="right"/>
            </w:pPr>
            <w:r>
              <w:rPr>
                <w:color w:val="1C3A36"/>
                <w:sz w:val="17"/>
              </w:rPr>
              <w:t>+10.2%</w:t>
            </w:r>
          </w:p>
        </w:tc>
        <w:tc>
          <w:tcPr>
            <w:tcW w:type="dxa" w:w="1440"/>
          </w:tcPr>
          <w:p>
            <w:pPr>
              <w:spacing w:after="20"/>
              <w:jc w:val="right"/>
            </w:pPr>
            <w:r>
              <w:rPr>
                <w:color w:val="1C3A36"/>
                <w:sz w:val="17"/>
              </w:rPr>
              <w:t>+10.2%</w:t>
            </w:r>
          </w:p>
        </w:tc>
      </w:tr>
      <w:tr>
        <w:tc>
          <w:tcPr>
            <w:tcW w:type="dxa" w:w="3600"/>
          </w:tcPr>
          <w:p>
            <w:pPr>
              <w:spacing w:after="20"/>
            </w:pPr>
            <w:r>
              <w:rPr>
                <w:color w:val="1C3A36"/>
                <w:sz w:val="17"/>
              </w:rPr>
              <w:t>ROAE (common)</w:t>
            </w:r>
          </w:p>
        </w:tc>
        <w:tc>
          <w:tcPr>
            <w:tcW w:type="dxa" w:w="1440"/>
          </w:tcPr>
          <w:p>
            <w:pPr>
              <w:spacing w:after="20"/>
              <w:jc w:val="right"/>
            </w:pPr>
            <w:r>
              <w:rPr>
                <w:color w:val="1C3A36"/>
                <w:sz w:val="17"/>
              </w:rPr>
              <w:t>18.8%</w:t>
            </w:r>
          </w:p>
        </w:tc>
        <w:tc>
          <w:tcPr>
            <w:tcW w:type="dxa" w:w="1440"/>
          </w:tcPr>
          <w:p>
            <w:pPr>
              <w:spacing w:after="20"/>
              <w:jc w:val="right"/>
            </w:pPr>
            <w:r>
              <w:rPr>
                <w:color w:val="1C3A36"/>
                <w:sz w:val="17"/>
              </w:rPr>
              <w:t>18.7%</w:t>
            </w:r>
          </w:p>
        </w:tc>
        <w:tc>
          <w:tcPr>
            <w:tcW w:type="dxa" w:w="1440"/>
          </w:tcPr>
          <w:p>
            <w:pPr>
              <w:spacing w:after="20"/>
              <w:jc w:val="right"/>
            </w:pPr>
            <w:r>
              <w:rPr>
                <w:color w:val="1C3A36"/>
                <w:sz w:val="17"/>
              </w:rPr>
              <w:t>18.0%</w:t>
            </w:r>
          </w:p>
        </w:tc>
        <w:tc>
          <w:tcPr>
            <w:tcW w:type="dxa" w:w="1440"/>
          </w:tcPr>
          <w:p>
            <w:pPr>
              <w:spacing w:after="20"/>
              <w:jc w:val="right"/>
            </w:pPr>
            <w:r>
              <w:rPr>
                <w:color w:val="1C3A36"/>
                <w:sz w:val="17"/>
              </w:rPr>
              <w:t>18.1%</w:t>
            </w:r>
          </w:p>
        </w:tc>
      </w:tr>
      <w:tr>
        <w:tc>
          <w:tcPr>
            <w:tcW w:type="dxa" w:w="3600"/>
          </w:tcPr>
          <w:p>
            <w:pPr>
              <w:spacing w:after="20"/>
            </w:pPr>
            <w:r>
              <w:rPr>
                <w:color w:val="1C3A36"/>
                <w:sz w:val="17"/>
              </w:rPr>
              <w:t>ROAA</w:t>
            </w:r>
          </w:p>
        </w:tc>
        <w:tc>
          <w:tcPr>
            <w:tcW w:type="dxa" w:w="1440"/>
          </w:tcPr>
          <w:p>
            <w:pPr>
              <w:spacing w:after="20"/>
              <w:jc w:val="right"/>
            </w:pPr>
            <w:r>
              <w:rPr>
                <w:color w:val="1C3A36"/>
                <w:sz w:val="17"/>
              </w:rPr>
              <w:t>2.27%</w:t>
            </w:r>
          </w:p>
        </w:tc>
        <w:tc>
          <w:tcPr>
            <w:tcW w:type="dxa" w:w="1440"/>
          </w:tcPr>
          <w:p>
            <w:pPr>
              <w:spacing w:after="20"/>
              <w:jc w:val="right"/>
            </w:pPr>
            <w:r>
              <w:rPr>
                <w:color w:val="1C3A36"/>
                <w:sz w:val="17"/>
              </w:rPr>
              <w:t>2.18%</w:t>
            </w:r>
          </w:p>
        </w:tc>
        <w:tc>
          <w:tcPr>
            <w:tcW w:type="dxa" w:w="1440"/>
          </w:tcPr>
          <w:p>
            <w:pPr>
              <w:spacing w:after="20"/>
              <w:jc w:val="right"/>
            </w:pPr>
            <w:r>
              <w:rPr>
                <w:color w:val="1C3A36"/>
                <w:sz w:val="17"/>
              </w:rPr>
              <w:t>2.15%</w:t>
            </w:r>
          </w:p>
        </w:tc>
        <w:tc>
          <w:tcPr>
            <w:tcW w:type="dxa" w:w="1440"/>
          </w:tcPr>
          <w:p>
            <w:pPr>
              <w:spacing w:after="20"/>
              <w:jc w:val="right"/>
            </w:pPr>
            <w:r>
              <w:rPr>
                <w:color w:val="1C3A36"/>
                <w:sz w:val="17"/>
              </w:rPr>
              <w:t>2.16%</w:t>
            </w:r>
          </w:p>
        </w:tc>
      </w:tr>
      <w:tr>
        <w:tc>
          <w:tcPr>
            <w:tcW w:type="dxa" w:w="3600"/>
          </w:tcPr>
          <w:p>
            <w:pPr>
              <w:spacing w:after="20"/>
            </w:pPr>
            <w:r>
              <w:rPr>
                <w:color w:val="1C3A36"/>
                <w:sz w:val="17"/>
              </w:rPr>
              <w:t>Net profit, reported (SAR mn)</w:t>
            </w:r>
          </w:p>
        </w:tc>
        <w:tc>
          <w:tcPr>
            <w:tcW w:type="dxa" w:w="1440"/>
          </w:tcPr>
          <w:p>
            <w:pPr>
              <w:spacing w:after="20"/>
              <w:jc w:val="right"/>
            </w:pPr>
            <w:r>
              <w:rPr>
                <w:color w:val="1C3A36"/>
                <w:sz w:val="17"/>
              </w:rPr>
              <w:t>5,832</w:t>
            </w:r>
          </w:p>
        </w:tc>
        <w:tc>
          <w:tcPr>
            <w:tcW w:type="dxa" w:w="1440"/>
          </w:tcPr>
          <w:p>
            <w:pPr>
              <w:spacing w:after="20"/>
              <w:jc w:val="right"/>
            </w:pPr>
            <w:r>
              <w:rPr>
                <w:color w:val="1C3A36"/>
                <w:sz w:val="17"/>
              </w:rPr>
              <w:t>6,397</w:t>
            </w:r>
          </w:p>
        </w:tc>
        <w:tc>
          <w:tcPr>
            <w:tcW w:type="dxa" w:w="1440"/>
          </w:tcPr>
          <w:p>
            <w:pPr>
              <w:spacing w:after="20"/>
              <w:jc w:val="right"/>
            </w:pPr>
            <w:r>
              <w:rPr>
                <w:color w:val="1C3A36"/>
                <w:sz w:val="17"/>
              </w:rPr>
              <w:t>7,051</w:t>
            </w:r>
          </w:p>
        </w:tc>
        <w:tc>
          <w:tcPr>
            <w:tcW w:type="dxa" w:w="1440"/>
          </w:tcPr>
          <w:p>
            <w:pPr>
              <w:spacing w:after="20"/>
              <w:jc w:val="right"/>
            </w:pPr>
            <w:r>
              <w:rPr>
                <w:color w:val="1C3A36"/>
                <w:sz w:val="17"/>
              </w:rPr>
              <w:t>7,768</w:t>
            </w:r>
          </w:p>
        </w:tc>
      </w:tr>
      <w:tr>
        <w:tc>
          <w:tcPr>
            <w:tcW w:type="dxa" w:w="3600"/>
          </w:tcPr>
          <w:p>
            <w:pPr>
              <w:spacing w:after="20"/>
            </w:pPr>
            <w:r>
              <w:rPr>
                <w:color w:val="1C3A36"/>
                <w:sz w:val="17"/>
              </w:rPr>
              <w:t>Net profit, attributable (SAR mn)</w:t>
            </w:r>
          </w:p>
        </w:tc>
        <w:tc>
          <w:tcPr>
            <w:tcW w:type="dxa" w:w="1440"/>
          </w:tcPr>
          <w:p>
            <w:pPr>
              <w:spacing w:after="20"/>
              <w:jc w:val="right"/>
            </w:pPr>
            <w:r>
              <w:rPr>
                <w:color w:val="1C3A36"/>
                <w:sz w:val="17"/>
              </w:rPr>
              <w:t>5,402</w:t>
            </w:r>
          </w:p>
        </w:tc>
        <w:tc>
          <w:tcPr>
            <w:tcW w:type="dxa" w:w="1440"/>
          </w:tcPr>
          <w:p>
            <w:pPr>
              <w:spacing w:after="20"/>
              <w:jc w:val="right"/>
            </w:pPr>
            <w:r>
              <w:rPr>
                <w:color w:val="1C3A36"/>
                <w:sz w:val="17"/>
              </w:rPr>
              <w:t>5,894</w:t>
            </w:r>
          </w:p>
        </w:tc>
        <w:tc>
          <w:tcPr>
            <w:tcW w:type="dxa" w:w="1440"/>
          </w:tcPr>
          <w:p>
            <w:pPr>
              <w:spacing w:after="20"/>
              <w:jc w:val="right"/>
            </w:pPr>
            <w:r>
              <w:rPr>
                <w:color w:val="1C3A36"/>
                <w:sz w:val="17"/>
              </w:rPr>
              <w:t>6,531</w:t>
            </w:r>
          </w:p>
        </w:tc>
        <w:tc>
          <w:tcPr>
            <w:tcW w:type="dxa" w:w="1440"/>
          </w:tcPr>
          <w:p>
            <w:pPr>
              <w:spacing w:after="20"/>
              <w:jc w:val="right"/>
            </w:pPr>
            <w:r>
              <w:rPr>
                <w:color w:val="1C3A36"/>
                <w:sz w:val="17"/>
              </w:rPr>
              <w:t>7,228</w:t>
            </w:r>
          </w:p>
        </w:tc>
      </w:tr>
    </w:tbl>
    <w:p>
      <w:pPr>
        <w:spacing w:after="40"/>
      </w:pPr>
    </w:p>
    <w:p>
      <w:pPr>
        <w:spacing w:after="40"/>
        <w:jc w:val="center"/>
      </w:pPr>
      <w:r>
        <w:drawing>
          <wp:inline xmlns:a="http://schemas.openxmlformats.org/drawingml/2006/main" xmlns:pic="http://schemas.openxmlformats.org/drawingml/2006/picture">
            <wp:extent cx="6309360" cy="2341618"/>
            <wp:docPr id="2" name="Picture 2"/>
            <wp:cNvGraphicFramePr>
              <a:graphicFrameLocks noChangeAspect="1"/>
            </wp:cNvGraphicFramePr>
            <a:graphic>
              <a:graphicData uri="http://schemas.openxmlformats.org/drawingml/2006/picture">
                <pic:pic>
                  <pic:nvPicPr>
                    <pic:cNvPr id="0" name="fig7_drivers.png"/>
                    <pic:cNvPicPr/>
                  </pic:nvPicPr>
                  <pic:blipFill>
                    <a:blip r:embed="rId10"/>
                    <a:stretch>
                      <a:fillRect/>
                    </a:stretch>
                  </pic:blipFill>
                  <pic:spPr>
                    <a:xfrm>
                      <a:off x="0" y="0"/>
                      <a:ext cx="6309360" cy="2341618"/>
                    </a:xfrm>
                    <a:prstGeom prst="rect"/>
                  </pic:spPr>
                </pic:pic>
              </a:graphicData>
            </a:graphic>
          </wp:inline>
        </w:drawing>
      </w:r>
    </w:p>
    <w:p>
      <w:pPr>
        <w:spacing w:after="200" w:before="0"/>
      </w:pPr>
      <w:r>
        <w:rPr>
          <w:b w:val="0"/>
          <w:i/>
          <w:color w:val="6E7B77"/>
          <w:sz w:val="17"/>
        </w:rPr>
        <w:t>Figure 2 — The margin engine and the return glide: NII history and forecast (left); ROE path against the cost of equity and the 16% through-cycle fade (right).</w:t>
      </w:r>
    </w:p>
    <w:p>
      <w:pPr>
        <w:spacing w:after="80" w:before="200"/>
      </w:pPr>
      <w:r>
        <w:rPr>
          <w:b/>
          <w:i w:val="0"/>
          <w:color w:val="1C3A36"/>
          <w:sz w:val="24"/>
        </w:rPr>
        <w:t>1.8  The crux — the cost of equity, and the NIM path</w:t>
      </w:r>
    </w:p>
    <w:p>
      <w:pPr>
        <w:spacing w:after="120" w:before="0"/>
      </w:pPr>
      <w:r>
        <w:rPr>
          <w:b w:val="0"/>
          <w:i w:val="0"/>
          <w:color w:val="1C3A36"/>
          <w:sz w:val="21"/>
        </w:rPr>
        <w:t>Two things swing this valuation, and we sensitise both in their own observable units.</w:t>
      </w:r>
    </w:p>
    <w:p>
      <w:pPr>
        <w:spacing w:after="120" w:before="0"/>
      </w:pPr>
      <w:r>
        <w:rPr>
          <w:b/>
          <w:i w:val="0"/>
          <w:color w:val="1C3A36"/>
          <w:sz w:val="21"/>
        </w:rPr>
        <w:t xml:space="preserve">(a) The cost of equity.  </w:t>
      </w:r>
      <w:r>
        <w:rPr>
          <w:b w:val="0"/>
          <w:i w:val="0"/>
          <w:color w:val="1C3A36"/>
          <w:sz w:val="21"/>
        </w:rPr>
        <w:t>The regressed beta of 0.74 comes from a short two-month window; a longer sample could easily print closer to 1.0. Each 50bp of Ke moves the DDM roughly SAR 3–4/share: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440"/>
        <w:gridCol w:w="1440"/>
        <w:gridCol w:w="1440"/>
        <w:gridCol w:w="1440"/>
        <w:gridCol w:w="1440"/>
        <w:gridCol w:w="1440"/>
        <w:gridCol w:w="1440"/>
      </w:tblGrid>
      <w:tr>
        <w:tc>
          <w:tcPr>
            <w:tcW w:type="dxa" w:w="2160"/>
            <w:shd w:val="clear" w:color="auto" w:fill="EAF0EE"/>
          </w:tcPr>
          <w:p>
            <w:pPr>
              <w:spacing w:after="20"/>
            </w:pPr>
            <w:r>
              <w:rPr>
                <w:b/>
                <w:color w:val="1C3A36"/>
                <w:sz w:val="17"/>
              </w:rPr>
              <w:t>Ke</w:t>
            </w:r>
          </w:p>
        </w:tc>
        <w:tc>
          <w:tcPr>
            <w:tcW w:type="dxa" w:w="1368"/>
            <w:shd w:val="clear" w:color="auto" w:fill="EAF0EE"/>
          </w:tcPr>
          <w:p>
            <w:pPr>
              <w:spacing w:after="20"/>
            </w:pPr>
            <w:r>
              <w:rPr>
                <w:b/>
                <w:color w:val="1C3A36"/>
                <w:sz w:val="17"/>
              </w:rPr>
              <w:t>8.49%</w:t>
            </w:r>
          </w:p>
        </w:tc>
        <w:tc>
          <w:tcPr>
            <w:tcW w:type="dxa" w:w="1368"/>
            <w:shd w:val="clear" w:color="auto" w:fill="EAF0EE"/>
          </w:tcPr>
          <w:p>
            <w:pPr>
              <w:spacing w:after="20"/>
            </w:pPr>
            <w:r>
              <w:rPr>
                <w:b/>
                <w:color w:val="1C3A36"/>
                <w:sz w:val="17"/>
              </w:rPr>
              <w:t>9.01%</w:t>
            </w:r>
          </w:p>
        </w:tc>
        <w:tc>
          <w:tcPr>
            <w:tcW w:type="dxa" w:w="1368"/>
            <w:shd w:val="clear" w:color="auto" w:fill="EAF0EE"/>
          </w:tcPr>
          <w:p>
            <w:pPr>
              <w:spacing w:after="20"/>
            </w:pPr>
            <w:r>
              <w:rPr>
                <w:b/>
                <w:color w:val="1C3A36"/>
                <w:sz w:val="17"/>
              </w:rPr>
              <w:t>9.46%</w:t>
            </w:r>
          </w:p>
        </w:tc>
        <w:tc>
          <w:tcPr>
            <w:tcW w:type="dxa" w:w="1368"/>
            <w:shd w:val="clear" w:color="auto" w:fill="EAF0EE"/>
          </w:tcPr>
          <w:p>
            <w:pPr>
              <w:spacing w:after="20"/>
            </w:pPr>
            <w:r>
              <w:rPr>
                <w:b/>
                <w:color w:val="1C3A36"/>
                <w:sz w:val="17"/>
              </w:rPr>
              <w:t>10.17%</w:t>
            </w:r>
          </w:p>
        </w:tc>
        <w:tc>
          <w:tcPr>
            <w:tcW w:type="dxa" w:w="1368"/>
            <w:shd w:val="clear" w:color="auto" w:fill="EAF0EE"/>
          </w:tcPr>
          <w:p>
            <w:pPr>
              <w:spacing w:after="20"/>
            </w:pPr>
            <w:r>
              <w:rPr>
                <w:b/>
                <w:color w:val="1C3A36"/>
                <w:sz w:val="17"/>
              </w:rPr>
              <w:t>10.52%</w:t>
            </w:r>
          </w:p>
        </w:tc>
        <w:tc>
          <w:tcPr>
            <w:tcW w:type="dxa" w:w="1368"/>
            <w:shd w:val="clear" w:color="auto" w:fill="EAF0EE"/>
          </w:tcPr>
          <w:p>
            <w:pPr>
              <w:spacing w:after="20"/>
            </w:pPr>
            <w:r>
              <w:rPr>
                <w:b/>
                <w:color w:val="1C3A36"/>
                <w:sz w:val="17"/>
              </w:rPr>
              <w:t>11.0%</w:t>
            </w:r>
          </w:p>
        </w:tc>
      </w:tr>
      <w:tr>
        <w:tc>
          <w:tcPr>
            <w:tcW w:type="dxa" w:w="2160"/>
          </w:tcPr>
          <w:p>
            <w:pPr>
              <w:spacing w:after="20"/>
            </w:pPr>
            <w:r>
              <w:rPr>
                <w:color w:val="1C3A36"/>
                <w:sz w:val="17"/>
              </w:rPr>
              <w:t>DDM fair value</w:t>
            </w:r>
          </w:p>
        </w:tc>
        <w:tc>
          <w:tcPr>
            <w:tcW w:type="dxa" w:w="1368"/>
          </w:tcPr>
          <w:p>
            <w:pPr>
              <w:spacing w:after="20"/>
              <w:jc w:val="right"/>
            </w:pPr>
            <w:r>
              <w:rPr>
                <w:color w:val="1C3A36"/>
                <w:sz w:val="17"/>
              </w:rPr>
              <w:t>SAR 37.4</w:t>
            </w:r>
          </w:p>
        </w:tc>
        <w:tc>
          <w:tcPr>
            <w:tcW w:type="dxa" w:w="1368"/>
          </w:tcPr>
          <w:p>
            <w:pPr>
              <w:spacing w:after="20"/>
              <w:jc w:val="right"/>
            </w:pPr>
            <w:r>
              <w:rPr>
                <w:color w:val="1C3A36"/>
                <w:sz w:val="17"/>
              </w:rPr>
              <w:t>SAR 33.8</w:t>
            </w:r>
          </w:p>
        </w:tc>
        <w:tc>
          <w:tcPr>
            <w:tcW w:type="dxa" w:w="1368"/>
          </w:tcPr>
          <w:p>
            <w:pPr>
              <w:spacing w:after="20"/>
              <w:jc w:val="right"/>
            </w:pPr>
            <w:r>
              <w:rPr>
                <w:color w:val="1C3A36"/>
                <w:sz w:val="17"/>
              </w:rPr>
              <w:t>SAR 31.2</w:t>
            </w:r>
          </w:p>
        </w:tc>
        <w:tc>
          <w:tcPr>
            <w:tcW w:type="dxa" w:w="1368"/>
          </w:tcPr>
          <w:p>
            <w:pPr>
              <w:spacing w:after="20"/>
              <w:jc w:val="right"/>
            </w:pPr>
            <w:r>
              <w:rPr>
                <w:color w:val="1C3A36"/>
                <w:sz w:val="17"/>
              </w:rPr>
              <w:t>SAR 27.8</w:t>
            </w:r>
          </w:p>
        </w:tc>
        <w:tc>
          <w:tcPr>
            <w:tcW w:type="dxa" w:w="1368"/>
          </w:tcPr>
          <w:p>
            <w:pPr>
              <w:spacing w:after="20"/>
              <w:jc w:val="right"/>
            </w:pPr>
            <w:r>
              <w:rPr>
                <w:color w:val="1C3A36"/>
                <w:sz w:val="17"/>
              </w:rPr>
              <w:t>SAR 26.3</w:t>
            </w:r>
          </w:p>
        </w:tc>
        <w:tc>
          <w:tcPr>
            <w:tcW w:type="dxa" w:w="1368"/>
          </w:tcPr>
          <w:p>
            <w:pPr>
              <w:spacing w:after="20"/>
              <w:jc w:val="right"/>
            </w:pPr>
            <w:r>
              <w:rPr>
                <w:color w:val="1C3A36"/>
                <w:sz w:val="17"/>
              </w:rPr>
              <w:t>SAR 24.5</w:t>
            </w:r>
          </w:p>
        </w:tc>
      </w:tr>
      <w:tr>
        <w:tc>
          <w:tcPr>
            <w:tcW w:type="dxa" w:w="2160"/>
          </w:tcPr>
          <w:p>
            <w:pPr>
              <w:spacing w:after="20"/>
            </w:pPr>
            <w:r>
              <w:rPr>
                <w:color w:val="1C3A36"/>
                <w:sz w:val="17"/>
              </w:rPr>
              <w:t>vs spot</w:t>
            </w:r>
          </w:p>
        </w:tc>
        <w:tc>
          <w:tcPr>
            <w:tcW w:type="dxa" w:w="1368"/>
          </w:tcPr>
          <w:p>
            <w:pPr>
              <w:spacing w:after="20"/>
              <w:jc w:val="right"/>
            </w:pPr>
            <w:r>
              <w:rPr>
                <w:color w:val="1C3A36"/>
                <w:sz w:val="17"/>
              </w:rPr>
              <w:t>+56%</w:t>
            </w:r>
          </w:p>
        </w:tc>
        <w:tc>
          <w:tcPr>
            <w:tcW w:type="dxa" w:w="1368"/>
          </w:tcPr>
          <w:p>
            <w:pPr>
              <w:spacing w:after="20"/>
              <w:jc w:val="right"/>
            </w:pPr>
            <w:r>
              <w:rPr>
                <w:color w:val="1C3A36"/>
                <w:sz w:val="17"/>
              </w:rPr>
              <w:t>+41%</w:t>
            </w:r>
          </w:p>
        </w:tc>
        <w:tc>
          <w:tcPr>
            <w:tcW w:type="dxa" w:w="1368"/>
          </w:tcPr>
          <w:p>
            <w:pPr>
              <w:spacing w:after="20"/>
              <w:jc w:val="right"/>
            </w:pPr>
            <w:r>
              <w:rPr>
                <w:color w:val="1C3A36"/>
                <w:sz w:val="17"/>
              </w:rPr>
              <w:t>+30%</w:t>
            </w:r>
          </w:p>
        </w:tc>
        <w:tc>
          <w:tcPr>
            <w:tcW w:type="dxa" w:w="1368"/>
          </w:tcPr>
          <w:p>
            <w:pPr>
              <w:spacing w:after="20"/>
              <w:jc w:val="right"/>
            </w:pPr>
            <w:r>
              <w:rPr>
                <w:color w:val="1C3A36"/>
                <w:sz w:val="17"/>
              </w:rPr>
              <w:t>+16%</w:t>
            </w:r>
          </w:p>
        </w:tc>
        <w:tc>
          <w:tcPr>
            <w:tcW w:type="dxa" w:w="1368"/>
          </w:tcPr>
          <w:p>
            <w:pPr>
              <w:spacing w:after="20"/>
              <w:jc w:val="right"/>
            </w:pPr>
            <w:r>
              <w:rPr>
                <w:color w:val="1C3A36"/>
                <w:sz w:val="17"/>
              </w:rPr>
              <w:t>+10%</w:t>
            </w:r>
          </w:p>
        </w:tc>
        <w:tc>
          <w:tcPr>
            <w:tcW w:type="dxa" w:w="1368"/>
          </w:tcPr>
          <w:p>
            <w:pPr>
              <w:spacing w:after="20"/>
              <w:jc w:val="right"/>
            </w:pPr>
            <w:r>
              <w:rPr>
                <w:color w:val="1C3A36"/>
                <w:sz w:val="17"/>
              </w:rPr>
              <w:t>+2%</w:t>
            </w:r>
          </w:p>
        </w:tc>
      </w:tr>
    </w:tbl>
    <w:p>
      <w:pPr>
        <w:spacing w:after="40"/>
      </w:pPr>
    </w:p>
    <w:p>
      <w:pPr>
        <w:spacing w:after="120" w:before="0"/>
      </w:pPr>
      <w:r>
        <w:rPr>
          <w:b/>
          <w:i w:val="0"/>
          <w:color w:val="1C3A36"/>
          <w:sz w:val="21"/>
        </w:rPr>
        <w:t xml:space="preserve">(b) The NIM path.  </w:t>
      </w:r>
      <w:r>
        <w:rPr>
          <w:b w:val="0"/>
          <w:i w:val="0"/>
          <w:color w:val="1C3A36"/>
          <w:sz w:val="21"/>
        </w:rPr>
        <w:t>Each 10bp of through-forecast NIM is worth ~SAR 290mn of annual NII (~SAR 0.09 of EPS) and ~SAR 1.1–1.3/share of DDM value: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880"/>
            <w:shd w:val="clear" w:color="auto" w:fill="EAF0EE"/>
          </w:tcPr>
          <w:p>
            <w:pPr>
              <w:spacing w:after="20"/>
            </w:pPr>
            <w:r>
              <w:rPr>
                <w:b/>
                <w:color w:val="1C3A36"/>
                <w:sz w:val="17"/>
              </w:rPr>
              <w:t>Through-forecast NIM</w:t>
            </w:r>
          </w:p>
        </w:tc>
        <w:tc>
          <w:tcPr>
            <w:tcW w:type="dxa" w:w="1512"/>
            <w:shd w:val="clear" w:color="auto" w:fill="EAF0EE"/>
          </w:tcPr>
          <w:p>
            <w:pPr>
              <w:spacing w:after="20"/>
            </w:pPr>
            <w:r>
              <w:rPr>
                <w:b/>
                <w:color w:val="1C3A36"/>
                <w:sz w:val="17"/>
              </w:rPr>
              <w:t>3.20%</w:t>
            </w:r>
          </w:p>
        </w:tc>
        <w:tc>
          <w:tcPr>
            <w:tcW w:type="dxa" w:w="1512"/>
            <w:shd w:val="clear" w:color="auto" w:fill="EAF0EE"/>
          </w:tcPr>
          <w:p>
            <w:pPr>
              <w:spacing w:after="20"/>
            </w:pPr>
            <w:r>
              <w:rPr>
                <w:b/>
                <w:color w:val="1C3A36"/>
                <w:sz w:val="17"/>
              </w:rPr>
              <w:t>3.30%</w:t>
            </w:r>
          </w:p>
        </w:tc>
        <w:tc>
          <w:tcPr>
            <w:tcW w:type="dxa" w:w="1800"/>
            <w:shd w:val="clear" w:color="auto" w:fill="EAF0EE"/>
          </w:tcPr>
          <w:p>
            <w:pPr>
              <w:spacing w:after="20"/>
            </w:pPr>
            <w:r>
              <w:rPr>
                <w:b/>
                <w:color w:val="1C3A36"/>
                <w:sz w:val="17"/>
              </w:rPr>
              <w:t>3.40% (base)</w:t>
            </w:r>
          </w:p>
        </w:tc>
        <w:tc>
          <w:tcPr>
            <w:tcW w:type="dxa" w:w="1512"/>
            <w:shd w:val="clear" w:color="auto" w:fill="EAF0EE"/>
          </w:tcPr>
          <w:p>
            <w:pPr>
              <w:spacing w:after="20"/>
            </w:pPr>
            <w:r>
              <w:rPr>
                <w:b/>
                <w:color w:val="1C3A36"/>
                <w:sz w:val="17"/>
              </w:rPr>
              <w:t>3.50%</w:t>
            </w:r>
          </w:p>
        </w:tc>
        <w:tc>
          <w:tcPr>
            <w:tcW w:type="dxa" w:w="1512"/>
            <w:shd w:val="clear" w:color="auto" w:fill="EAF0EE"/>
          </w:tcPr>
          <w:p>
            <w:pPr>
              <w:spacing w:after="20"/>
            </w:pPr>
            <w:r>
              <w:rPr>
                <w:b/>
                <w:color w:val="1C3A36"/>
                <w:sz w:val="17"/>
              </w:rPr>
              <w:t>3.60%</w:t>
            </w:r>
          </w:p>
        </w:tc>
      </w:tr>
      <w:tr>
        <w:tc>
          <w:tcPr>
            <w:tcW w:type="dxa" w:w="2880"/>
          </w:tcPr>
          <w:p>
            <w:pPr>
              <w:spacing w:after="20"/>
            </w:pPr>
            <w:r>
              <w:rPr>
                <w:color w:val="1C3A36"/>
                <w:sz w:val="17"/>
              </w:rPr>
              <w:t>FY27e NII, SAR mn</w:t>
            </w:r>
          </w:p>
        </w:tc>
        <w:tc>
          <w:tcPr>
            <w:tcW w:type="dxa" w:w="1512"/>
          </w:tcPr>
          <w:p>
            <w:pPr>
              <w:spacing w:after="20"/>
              <w:jc w:val="right"/>
            </w:pPr>
            <w:r>
              <w:rPr>
                <w:color w:val="1C3A36"/>
                <w:sz w:val="17"/>
              </w:rPr>
              <w:t>9,987</w:t>
            </w:r>
          </w:p>
        </w:tc>
        <w:tc>
          <w:tcPr>
            <w:tcW w:type="dxa" w:w="1512"/>
          </w:tcPr>
          <w:p>
            <w:pPr>
              <w:spacing w:after="20"/>
              <w:jc w:val="right"/>
            </w:pPr>
            <w:r>
              <w:rPr>
                <w:color w:val="1C3A36"/>
                <w:sz w:val="17"/>
              </w:rPr>
              <w:t>10,300</w:t>
            </w:r>
          </w:p>
        </w:tc>
        <w:tc>
          <w:tcPr>
            <w:tcW w:type="dxa" w:w="1800"/>
          </w:tcPr>
          <w:p>
            <w:pPr>
              <w:spacing w:after="20"/>
              <w:jc w:val="right"/>
            </w:pPr>
            <w:r>
              <w:rPr>
                <w:color w:val="1C3A36"/>
                <w:sz w:val="17"/>
              </w:rPr>
              <w:t>10,612</w:t>
            </w:r>
          </w:p>
        </w:tc>
        <w:tc>
          <w:tcPr>
            <w:tcW w:type="dxa" w:w="1512"/>
          </w:tcPr>
          <w:p>
            <w:pPr>
              <w:spacing w:after="20"/>
              <w:jc w:val="right"/>
            </w:pPr>
            <w:r>
              <w:rPr>
                <w:color w:val="1C3A36"/>
                <w:sz w:val="17"/>
              </w:rPr>
              <w:t>10,924</w:t>
            </w:r>
          </w:p>
        </w:tc>
        <w:tc>
          <w:tcPr>
            <w:tcW w:type="dxa" w:w="1512"/>
          </w:tcPr>
          <w:p>
            <w:pPr>
              <w:spacing w:after="20"/>
              <w:jc w:val="right"/>
            </w:pPr>
            <w:r>
              <w:rPr>
                <w:color w:val="1C3A36"/>
                <w:sz w:val="17"/>
              </w:rPr>
              <w:t>11,236</w:t>
            </w:r>
          </w:p>
        </w:tc>
      </w:tr>
      <w:tr>
        <w:tc>
          <w:tcPr>
            <w:tcW w:type="dxa" w:w="2880"/>
          </w:tcPr>
          <w:p>
            <w:pPr>
              <w:spacing w:after="20"/>
            </w:pPr>
            <w:r>
              <w:rPr>
                <w:color w:val="1C3A36"/>
                <w:sz w:val="17"/>
              </w:rPr>
              <w:t>FY27e EPS</w:t>
            </w:r>
          </w:p>
        </w:tc>
        <w:tc>
          <w:tcPr>
            <w:tcW w:type="dxa" w:w="1512"/>
          </w:tcPr>
          <w:p>
            <w:pPr>
              <w:spacing w:after="20"/>
              <w:jc w:val="right"/>
            </w:pPr>
            <w:r>
              <w:rPr>
                <w:color w:val="1C3A36"/>
                <w:sz w:val="17"/>
              </w:rPr>
              <w:t>2.28</w:t>
            </w:r>
          </w:p>
        </w:tc>
        <w:tc>
          <w:tcPr>
            <w:tcW w:type="dxa" w:w="1512"/>
          </w:tcPr>
          <w:p>
            <w:pPr>
              <w:spacing w:after="20"/>
              <w:jc w:val="right"/>
            </w:pPr>
            <w:r>
              <w:rPr>
                <w:color w:val="1C3A36"/>
                <w:sz w:val="17"/>
              </w:rPr>
              <w:t>2.37</w:t>
            </w:r>
          </w:p>
        </w:tc>
        <w:tc>
          <w:tcPr>
            <w:tcW w:type="dxa" w:w="1800"/>
          </w:tcPr>
          <w:p>
            <w:pPr>
              <w:spacing w:after="20"/>
              <w:jc w:val="right"/>
            </w:pPr>
            <w:r>
              <w:rPr>
                <w:color w:val="1C3A36"/>
                <w:sz w:val="17"/>
              </w:rPr>
              <w:t>2.46</w:t>
            </w:r>
          </w:p>
        </w:tc>
        <w:tc>
          <w:tcPr>
            <w:tcW w:type="dxa" w:w="1512"/>
          </w:tcPr>
          <w:p>
            <w:pPr>
              <w:spacing w:after="20"/>
              <w:jc w:val="right"/>
            </w:pPr>
            <w:r>
              <w:rPr>
                <w:color w:val="1C3A36"/>
                <w:sz w:val="17"/>
              </w:rPr>
              <w:t>2.55</w:t>
            </w:r>
          </w:p>
        </w:tc>
        <w:tc>
          <w:tcPr>
            <w:tcW w:type="dxa" w:w="1512"/>
          </w:tcPr>
          <w:p>
            <w:pPr>
              <w:spacing w:after="20"/>
              <w:jc w:val="right"/>
            </w:pPr>
            <w:r>
              <w:rPr>
                <w:color w:val="1C3A36"/>
                <w:sz w:val="17"/>
              </w:rPr>
              <w:t>2.64</w:t>
            </w:r>
          </w:p>
        </w:tc>
      </w:tr>
      <w:tr>
        <w:tc>
          <w:tcPr>
            <w:tcW w:type="dxa" w:w="2880"/>
          </w:tcPr>
          <w:p>
            <w:pPr>
              <w:spacing w:after="20"/>
            </w:pPr>
            <w:r>
              <w:rPr>
                <w:color w:val="1C3A36"/>
                <w:sz w:val="17"/>
              </w:rPr>
              <w:t>DDM fair value</w:t>
            </w:r>
          </w:p>
        </w:tc>
        <w:tc>
          <w:tcPr>
            <w:tcW w:type="dxa" w:w="1512"/>
          </w:tcPr>
          <w:p>
            <w:pPr>
              <w:spacing w:after="20"/>
              <w:jc w:val="right"/>
            </w:pPr>
            <w:r>
              <w:rPr>
                <w:color w:val="1C3A36"/>
                <w:sz w:val="17"/>
              </w:rPr>
              <w:t>SAR 28.7</w:t>
            </w:r>
          </w:p>
        </w:tc>
        <w:tc>
          <w:tcPr>
            <w:tcW w:type="dxa" w:w="1512"/>
          </w:tcPr>
          <w:p>
            <w:pPr>
              <w:spacing w:after="20"/>
              <w:jc w:val="right"/>
            </w:pPr>
            <w:r>
              <w:rPr>
                <w:color w:val="1C3A36"/>
                <w:sz w:val="17"/>
              </w:rPr>
              <w:t>SAR 30.0</w:t>
            </w:r>
          </w:p>
        </w:tc>
        <w:tc>
          <w:tcPr>
            <w:tcW w:type="dxa" w:w="1800"/>
          </w:tcPr>
          <w:p>
            <w:pPr>
              <w:spacing w:after="20"/>
              <w:jc w:val="right"/>
            </w:pPr>
            <w:r>
              <w:rPr>
                <w:color w:val="1C3A36"/>
                <w:sz w:val="17"/>
              </w:rPr>
              <w:t>SAR 31.2</w:t>
            </w:r>
          </w:p>
        </w:tc>
        <w:tc>
          <w:tcPr>
            <w:tcW w:type="dxa" w:w="1512"/>
          </w:tcPr>
          <w:p>
            <w:pPr>
              <w:spacing w:after="20"/>
              <w:jc w:val="right"/>
            </w:pPr>
            <w:r>
              <w:rPr>
                <w:color w:val="1C3A36"/>
                <w:sz w:val="17"/>
              </w:rPr>
              <w:t>SAR 32.5</w:t>
            </w:r>
          </w:p>
        </w:tc>
        <w:tc>
          <w:tcPr>
            <w:tcW w:type="dxa" w:w="1512"/>
          </w:tcPr>
          <w:p>
            <w:pPr>
              <w:spacing w:after="20"/>
              <w:jc w:val="right"/>
            </w:pPr>
            <w:r>
              <w:rPr>
                <w:color w:val="1C3A36"/>
                <w:sz w:val="17"/>
              </w:rPr>
              <w:t>SAR 33.7</w:t>
            </w:r>
          </w:p>
        </w:tc>
      </w:tr>
    </w:tbl>
    <w:p>
      <w:pPr>
        <w:spacing w:after="40"/>
      </w:pPr>
    </w:p>
    <w:p>
      <w:pPr>
        <w:spacing w:after="120" w:before="0"/>
      </w:pPr>
      <w:r>
        <w:rPr>
          <w:b w:val="0"/>
          <w:i w:val="0"/>
          <w:color w:val="1C3A36"/>
          <w:sz w:val="19"/>
        </w:rPr>
        <w:t>Read together: the bear case needs BOTH a beta-1.0 discount rate AND a sub-3.3% NIM to push fair value to spot or below; either alone leaves the stock cheap-to-fair. That is what an asymmetric-but-conditional read looks like in real units.</w:t>
      </w:r>
    </w:p>
    <w:p>
      <w:pPr>
        <w:spacing w:after="80" w:before="200"/>
      </w:pPr>
      <w:r>
        <w:rPr>
          <w:b/>
          <w:i w:val="0"/>
          <w:color w:val="1C3A36"/>
          <w:sz w:val="24"/>
        </w:rPr>
        <w:t>1.9  Macro and country — SAMA, oil, and Vision 2030</w:t>
      </w:r>
    </w:p>
    <w:p>
      <w:pPr>
        <w:spacing w:after="120" w:before="0"/>
      </w:pPr>
      <w:r>
        <w:rPr>
          <w:b w:val="0"/>
          <w:i w:val="0"/>
          <w:color w:val="1C3A36"/>
          <w:sz w:val="19"/>
        </w:rPr>
        <w:t>Alinma is a leveraged, Sharia-compliant claim on Saudi non-oil growth. The peg outsources monetary policy: SAMA follows the Fed, so US cuts flow directly into SAIBOR and asset yields (management's FY25 guidance assumed −79bp of 3M SAIBOR). Vision-2030 project finance, mortgage expansion and SME formation drive volume; the fiscal breakeven oil price is the tail risk — a sustained oil slump slows government spending, which is the sector's true credit cycle. Damodaran's Jan-2026 file rates Saudi Aa3 (0.98% CDS): low default risk, non-trivial regional political risk.</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736"/>
            <w:shd w:val="clear" w:color="auto" w:fill="EAF0EE"/>
          </w:tcPr>
          <w:p>
            <w:pPr>
              <w:spacing w:after="20"/>
            </w:pPr>
            <w:r>
              <w:rPr>
                <w:b/>
                <w:color w:val="1C3A36"/>
                <w:sz w:val="18"/>
              </w:rPr>
              <w:t>Macro input</w:t>
            </w:r>
          </w:p>
        </w:tc>
        <w:tc>
          <w:tcPr>
            <w:tcW w:type="dxa" w:w="2592"/>
            <w:shd w:val="clear" w:color="auto" w:fill="EAF0EE"/>
          </w:tcPr>
          <w:p>
            <w:pPr>
              <w:spacing w:after="20"/>
            </w:pPr>
            <w:r>
              <w:rPr>
                <w:b/>
                <w:color w:val="1C3A36"/>
                <w:sz w:val="18"/>
              </w:rPr>
              <w:t>Level / assumption</w:t>
            </w:r>
          </w:p>
        </w:tc>
        <w:tc>
          <w:tcPr>
            <w:tcW w:type="dxa" w:w="4752"/>
            <w:shd w:val="clear" w:color="auto" w:fill="EAF0EE"/>
          </w:tcPr>
          <w:p>
            <w:pPr>
              <w:spacing w:after="20"/>
            </w:pPr>
            <w:r>
              <w:rPr>
                <w:b/>
                <w:color w:val="1C3A36"/>
                <w:sz w:val="18"/>
              </w:rPr>
              <w:t>Channel into the model</w:t>
            </w:r>
          </w:p>
        </w:tc>
      </w:tr>
      <w:tr>
        <w:tc>
          <w:tcPr>
            <w:tcW w:type="dxa" w:w="2736"/>
          </w:tcPr>
          <w:p>
            <w:pPr>
              <w:spacing w:after="20"/>
            </w:pPr>
            <w:r>
              <w:rPr>
                <w:color w:val="1C3A36"/>
                <w:sz w:val="18"/>
              </w:rPr>
              <w:t>SAMA policy (via Fed)</w:t>
            </w:r>
          </w:p>
        </w:tc>
        <w:tc>
          <w:tcPr>
            <w:tcW w:type="dxa" w:w="2592"/>
          </w:tcPr>
          <w:p>
            <w:pPr>
              <w:spacing w:after="20"/>
              <w:jc w:val="right"/>
            </w:pPr>
            <w:r>
              <w:rPr>
                <w:color w:val="1C3A36"/>
                <w:sz w:val="18"/>
              </w:rPr>
              <w:t>easing bias FY26</w:t>
            </w:r>
          </w:p>
        </w:tc>
        <w:tc>
          <w:tcPr>
            <w:tcW w:type="dxa" w:w="4752"/>
          </w:tcPr>
          <w:p>
            <w:pPr>
              <w:spacing w:after="20"/>
              <w:jc w:val="right"/>
            </w:pPr>
            <w:r>
              <w:rPr>
                <w:color w:val="1C3A36"/>
                <w:sz w:val="18"/>
              </w:rPr>
              <w:t>NIM glide 3.55→3.45→3.40%</w:t>
            </w:r>
          </w:p>
        </w:tc>
      </w:tr>
      <w:tr>
        <w:tc>
          <w:tcPr>
            <w:tcW w:type="dxa" w:w="2736"/>
          </w:tcPr>
          <w:p>
            <w:pPr>
              <w:spacing w:after="20"/>
            </w:pPr>
            <w:r>
              <w:rPr>
                <w:color w:val="1C3A36"/>
                <w:sz w:val="18"/>
              </w:rPr>
              <w:t>3M SAIBOR path</w:t>
            </w:r>
          </w:p>
        </w:tc>
        <w:tc>
          <w:tcPr>
            <w:tcW w:type="dxa" w:w="2592"/>
          </w:tcPr>
          <w:p>
            <w:pPr>
              <w:spacing w:after="20"/>
              <w:jc w:val="right"/>
            </w:pPr>
            <w:r>
              <w:rPr>
                <w:color w:val="1C3A36"/>
                <w:sz w:val="18"/>
              </w:rPr>
              <w:t>~ −80bp guided FY25→26</w:t>
            </w:r>
          </w:p>
        </w:tc>
        <w:tc>
          <w:tcPr>
            <w:tcW w:type="dxa" w:w="4752"/>
          </w:tcPr>
          <w:p>
            <w:pPr>
              <w:spacing w:after="20"/>
              <w:jc w:val="right"/>
            </w:pPr>
            <w:r>
              <w:rPr>
                <w:color w:val="1C3A36"/>
                <w:sz w:val="18"/>
              </w:rPr>
              <w:t>asset repricing beats funding relief</w:t>
            </w:r>
          </w:p>
        </w:tc>
      </w:tr>
      <w:tr>
        <w:tc>
          <w:tcPr>
            <w:tcW w:type="dxa" w:w="2736"/>
          </w:tcPr>
          <w:p>
            <w:pPr>
              <w:spacing w:after="20"/>
            </w:pPr>
            <w:r>
              <w:rPr>
                <w:color w:val="1C3A36"/>
                <w:sz w:val="18"/>
              </w:rPr>
              <w:t>Oil / fiscal stance</w:t>
            </w:r>
          </w:p>
        </w:tc>
        <w:tc>
          <w:tcPr>
            <w:tcW w:type="dxa" w:w="2592"/>
          </w:tcPr>
          <w:p>
            <w:pPr>
              <w:spacing w:after="20"/>
              <w:jc w:val="right"/>
            </w:pPr>
            <w:r>
              <w:rPr>
                <w:color w:val="1C3A36"/>
                <w:sz w:val="18"/>
              </w:rPr>
              <w:t>supportive at current prices</w:t>
            </w:r>
          </w:p>
        </w:tc>
        <w:tc>
          <w:tcPr>
            <w:tcW w:type="dxa" w:w="4752"/>
          </w:tcPr>
          <w:p>
            <w:pPr>
              <w:spacing w:after="20"/>
              <w:jc w:val="right"/>
            </w:pPr>
            <w:r>
              <w:rPr>
                <w:color w:val="1C3A36"/>
                <w:sz w:val="18"/>
              </w:rPr>
              <w:t>financing growth 13→8% fade</w:t>
            </w:r>
          </w:p>
        </w:tc>
      </w:tr>
      <w:tr>
        <w:tc>
          <w:tcPr>
            <w:tcW w:type="dxa" w:w="2736"/>
          </w:tcPr>
          <w:p>
            <w:pPr>
              <w:spacing w:after="20"/>
            </w:pPr>
            <w:r>
              <w:rPr>
                <w:color w:val="1C3A36"/>
                <w:sz w:val="18"/>
              </w:rPr>
              <w:t>USD/SAR peg</w:t>
            </w:r>
          </w:p>
        </w:tc>
        <w:tc>
          <w:tcPr>
            <w:tcW w:type="dxa" w:w="2592"/>
          </w:tcPr>
          <w:p>
            <w:pPr>
              <w:spacing w:after="20"/>
              <w:jc w:val="right"/>
            </w:pPr>
            <w:r>
              <w:rPr>
                <w:color w:val="1C3A36"/>
                <w:sz w:val="18"/>
              </w:rPr>
              <w:t>3.75 fixed</w:t>
            </w:r>
          </w:p>
        </w:tc>
        <w:tc>
          <w:tcPr>
            <w:tcW w:type="dxa" w:w="4752"/>
          </w:tcPr>
          <w:p>
            <w:pPr>
              <w:spacing w:after="20"/>
              <w:jc w:val="right"/>
            </w:pPr>
            <w:r>
              <w:rPr>
                <w:color w:val="1C3A36"/>
                <w:sz w:val="18"/>
              </w:rPr>
              <w:t>no FX leg in Ke; rf in SAR terms</w:t>
            </w:r>
          </w:p>
        </w:tc>
      </w:tr>
      <w:tr>
        <w:tc>
          <w:tcPr>
            <w:tcW w:type="dxa" w:w="2736"/>
          </w:tcPr>
          <w:p>
            <w:pPr>
              <w:spacing w:after="20"/>
            </w:pPr>
            <w:r>
              <w:rPr>
                <w:color w:val="1C3A36"/>
                <w:sz w:val="18"/>
              </w:rPr>
              <w:t>Zakat regime</w:t>
            </w:r>
          </w:p>
        </w:tc>
        <w:tc>
          <w:tcPr>
            <w:tcW w:type="dxa" w:w="2592"/>
          </w:tcPr>
          <w:p>
            <w:pPr>
              <w:spacing w:after="20"/>
              <w:jc w:val="right"/>
            </w:pPr>
            <w:r>
              <w:rPr>
                <w:color w:val="1C3A36"/>
                <w:sz w:val="18"/>
              </w:rPr>
              <w:t>~10.2% effective</w:t>
            </w:r>
          </w:p>
        </w:tc>
        <w:tc>
          <w:tcPr>
            <w:tcW w:type="dxa" w:w="4752"/>
          </w:tcPr>
          <w:p>
            <w:pPr>
              <w:spacing w:after="20"/>
              <w:jc w:val="right"/>
            </w:pPr>
            <w:r>
              <w:rPr>
                <w:color w:val="1C3A36"/>
                <w:sz w:val="18"/>
              </w:rPr>
              <w:t>held flat through the forecast</w:t>
            </w:r>
          </w:p>
        </w:tc>
      </w:tr>
    </w:tbl>
    <w:p>
      <w:pPr>
        <w:spacing w:after="40"/>
      </w:pPr>
    </w:p>
    <w:p>
      <w:pPr>
        <w:spacing w:after="80" w:before="200"/>
      </w:pPr>
      <w:r>
        <w:rPr>
          <w:b/>
          <w:i w:val="0"/>
          <w:color w:val="1C3A36"/>
          <w:sz w:val="24"/>
        </w:rPr>
        <w:t>1.10  DDM sensitivity — Ke × terminal growth</w:t>
      </w:r>
    </w:p>
    <w:p>
      <w:pPr>
        <w:spacing w:after="40"/>
        <w:jc w:val="center"/>
      </w:pPr>
      <w:r>
        <w:drawing>
          <wp:inline xmlns:a="http://schemas.openxmlformats.org/drawingml/2006/main" xmlns:pic="http://schemas.openxmlformats.org/drawingml/2006/picture">
            <wp:extent cx="5852160" cy="2851052"/>
            <wp:docPr id="3" name="Picture 3"/>
            <wp:cNvGraphicFramePr>
              <a:graphicFrameLocks noChangeAspect="1"/>
            </wp:cNvGraphicFramePr>
            <a:graphic>
              <a:graphicData uri="http://schemas.openxmlformats.org/drawingml/2006/picture">
                <pic:pic>
                  <pic:nvPicPr>
                    <pic:cNvPr id="0" name="fig2_sens.png"/>
                    <pic:cNvPicPr/>
                  </pic:nvPicPr>
                  <pic:blipFill>
                    <a:blip r:embed="rId11"/>
                    <a:stretch>
                      <a:fillRect/>
                    </a:stretch>
                  </pic:blipFill>
                  <pic:spPr>
                    <a:xfrm>
                      <a:off x="0" y="0"/>
                      <a:ext cx="5852160" cy="2851052"/>
                    </a:xfrm>
                    <a:prstGeom prst="rect"/>
                  </pic:spPr>
                </pic:pic>
              </a:graphicData>
            </a:graphic>
          </wp:inline>
        </w:drawing>
      </w:r>
    </w:p>
    <w:p>
      <w:pPr>
        <w:spacing w:after="200" w:before="0"/>
      </w:pPr>
      <w:r>
        <w:rPr>
          <w:b w:val="0"/>
          <w:i/>
          <w:color w:val="6E7B77"/>
          <w:sz w:val="17"/>
        </w:rPr>
        <w:t>Figure 3 — DDM fair value across the Ke × terminal-g rectangle. Bold cells ≈ spot: the market is pricing roughly Ke 10–10.5% at g 2.5–3.0%.</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1656"/>
            <w:shd w:val="clear" w:color="auto" w:fill="EAF0EE"/>
          </w:tcPr>
          <w:p>
            <w:pPr>
              <w:spacing w:after="20"/>
            </w:pPr>
            <w:r>
              <w:rPr>
                <w:b/>
                <w:color w:val="1C3A36"/>
                <w:sz w:val="17"/>
              </w:rPr>
              <w:t>Ke \ g</w:t>
            </w:r>
          </w:p>
        </w:tc>
        <w:tc>
          <w:tcPr>
            <w:tcW w:type="dxa" w:w="1440"/>
            <w:shd w:val="clear" w:color="auto" w:fill="EAF0EE"/>
          </w:tcPr>
          <w:p>
            <w:pPr>
              <w:spacing w:after="20"/>
            </w:pPr>
            <w:r>
              <w:rPr>
                <w:b/>
                <w:color w:val="1C3A36"/>
                <w:sz w:val="17"/>
              </w:rPr>
              <w:t>2.0%</w:t>
            </w:r>
          </w:p>
        </w:tc>
        <w:tc>
          <w:tcPr>
            <w:tcW w:type="dxa" w:w="1440"/>
            <w:shd w:val="clear" w:color="auto" w:fill="EAF0EE"/>
          </w:tcPr>
          <w:p>
            <w:pPr>
              <w:spacing w:after="20"/>
            </w:pPr>
            <w:r>
              <w:rPr>
                <w:b/>
                <w:color w:val="1C3A36"/>
                <w:sz w:val="17"/>
              </w:rPr>
              <w:t>2.5%</w:t>
            </w:r>
          </w:p>
        </w:tc>
        <w:tc>
          <w:tcPr>
            <w:tcW w:type="dxa" w:w="1440"/>
            <w:shd w:val="clear" w:color="auto" w:fill="EAF0EE"/>
          </w:tcPr>
          <w:p>
            <w:pPr>
              <w:spacing w:after="20"/>
            </w:pPr>
            <w:r>
              <w:rPr>
                <w:b/>
                <w:color w:val="1C3A36"/>
                <w:sz w:val="17"/>
              </w:rPr>
              <w:t>3.0%</w:t>
            </w:r>
          </w:p>
        </w:tc>
        <w:tc>
          <w:tcPr>
            <w:tcW w:type="dxa" w:w="1440"/>
            <w:shd w:val="clear" w:color="auto" w:fill="EAF0EE"/>
          </w:tcPr>
          <w:p>
            <w:pPr>
              <w:spacing w:after="20"/>
            </w:pPr>
            <w:r>
              <w:rPr>
                <w:b/>
                <w:color w:val="1C3A36"/>
                <w:sz w:val="17"/>
              </w:rPr>
              <w:t>3.5%</w:t>
            </w:r>
          </w:p>
        </w:tc>
        <w:tc>
          <w:tcPr>
            <w:tcW w:type="dxa" w:w="1440"/>
            <w:shd w:val="clear" w:color="auto" w:fill="EAF0EE"/>
          </w:tcPr>
          <w:p>
            <w:pPr>
              <w:spacing w:after="20"/>
            </w:pPr>
            <w:r>
              <w:rPr>
                <w:b/>
                <w:color w:val="1C3A36"/>
                <w:sz w:val="17"/>
              </w:rPr>
              <w:t>4.0%</w:t>
            </w:r>
          </w:p>
        </w:tc>
      </w:tr>
      <w:tr>
        <w:tc>
          <w:tcPr>
            <w:tcW w:type="dxa" w:w="1656"/>
          </w:tcPr>
          <w:p>
            <w:pPr>
              <w:spacing w:after="20"/>
            </w:pPr>
            <w:r>
              <w:rPr>
                <w:color w:val="1C3A36"/>
                <w:sz w:val="17"/>
              </w:rPr>
              <w:t>8.00%</w:t>
            </w:r>
          </w:p>
        </w:tc>
        <w:tc>
          <w:tcPr>
            <w:tcW w:type="dxa" w:w="1440"/>
          </w:tcPr>
          <w:p>
            <w:pPr>
              <w:spacing w:after="20"/>
              <w:jc w:val="right"/>
            </w:pPr>
            <w:r>
              <w:rPr>
                <w:color w:val="1C3A36"/>
                <w:sz w:val="17"/>
              </w:rPr>
              <w:t>37.4</w:t>
            </w:r>
          </w:p>
        </w:tc>
        <w:tc>
          <w:tcPr>
            <w:tcW w:type="dxa" w:w="1440"/>
          </w:tcPr>
          <w:p>
            <w:pPr>
              <w:spacing w:after="20"/>
              <w:jc w:val="right"/>
            </w:pPr>
            <w:r>
              <w:rPr>
                <w:color w:val="1C3A36"/>
                <w:sz w:val="17"/>
              </w:rPr>
              <w:t>39.3</w:t>
            </w:r>
          </w:p>
        </w:tc>
        <w:tc>
          <w:tcPr>
            <w:tcW w:type="dxa" w:w="1440"/>
          </w:tcPr>
          <w:p>
            <w:pPr>
              <w:spacing w:after="20"/>
              <w:jc w:val="right"/>
            </w:pPr>
            <w:r>
              <w:rPr>
                <w:color w:val="1C3A36"/>
                <w:sz w:val="17"/>
              </w:rPr>
              <w:t>41.5</w:t>
            </w:r>
          </w:p>
        </w:tc>
        <w:tc>
          <w:tcPr>
            <w:tcW w:type="dxa" w:w="1440"/>
          </w:tcPr>
          <w:p>
            <w:pPr>
              <w:spacing w:after="20"/>
              <w:jc w:val="right"/>
            </w:pPr>
            <w:r>
              <w:rPr>
                <w:color w:val="1C3A36"/>
                <w:sz w:val="17"/>
              </w:rPr>
              <w:t>44.1</w:t>
            </w:r>
          </w:p>
        </w:tc>
        <w:tc>
          <w:tcPr>
            <w:tcW w:type="dxa" w:w="1440"/>
          </w:tcPr>
          <w:p>
            <w:pPr>
              <w:spacing w:after="20"/>
              <w:jc w:val="right"/>
            </w:pPr>
            <w:r>
              <w:rPr>
                <w:color w:val="1C3A36"/>
                <w:sz w:val="17"/>
              </w:rPr>
              <w:t>47.4</w:t>
            </w:r>
          </w:p>
        </w:tc>
      </w:tr>
      <w:tr>
        <w:tc>
          <w:tcPr>
            <w:tcW w:type="dxa" w:w="1656"/>
          </w:tcPr>
          <w:p>
            <w:pPr>
              <w:spacing w:after="20"/>
            </w:pPr>
            <w:r>
              <w:rPr>
                <w:color w:val="1C3A36"/>
                <w:sz w:val="17"/>
              </w:rPr>
              <w:t>8.75%</w:t>
            </w:r>
          </w:p>
        </w:tc>
        <w:tc>
          <w:tcPr>
            <w:tcW w:type="dxa" w:w="1440"/>
          </w:tcPr>
          <w:p>
            <w:pPr>
              <w:spacing w:after="20"/>
              <w:jc w:val="right"/>
            </w:pPr>
            <w:r>
              <w:rPr>
                <w:color w:val="1C3A36"/>
                <w:sz w:val="17"/>
              </w:rPr>
              <w:t>32.7</w:t>
            </w:r>
          </w:p>
        </w:tc>
        <w:tc>
          <w:tcPr>
            <w:tcW w:type="dxa" w:w="1440"/>
          </w:tcPr>
          <w:p>
            <w:pPr>
              <w:spacing w:after="20"/>
              <w:jc w:val="right"/>
            </w:pPr>
            <w:r>
              <w:rPr>
                <w:color w:val="1C3A36"/>
                <w:sz w:val="17"/>
              </w:rPr>
              <w:t>34.0</w:t>
            </w:r>
          </w:p>
        </w:tc>
        <w:tc>
          <w:tcPr>
            <w:tcW w:type="dxa" w:w="1440"/>
          </w:tcPr>
          <w:p>
            <w:pPr>
              <w:spacing w:after="20"/>
              <w:jc w:val="right"/>
            </w:pPr>
            <w:r>
              <w:rPr>
                <w:color w:val="1C3A36"/>
                <w:sz w:val="17"/>
              </w:rPr>
              <w:t>35.5</w:t>
            </w:r>
          </w:p>
        </w:tc>
        <w:tc>
          <w:tcPr>
            <w:tcW w:type="dxa" w:w="1440"/>
          </w:tcPr>
          <w:p>
            <w:pPr>
              <w:spacing w:after="20"/>
              <w:jc w:val="right"/>
            </w:pPr>
            <w:r>
              <w:rPr>
                <w:color w:val="1C3A36"/>
                <w:sz w:val="17"/>
              </w:rPr>
              <w:t>37.3</w:t>
            </w:r>
          </w:p>
        </w:tc>
        <w:tc>
          <w:tcPr>
            <w:tcW w:type="dxa" w:w="1440"/>
          </w:tcPr>
          <w:p>
            <w:pPr>
              <w:spacing w:after="20"/>
              <w:jc w:val="right"/>
            </w:pPr>
            <w:r>
              <w:rPr>
                <w:color w:val="1C3A36"/>
                <w:sz w:val="17"/>
              </w:rPr>
              <w:t>39.4</w:t>
            </w:r>
          </w:p>
        </w:tc>
      </w:tr>
      <w:tr>
        <w:tc>
          <w:tcPr>
            <w:tcW w:type="dxa" w:w="1656"/>
          </w:tcPr>
          <w:p>
            <w:pPr>
              <w:spacing w:after="20"/>
            </w:pPr>
            <w:r>
              <w:rPr>
                <w:color w:val="1C3A36"/>
                <w:sz w:val="17"/>
              </w:rPr>
              <w:t>9.46%</w:t>
            </w:r>
          </w:p>
        </w:tc>
        <w:tc>
          <w:tcPr>
            <w:tcW w:type="dxa" w:w="1440"/>
          </w:tcPr>
          <w:p>
            <w:pPr>
              <w:spacing w:after="20"/>
              <w:jc w:val="right"/>
            </w:pPr>
            <w:r>
              <w:rPr>
                <w:color w:val="1C3A36"/>
                <w:sz w:val="17"/>
              </w:rPr>
              <w:t>29.2</w:t>
            </w:r>
          </w:p>
        </w:tc>
        <w:tc>
          <w:tcPr>
            <w:tcW w:type="dxa" w:w="1440"/>
          </w:tcPr>
          <w:p>
            <w:pPr>
              <w:spacing w:after="20"/>
              <w:jc w:val="right"/>
            </w:pPr>
            <w:r>
              <w:rPr>
                <w:color w:val="1C3A36"/>
                <w:sz w:val="17"/>
              </w:rPr>
              <w:t>30.1</w:t>
            </w:r>
          </w:p>
        </w:tc>
        <w:tc>
          <w:tcPr>
            <w:tcW w:type="dxa" w:w="1440"/>
          </w:tcPr>
          <w:p>
            <w:pPr>
              <w:spacing w:after="20"/>
              <w:jc w:val="right"/>
            </w:pPr>
            <w:r>
              <w:rPr>
                <w:color w:val="1C3A36"/>
                <w:sz w:val="17"/>
              </w:rPr>
              <w:t>31.2</w:t>
            </w:r>
          </w:p>
        </w:tc>
        <w:tc>
          <w:tcPr>
            <w:tcW w:type="dxa" w:w="1440"/>
          </w:tcPr>
          <w:p>
            <w:pPr>
              <w:spacing w:after="20"/>
              <w:jc w:val="right"/>
            </w:pPr>
            <w:r>
              <w:rPr>
                <w:color w:val="1C3A36"/>
                <w:sz w:val="17"/>
              </w:rPr>
              <w:t>32.5</w:t>
            </w:r>
          </w:p>
        </w:tc>
        <w:tc>
          <w:tcPr>
            <w:tcW w:type="dxa" w:w="1440"/>
          </w:tcPr>
          <w:p>
            <w:pPr>
              <w:spacing w:after="20"/>
              <w:jc w:val="right"/>
            </w:pPr>
            <w:r>
              <w:rPr>
                <w:color w:val="1C3A36"/>
                <w:sz w:val="17"/>
              </w:rPr>
              <w:t>33.9</w:t>
            </w:r>
          </w:p>
        </w:tc>
      </w:tr>
      <w:tr>
        <w:tc>
          <w:tcPr>
            <w:tcW w:type="dxa" w:w="1656"/>
          </w:tcPr>
          <w:p>
            <w:pPr>
              <w:spacing w:after="20"/>
            </w:pPr>
            <w:r>
              <w:rPr>
                <w:color w:val="1C3A36"/>
                <w:sz w:val="17"/>
              </w:rPr>
              <w:t>10.17%</w:t>
            </w:r>
          </w:p>
        </w:tc>
        <w:tc>
          <w:tcPr>
            <w:tcW w:type="dxa" w:w="1440"/>
          </w:tcPr>
          <w:p>
            <w:pPr>
              <w:spacing w:after="20"/>
              <w:jc w:val="right"/>
            </w:pPr>
            <w:r>
              <w:rPr>
                <w:color w:val="1C3A36"/>
                <w:sz w:val="17"/>
              </w:rPr>
              <w:t>26.3</w:t>
            </w:r>
          </w:p>
        </w:tc>
        <w:tc>
          <w:tcPr>
            <w:tcW w:type="dxa" w:w="1440"/>
          </w:tcPr>
          <w:p>
            <w:pPr>
              <w:spacing w:after="20"/>
              <w:jc w:val="right"/>
            </w:pPr>
            <w:r>
              <w:rPr>
                <w:color w:val="1C3A36"/>
                <w:sz w:val="17"/>
              </w:rPr>
              <w:t>27.0</w:t>
            </w:r>
          </w:p>
        </w:tc>
        <w:tc>
          <w:tcPr>
            <w:tcW w:type="dxa" w:w="1440"/>
          </w:tcPr>
          <w:p>
            <w:pPr>
              <w:spacing w:after="20"/>
              <w:jc w:val="right"/>
            </w:pPr>
            <w:r>
              <w:rPr>
                <w:color w:val="1C3A36"/>
                <w:sz w:val="17"/>
              </w:rPr>
              <w:t>27.8</w:t>
            </w:r>
          </w:p>
        </w:tc>
        <w:tc>
          <w:tcPr>
            <w:tcW w:type="dxa" w:w="1440"/>
          </w:tcPr>
          <w:p>
            <w:pPr>
              <w:spacing w:after="20"/>
              <w:jc w:val="right"/>
            </w:pPr>
            <w:r>
              <w:rPr>
                <w:color w:val="1C3A36"/>
                <w:sz w:val="17"/>
              </w:rPr>
              <w:t>28.6</w:t>
            </w:r>
          </w:p>
        </w:tc>
        <w:tc>
          <w:tcPr>
            <w:tcW w:type="dxa" w:w="1440"/>
          </w:tcPr>
          <w:p>
            <w:pPr>
              <w:spacing w:after="20"/>
              <w:jc w:val="right"/>
            </w:pPr>
            <w:r>
              <w:rPr>
                <w:color w:val="1C3A36"/>
                <w:sz w:val="17"/>
              </w:rPr>
              <w:t>29.7</w:t>
            </w:r>
          </w:p>
        </w:tc>
      </w:tr>
      <w:tr>
        <w:tc>
          <w:tcPr>
            <w:tcW w:type="dxa" w:w="1656"/>
          </w:tcPr>
          <w:p>
            <w:pPr>
              <w:spacing w:after="20"/>
            </w:pPr>
            <w:r>
              <w:rPr>
                <w:color w:val="1C3A36"/>
                <w:sz w:val="17"/>
              </w:rPr>
              <w:t>11.00%</w:t>
            </w:r>
          </w:p>
        </w:tc>
        <w:tc>
          <w:tcPr>
            <w:tcW w:type="dxa" w:w="1440"/>
          </w:tcPr>
          <w:p>
            <w:pPr>
              <w:spacing w:after="20"/>
              <w:jc w:val="right"/>
            </w:pPr>
            <w:r>
              <w:rPr>
                <w:color w:val="1C3A36"/>
                <w:sz w:val="17"/>
              </w:rPr>
              <w:t>23.5</w:t>
            </w:r>
          </w:p>
        </w:tc>
        <w:tc>
          <w:tcPr>
            <w:tcW w:type="dxa" w:w="1440"/>
          </w:tcPr>
          <w:p>
            <w:pPr>
              <w:spacing w:after="20"/>
              <w:jc w:val="right"/>
            </w:pPr>
            <w:r>
              <w:rPr>
                <w:color w:val="1C3A36"/>
                <w:sz w:val="17"/>
              </w:rPr>
              <w:t>24.0</w:t>
            </w:r>
          </w:p>
        </w:tc>
        <w:tc>
          <w:tcPr>
            <w:tcW w:type="dxa" w:w="1440"/>
          </w:tcPr>
          <w:p>
            <w:pPr>
              <w:spacing w:after="20"/>
              <w:jc w:val="right"/>
            </w:pPr>
            <w:r>
              <w:rPr>
                <w:color w:val="1C3A36"/>
                <w:sz w:val="17"/>
              </w:rPr>
              <w:t>24.5</w:t>
            </w:r>
          </w:p>
        </w:tc>
        <w:tc>
          <w:tcPr>
            <w:tcW w:type="dxa" w:w="1440"/>
          </w:tcPr>
          <w:p>
            <w:pPr>
              <w:spacing w:after="20"/>
              <w:jc w:val="right"/>
            </w:pPr>
            <w:r>
              <w:rPr>
                <w:color w:val="1C3A36"/>
                <w:sz w:val="17"/>
              </w:rPr>
              <w:t>25.1</w:t>
            </w:r>
          </w:p>
        </w:tc>
        <w:tc>
          <w:tcPr>
            <w:tcW w:type="dxa" w:w="1440"/>
          </w:tcPr>
          <w:p>
            <w:pPr>
              <w:spacing w:after="20"/>
              <w:jc w:val="right"/>
            </w:pPr>
            <w:r>
              <w:rPr>
                <w:color w:val="1C3A36"/>
                <w:sz w:val="17"/>
              </w:rPr>
              <w:t>25.8</w:t>
            </w:r>
          </w:p>
        </w:tc>
      </w:tr>
    </w:tbl>
    <w:p>
      <w:pPr>
        <w:spacing w:after="40"/>
      </w:pPr>
    </w:p>
    <w:p>
      <w:pPr>
        <w:spacing w:after="120" w:before="280"/>
      </w:pPr>
      <w:r>
        <w:rPr>
          <w:b/>
          <w:i w:val="0"/>
          <w:color w:val="1C3A36"/>
          <w:sz w:val="30"/>
        </w:rPr>
        <w:t>2  Technical and price structure</w:t>
      </w:r>
    </w:p>
    <w:p>
      <w:pPr>
        <w:spacing w:after="120" w:before="0"/>
      </w:pPr>
      <w:r>
        <w:rPr>
          <w:b w:val="0"/>
          <w:i w:val="0"/>
          <w:color w:val="1C3A36"/>
          <w:sz w:val="21"/>
        </w:rPr>
        <w:t>The tape is corrective inside a long advance. Price 24.00 sits below the 20/50/100-day averages with only the 200-day (22.72) still underfoot; the 52-week range is 20.05–25.47, so spot is ~-6% off the high after the strong 2025 run. RSI(14) at 11 is neutral-soft, and the MACD histogram (-0.14) is negative but flattening — momentum bleeding out rather than accelerating down.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448"/>
            <w:shd w:val="clear" w:color="auto" w:fill="EAF0EE"/>
          </w:tcPr>
          <w:p>
            <w:pPr>
              <w:spacing w:after="20"/>
            </w:pPr>
            <w:r>
              <w:rPr>
                <w:b/>
                <w:color w:val="1C3A36"/>
                <w:sz w:val="18"/>
              </w:rPr>
              <w:t>Indicator</w:t>
            </w:r>
          </w:p>
        </w:tc>
        <w:tc>
          <w:tcPr>
            <w:tcW w:type="dxa" w:w="3168"/>
            <w:shd w:val="clear" w:color="auto" w:fill="EAF0EE"/>
          </w:tcPr>
          <w:p>
            <w:pPr>
              <w:spacing w:after="20"/>
            </w:pPr>
            <w:r>
              <w:rPr>
                <w:b/>
                <w:color w:val="1C3A36"/>
                <w:sz w:val="18"/>
              </w:rPr>
              <w:t>Level</w:t>
            </w:r>
          </w:p>
        </w:tc>
        <w:tc>
          <w:tcPr>
            <w:tcW w:type="dxa" w:w="4464"/>
            <w:shd w:val="clear" w:color="auto" w:fill="EAF0EE"/>
          </w:tcPr>
          <w:p>
            <w:pPr>
              <w:spacing w:after="20"/>
            </w:pPr>
            <w:r>
              <w:rPr>
                <w:b/>
                <w:color w:val="1C3A36"/>
                <w:sz w:val="18"/>
              </w:rPr>
              <w:t>Read</w:t>
            </w:r>
          </w:p>
        </w:tc>
      </w:tr>
      <w:tr>
        <w:tc>
          <w:tcPr>
            <w:tcW w:type="dxa" w:w="2448"/>
          </w:tcPr>
          <w:p>
            <w:pPr>
              <w:spacing w:after="20"/>
            </w:pPr>
            <w:r>
              <w:rPr>
                <w:color w:val="1C3A36"/>
                <w:sz w:val="18"/>
              </w:rPr>
              <w:t>Close (07 Jul 2026)</w:t>
            </w:r>
          </w:p>
        </w:tc>
        <w:tc>
          <w:tcPr>
            <w:tcW w:type="dxa" w:w="3168"/>
          </w:tcPr>
          <w:p>
            <w:pPr>
              <w:spacing w:after="20"/>
              <w:jc w:val="right"/>
            </w:pPr>
            <w:r>
              <w:rPr>
                <w:color w:val="1C3A36"/>
                <w:sz w:val="18"/>
              </w:rPr>
              <w:t>24.00</w:t>
            </w:r>
          </w:p>
        </w:tc>
        <w:tc>
          <w:tcPr>
            <w:tcW w:type="dxa" w:w="4464"/>
          </w:tcPr>
          <w:p>
            <w:pPr>
              <w:spacing w:after="20"/>
              <w:jc w:val="right"/>
            </w:pPr>
            <w:r>
              <w:rPr>
                <w:color w:val="1C3A36"/>
                <w:sz w:val="18"/>
              </w:rPr>
              <w:t>—</w:t>
            </w:r>
          </w:p>
        </w:tc>
      </w:tr>
      <w:tr>
        <w:tc>
          <w:tcPr>
            <w:tcW w:type="dxa" w:w="2448"/>
          </w:tcPr>
          <w:p>
            <w:pPr>
              <w:spacing w:after="20"/>
            </w:pPr>
            <w:r>
              <w:rPr>
                <w:color w:val="1C3A36"/>
                <w:sz w:val="18"/>
              </w:rPr>
              <w:t>MA20 / MA50</w:t>
            </w:r>
          </w:p>
        </w:tc>
        <w:tc>
          <w:tcPr>
            <w:tcW w:type="dxa" w:w="3168"/>
          </w:tcPr>
          <w:p>
            <w:pPr>
              <w:spacing w:after="20"/>
              <w:jc w:val="right"/>
            </w:pPr>
            <w:r>
              <w:rPr>
                <w:color w:val="1C3A36"/>
                <w:sz w:val="18"/>
              </w:rPr>
              <w:t>24.77 / 24.32</w:t>
            </w:r>
          </w:p>
        </w:tc>
        <w:tc>
          <w:tcPr>
            <w:tcW w:type="dxa" w:w="4464"/>
          </w:tcPr>
          <w:p>
            <w:pPr>
              <w:spacing w:after="20"/>
              <w:jc w:val="right"/>
            </w:pPr>
            <w:r>
              <w:rPr>
                <w:color w:val="1C3A36"/>
                <w:sz w:val="18"/>
              </w:rPr>
              <w:t>price below both — corrective</w:t>
            </w:r>
          </w:p>
        </w:tc>
      </w:tr>
      <w:tr>
        <w:tc>
          <w:tcPr>
            <w:tcW w:type="dxa" w:w="2448"/>
          </w:tcPr>
          <w:p>
            <w:pPr>
              <w:spacing w:after="20"/>
            </w:pPr>
            <w:r>
              <w:rPr>
                <w:color w:val="1C3A36"/>
                <w:sz w:val="18"/>
              </w:rPr>
              <w:t>MA100 / MA200</w:t>
            </w:r>
          </w:p>
        </w:tc>
        <w:tc>
          <w:tcPr>
            <w:tcW w:type="dxa" w:w="3168"/>
          </w:tcPr>
          <w:p>
            <w:pPr>
              <w:spacing w:after="20"/>
              <w:jc w:val="right"/>
            </w:pPr>
            <w:r>
              <w:rPr>
                <w:color w:val="1C3A36"/>
                <w:sz w:val="18"/>
              </w:rPr>
              <w:t>24.12 / 22.72</w:t>
            </w:r>
          </w:p>
        </w:tc>
        <w:tc>
          <w:tcPr>
            <w:tcW w:type="dxa" w:w="4464"/>
          </w:tcPr>
          <w:p>
            <w:pPr>
              <w:spacing w:after="20"/>
              <w:jc w:val="right"/>
            </w:pPr>
            <w:r>
              <w:rPr>
                <w:color w:val="1C3A36"/>
                <w:sz w:val="18"/>
              </w:rPr>
              <w:t>below MA100, above MA200 — long trend intact</w:t>
            </w:r>
          </w:p>
        </w:tc>
      </w:tr>
      <w:tr>
        <w:tc>
          <w:tcPr>
            <w:tcW w:type="dxa" w:w="2448"/>
          </w:tcPr>
          <w:p>
            <w:pPr>
              <w:spacing w:after="20"/>
            </w:pPr>
            <w:r>
              <w:rPr>
                <w:color w:val="1C3A36"/>
                <w:sz w:val="18"/>
              </w:rPr>
              <w:t>RSI(14)</w:t>
            </w:r>
          </w:p>
        </w:tc>
        <w:tc>
          <w:tcPr>
            <w:tcW w:type="dxa" w:w="3168"/>
          </w:tcPr>
          <w:p>
            <w:pPr>
              <w:spacing w:after="20"/>
              <w:jc w:val="right"/>
            </w:pPr>
            <w:r>
              <w:rPr>
                <w:color w:val="1C3A36"/>
                <w:sz w:val="18"/>
              </w:rPr>
              <w:t>11</w:t>
            </w:r>
          </w:p>
        </w:tc>
        <w:tc>
          <w:tcPr>
            <w:tcW w:type="dxa" w:w="4464"/>
          </w:tcPr>
          <w:p>
            <w:pPr>
              <w:spacing w:after="20"/>
              <w:jc w:val="right"/>
            </w:pPr>
            <w:r>
              <w:rPr>
                <w:color w:val="1C3A36"/>
                <w:sz w:val="18"/>
              </w:rPr>
              <w:t>neutral-soft</w:t>
            </w:r>
          </w:p>
        </w:tc>
      </w:tr>
      <w:tr>
        <w:tc>
          <w:tcPr>
            <w:tcW w:type="dxa" w:w="2448"/>
          </w:tcPr>
          <w:p>
            <w:pPr>
              <w:spacing w:after="20"/>
            </w:pPr>
            <w:r>
              <w:rPr>
                <w:color w:val="1C3A36"/>
                <w:sz w:val="18"/>
              </w:rPr>
              <w:t>MACD (12,26,9)</w:t>
            </w:r>
          </w:p>
        </w:tc>
        <w:tc>
          <w:tcPr>
            <w:tcW w:type="dxa" w:w="3168"/>
          </w:tcPr>
          <w:p>
            <w:pPr>
              <w:spacing w:after="20"/>
              <w:jc w:val="right"/>
            </w:pPr>
            <w:r>
              <w:rPr>
                <w:color w:val="1C3A36"/>
                <w:sz w:val="18"/>
              </w:rPr>
              <w:t>-0.07 vs signal 0.07 · hist -0.14</w:t>
            </w:r>
          </w:p>
        </w:tc>
        <w:tc>
          <w:tcPr>
            <w:tcW w:type="dxa" w:w="4464"/>
          </w:tcPr>
          <w:p>
            <w:pPr>
              <w:spacing w:after="20"/>
              <w:jc w:val="right"/>
            </w:pPr>
            <w:r>
              <w:rPr>
                <w:color w:val="1C3A36"/>
                <w:sz w:val="18"/>
              </w:rPr>
              <w:t>bearish, decelerating</w:t>
            </w:r>
          </w:p>
        </w:tc>
      </w:tr>
      <w:tr>
        <w:tc>
          <w:tcPr>
            <w:tcW w:type="dxa" w:w="2448"/>
          </w:tcPr>
          <w:p>
            <w:pPr>
              <w:spacing w:after="20"/>
            </w:pPr>
            <w:r>
              <w:rPr>
                <w:color w:val="1C3A36"/>
                <w:sz w:val="18"/>
              </w:rPr>
              <w:t>52-week range</w:t>
            </w:r>
          </w:p>
        </w:tc>
        <w:tc>
          <w:tcPr>
            <w:tcW w:type="dxa" w:w="3168"/>
          </w:tcPr>
          <w:p>
            <w:pPr>
              <w:spacing w:after="20"/>
              <w:jc w:val="right"/>
            </w:pPr>
            <w:r>
              <w:rPr>
                <w:color w:val="1C3A36"/>
                <w:sz w:val="18"/>
              </w:rPr>
              <w:t>20.05 – 25.47</w:t>
            </w:r>
          </w:p>
        </w:tc>
        <w:tc>
          <w:tcPr>
            <w:tcW w:type="dxa" w:w="4464"/>
          </w:tcPr>
          <w:p>
            <w:pPr>
              <w:spacing w:after="20"/>
              <w:jc w:val="right"/>
            </w:pPr>
            <w:r>
              <w:rPr>
                <w:color w:val="1C3A36"/>
                <w:sz w:val="18"/>
              </w:rPr>
              <w:t>spot at the 73th percentile of the range</w:t>
            </w:r>
          </w:p>
        </w:tc>
      </w:tr>
      <w:tr>
        <w:tc>
          <w:tcPr>
            <w:tcW w:type="dxa" w:w="2448"/>
          </w:tcPr>
          <w:p>
            <w:pPr>
              <w:spacing w:after="20"/>
            </w:pPr>
            <w:r>
              <w:rPr>
                <w:color w:val="1C3A36"/>
                <w:sz w:val="18"/>
              </w:rPr>
              <w:t>Support</w:t>
            </w:r>
          </w:p>
        </w:tc>
        <w:tc>
          <w:tcPr>
            <w:tcW w:type="dxa" w:w="3168"/>
          </w:tcPr>
          <w:p>
            <w:pPr>
              <w:spacing w:after="20"/>
              <w:jc w:val="right"/>
            </w:pPr>
            <w:r>
              <w:rPr>
                <w:color w:val="1C3A36"/>
                <w:sz w:val="18"/>
              </w:rPr>
              <w:t>23.30 / 22.10 / 20.40</w:t>
            </w:r>
          </w:p>
        </w:tc>
        <w:tc>
          <w:tcPr>
            <w:tcW w:type="dxa" w:w="4464"/>
          </w:tcPr>
          <w:p>
            <w:pPr>
              <w:spacing w:after="20"/>
              <w:jc w:val="right"/>
            </w:pPr>
            <w:r>
              <w:rPr>
                <w:color w:val="1C3A36"/>
                <w:sz w:val="18"/>
              </w:rPr>
              <w:t>prior congestion, MA200, 2025 breakout shelf</w:t>
            </w:r>
          </w:p>
        </w:tc>
      </w:tr>
      <w:tr>
        <w:tc>
          <w:tcPr>
            <w:tcW w:type="dxa" w:w="2448"/>
          </w:tcPr>
          <w:p>
            <w:pPr>
              <w:spacing w:after="20"/>
            </w:pPr>
            <w:r>
              <w:rPr>
                <w:color w:val="1C3A36"/>
                <w:sz w:val="18"/>
              </w:rPr>
              <w:t>Resistance</w:t>
            </w:r>
          </w:p>
        </w:tc>
        <w:tc>
          <w:tcPr>
            <w:tcW w:type="dxa" w:w="3168"/>
          </w:tcPr>
          <w:p>
            <w:pPr>
              <w:spacing w:after="20"/>
              <w:jc w:val="right"/>
            </w:pPr>
            <w:r>
              <w:rPr>
                <w:color w:val="1C3A36"/>
                <w:sz w:val="18"/>
              </w:rPr>
              <w:t>25.30 / 26.60 / 27.80</w:t>
            </w:r>
          </w:p>
        </w:tc>
        <w:tc>
          <w:tcPr>
            <w:tcW w:type="dxa" w:w="4464"/>
          </w:tcPr>
          <w:p>
            <w:pPr>
              <w:spacing w:after="20"/>
              <w:jc w:val="right"/>
            </w:pPr>
            <w:r>
              <w:rPr>
                <w:color w:val="1C3A36"/>
                <w:sz w:val="18"/>
              </w:rPr>
              <w:t>MA50 cluster, May pivot, 52-week high</w:t>
            </w:r>
          </w:p>
        </w:tc>
      </w:tr>
    </w:tbl>
    <w:p>
      <w:pPr>
        <w:spacing w:after="40"/>
      </w:pPr>
    </w:p>
    <w:p>
      <w:pPr>
        <w:spacing w:after="40"/>
        <w:jc w:val="center"/>
      </w:pPr>
      <w:r>
        <w:drawing>
          <wp:inline xmlns:a="http://schemas.openxmlformats.org/drawingml/2006/main" xmlns:pic="http://schemas.openxmlformats.org/drawingml/2006/picture">
            <wp:extent cx="6309360" cy="2536753"/>
            <wp:docPr id="4" name="Picture 4"/>
            <wp:cNvGraphicFramePr>
              <a:graphicFrameLocks noChangeAspect="1"/>
            </wp:cNvGraphicFramePr>
            <a:graphic>
              <a:graphicData uri="http://schemas.openxmlformats.org/drawingml/2006/picture">
                <pic:pic>
                  <pic:nvPicPr>
                    <pic:cNvPr id="0" name="fig3_ma.png"/>
                    <pic:cNvPicPr/>
                  </pic:nvPicPr>
                  <pic:blipFill>
                    <a:blip r:embed="rId12"/>
                    <a:stretch>
                      <a:fillRect/>
                    </a:stretch>
                  </pic:blipFill>
                  <pic:spPr>
                    <a:xfrm>
                      <a:off x="0" y="0"/>
                      <a:ext cx="6309360" cy="2536753"/>
                    </a:xfrm>
                    <a:prstGeom prst="rect"/>
                  </pic:spPr>
                </pic:pic>
              </a:graphicData>
            </a:graphic>
          </wp:inline>
        </w:drawing>
      </w:r>
    </w:p>
    <w:p>
      <w:pPr>
        <w:spacing w:after="200" w:before="0"/>
      </w:pPr>
      <w:r>
        <w:rPr>
          <w:b w:val="0"/>
          <w:i/>
          <w:color w:val="6E7B77"/>
          <w:sz w:val="17"/>
        </w:rPr>
        <w:t>Figure 4 — Price and moving-average stack, last ~22 months: the 2025 advance, the 2026 digestion, and the MA200 as the trend arbiter.</w:t>
      </w:r>
    </w:p>
    <w:p>
      <w:pPr>
        <w:spacing w:after="120" w:before="280"/>
      </w:pPr>
      <w:r>
        <w:rPr>
          <w:b/>
          <w:i w:val="0"/>
          <w:color w:val="1C3A36"/>
          <w:sz w:val="30"/>
        </w:rPr>
        <w:t>3  Monte Carlo — a probabilistic price map</w:t>
      </w:r>
    </w:p>
    <w:p>
      <w:pPr>
        <w:spacing w:after="120" w:before="0"/>
      </w:pPr>
      <w:r>
        <w:rPr>
          <w:b w:val="0"/>
          <w:i w:val="0"/>
          <w:color w:val="1C3A36"/>
          <w:sz w:val="19"/>
        </w:rPr>
        <w:t>The probability read — five numbers before anything else: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4896"/>
            <w:shd w:val="clear" w:color="auto" w:fill="EAF0EE"/>
          </w:tcPr>
          <w:p>
            <w:pPr>
              <w:spacing w:after="20"/>
            </w:pPr>
            <w:r>
              <w:rPr>
                <w:b/>
                <w:color w:val="1C3A36"/>
                <w:sz w:val="18"/>
              </w:rPr>
              <w:t>The probability read (T+60, ~3 months)</w:t>
            </w:r>
          </w:p>
        </w:tc>
        <w:tc>
          <w:tcPr>
            <w:tcW w:type="dxa" w:w="4320"/>
            <w:shd w:val="clear" w:color="auto" w:fill="EAF0EE"/>
          </w:tcPr>
          <w:p>
            <w:pPr>
              <w:spacing w:after="20"/>
            </w:pPr>
            <w:r>
              <w:rPr>
                <w:b/>
                <w:color w:val="1C3A36"/>
                <w:sz w:val="18"/>
              </w:rPr>
              <w:t>Level</w:t>
            </w:r>
          </w:p>
        </w:tc>
      </w:tr>
      <w:tr>
        <w:tc>
          <w:tcPr>
            <w:tcW w:type="dxa" w:w="4896"/>
            <w:shd w:val="clear" w:color="auto" w:fill="F6F1E6"/>
          </w:tcPr>
          <w:p>
            <w:pPr>
              <w:spacing w:after="20"/>
            </w:pPr>
            <w:r>
              <w:rPr>
                <w:b/>
                <w:color w:val="1C3A36"/>
                <w:sz w:val="18"/>
              </w:rPr>
              <w:t>Median path</w:t>
            </w:r>
          </w:p>
        </w:tc>
        <w:tc>
          <w:tcPr>
            <w:tcW w:type="dxa" w:w="4320"/>
            <w:shd w:val="clear" w:color="auto" w:fill="F6F1E6"/>
          </w:tcPr>
          <w:p>
            <w:pPr>
              <w:spacing w:after="20"/>
              <w:jc w:val="right"/>
            </w:pPr>
            <w:r>
              <w:rPr>
                <w:b/>
                <w:color w:val="1C3A36"/>
                <w:sz w:val="18"/>
              </w:rPr>
              <w:t>SAR 24.00  (-0.0%)</w:t>
            </w:r>
          </w:p>
        </w:tc>
      </w:tr>
      <w:tr>
        <w:tc>
          <w:tcPr>
            <w:tcW w:type="dxa" w:w="4896"/>
          </w:tcPr>
          <w:p>
            <w:pPr>
              <w:spacing w:after="20"/>
            </w:pPr>
            <w:r>
              <w:rPr>
                <w:color w:val="1C3A36"/>
                <w:sz w:val="18"/>
              </w:rPr>
              <w:t>50% of outcomes inside</w:t>
            </w:r>
          </w:p>
        </w:tc>
        <w:tc>
          <w:tcPr>
            <w:tcW w:type="dxa" w:w="4320"/>
          </w:tcPr>
          <w:p>
            <w:pPr>
              <w:spacing w:after="20"/>
              <w:jc w:val="right"/>
            </w:pPr>
            <w:r>
              <w:rPr>
                <w:color w:val="1C3A36"/>
                <w:sz w:val="18"/>
              </w:rPr>
              <w:t>SAR 22.82 – 25.24</w:t>
            </w:r>
          </w:p>
        </w:tc>
      </w:tr>
      <w:tr>
        <w:tc>
          <w:tcPr>
            <w:tcW w:type="dxa" w:w="4896"/>
          </w:tcPr>
          <w:p>
            <w:pPr>
              <w:spacing w:after="20"/>
            </w:pPr>
            <w:r>
              <w:rPr>
                <w:color w:val="1C3A36"/>
                <w:sz w:val="18"/>
              </w:rPr>
              <w:t>90% of outcomes inside</w:t>
            </w:r>
          </w:p>
        </w:tc>
        <w:tc>
          <w:tcPr>
            <w:tcW w:type="dxa" w:w="4320"/>
          </w:tcPr>
          <w:p>
            <w:pPr>
              <w:spacing w:after="20"/>
              <w:jc w:val="right"/>
            </w:pPr>
            <w:r>
              <w:rPr>
                <w:color w:val="1C3A36"/>
                <w:sz w:val="18"/>
              </w:rPr>
              <w:t>SAR 20.76 – 27.70</w:t>
            </w:r>
          </w:p>
        </w:tc>
      </w:tr>
      <w:tr>
        <w:tc>
          <w:tcPr>
            <w:tcW w:type="dxa" w:w="4896"/>
          </w:tcPr>
          <w:p>
            <w:pPr>
              <w:spacing w:after="20"/>
            </w:pPr>
            <w:r>
              <w:rPr>
                <w:color w:val="1C3A36"/>
                <w:sz w:val="18"/>
              </w:rPr>
              <w:t>P(above spot)</w:t>
            </w:r>
          </w:p>
        </w:tc>
        <w:tc>
          <w:tcPr>
            <w:tcW w:type="dxa" w:w="4320"/>
          </w:tcPr>
          <w:p>
            <w:pPr>
              <w:spacing w:after="20"/>
              <w:jc w:val="right"/>
            </w:pPr>
            <w:r>
              <w:rPr>
                <w:color w:val="1C3A36"/>
                <w:sz w:val="18"/>
              </w:rPr>
              <w:t>50%</w:t>
            </w:r>
          </w:p>
        </w:tc>
      </w:tr>
      <w:tr>
        <w:tc>
          <w:tcPr>
            <w:tcW w:type="dxa" w:w="4896"/>
          </w:tcPr>
          <w:p>
            <w:pPr>
              <w:spacing w:after="20"/>
            </w:pPr>
            <w:r>
              <w:rPr>
                <w:color w:val="1C3A36"/>
                <w:sz w:val="18"/>
              </w:rPr>
              <w:t>P(+10%) / P(−10%)</w:t>
            </w:r>
          </w:p>
        </w:tc>
        <w:tc>
          <w:tcPr>
            <w:tcW w:type="dxa" w:w="4320"/>
          </w:tcPr>
          <w:p>
            <w:pPr>
              <w:spacing w:after="20"/>
              <w:jc w:val="right"/>
            </w:pPr>
            <w:r>
              <w:rPr>
                <w:color w:val="1C3A36"/>
                <w:sz w:val="18"/>
              </w:rPr>
              <w:t>12% / 10%</w:t>
            </w:r>
          </w:p>
        </w:tc>
      </w:tr>
    </w:tbl>
    <w:p>
      <w:pPr>
        <w:spacing w:after="40"/>
      </w:pPr>
    </w:p>
    <w:p>
      <w:pPr>
        <w:spacing w:after="120" w:before="0"/>
      </w:pPr>
      <w:r>
        <w:rPr>
          <w:b/>
          <w:i w:val="0"/>
          <w:color w:val="1C3A36"/>
          <w:sz w:val="21"/>
        </w:rPr>
        <w:t xml:space="preserve">Why the median is flat — and why that is a statement, not an absence of one.  </w:t>
      </w:r>
      <w:r>
        <w:rPr>
          <w:b w:val="0"/>
          <w:i w:val="0"/>
          <w:color w:val="1C3A36"/>
          <w:sz w:val="21"/>
        </w:rPr>
        <w:t>The v3 engine centres each path on the carry anchor ln(1+rf)−ln(1+q): the price of a dividend-payer should drift at the risk-free minus what it pays out. For Alinma, rf ≈ 4.8% and the dividend yield ≈ 4.2% — they cancel almost exactly (-0.04% over the quarter). The expected total return over the next three months is approximately the Saudi risk-free, and it arrives as dividend; the price itself is expected flat, ± the band. An explained flat, never an unexplained one.</w:t>
      </w:r>
    </w:p>
    <w:p>
      <w:pPr>
        <w:spacing w:after="120" w:before="0"/>
      </w:pPr>
      <w:r>
        <w:rPr>
          <w:b w:val="0"/>
          <w:i w:val="0"/>
          <w:color w:val="1C3A36"/>
          <w:sz w:val="18"/>
        </w:rPr>
        <w:t>Engine and validation. mc_v3 'carry-anchored YZ-HAR-t': gap-aware Yang-Zhang variance with a pooled log-HAR cascade for width (σ₆₀ = 9.7% log), a fitted Student-t(4) aggregate shape, and the carry drift above — the §1 value gap is deliberately NOT in the drift (lens independence). Step-0 verdict under the market-panel gate: PARITY (CRPS skill −0.009, 90% CI [−0.026, +0.018] vs a carry-anchored random-walk) — a calibrated distribution, market-panel validated; no single-name edge is claimed, and none is needed for a probability map. Saudi names run carry-only until the Tadawul panel reaches ~5 names.</w:t>
      </w:r>
    </w:p>
    <w:p>
      <w:pPr>
        <w:spacing w:after="120" w:before="0"/>
      </w:pPr>
      <w:r>
        <w:rPr>
          <w:b w:val="0"/>
          <w:i w:val="0"/>
          <w:color w:val="1C3A36"/>
          <w:sz w:val="19"/>
        </w:rPr>
        <w:t>The sixteen-factor overlay, cast for a Saudi bank — continuous factors first: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3600"/>
            <w:shd w:val="clear" w:color="auto" w:fill="EAF0EE"/>
          </w:tcPr>
          <w:p>
            <w:pPr>
              <w:spacing w:after="20"/>
            </w:pPr>
            <w:r>
              <w:rPr>
                <w:b/>
                <w:color w:val="1C3A36"/>
                <w:sz w:val="18"/>
              </w:rPr>
              <w:t>Continuous factor</w:t>
            </w:r>
          </w:p>
        </w:tc>
        <w:tc>
          <w:tcPr>
            <w:tcW w:type="dxa" w:w="3744"/>
            <w:shd w:val="clear" w:color="auto" w:fill="EAF0EE"/>
          </w:tcPr>
          <w:p>
            <w:pPr>
              <w:spacing w:after="20"/>
            </w:pPr>
            <w:r>
              <w:rPr>
                <w:b/>
                <w:color w:val="1C3A36"/>
                <w:sz w:val="18"/>
              </w:rPr>
              <w:t>Direction</w:t>
            </w:r>
          </w:p>
        </w:tc>
        <w:tc>
          <w:tcPr>
            <w:tcW w:type="dxa" w:w="2304"/>
            <w:shd w:val="clear" w:color="auto" w:fill="EAF0EE"/>
          </w:tcPr>
          <w:p>
            <w:pPr>
              <w:spacing w:after="20"/>
            </w:pPr>
            <w:r>
              <w:rPr>
                <w:b/>
                <w:color w:val="1C3A36"/>
                <w:sz w:val="18"/>
              </w:rPr>
              <w:t>Weight in width</w:t>
            </w:r>
          </w:p>
        </w:tc>
      </w:tr>
      <w:tr>
        <w:tc>
          <w:tcPr>
            <w:tcW w:type="dxa" w:w="3600"/>
          </w:tcPr>
          <w:p>
            <w:pPr>
              <w:spacing w:after="20"/>
            </w:pPr>
            <w:r>
              <w:rPr>
                <w:color w:val="1C3A36"/>
                <w:sz w:val="18"/>
              </w:rPr>
              <w:t>SAMA / Fed rate path</w:t>
            </w:r>
          </w:p>
        </w:tc>
        <w:tc>
          <w:tcPr>
            <w:tcW w:type="dxa" w:w="3744"/>
          </w:tcPr>
          <w:p>
            <w:pPr>
              <w:spacing w:after="20"/>
              <w:jc w:val="right"/>
            </w:pPr>
            <w:r>
              <w:rPr>
                <w:color w:val="1C3A36"/>
                <w:sz w:val="18"/>
              </w:rPr>
              <w:t>cuts → NIM pressure, bond gains</w:t>
            </w:r>
          </w:p>
        </w:tc>
        <w:tc>
          <w:tcPr>
            <w:tcW w:type="dxa" w:w="2304"/>
          </w:tcPr>
          <w:p>
            <w:pPr>
              <w:spacing w:after="20"/>
              <w:jc w:val="right"/>
            </w:pPr>
            <w:r>
              <w:rPr>
                <w:color w:val="1C3A36"/>
                <w:sz w:val="18"/>
              </w:rPr>
              <w:t>high</w:t>
            </w:r>
          </w:p>
        </w:tc>
      </w:tr>
      <w:tr>
        <w:tc>
          <w:tcPr>
            <w:tcW w:type="dxa" w:w="3600"/>
          </w:tcPr>
          <w:p>
            <w:pPr>
              <w:spacing w:after="20"/>
            </w:pPr>
            <w:r>
              <w:rPr>
                <w:color w:val="1C3A36"/>
                <w:sz w:val="18"/>
              </w:rPr>
              <w:t>Oil price (fiscal stance)</w:t>
            </w:r>
          </w:p>
        </w:tc>
        <w:tc>
          <w:tcPr>
            <w:tcW w:type="dxa" w:w="3744"/>
          </w:tcPr>
          <w:p>
            <w:pPr>
              <w:spacing w:after="20"/>
              <w:jc w:val="right"/>
            </w:pPr>
            <w:r>
              <w:rPr>
                <w:color w:val="1C3A36"/>
                <w:sz w:val="18"/>
              </w:rPr>
              <w:t>sustained slump → credit cycle</w:t>
            </w:r>
          </w:p>
        </w:tc>
        <w:tc>
          <w:tcPr>
            <w:tcW w:type="dxa" w:w="2304"/>
          </w:tcPr>
          <w:p>
            <w:pPr>
              <w:spacing w:after="20"/>
              <w:jc w:val="right"/>
            </w:pPr>
            <w:r>
              <w:rPr>
                <w:color w:val="1C3A36"/>
                <w:sz w:val="18"/>
              </w:rPr>
              <w:t>high</w:t>
            </w:r>
          </w:p>
        </w:tc>
      </w:tr>
      <w:tr>
        <w:tc>
          <w:tcPr>
            <w:tcW w:type="dxa" w:w="3600"/>
          </w:tcPr>
          <w:p>
            <w:pPr>
              <w:spacing w:after="20"/>
            </w:pPr>
            <w:r>
              <w:rPr>
                <w:color w:val="1C3A36"/>
                <w:sz w:val="18"/>
              </w:rPr>
              <w:t>Deposit competition (funding beta)</w:t>
            </w:r>
          </w:p>
        </w:tc>
        <w:tc>
          <w:tcPr>
            <w:tcW w:type="dxa" w:w="3744"/>
          </w:tcPr>
          <w:p>
            <w:pPr>
              <w:spacing w:after="20"/>
              <w:jc w:val="right"/>
            </w:pPr>
            <w:r>
              <w:rPr>
                <w:color w:val="1C3A36"/>
                <w:sz w:val="18"/>
              </w:rPr>
              <w:t>intensifying → margin drag</w:t>
            </w:r>
          </w:p>
        </w:tc>
        <w:tc>
          <w:tcPr>
            <w:tcW w:type="dxa" w:w="2304"/>
          </w:tcPr>
          <w:p>
            <w:pPr>
              <w:spacing w:after="20"/>
              <w:jc w:val="right"/>
            </w:pPr>
            <w:r>
              <w:rPr>
                <w:color w:val="1C3A36"/>
                <w:sz w:val="18"/>
              </w:rPr>
              <w:t>medium</w:t>
            </w:r>
          </w:p>
        </w:tc>
      </w:tr>
      <w:tr>
        <w:tc>
          <w:tcPr>
            <w:tcW w:type="dxa" w:w="3600"/>
          </w:tcPr>
          <w:p>
            <w:pPr>
              <w:spacing w:after="20"/>
            </w:pPr>
            <w:r>
              <w:rPr>
                <w:color w:val="1C3A36"/>
                <w:sz w:val="18"/>
              </w:rPr>
              <w:t>TASI beta / index flows</w:t>
            </w:r>
          </w:p>
        </w:tc>
        <w:tc>
          <w:tcPr>
            <w:tcW w:type="dxa" w:w="3744"/>
          </w:tcPr>
          <w:p>
            <w:pPr>
              <w:spacing w:after="20"/>
              <w:jc w:val="right"/>
            </w:pPr>
            <w:r>
              <w:rPr>
                <w:color w:val="1C3A36"/>
                <w:sz w:val="18"/>
              </w:rPr>
              <w:t>risk sentiment pass-through</w:t>
            </w:r>
          </w:p>
        </w:tc>
        <w:tc>
          <w:tcPr>
            <w:tcW w:type="dxa" w:w="2304"/>
          </w:tcPr>
          <w:p>
            <w:pPr>
              <w:spacing w:after="20"/>
              <w:jc w:val="right"/>
            </w:pPr>
            <w:r>
              <w:rPr>
                <w:color w:val="1C3A36"/>
                <w:sz w:val="18"/>
              </w:rPr>
              <w:t>medium</w:t>
            </w:r>
          </w:p>
        </w:tc>
      </w:tr>
      <w:tr>
        <w:tc>
          <w:tcPr>
            <w:tcW w:type="dxa" w:w="3600"/>
          </w:tcPr>
          <w:p>
            <w:pPr>
              <w:spacing w:after="20"/>
            </w:pPr>
            <w:r>
              <w:rPr>
                <w:color w:val="1C3A36"/>
                <w:sz w:val="18"/>
              </w:rPr>
              <w:t>Financing growth surprise</w:t>
            </w:r>
          </w:p>
        </w:tc>
        <w:tc>
          <w:tcPr>
            <w:tcW w:type="dxa" w:w="3744"/>
          </w:tcPr>
          <w:p>
            <w:pPr>
              <w:spacing w:after="20"/>
              <w:jc w:val="right"/>
            </w:pPr>
            <w:r>
              <w:rPr>
                <w:color w:val="1C3A36"/>
                <w:sz w:val="18"/>
              </w:rPr>
              <w:t>project-finance drawdowns</w:t>
            </w:r>
          </w:p>
        </w:tc>
        <w:tc>
          <w:tcPr>
            <w:tcW w:type="dxa" w:w="2304"/>
          </w:tcPr>
          <w:p>
            <w:pPr>
              <w:spacing w:after="20"/>
              <w:jc w:val="right"/>
            </w:pPr>
            <w:r>
              <w:rPr>
                <w:color w:val="1C3A36"/>
                <w:sz w:val="18"/>
              </w:rPr>
              <w:t>medium</w:t>
            </w:r>
          </w:p>
        </w:tc>
      </w:tr>
      <w:tr>
        <w:tc>
          <w:tcPr>
            <w:tcW w:type="dxa" w:w="3600"/>
          </w:tcPr>
          <w:p>
            <w:pPr>
              <w:spacing w:after="20"/>
            </w:pPr>
            <w:r>
              <w:rPr>
                <w:color w:val="1C3A36"/>
                <w:sz w:val="18"/>
              </w:rPr>
              <w:t>Cost of risk drift</w:t>
            </w:r>
          </w:p>
        </w:tc>
        <w:tc>
          <w:tcPr>
            <w:tcW w:type="dxa" w:w="3744"/>
          </w:tcPr>
          <w:p>
            <w:pPr>
              <w:spacing w:after="20"/>
              <w:jc w:val="right"/>
            </w:pPr>
            <w:r>
              <w:rPr>
                <w:color w:val="1C3A36"/>
                <w:sz w:val="18"/>
              </w:rPr>
              <w:t>normalisation from 49bp</w:t>
            </w:r>
          </w:p>
        </w:tc>
        <w:tc>
          <w:tcPr>
            <w:tcW w:type="dxa" w:w="2304"/>
          </w:tcPr>
          <w:p>
            <w:pPr>
              <w:spacing w:after="20"/>
              <w:jc w:val="right"/>
            </w:pPr>
            <w:r>
              <w:rPr>
                <w:color w:val="1C3A36"/>
                <w:sz w:val="18"/>
              </w:rPr>
              <w:t>low-medium</w:t>
            </w:r>
          </w:p>
        </w:tc>
      </w:tr>
      <w:tr>
        <w:tc>
          <w:tcPr>
            <w:tcW w:type="dxa" w:w="3600"/>
          </w:tcPr>
          <w:p>
            <w:pPr>
              <w:spacing w:after="20"/>
            </w:pPr>
            <w:r>
              <w:rPr>
                <w:color w:val="1C3A36"/>
                <w:sz w:val="18"/>
              </w:rPr>
              <w:t>SAR liquidity (LDR, NSFR)</w:t>
            </w:r>
          </w:p>
        </w:tc>
        <w:tc>
          <w:tcPr>
            <w:tcW w:type="dxa" w:w="3744"/>
          </w:tcPr>
          <w:p>
            <w:pPr>
              <w:spacing w:after="20"/>
              <w:jc w:val="right"/>
            </w:pPr>
            <w:r>
              <w:rPr>
                <w:color w:val="1C3A36"/>
                <w:sz w:val="18"/>
              </w:rPr>
              <w:t>tightening → funding cost</w:t>
            </w:r>
          </w:p>
        </w:tc>
        <w:tc>
          <w:tcPr>
            <w:tcW w:type="dxa" w:w="2304"/>
          </w:tcPr>
          <w:p>
            <w:pPr>
              <w:spacing w:after="20"/>
              <w:jc w:val="right"/>
            </w:pPr>
            <w:r>
              <w:rPr>
                <w:color w:val="1C3A36"/>
                <w:sz w:val="18"/>
              </w:rPr>
              <w:t>low</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4032"/>
            <w:shd w:val="clear" w:color="auto" w:fill="EAF0EE"/>
          </w:tcPr>
          <w:p>
            <w:pPr>
              <w:spacing w:after="20"/>
            </w:pPr>
            <w:r>
              <w:rPr>
                <w:b/>
                <w:color w:val="1C3A36"/>
                <w:sz w:val="18"/>
              </w:rPr>
              <w:t>Discrete event</w:t>
            </w:r>
          </w:p>
        </w:tc>
        <w:tc>
          <w:tcPr>
            <w:tcW w:type="dxa" w:w="2880"/>
            <w:shd w:val="clear" w:color="auto" w:fill="EAF0EE"/>
          </w:tcPr>
          <w:p>
            <w:pPr>
              <w:spacing w:after="20"/>
            </w:pPr>
            <w:r>
              <w:rPr>
                <w:b/>
                <w:color w:val="1C3A36"/>
                <w:sz w:val="18"/>
              </w:rPr>
              <w:t>Window</w:t>
            </w:r>
          </w:p>
        </w:tc>
        <w:tc>
          <w:tcPr>
            <w:tcW w:type="dxa" w:w="2736"/>
            <w:shd w:val="clear" w:color="auto" w:fill="EAF0EE"/>
          </w:tcPr>
          <w:p>
            <w:pPr>
              <w:spacing w:after="20"/>
            </w:pPr>
            <w:r>
              <w:rPr>
                <w:b/>
                <w:color w:val="1C3A36"/>
                <w:sz w:val="18"/>
              </w:rPr>
              <w:t>Sign</w:t>
            </w:r>
          </w:p>
        </w:tc>
      </w:tr>
      <w:tr>
        <w:tc>
          <w:tcPr>
            <w:tcW w:type="dxa" w:w="4032"/>
          </w:tcPr>
          <w:p>
            <w:pPr>
              <w:spacing w:after="20"/>
            </w:pPr>
            <w:r>
              <w:rPr>
                <w:color w:val="1C3A36"/>
                <w:sz w:val="18"/>
              </w:rPr>
              <w:t>Q2-26 earnings (late July)</w:t>
            </w:r>
          </w:p>
        </w:tc>
        <w:tc>
          <w:tcPr>
            <w:tcW w:type="dxa" w:w="2880"/>
          </w:tcPr>
          <w:p>
            <w:pPr>
              <w:spacing w:after="20"/>
              <w:jc w:val="right"/>
            </w:pPr>
            <w:r>
              <w:rPr>
                <w:color w:val="1C3A36"/>
                <w:sz w:val="18"/>
              </w:rPr>
              <w:t>inside T+20</w:t>
            </w:r>
          </w:p>
        </w:tc>
        <w:tc>
          <w:tcPr>
            <w:tcW w:type="dxa" w:w="2736"/>
          </w:tcPr>
          <w:p>
            <w:pPr>
              <w:spacing w:after="20"/>
              <w:jc w:val="right"/>
            </w:pPr>
            <w:r>
              <w:rPr>
                <w:color w:val="1C3A36"/>
                <w:sz w:val="18"/>
              </w:rPr>
              <w:t>±</w:t>
            </w:r>
          </w:p>
        </w:tc>
      </w:tr>
      <w:tr>
        <w:tc>
          <w:tcPr>
            <w:tcW w:type="dxa" w:w="4032"/>
          </w:tcPr>
          <w:p>
            <w:pPr>
              <w:spacing w:after="20"/>
            </w:pPr>
            <w:r>
              <w:rPr>
                <w:color w:val="1C3A36"/>
                <w:sz w:val="18"/>
              </w:rPr>
              <w:t>Fed decision → SAMA follow</w:t>
            </w:r>
          </w:p>
        </w:tc>
        <w:tc>
          <w:tcPr>
            <w:tcW w:type="dxa" w:w="2880"/>
          </w:tcPr>
          <w:p>
            <w:pPr>
              <w:spacing w:after="20"/>
              <w:jc w:val="right"/>
            </w:pPr>
            <w:r>
              <w:rPr>
                <w:color w:val="1C3A36"/>
                <w:sz w:val="18"/>
              </w:rPr>
              <w:t>Jul / Sep FOMC</w:t>
            </w:r>
          </w:p>
        </w:tc>
        <w:tc>
          <w:tcPr>
            <w:tcW w:type="dxa" w:w="2736"/>
          </w:tcPr>
          <w:p>
            <w:pPr>
              <w:spacing w:after="20"/>
              <w:jc w:val="right"/>
            </w:pPr>
            <w:r>
              <w:rPr>
                <w:color w:val="1C3A36"/>
                <w:sz w:val="18"/>
              </w:rPr>
              <w:t>±</w:t>
            </w:r>
          </w:p>
        </w:tc>
      </w:tr>
      <w:tr>
        <w:tc>
          <w:tcPr>
            <w:tcW w:type="dxa" w:w="4032"/>
          </w:tcPr>
          <w:p>
            <w:pPr>
              <w:spacing w:after="20"/>
            </w:pPr>
            <w:r>
              <w:rPr>
                <w:color w:val="1C3A36"/>
                <w:sz w:val="18"/>
              </w:rPr>
              <w:t>Quarterly dividend (SAR 0.25)</w:t>
            </w:r>
          </w:p>
        </w:tc>
        <w:tc>
          <w:tcPr>
            <w:tcW w:type="dxa" w:w="2880"/>
          </w:tcPr>
          <w:p>
            <w:pPr>
              <w:spacing w:after="20"/>
              <w:jc w:val="right"/>
            </w:pPr>
            <w:r>
              <w:rPr>
                <w:color w:val="1C3A36"/>
                <w:sz w:val="18"/>
              </w:rPr>
              <w:t>Aug eligibility</w:t>
            </w:r>
          </w:p>
        </w:tc>
        <w:tc>
          <w:tcPr>
            <w:tcW w:type="dxa" w:w="2736"/>
          </w:tcPr>
          <w:p>
            <w:pPr>
              <w:spacing w:after="20"/>
              <w:jc w:val="right"/>
            </w:pPr>
            <w:r>
              <w:rPr>
                <w:color w:val="1C3A36"/>
                <w:sz w:val="18"/>
              </w:rPr>
              <w:t>mechanical ex-div</w:t>
            </w:r>
          </w:p>
        </w:tc>
      </w:tr>
      <w:tr>
        <w:tc>
          <w:tcPr>
            <w:tcW w:type="dxa" w:w="4032"/>
          </w:tcPr>
          <w:p>
            <w:pPr>
              <w:spacing w:after="20"/>
            </w:pPr>
            <w:r>
              <w:rPr>
                <w:color w:val="1C3A36"/>
                <w:sz w:val="18"/>
              </w:rPr>
              <w:t>MSCI/FTSE EM flows</w:t>
            </w:r>
          </w:p>
        </w:tc>
        <w:tc>
          <w:tcPr>
            <w:tcW w:type="dxa" w:w="2880"/>
          </w:tcPr>
          <w:p>
            <w:pPr>
              <w:spacing w:after="20"/>
              <w:jc w:val="right"/>
            </w:pPr>
            <w:r>
              <w:rPr>
                <w:color w:val="1C3A36"/>
                <w:sz w:val="18"/>
              </w:rPr>
              <w:t>Aug/Sep reviews</w:t>
            </w:r>
          </w:p>
        </w:tc>
        <w:tc>
          <w:tcPr>
            <w:tcW w:type="dxa" w:w="2736"/>
          </w:tcPr>
          <w:p>
            <w:pPr>
              <w:spacing w:after="20"/>
              <w:jc w:val="right"/>
            </w:pPr>
            <w:r>
              <w:rPr>
                <w:color w:val="1C3A36"/>
                <w:sz w:val="18"/>
              </w:rPr>
              <w:t>±</w:t>
            </w:r>
          </w:p>
        </w:tc>
      </w:tr>
      <w:tr>
        <w:tc>
          <w:tcPr>
            <w:tcW w:type="dxa" w:w="4032"/>
          </w:tcPr>
          <w:p>
            <w:pPr>
              <w:spacing w:after="20"/>
            </w:pPr>
            <w:r>
              <w:rPr>
                <w:color w:val="1C3A36"/>
                <w:sz w:val="18"/>
              </w:rPr>
              <w:t>Capital action (T1 refinancing)</w:t>
            </w:r>
          </w:p>
        </w:tc>
        <w:tc>
          <w:tcPr>
            <w:tcW w:type="dxa" w:w="2880"/>
          </w:tcPr>
          <w:p>
            <w:pPr>
              <w:spacing w:after="20"/>
              <w:jc w:val="right"/>
            </w:pPr>
            <w:r>
              <w:rPr>
                <w:color w:val="1C3A36"/>
                <w:sz w:val="18"/>
              </w:rPr>
              <w:t>opportunistic</w:t>
            </w:r>
          </w:p>
        </w:tc>
        <w:tc>
          <w:tcPr>
            <w:tcW w:type="dxa" w:w="2736"/>
          </w:tcPr>
          <w:p>
            <w:pPr>
              <w:spacing w:after="20"/>
              <w:jc w:val="right"/>
            </w:pPr>
            <w:r>
              <w:rPr>
                <w:color w:val="1C3A36"/>
                <w:sz w:val="18"/>
              </w:rPr>
              <w:t>neutral-to-+</w:t>
            </w:r>
          </w:p>
        </w:tc>
      </w:tr>
      <w:tr>
        <w:tc>
          <w:tcPr>
            <w:tcW w:type="dxa" w:w="4032"/>
          </w:tcPr>
          <w:p>
            <w:pPr>
              <w:spacing w:after="20"/>
            </w:pPr>
            <w:r>
              <w:rPr>
                <w:color w:val="1C3A36"/>
                <w:sz w:val="18"/>
              </w:rPr>
              <w:t>Vision-2030 project announcements</w:t>
            </w:r>
          </w:p>
        </w:tc>
        <w:tc>
          <w:tcPr>
            <w:tcW w:type="dxa" w:w="2880"/>
          </w:tcPr>
          <w:p>
            <w:pPr>
              <w:spacing w:after="20"/>
              <w:jc w:val="right"/>
            </w:pPr>
            <w:r>
              <w:rPr>
                <w:color w:val="1C3A36"/>
                <w:sz w:val="18"/>
              </w:rPr>
              <w:t>continuous</w:t>
            </w:r>
          </w:p>
        </w:tc>
        <w:tc>
          <w:tcPr>
            <w:tcW w:type="dxa" w:w="2736"/>
          </w:tcPr>
          <w:p>
            <w:pPr>
              <w:spacing w:after="20"/>
              <w:jc w:val="right"/>
            </w:pPr>
            <w:r>
              <w:rPr>
                <w:color w:val="1C3A36"/>
                <w:sz w:val="18"/>
              </w:rPr>
              <w:t>+ tail</w:t>
            </w:r>
          </w:p>
        </w:tc>
      </w:tr>
      <w:tr>
        <w:tc>
          <w:tcPr>
            <w:tcW w:type="dxa" w:w="4032"/>
          </w:tcPr>
          <w:p>
            <w:pPr>
              <w:spacing w:after="20"/>
            </w:pPr>
            <w:r>
              <w:rPr>
                <w:color w:val="1C3A36"/>
                <w:sz w:val="18"/>
              </w:rPr>
              <w:t>Oil shock (either direction)</w:t>
            </w:r>
          </w:p>
        </w:tc>
        <w:tc>
          <w:tcPr>
            <w:tcW w:type="dxa" w:w="2880"/>
          </w:tcPr>
          <w:p>
            <w:pPr>
              <w:spacing w:after="20"/>
              <w:jc w:val="right"/>
            </w:pPr>
            <w:r>
              <w:rPr>
                <w:color w:val="1C3A36"/>
                <w:sz w:val="18"/>
              </w:rPr>
              <w:t>continuous</w:t>
            </w:r>
          </w:p>
        </w:tc>
        <w:tc>
          <w:tcPr>
            <w:tcW w:type="dxa" w:w="2736"/>
          </w:tcPr>
          <w:p>
            <w:pPr>
              <w:spacing w:after="20"/>
              <w:jc w:val="right"/>
            </w:pPr>
            <w:r>
              <w:rPr>
                <w:color w:val="1C3A36"/>
                <w:sz w:val="18"/>
              </w:rPr>
              <w:t>fat tails</w:t>
            </w:r>
          </w:p>
        </w:tc>
      </w:tr>
      <w:tr>
        <w:tc>
          <w:tcPr>
            <w:tcW w:type="dxa" w:w="4032"/>
          </w:tcPr>
          <w:p>
            <w:pPr>
              <w:spacing w:after="20"/>
            </w:pPr>
            <w:r>
              <w:rPr>
                <w:color w:val="1C3A36"/>
                <w:sz w:val="18"/>
              </w:rPr>
              <w:t>Regulatory levy / zakat change</w:t>
            </w:r>
          </w:p>
        </w:tc>
        <w:tc>
          <w:tcPr>
            <w:tcW w:type="dxa" w:w="2880"/>
          </w:tcPr>
          <w:p>
            <w:pPr>
              <w:spacing w:after="20"/>
              <w:jc w:val="right"/>
            </w:pPr>
            <w:r>
              <w:rPr>
                <w:color w:val="1C3A36"/>
                <w:sz w:val="18"/>
              </w:rPr>
              <w:t>budget cycle</w:t>
            </w:r>
          </w:p>
        </w:tc>
        <w:tc>
          <w:tcPr>
            <w:tcW w:type="dxa" w:w="2736"/>
          </w:tcPr>
          <w:p>
            <w:pPr>
              <w:spacing w:after="20"/>
              <w:jc w:val="right"/>
            </w:pPr>
            <w:r>
              <w:rPr>
                <w:color w:val="1C3A36"/>
                <w:sz w:val="18"/>
              </w:rPr>
              <w:t>− tail</w:t>
            </w:r>
          </w:p>
        </w:tc>
      </w:tr>
      <w:tr>
        <w:tc>
          <w:tcPr>
            <w:tcW w:type="dxa" w:w="4032"/>
          </w:tcPr>
          <w:p>
            <w:pPr>
              <w:spacing w:after="20"/>
            </w:pPr>
            <w:r>
              <w:rPr>
                <w:color w:val="1C3A36"/>
                <w:sz w:val="18"/>
              </w:rPr>
              <w:t>Digital-bank competitive entry</w:t>
            </w:r>
          </w:p>
        </w:tc>
        <w:tc>
          <w:tcPr>
            <w:tcW w:type="dxa" w:w="2880"/>
          </w:tcPr>
          <w:p>
            <w:pPr>
              <w:spacing w:after="20"/>
              <w:jc w:val="right"/>
            </w:pPr>
            <w:r>
              <w:rPr>
                <w:color w:val="1C3A36"/>
                <w:sz w:val="18"/>
              </w:rPr>
              <w:t>FY26</w:t>
            </w:r>
          </w:p>
        </w:tc>
        <w:tc>
          <w:tcPr>
            <w:tcW w:type="dxa" w:w="2736"/>
          </w:tcPr>
          <w:p>
            <w:pPr>
              <w:spacing w:after="20"/>
              <w:jc w:val="right"/>
            </w:pPr>
            <w:r>
              <w:rPr>
                <w:color w:val="1C3A36"/>
                <w:sz w:val="18"/>
              </w:rPr>
              <w:t>slow burn −</w:t>
            </w:r>
          </w:p>
        </w:tc>
      </w:tr>
    </w:tbl>
    <w:p>
      <w:pPr>
        <w:spacing w:after="40"/>
      </w:pPr>
    </w:p>
    <w:p>
      <w:pPr>
        <w:spacing w:after="120" w:before="0"/>
      </w:pPr>
      <w:r>
        <w:rPr>
          <w:b w:val="0"/>
          <w:i w:val="0"/>
          <w:color w:val="1C3A36"/>
          <w:sz w:val="19"/>
        </w:rPr>
        <w:t>Percentile map at both horizons: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304"/>
            <w:shd w:val="clear" w:color="auto" w:fill="EAF0EE"/>
          </w:tcPr>
          <w:p>
            <w:pPr>
              <w:spacing w:after="20"/>
            </w:pPr>
            <w:r>
              <w:rPr>
                <w:b/>
                <w:color w:val="1C3A36"/>
                <w:sz w:val="18"/>
              </w:rPr>
              <w:t>Percentile</w:t>
            </w:r>
          </w:p>
        </w:tc>
        <w:tc>
          <w:tcPr>
            <w:tcW w:type="dxa" w:w="2160"/>
            <w:shd w:val="clear" w:color="auto" w:fill="EAF0EE"/>
          </w:tcPr>
          <w:p>
            <w:pPr>
              <w:spacing w:after="20"/>
            </w:pPr>
            <w:r>
              <w:rPr>
                <w:b/>
                <w:color w:val="1C3A36"/>
                <w:sz w:val="18"/>
              </w:rPr>
              <w:t>T+20 (SAR)</w:t>
            </w:r>
          </w:p>
        </w:tc>
        <w:tc>
          <w:tcPr>
            <w:tcW w:type="dxa" w:w="2160"/>
            <w:shd w:val="clear" w:color="auto" w:fill="EAF0EE"/>
          </w:tcPr>
          <w:p>
            <w:pPr>
              <w:spacing w:after="20"/>
            </w:pPr>
            <w:r>
              <w:rPr>
                <w:b/>
                <w:color w:val="1C3A36"/>
                <w:sz w:val="18"/>
              </w:rPr>
              <w:t>T+60 (SAR)</w:t>
            </w:r>
          </w:p>
        </w:tc>
      </w:tr>
      <w:tr>
        <w:tc>
          <w:tcPr>
            <w:tcW w:type="dxa" w:w="2304"/>
          </w:tcPr>
          <w:p>
            <w:pPr>
              <w:spacing w:after="20"/>
            </w:pPr>
            <w:r>
              <w:rPr>
                <w:color w:val="1C3A36"/>
                <w:sz w:val="18"/>
              </w:rPr>
              <w:t>P5</w:t>
            </w:r>
          </w:p>
        </w:tc>
        <w:tc>
          <w:tcPr>
            <w:tcW w:type="dxa" w:w="2160"/>
          </w:tcPr>
          <w:p>
            <w:pPr>
              <w:spacing w:after="20"/>
              <w:jc w:val="right"/>
            </w:pPr>
            <w:r>
              <w:rPr>
                <w:color w:val="1C3A36"/>
                <w:sz w:val="18"/>
              </w:rPr>
              <w:t>22.10</w:t>
            </w:r>
          </w:p>
        </w:tc>
        <w:tc>
          <w:tcPr>
            <w:tcW w:type="dxa" w:w="2160"/>
          </w:tcPr>
          <w:p>
            <w:pPr>
              <w:spacing w:after="20"/>
              <w:jc w:val="right"/>
            </w:pPr>
            <w:r>
              <w:rPr>
                <w:color w:val="1C3A36"/>
                <w:sz w:val="18"/>
              </w:rPr>
              <w:t>20.76</w:t>
            </w:r>
          </w:p>
        </w:tc>
      </w:tr>
      <w:tr>
        <w:tc>
          <w:tcPr>
            <w:tcW w:type="dxa" w:w="2304"/>
          </w:tcPr>
          <w:p>
            <w:pPr>
              <w:spacing w:after="20"/>
            </w:pPr>
            <w:r>
              <w:rPr>
                <w:color w:val="1C3A36"/>
                <w:sz w:val="18"/>
              </w:rPr>
              <w:t>P10</w:t>
            </w:r>
          </w:p>
        </w:tc>
        <w:tc>
          <w:tcPr>
            <w:tcW w:type="dxa" w:w="2160"/>
          </w:tcPr>
          <w:p>
            <w:pPr>
              <w:spacing w:after="20"/>
              <w:jc w:val="right"/>
            </w:pPr>
            <w:r>
              <w:rPr>
                <w:color w:val="1C3A36"/>
                <w:sz w:val="18"/>
              </w:rPr>
              <w:t>22.61</w:t>
            </w:r>
          </w:p>
        </w:tc>
        <w:tc>
          <w:tcPr>
            <w:tcW w:type="dxa" w:w="2160"/>
          </w:tcPr>
          <w:p>
            <w:pPr>
              <w:spacing w:after="20"/>
              <w:jc w:val="right"/>
            </w:pPr>
            <w:r>
              <w:rPr>
                <w:color w:val="1C3A36"/>
                <w:sz w:val="18"/>
              </w:rPr>
              <w:t>21.63</w:t>
            </w:r>
          </w:p>
        </w:tc>
      </w:tr>
      <w:tr>
        <w:tc>
          <w:tcPr>
            <w:tcW w:type="dxa" w:w="2304"/>
          </w:tcPr>
          <w:p>
            <w:pPr>
              <w:spacing w:after="20"/>
            </w:pPr>
            <w:r>
              <w:rPr>
                <w:color w:val="1C3A36"/>
                <w:sz w:val="18"/>
              </w:rPr>
              <w:t>P25</w:t>
            </w:r>
          </w:p>
        </w:tc>
        <w:tc>
          <w:tcPr>
            <w:tcW w:type="dxa" w:w="2160"/>
          </w:tcPr>
          <w:p>
            <w:pPr>
              <w:spacing w:after="20"/>
              <w:jc w:val="right"/>
            </w:pPr>
            <w:r>
              <w:rPr>
                <w:color w:val="1C3A36"/>
                <w:sz w:val="18"/>
              </w:rPr>
              <w:t>23.31</w:t>
            </w:r>
          </w:p>
        </w:tc>
        <w:tc>
          <w:tcPr>
            <w:tcW w:type="dxa" w:w="2160"/>
          </w:tcPr>
          <w:p>
            <w:pPr>
              <w:spacing w:after="20"/>
              <w:jc w:val="right"/>
            </w:pPr>
            <w:r>
              <w:rPr>
                <w:color w:val="1C3A36"/>
                <w:sz w:val="18"/>
              </w:rPr>
              <w:t>22.82</w:t>
            </w:r>
          </w:p>
        </w:tc>
      </w:tr>
      <w:tr>
        <w:tc>
          <w:tcPr>
            <w:tcW w:type="dxa" w:w="2304"/>
            <w:shd w:val="clear" w:color="auto" w:fill="F6F1E6"/>
          </w:tcPr>
          <w:p>
            <w:pPr>
              <w:spacing w:after="20"/>
            </w:pPr>
            <w:r>
              <w:rPr>
                <w:b/>
                <w:color w:val="1C3A36"/>
                <w:sz w:val="18"/>
              </w:rPr>
              <w:t>Median</w:t>
            </w:r>
          </w:p>
        </w:tc>
        <w:tc>
          <w:tcPr>
            <w:tcW w:type="dxa" w:w="2160"/>
            <w:shd w:val="clear" w:color="auto" w:fill="F6F1E6"/>
          </w:tcPr>
          <w:p>
            <w:pPr>
              <w:spacing w:after="20"/>
              <w:jc w:val="right"/>
            </w:pPr>
            <w:r>
              <w:rPr>
                <w:b/>
                <w:color w:val="1C3A36"/>
                <w:sz w:val="18"/>
              </w:rPr>
              <w:t>24.00</w:t>
            </w:r>
          </w:p>
        </w:tc>
        <w:tc>
          <w:tcPr>
            <w:tcW w:type="dxa" w:w="2160"/>
            <w:shd w:val="clear" w:color="auto" w:fill="F6F1E6"/>
          </w:tcPr>
          <w:p>
            <w:pPr>
              <w:spacing w:after="20"/>
              <w:jc w:val="right"/>
            </w:pPr>
            <w:r>
              <w:rPr>
                <w:b/>
                <w:color w:val="1C3A36"/>
                <w:sz w:val="18"/>
              </w:rPr>
              <w:t>24.00</w:t>
            </w:r>
          </w:p>
        </w:tc>
      </w:tr>
      <w:tr>
        <w:tc>
          <w:tcPr>
            <w:tcW w:type="dxa" w:w="2304"/>
          </w:tcPr>
          <w:p>
            <w:pPr>
              <w:spacing w:after="20"/>
            </w:pPr>
            <w:r>
              <w:rPr>
                <w:color w:val="1C3A36"/>
                <w:sz w:val="18"/>
              </w:rPr>
              <w:t>P75</w:t>
            </w:r>
          </w:p>
        </w:tc>
        <w:tc>
          <w:tcPr>
            <w:tcW w:type="dxa" w:w="2160"/>
          </w:tcPr>
          <w:p>
            <w:pPr>
              <w:spacing w:after="20"/>
              <w:jc w:val="right"/>
            </w:pPr>
            <w:r>
              <w:rPr>
                <w:color w:val="1C3A36"/>
                <w:sz w:val="18"/>
              </w:rPr>
              <w:t>24.70</w:t>
            </w:r>
          </w:p>
        </w:tc>
        <w:tc>
          <w:tcPr>
            <w:tcW w:type="dxa" w:w="2160"/>
          </w:tcPr>
          <w:p>
            <w:pPr>
              <w:spacing w:after="20"/>
              <w:jc w:val="right"/>
            </w:pPr>
            <w:r>
              <w:rPr>
                <w:color w:val="1C3A36"/>
                <w:sz w:val="18"/>
              </w:rPr>
              <w:t>25.24</w:t>
            </w:r>
          </w:p>
        </w:tc>
      </w:tr>
      <w:tr>
        <w:tc>
          <w:tcPr>
            <w:tcW w:type="dxa" w:w="2304"/>
          </w:tcPr>
          <w:p>
            <w:pPr>
              <w:spacing w:after="20"/>
            </w:pPr>
            <w:r>
              <w:rPr>
                <w:color w:val="1C3A36"/>
                <w:sz w:val="18"/>
              </w:rPr>
              <w:t>P90</w:t>
            </w:r>
          </w:p>
        </w:tc>
        <w:tc>
          <w:tcPr>
            <w:tcW w:type="dxa" w:w="2160"/>
          </w:tcPr>
          <w:p>
            <w:pPr>
              <w:spacing w:after="20"/>
              <w:jc w:val="right"/>
            </w:pPr>
            <w:r>
              <w:rPr>
                <w:color w:val="1C3A36"/>
                <w:sz w:val="18"/>
              </w:rPr>
              <w:t>25.48</w:t>
            </w:r>
          </w:p>
        </w:tc>
        <w:tc>
          <w:tcPr>
            <w:tcW w:type="dxa" w:w="2160"/>
          </w:tcPr>
          <w:p>
            <w:pPr>
              <w:spacing w:after="20"/>
              <w:jc w:val="right"/>
            </w:pPr>
            <w:r>
              <w:rPr>
                <w:color w:val="1C3A36"/>
                <w:sz w:val="18"/>
              </w:rPr>
              <w:t>26.63</w:t>
            </w:r>
          </w:p>
        </w:tc>
      </w:tr>
      <w:tr>
        <w:tc>
          <w:tcPr>
            <w:tcW w:type="dxa" w:w="2304"/>
          </w:tcPr>
          <w:p>
            <w:pPr>
              <w:spacing w:after="20"/>
            </w:pPr>
            <w:r>
              <w:rPr>
                <w:color w:val="1C3A36"/>
                <w:sz w:val="18"/>
              </w:rPr>
              <w:t>P95</w:t>
            </w:r>
          </w:p>
        </w:tc>
        <w:tc>
          <w:tcPr>
            <w:tcW w:type="dxa" w:w="2160"/>
          </w:tcPr>
          <w:p>
            <w:pPr>
              <w:spacing w:after="20"/>
              <w:jc w:val="right"/>
            </w:pPr>
            <w:r>
              <w:rPr>
                <w:color w:val="1C3A36"/>
                <w:sz w:val="18"/>
              </w:rPr>
              <w:t>26.09</w:t>
            </w:r>
          </w:p>
        </w:tc>
        <w:tc>
          <w:tcPr>
            <w:tcW w:type="dxa" w:w="2160"/>
          </w:tcPr>
          <w:p>
            <w:pPr>
              <w:spacing w:after="20"/>
              <w:jc w:val="right"/>
            </w:pPr>
            <w:r>
              <w:rPr>
                <w:color w:val="1C3A36"/>
                <w:sz w:val="18"/>
              </w:rPr>
              <w:t>27.70</w:t>
            </w:r>
          </w:p>
        </w:tc>
      </w:tr>
      <w:tr>
        <w:tc>
          <w:tcPr>
            <w:tcW w:type="dxa" w:w="2304"/>
          </w:tcPr>
          <w:p>
            <w:pPr>
              <w:spacing w:after="20"/>
            </w:pPr>
            <w:r>
              <w:rPr>
                <w:color w:val="1C3A36"/>
                <w:sz w:val="18"/>
              </w:rPr>
              <w:t>P(above spot)</w:t>
            </w:r>
          </w:p>
        </w:tc>
        <w:tc>
          <w:tcPr>
            <w:tcW w:type="dxa" w:w="2160"/>
          </w:tcPr>
          <w:p>
            <w:pPr>
              <w:spacing w:after="20"/>
              <w:jc w:val="right"/>
            </w:pPr>
            <w:r>
              <w:rPr>
                <w:color w:val="1C3A36"/>
                <w:sz w:val="18"/>
              </w:rPr>
              <w:t>50%</w:t>
            </w:r>
          </w:p>
        </w:tc>
        <w:tc>
          <w:tcPr>
            <w:tcW w:type="dxa" w:w="2160"/>
          </w:tcPr>
          <w:p>
            <w:pPr>
              <w:spacing w:after="20"/>
              <w:jc w:val="right"/>
            </w:pPr>
            <w:r>
              <w:rPr>
                <w:color w:val="1C3A36"/>
                <w:sz w:val="18"/>
              </w:rPr>
              <w:t>50%</w:t>
            </w:r>
          </w:p>
        </w:tc>
      </w:tr>
    </w:tbl>
    <w:p>
      <w:pPr>
        <w:spacing w:after="40"/>
      </w:pPr>
    </w:p>
    <w:p>
      <w:pPr>
        <w:spacing w:after="40"/>
        <w:jc w:val="center"/>
      </w:pPr>
      <w:r>
        <w:drawing>
          <wp:inline xmlns:a="http://schemas.openxmlformats.org/drawingml/2006/main" xmlns:pic="http://schemas.openxmlformats.org/drawingml/2006/picture">
            <wp:extent cx="6309360" cy="2731888"/>
            <wp:docPr id="5" name="Picture 5"/>
            <wp:cNvGraphicFramePr>
              <a:graphicFrameLocks noChangeAspect="1"/>
            </wp:cNvGraphicFramePr>
            <a:graphic>
              <a:graphicData uri="http://schemas.openxmlformats.org/drawingml/2006/picture">
                <pic:pic>
                  <pic:nvPicPr>
                    <pic:cNvPr id="0" name="fig4_fan.png"/>
                    <pic:cNvPicPr/>
                  </pic:nvPicPr>
                  <pic:blipFill>
                    <a:blip r:embed="rId13"/>
                    <a:stretch>
                      <a:fillRect/>
                    </a:stretch>
                  </pic:blipFill>
                  <pic:spPr>
                    <a:xfrm>
                      <a:off x="0" y="0"/>
                      <a:ext cx="6309360" cy="2731888"/>
                    </a:xfrm>
                    <a:prstGeom prst="rect"/>
                  </pic:spPr>
                </pic:pic>
              </a:graphicData>
            </a:graphic>
          </wp:inline>
        </w:drawing>
      </w:r>
    </w:p>
    <w:p>
      <w:pPr>
        <w:spacing w:after="200" w:before="0"/>
      </w:pPr>
      <w:r>
        <w:rPr>
          <w:b w:val="0"/>
          <w:i/>
          <w:color w:val="6E7B77"/>
          <w:sz w:val="17"/>
        </w:rPr>
        <w:t>Figure 5 — Monte Carlo fan, 50,000 paths: median ~flat at spot (the carry anchor), 50% band in deep gold, 5–95% in pale gold. The fundamental central is a different clock, drawn only for reference.</w:t>
      </w:r>
    </w:p>
    <w:p>
      <w:pPr>
        <w:spacing w:after="40"/>
        <w:jc w:val="center"/>
      </w:pPr>
      <w:r>
        <w:drawing>
          <wp:inline xmlns:a="http://schemas.openxmlformats.org/drawingml/2006/main" xmlns:pic="http://schemas.openxmlformats.org/drawingml/2006/picture">
            <wp:extent cx="5120640" cy="2290813"/>
            <wp:docPr id="6" name="Picture 6"/>
            <wp:cNvGraphicFramePr>
              <a:graphicFrameLocks noChangeAspect="1"/>
            </wp:cNvGraphicFramePr>
            <a:graphic>
              <a:graphicData uri="http://schemas.openxmlformats.org/drawingml/2006/picture">
                <pic:pic>
                  <pic:nvPicPr>
                    <pic:cNvPr id="0" name="fig5_dist.png"/>
                    <pic:cNvPicPr/>
                  </pic:nvPicPr>
                  <pic:blipFill>
                    <a:blip r:embed="rId14"/>
                    <a:stretch>
                      <a:fillRect/>
                    </a:stretch>
                  </pic:blipFill>
                  <pic:spPr>
                    <a:xfrm>
                      <a:off x="0" y="0"/>
                      <a:ext cx="5120640" cy="2290813"/>
                    </a:xfrm>
                    <a:prstGeom prst="rect"/>
                  </pic:spPr>
                </pic:pic>
              </a:graphicData>
            </a:graphic>
          </wp:inline>
        </w:drawing>
      </w:r>
    </w:p>
    <w:p>
      <w:pPr>
        <w:spacing w:after="200" w:before="0"/>
      </w:pPr>
      <w:r>
        <w:rPr>
          <w:b w:val="0"/>
          <w:i/>
          <w:color w:val="6E7B77"/>
          <w:sz w:val="17"/>
        </w:rPr>
        <w:t>Figure 6 — Simulated price distribution at T+20: width ≈ the T+60 band ÷ √3.</w:t>
      </w:r>
    </w:p>
    <w:p>
      <w:pPr>
        <w:spacing w:after="40"/>
        <w:jc w:val="center"/>
      </w:pPr>
      <w:r>
        <w:drawing>
          <wp:inline xmlns:a="http://schemas.openxmlformats.org/drawingml/2006/main" xmlns:pic="http://schemas.openxmlformats.org/drawingml/2006/picture">
            <wp:extent cx="5120640" cy="2290813"/>
            <wp:docPr id="7" name="Picture 7"/>
            <wp:cNvGraphicFramePr>
              <a:graphicFrameLocks noChangeAspect="1"/>
            </wp:cNvGraphicFramePr>
            <a:graphic>
              <a:graphicData uri="http://schemas.openxmlformats.org/drawingml/2006/picture">
                <pic:pic>
                  <pic:nvPicPr>
                    <pic:cNvPr id="0" name="fig6_dist.png"/>
                    <pic:cNvPicPr/>
                  </pic:nvPicPr>
                  <pic:blipFill>
                    <a:blip r:embed="rId15"/>
                    <a:stretch>
                      <a:fillRect/>
                    </a:stretch>
                  </pic:blipFill>
                  <pic:spPr>
                    <a:xfrm>
                      <a:off x="0" y="0"/>
                      <a:ext cx="5120640" cy="2290813"/>
                    </a:xfrm>
                    <a:prstGeom prst="rect"/>
                  </pic:spPr>
                </pic:pic>
              </a:graphicData>
            </a:graphic>
          </wp:inline>
        </w:drawing>
      </w:r>
    </w:p>
    <w:p>
      <w:pPr>
        <w:spacing w:after="200" w:before="0"/>
      </w:pPr>
      <w:r>
        <w:rPr>
          <w:b w:val="0"/>
          <w:i/>
          <w:color w:val="6E7B77"/>
          <w:sz w:val="17"/>
        </w:rPr>
        <w:t>Figure 7 — Simulated price distribution at T+60: fitted t(4) aggregate — fatter tails than a Gaussian at the same variance.</w:t>
      </w:r>
    </w:p>
    <w:p>
      <w:pPr>
        <w:spacing w:after="120" w:before="0"/>
      </w:pPr>
      <w:r>
        <w:rPr>
          <w:b w:val="0"/>
          <w:i w:val="0"/>
          <w:color w:val="1C3A36"/>
          <w:sz w:val="19"/>
        </w:rPr>
        <w:t>Level-touch probabilities — the chance of trading AT a level at any point inside the horizon (higher than finishing beyond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3168"/>
            <w:shd w:val="clear" w:color="auto" w:fill="EAF0EE"/>
          </w:tcPr>
          <w:p>
            <w:pPr>
              <w:spacing w:after="20"/>
            </w:pPr>
            <w:r>
              <w:rPr>
                <w:b/>
                <w:color w:val="1C3A36"/>
                <w:sz w:val="18"/>
              </w:rPr>
              <w:t>Touch level (up)</w:t>
            </w:r>
          </w:p>
        </w:tc>
        <w:tc>
          <w:tcPr>
            <w:tcW w:type="dxa" w:w="2880"/>
            <w:shd w:val="clear" w:color="auto" w:fill="EAF0EE"/>
          </w:tcPr>
          <w:p>
            <w:pPr>
              <w:spacing w:after="20"/>
            </w:pPr>
            <w:r>
              <w:rPr>
                <w:b/>
                <w:color w:val="1C3A36"/>
                <w:sz w:val="18"/>
              </w:rPr>
              <w:t>T+60 probability</w:t>
            </w:r>
          </w:p>
        </w:tc>
      </w:tr>
      <w:tr>
        <w:tc>
          <w:tcPr>
            <w:tcW w:type="dxa" w:w="3168"/>
          </w:tcPr>
          <w:p>
            <w:pPr>
              <w:spacing w:after="20"/>
            </w:pPr>
            <w:r>
              <w:rPr>
                <w:color w:val="1C3A36"/>
                <w:sz w:val="18"/>
              </w:rPr>
              <w:t>+3%</w:t>
            </w:r>
          </w:p>
        </w:tc>
        <w:tc>
          <w:tcPr>
            <w:tcW w:type="dxa" w:w="2880"/>
          </w:tcPr>
          <w:p>
            <w:pPr>
              <w:spacing w:after="20"/>
              <w:jc w:val="right"/>
            </w:pPr>
            <w:r>
              <w:rPr>
                <w:color w:val="1C3A36"/>
                <w:sz w:val="18"/>
              </w:rPr>
              <w:t>63%</w:t>
            </w:r>
          </w:p>
        </w:tc>
      </w:tr>
      <w:tr>
        <w:tc>
          <w:tcPr>
            <w:tcW w:type="dxa" w:w="3168"/>
          </w:tcPr>
          <w:p>
            <w:pPr>
              <w:spacing w:after="20"/>
            </w:pPr>
            <w:r>
              <w:rPr>
                <w:color w:val="1C3A36"/>
                <w:sz w:val="18"/>
              </w:rPr>
              <w:t>+5%</w:t>
            </w:r>
          </w:p>
        </w:tc>
        <w:tc>
          <w:tcPr>
            <w:tcW w:type="dxa" w:w="2880"/>
          </w:tcPr>
          <w:p>
            <w:pPr>
              <w:spacing w:after="20"/>
              <w:jc w:val="right"/>
            </w:pPr>
            <w:r>
              <w:rPr>
                <w:color w:val="1C3A36"/>
                <w:sz w:val="18"/>
              </w:rPr>
              <w:t>47%</w:t>
            </w:r>
          </w:p>
        </w:tc>
      </w:tr>
      <w:tr>
        <w:tc>
          <w:tcPr>
            <w:tcW w:type="dxa" w:w="3168"/>
          </w:tcPr>
          <w:p>
            <w:pPr>
              <w:spacing w:after="20"/>
            </w:pPr>
            <w:r>
              <w:rPr>
                <w:color w:val="1C3A36"/>
                <w:sz w:val="18"/>
              </w:rPr>
              <w:t>+8%</w:t>
            </w:r>
          </w:p>
        </w:tc>
        <w:tc>
          <w:tcPr>
            <w:tcW w:type="dxa" w:w="2880"/>
          </w:tcPr>
          <w:p>
            <w:pPr>
              <w:spacing w:after="20"/>
              <w:jc w:val="right"/>
            </w:pPr>
            <w:r>
              <w:rPr>
                <w:color w:val="1C3A36"/>
                <w:sz w:val="18"/>
              </w:rPr>
              <w:t>29%</w:t>
            </w:r>
          </w:p>
        </w:tc>
      </w:tr>
      <w:tr>
        <w:tc>
          <w:tcPr>
            <w:tcW w:type="dxa" w:w="3168"/>
          </w:tcPr>
          <w:p>
            <w:pPr>
              <w:spacing w:after="20"/>
            </w:pPr>
            <w:r>
              <w:rPr>
                <w:color w:val="1C3A36"/>
                <w:sz w:val="18"/>
              </w:rPr>
              <w:t>+10%</w:t>
            </w:r>
          </w:p>
        </w:tc>
        <w:tc>
          <w:tcPr>
            <w:tcW w:type="dxa" w:w="2880"/>
          </w:tcPr>
          <w:p>
            <w:pPr>
              <w:spacing w:after="20"/>
              <w:jc w:val="right"/>
            </w:pPr>
            <w:r>
              <w:rPr>
                <w:color w:val="1C3A36"/>
                <w:sz w:val="18"/>
              </w:rPr>
              <w:t>21%</w:t>
            </w:r>
          </w:p>
        </w:tc>
      </w:tr>
      <w:tr>
        <w:tc>
          <w:tcPr>
            <w:tcW w:type="dxa" w:w="3168"/>
          </w:tcPr>
          <w:p>
            <w:pPr>
              <w:spacing w:after="20"/>
            </w:pPr>
            <w:r>
              <w:rPr>
                <w:color w:val="1C3A36"/>
                <w:sz w:val="18"/>
              </w:rPr>
              <w:t>+15%</w:t>
            </w:r>
          </w:p>
        </w:tc>
        <w:tc>
          <w:tcPr>
            <w:tcW w:type="dxa" w:w="2880"/>
          </w:tcPr>
          <w:p>
            <w:pPr>
              <w:spacing w:after="20"/>
              <w:jc w:val="right"/>
            </w:pPr>
            <w:r>
              <w:rPr>
                <w:color w:val="1C3A36"/>
                <w:sz w:val="18"/>
              </w:rPr>
              <w:t>10%</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3168"/>
            <w:shd w:val="clear" w:color="auto" w:fill="EAF0EE"/>
          </w:tcPr>
          <w:p>
            <w:pPr>
              <w:spacing w:after="20"/>
            </w:pPr>
            <w:r>
              <w:rPr>
                <w:b/>
                <w:color w:val="1C3A36"/>
                <w:sz w:val="18"/>
              </w:rPr>
              <w:t>Touch level (down)</w:t>
            </w:r>
          </w:p>
        </w:tc>
        <w:tc>
          <w:tcPr>
            <w:tcW w:type="dxa" w:w="2880"/>
            <w:shd w:val="clear" w:color="auto" w:fill="EAF0EE"/>
          </w:tcPr>
          <w:p>
            <w:pPr>
              <w:spacing w:after="20"/>
            </w:pPr>
            <w:r>
              <w:rPr>
                <w:b/>
                <w:color w:val="1C3A36"/>
                <w:sz w:val="18"/>
              </w:rPr>
              <w:t>T+60 probability</w:t>
            </w:r>
          </w:p>
        </w:tc>
      </w:tr>
      <w:tr>
        <w:tc>
          <w:tcPr>
            <w:tcW w:type="dxa" w:w="3168"/>
          </w:tcPr>
          <w:p>
            <w:pPr>
              <w:spacing w:after="20"/>
            </w:pPr>
            <w:r>
              <w:rPr>
                <w:color w:val="1C3A36"/>
                <w:sz w:val="18"/>
              </w:rPr>
              <w:t>-3%</w:t>
            </w:r>
          </w:p>
        </w:tc>
        <w:tc>
          <w:tcPr>
            <w:tcW w:type="dxa" w:w="2880"/>
          </w:tcPr>
          <w:p>
            <w:pPr>
              <w:spacing w:after="20"/>
              <w:jc w:val="right"/>
            </w:pPr>
            <w:r>
              <w:rPr>
                <w:color w:val="1C3A36"/>
                <w:sz w:val="18"/>
              </w:rPr>
              <w:t>63%</w:t>
            </w:r>
          </w:p>
        </w:tc>
      </w:tr>
      <w:tr>
        <w:tc>
          <w:tcPr>
            <w:tcW w:type="dxa" w:w="3168"/>
          </w:tcPr>
          <w:p>
            <w:pPr>
              <w:spacing w:after="20"/>
            </w:pPr>
            <w:r>
              <w:rPr>
                <w:color w:val="1C3A36"/>
                <w:sz w:val="18"/>
              </w:rPr>
              <w:t>-5%</w:t>
            </w:r>
          </w:p>
        </w:tc>
        <w:tc>
          <w:tcPr>
            <w:tcW w:type="dxa" w:w="2880"/>
          </w:tcPr>
          <w:p>
            <w:pPr>
              <w:spacing w:after="20"/>
              <w:jc w:val="right"/>
            </w:pPr>
            <w:r>
              <w:rPr>
                <w:color w:val="1C3A36"/>
                <w:sz w:val="18"/>
              </w:rPr>
              <w:t>45%</w:t>
            </w:r>
          </w:p>
        </w:tc>
      </w:tr>
      <w:tr>
        <w:tc>
          <w:tcPr>
            <w:tcW w:type="dxa" w:w="3168"/>
          </w:tcPr>
          <w:p>
            <w:pPr>
              <w:spacing w:after="20"/>
            </w:pPr>
            <w:r>
              <w:rPr>
                <w:color w:val="1C3A36"/>
                <w:sz w:val="18"/>
              </w:rPr>
              <w:t>-8%</w:t>
            </w:r>
          </w:p>
        </w:tc>
        <w:tc>
          <w:tcPr>
            <w:tcW w:type="dxa" w:w="2880"/>
          </w:tcPr>
          <w:p>
            <w:pPr>
              <w:spacing w:after="20"/>
              <w:jc w:val="right"/>
            </w:pPr>
            <w:r>
              <w:rPr>
                <w:color w:val="1C3A36"/>
                <w:sz w:val="18"/>
              </w:rPr>
              <w:t>26%</w:t>
            </w:r>
          </w:p>
        </w:tc>
      </w:tr>
      <w:tr>
        <w:tc>
          <w:tcPr>
            <w:tcW w:type="dxa" w:w="3168"/>
          </w:tcPr>
          <w:p>
            <w:pPr>
              <w:spacing w:after="20"/>
            </w:pPr>
            <w:r>
              <w:rPr>
                <w:color w:val="1C3A36"/>
                <w:sz w:val="18"/>
              </w:rPr>
              <w:t>-10%</w:t>
            </w:r>
          </w:p>
        </w:tc>
        <w:tc>
          <w:tcPr>
            <w:tcW w:type="dxa" w:w="2880"/>
          </w:tcPr>
          <w:p>
            <w:pPr>
              <w:spacing w:after="20"/>
              <w:jc w:val="right"/>
            </w:pPr>
            <w:r>
              <w:rPr>
                <w:color w:val="1C3A36"/>
                <w:sz w:val="18"/>
              </w:rPr>
              <w:t>18%</w:t>
            </w:r>
          </w:p>
        </w:tc>
      </w:tr>
      <w:tr>
        <w:tc>
          <w:tcPr>
            <w:tcW w:type="dxa" w:w="3168"/>
          </w:tcPr>
          <w:p>
            <w:pPr>
              <w:spacing w:after="20"/>
            </w:pPr>
            <w:r>
              <w:rPr>
                <w:color w:val="1C3A36"/>
                <w:sz w:val="18"/>
              </w:rPr>
              <w:t>-15%</w:t>
            </w:r>
          </w:p>
        </w:tc>
        <w:tc>
          <w:tcPr>
            <w:tcW w:type="dxa" w:w="2880"/>
          </w:tcPr>
          <w:p>
            <w:pPr>
              <w:spacing w:after="20"/>
              <w:jc w:val="right"/>
            </w:pPr>
            <w:r>
              <w:rPr>
                <w:color w:val="1C3A36"/>
                <w:sz w:val="18"/>
              </w:rPr>
              <w:t>7%</w:t>
            </w:r>
          </w:p>
        </w:tc>
      </w:tr>
    </w:tbl>
    <w:p>
      <w:pPr>
        <w:spacing w:after="40"/>
      </w:pPr>
    </w:p>
    <w:p>
      <w:pPr>
        <w:spacing w:after="40"/>
        <w:jc w:val="center"/>
      </w:pPr>
      <w:r>
        <w:drawing>
          <wp:inline xmlns:a="http://schemas.openxmlformats.org/drawingml/2006/main" xmlns:pic="http://schemas.openxmlformats.org/drawingml/2006/picture">
            <wp:extent cx="5852160" cy="2653887"/>
            <wp:docPr id="8" name="Picture 8"/>
            <wp:cNvGraphicFramePr>
              <a:graphicFrameLocks noChangeAspect="1"/>
            </wp:cNvGraphicFramePr>
            <a:graphic>
              <a:graphicData uri="http://schemas.openxmlformats.org/drawingml/2006/picture">
                <pic:pic>
                  <pic:nvPicPr>
                    <pic:cNvPr id="0" name="fig8_touch.png"/>
                    <pic:cNvPicPr/>
                  </pic:nvPicPr>
                  <pic:blipFill>
                    <a:blip r:embed="rId16"/>
                    <a:stretch>
                      <a:fillRect/>
                    </a:stretch>
                  </pic:blipFill>
                  <pic:spPr>
                    <a:xfrm>
                      <a:off x="0" y="0"/>
                      <a:ext cx="5852160" cy="2653887"/>
                    </a:xfrm>
                    <a:prstGeom prst="rect"/>
                  </pic:spPr>
                </pic:pic>
              </a:graphicData>
            </a:graphic>
          </wp:inline>
        </w:drawing>
      </w:r>
    </w:p>
    <w:p>
      <w:pPr>
        <w:spacing w:after="200" w:before="0"/>
      </w:pPr>
      <w:r>
        <w:rPr>
          <w:b w:val="0"/>
          <w:i/>
          <w:color w:val="6E7B77"/>
          <w:sz w:val="17"/>
        </w:rPr>
        <w:t>Figure 8 — The touch ladder: near-symmetric around spot, gold up-legs vs sage down-legs, fat in both tails.</w:t>
      </w:r>
    </w:p>
    <w:p>
      <w:pPr>
        <w:spacing w:after="120" w:before="280"/>
      </w:pPr>
      <w:r>
        <w:rPr>
          <w:b/>
          <w:i w:val="0"/>
          <w:color w:val="1C3A36"/>
          <w:sz w:val="30"/>
        </w:rPr>
        <w:t>4  Comparison of the lenses, and a verdict</w:t>
      </w:r>
    </w:p>
    <w:p>
      <w:pPr>
        <w:spacing w:after="120" w:before="0"/>
      </w:pPr>
      <w:r>
        <w:rPr>
          <w:b w:val="0"/>
          <w:i w:val="0"/>
          <w:color w:val="1C3A36"/>
          <w:sz w:val="21"/>
        </w:rPr>
        <w:t>Fundamental says SAR ~27.3 conditional on the ROE glide; technical says the tape is digesting under a falling short-MA stack with the long trend intact at MA200; Monte Carlo says the next quarter is a coin flip on price with the return paid as dividend. These are three different clocks and all three can be right at once. The integrated read: a fundamentally cheap-to-fair growth bank in a corrective tape, where patience is literally paid ~1% a quarter to wait. What would make us wrong is not a bad quarter — it is a structural failure of the NIM to stabilise at ~3.4%, or evidence that the market's beta-1.0 discount rate is the correct one (§7).</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448"/>
            <w:shd w:val="clear" w:color="auto" w:fill="EAF0EE"/>
          </w:tcPr>
          <w:p>
            <w:pPr>
              <w:spacing w:after="20"/>
            </w:pPr>
            <w:r>
              <w:rPr>
                <w:b/>
                <w:color w:val="1C3A36"/>
                <w:sz w:val="18"/>
              </w:rPr>
              <w:t>Clock</w:t>
            </w:r>
          </w:p>
        </w:tc>
        <w:tc>
          <w:tcPr>
            <w:tcW w:type="dxa" w:w="5184"/>
            <w:shd w:val="clear" w:color="auto" w:fill="EAF0EE"/>
          </w:tcPr>
          <w:p>
            <w:pPr>
              <w:spacing w:after="20"/>
            </w:pPr>
            <w:r>
              <w:rPr>
                <w:b/>
                <w:color w:val="1C3A36"/>
                <w:sz w:val="18"/>
              </w:rPr>
              <w:t>Read</w:t>
            </w:r>
          </w:p>
        </w:tc>
        <w:tc>
          <w:tcPr>
            <w:tcW w:type="dxa" w:w="2592"/>
            <w:shd w:val="clear" w:color="auto" w:fill="EAF0EE"/>
          </w:tcPr>
          <w:p>
            <w:pPr>
              <w:spacing w:after="20"/>
            </w:pPr>
            <w:r>
              <w:rPr>
                <w:b/>
                <w:color w:val="1C3A36"/>
                <w:sz w:val="18"/>
              </w:rPr>
              <w:t>Confidence</w:t>
            </w:r>
          </w:p>
        </w:tc>
      </w:tr>
      <w:tr>
        <w:tc>
          <w:tcPr>
            <w:tcW w:type="dxa" w:w="2448"/>
          </w:tcPr>
          <w:p>
            <w:pPr>
              <w:spacing w:after="20"/>
            </w:pPr>
            <w:r>
              <w:rPr>
                <w:color w:val="1C3A36"/>
                <w:sz w:val="18"/>
              </w:rPr>
              <w:t>Fundamental (~12m)</w:t>
            </w:r>
          </w:p>
        </w:tc>
        <w:tc>
          <w:tcPr>
            <w:tcW w:type="dxa" w:w="5184"/>
          </w:tcPr>
          <w:p>
            <w:pPr>
              <w:spacing w:after="20"/>
              <w:jc w:val="right"/>
            </w:pPr>
            <w:r>
              <w:rPr>
                <w:color w:val="1C3A36"/>
                <w:sz w:val="18"/>
              </w:rPr>
              <w:t>SAR 24.6–30.0 central band; upside +14%</w:t>
            </w:r>
          </w:p>
        </w:tc>
        <w:tc>
          <w:tcPr>
            <w:tcW w:type="dxa" w:w="2592"/>
          </w:tcPr>
          <w:p>
            <w:pPr>
              <w:spacing w:after="20"/>
              <w:jc w:val="right"/>
            </w:pPr>
            <w:r>
              <w:rPr>
                <w:color w:val="1C3A36"/>
                <w:sz w:val="18"/>
              </w:rPr>
              <w:t>moderate — Ke-conditional</w:t>
            </w:r>
          </w:p>
        </w:tc>
      </w:tr>
      <w:tr>
        <w:tc>
          <w:tcPr>
            <w:tcW w:type="dxa" w:w="2448"/>
          </w:tcPr>
          <w:p>
            <w:pPr>
              <w:spacing w:after="20"/>
            </w:pPr>
            <w:r>
              <w:rPr>
                <w:color w:val="1C3A36"/>
                <w:sz w:val="18"/>
              </w:rPr>
              <w:t>Technical (weeks)</w:t>
            </w:r>
          </w:p>
        </w:tc>
        <w:tc>
          <w:tcPr>
            <w:tcW w:type="dxa" w:w="5184"/>
          </w:tcPr>
          <w:p>
            <w:pPr>
              <w:spacing w:after="20"/>
              <w:jc w:val="right"/>
            </w:pPr>
            <w:r>
              <w:rPr>
                <w:color w:val="1C3A36"/>
                <w:sz w:val="18"/>
              </w:rPr>
              <w:t>corrective; 23.3 then 22.1 support, 25.3 first resistance</w:t>
            </w:r>
          </w:p>
        </w:tc>
        <w:tc>
          <w:tcPr>
            <w:tcW w:type="dxa" w:w="2592"/>
          </w:tcPr>
          <w:p>
            <w:pPr>
              <w:spacing w:after="20"/>
              <w:jc w:val="right"/>
            </w:pPr>
            <w:r>
              <w:rPr>
                <w:color w:val="1C3A36"/>
                <w:sz w:val="18"/>
              </w:rPr>
              <w:t>moderate</w:t>
            </w:r>
          </w:p>
        </w:tc>
      </w:tr>
      <w:tr>
        <w:tc>
          <w:tcPr>
            <w:tcW w:type="dxa" w:w="2448"/>
          </w:tcPr>
          <w:p>
            <w:pPr>
              <w:spacing w:after="20"/>
            </w:pPr>
            <w:r>
              <w:rPr>
                <w:color w:val="1C3A36"/>
                <w:sz w:val="18"/>
              </w:rPr>
              <w:t>Monte Carlo (3m)</w:t>
            </w:r>
          </w:p>
        </w:tc>
        <w:tc>
          <w:tcPr>
            <w:tcW w:type="dxa" w:w="5184"/>
          </w:tcPr>
          <w:p>
            <w:pPr>
              <w:spacing w:after="20"/>
              <w:jc w:val="right"/>
            </w:pPr>
            <w:r>
              <w:rPr>
                <w:color w:val="1C3A36"/>
                <w:sz w:val="18"/>
              </w:rPr>
              <w:t>median 24.00, 50% band 22.82–25.24</w:t>
            </w:r>
          </w:p>
        </w:tc>
        <w:tc>
          <w:tcPr>
            <w:tcW w:type="dxa" w:w="2592"/>
          </w:tcPr>
          <w:p>
            <w:pPr>
              <w:spacing w:after="20"/>
              <w:jc w:val="right"/>
            </w:pPr>
            <w:r>
              <w:rPr>
                <w:color w:val="1C3A36"/>
                <w:sz w:val="18"/>
              </w:rPr>
              <w:t>calibrated (parity tier)</w:t>
            </w:r>
          </w:p>
        </w:tc>
      </w:tr>
    </w:tbl>
    <w:p>
      <w:pPr>
        <w:spacing w:after="40"/>
      </w:pPr>
    </w:p>
    <w:p>
      <w:pPr>
        <w:spacing w:after="120" w:before="280"/>
      </w:pPr>
      <w:r>
        <w:rPr>
          <w:b/>
          <w:i w:val="0"/>
          <w:color w:val="1C3A36"/>
          <w:sz w:val="30"/>
        </w:rPr>
        <w:t>5  Catalysts to watch</w:t>
      </w:r>
    </w:p>
    <w:p>
      <w:pPr>
        <w:pStyle w:val="ListBullet"/>
        <w:spacing w:after="60"/>
      </w:pPr>
      <w:r>
        <w:rPr>
          <w:b/>
          <w:color w:val="1C3A36"/>
          <w:sz w:val="21"/>
        </w:rPr>
        <w:t xml:space="preserve">Q2-2026 results (expected late July). </w:t>
      </w:r>
      <w:r>
        <w:rPr>
          <w:color w:val="1C3A36"/>
          <w:sz w:val="21"/>
        </w:rPr>
        <w:t>The first clean read on the FY26 NIM guidance against actual SAMA follow-through; Q1-26 net income was ~SAR 1.68bn (+11%).</w:t>
      </w:r>
    </w:p>
    <w:p>
      <w:pPr>
        <w:pStyle w:val="ListBullet"/>
        <w:spacing w:after="60"/>
      </w:pPr>
      <w:r>
        <w:rPr>
          <w:b/>
          <w:color w:val="1C3A36"/>
          <w:sz w:val="21"/>
        </w:rPr>
        <w:t xml:space="preserve">The Fed → SAMA sequence. </w:t>
      </w:r>
      <w:r>
        <w:rPr>
          <w:color w:val="1C3A36"/>
          <w:sz w:val="21"/>
        </w:rPr>
        <w:t>Each 25bp cut tests the 3.45% NIM glide from both sides — asset repricing versus CASA relief.</w:t>
      </w:r>
    </w:p>
    <w:p>
      <w:pPr>
        <w:pStyle w:val="ListBullet"/>
        <w:spacing w:after="60"/>
      </w:pPr>
      <w:r>
        <w:rPr>
          <w:b/>
          <w:color w:val="1C3A36"/>
          <w:sz w:val="21"/>
        </w:rPr>
        <w:t xml:space="preserve">Dividend cadence. </w:t>
      </w:r>
      <w:r>
        <w:rPr>
          <w:color w:val="1C3A36"/>
          <w:sz w:val="21"/>
        </w:rPr>
        <w:t>SAR 0.25/quarter run-rate; any step-up toward a 50%+ payout is the capital-return signal the DDM already half-prices.</w:t>
      </w:r>
    </w:p>
    <w:p>
      <w:pPr>
        <w:pStyle w:val="ListBullet"/>
        <w:spacing w:after="60"/>
      </w:pPr>
      <w:r>
        <w:rPr>
          <w:b/>
          <w:color w:val="1C3A36"/>
          <w:sz w:val="21"/>
        </w:rPr>
        <w:t xml:space="preserve">Index flows. </w:t>
      </w:r>
      <w:r>
        <w:rPr>
          <w:color w:val="1C3A36"/>
          <w:sz w:val="21"/>
        </w:rPr>
        <w:t>MSCI/FTSE EM reviews in August–September; Alinma is a large, liquid Tadawul constituent.</w:t>
      </w:r>
    </w:p>
    <w:p>
      <w:pPr>
        <w:pStyle w:val="ListBullet"/>
        <w:spacing w:after="60"/>
      </w:pPr>
      <w:r>
        <w:rPr>
          <w:b/>
          <w:color w:val="1C3A36"/>
          <w:sz w:val="21"/>
        </w:rPr>
        <w:t xml:space="preserve">Tier-1 refinancing windows. </w:t>
      </w:r>
      <w:r>
        <w:rPr>
          <w:color w:val="1C3A36"/>
          <w:sz w:val="21"/>
        </w:rPr>
        <w:t>The ~SAR 13.75bn T1 stack reprices opportunistically; cheaper T1 is a direct EPS-to-common tailwind.</w:t>
      </w:r>
    </w:p>
    <w:p>
      <w:pPr>
        <w:spacing w:after="120" w:before="280"/>
      </w:pPr>
      <w:r>
        <w:rPr>
          <w:b/>
          <w:i w:val="0"/>
          <w:color w:val="1C3A36"/>
          <w:sz w:val="30"/>
        </w:rPr>
        <w:t>6  Reading the probability zones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736"/>
            <w:shd w:val="clear" w:color="auto" w:fill="EAF0EE"/>
          </w:tcPr>
          <w:p>
            <w:pPr>
              <w:spacing w:after="20"/>
            </w:pPr>
            <w:r>
              <w:rPr>
                <w:b/>
                <w:color w:val="1C3A36"/>
                <w:sz w:val="18"/>
              </w:rPr>
              <w:t>Zone (T+60)</w:t>
            </w:r>
          </w:p>
        </w:tc>
        <w:tc>
          <w:tcPr>
            <w:tcW w:type="dxa" w:w="1584"/>
            <w:shd w:val="clear" w:color="auto" w:fill="EAF0EE"/>
          </w:tcPr>
          <w:p>
            <w:pPr>
              <w:spacing w:after="20"/>
            </w:pPr>
            <w:r>
              <w:rPr>
                <w:b/>
                <w:color w:val="1C3A36"/>
                <w:sz w:val="18"/>
              </w:rPr>
              <w:t>Probability</w:t>
            </w:r>
          </w:p>
        </w:tc>
        <w:tc>
          <w:tcPr>
            <w:tcW w:type="dxa" w:w="5904"/>
            <w:shd w:val="clear" w:color="auto" w:fill="EAF0EE"/>
          </w:tcPr>
          <w:p>
            <w:pPr>
              <w:spacing w:after="20"/>
            </w:pPr>
            <w:r>
              <w:rPr>
                <w:b/>
                <w:color w:val="1C3A36"/>
                <w:sz w:val="18"/>
              </w:rPr>
              <w:t>What it would likely mean</w:t>
            </w:r>
          </w:p>
        </w:tc>
      </w:tr>
      <w:tr>
        <w:tc>
          <w:tcPr>
            <w:tcW w:type="dxa" w:w="2736"/>
          </w:tcPr>
          <w:p>
            <w:pPr>
              <w:spacing w:after="20"/>
            </w:pPr>
            <w:r>
              <w:rPr>
                <w:color w:val="1C3A36"/>
                <w:sz w:val="18"/>
              </w:rPr>
              <w:t>Above 26.63 (P90)</w:t>
            </w:r>
          </w:p>
        </w:tc>
        <w:tc>
          <w:tcPr>
            <w:tcW w:type="dxa" w:w="1584"/>
          </w:tcPr>
          <w:p>
            <w:pPr>
              <w:spacing w:after="20"/>
              <w:jc w:val="right"/>
            </w:pPr>
            <w:r>
              <w:rPr>
                <w:color w:val="1C3A36"/>
                <w:sz w:val="18"/>
              </w:rPr>
              <w:t>~10%</w:t>
            </w:r>
          </w:p>
        </w:tc>
        <w:tc>
          <w:tcPr>
            <w:tcW w:type="dxa" w:w="5904"/>
          </w:tcPr>
          <w:p>
            <w:pPr>
              <w:spacing w:after="20"/>
              <w:jc w:val="right"/>
            </w:pPr>
            <w:r>
              <w:rPr>
                <w:color w:val="1C3A36"/>
                <w:sz w:val="18"/>
              </w:rPr>
              <w:t>rate-cut euphoria + Q2 beat; premium re-rating toward Al Bilad multiples</w:t>
            </w:r>
          </w:p>
        </w:tc>
      </w:tr>
      <w:tr>
        <w:tc>
          <w:tcPr>
            <w:tcW w:type="dxa" w:w="2736"/>
          </w:tcPr>
          <w:p>
            <w:pPr>
              <w:spacing w:after="20"/>
            </w:pPr>
            <w:r>
              <w:rPr>
                <w:color w:val="1C3A36"/>
                <w:sz w:val="18"/>
              </w:rPr>
              <w:t>25.24–26.63</w:t>
            </w:r>
          </w:p>
        </w:tc>
        <w:tc>
          <w:tcPr>
            <w:tcW w:type="dxa" w:w="1584"/>
          </w:tcPr>
          <w:p>
            <w:pPr>
              <w:spacing w:after="20"/>
              <w:jc w:val="right"/>
            </w:pPr>
            <w:r>
              <w:rPr>
                <w:color w:val="1C3A36"/>
                <w:sz w:val="18"/>
              </w:rPr>
              <w:t>~15%</w:t>
            </w:r>
          </w:p>
        </w:tc>
        <w:tc>
          <w:tcPr>
            <w:tcW w:type="dxa" w:w="5904"/>
          </w:tcPr>
          <w:p>
            <w:pPr>
              <w:spacing w:after="20"/>
              <w:jc w:val="right"/>
            </w:pPr>
            <w:r>
              <w:rPr>
                <w:color w:val="1C3A36"/>
                <w:sz w:val="18"/>
              </w:rPr>
              <w:t>Q2 beat, NIM holding; drift back toward the May pivot</w:t>
            </w:r>
          </w:p>
        </w:tc>
      </w:tr>
      <w:tr>
        <w:tc>
          <w:tcPr>
            <w:tcW w:type="dxa" w:w="2736"/>
          </w:tcPr>
          <w:p>
            <w:pPr>
              <w:spacing w:after="20"/>
            </w:pPr>
            <w:r>
              <w:rPr>
                <w:color w:val="1C3A36"/>
                <w:sz w:val="18"/>
              </w:rPr>
              <w:t>24.00–25.24 (median→P75)</w:t>
            </w:r>
          </w:p>
        </w:tc>
        <w:tc>
          <w:tcPr>
            <w:tcW w:type="dxa" w:w="1584"/>
          </w:tcPr>
          <w:p>
            <w:pPr>
              <w:spacing w:after="20"/>
              <w:jc w:val="right"/>
            </w:pPr>
            <w:r>
              <w:rPr>
                <w:color w:val="1C3A36"/>
                <w:sz w:val="18"/>
              </w:rPr>
              <w:t>~25%</w:t>
            </w:r>
          </w:p>
        </w:tc>
        <w:tc>
          <w:tcPr>
            <w:tcW w:type="dxa" w:w="5904"/>
          </w:tcPr>
          <w:p>
            <w:pPr>
              <w:spacing w:after="20"/>
              <w:jc w:val="right"/>
            </w:pPr>
            <w:r>
              <w:rPr>
                <w:color w:val="1C3A36"/>
                <w:sz w:val="18"/>
              </w:rPr>
              <w:t>base case: carry accrues, tape stabilises above MA50</w:t>
            </w:r>
          </w:p>
        </w:tc>
      </w:tr>
      <w:tr>
        <w:tc>
          <w:tcPr>
            <w:tcW w:type="dxa" w:w="2736"/>
          </w:tcPr>
          <w:p>
            <w:pPr>
              <w:spacing w:after="20"/>
            </w:pPr>
            <w:r>
              <w:rPr>
                <w:color w:val="1C3A36"/>
                <w:sz w:val="18"/>
              </w:rPr>
              <w:t>22.82–24.00</w:t>
            </w:r>
          </w:p>
        </w:tc>
        <w:tc>
          <w:tcPr>
            <w:tcW w:type="dxa" w:w="1584"/>
          </w:tcPr>
          <w:p>
            <w:pPr>
              <w:spacing w:after="20"/>
              <w:jc w:val="right"/>
            </w:pPr>
            <w:r>
              <w:rPr>
                <w:color w:val="1C3A36"/>
                <w:sz w:val="18"/>
              </w:rPr>
              <w:t>~25%</w:t>
            </w:r>
          </w:p>
        </w:tc>
        <w:tc>
          <w:tcPr>
            <w:tcW w:type="dxa" w:w="5904"/>
          </w:tcPr>
          <w:p>
            <w:pPr>
              <w:spacing w:after="20"/>
              <w:jc w:val="right"/>
            </w:pPr>
            <w:r>
              <w:rPr>
                <w:color w:val="1C3A36"/>
                <w:sz w:val="18"/>
              </w:rPr>
              <w:t>soft quarter or index outflows; support at 23.3 holds</w:t>
            </w:r>
          </w:p>
        </w:tc>
      </w:tr>
      <w:tr>
        <w:tc>
          <w:tcPr>
            <w:tcW w:type="dxa" w:w="2736"/>
          </w:tcPr>
          <w:p>
            <w:pPr>
              <w:spacing w:after="20"/>
            </w:pPr>
            <w:r>
              <w:rPr>
                <w:color w:val="1C3A36"/>
                <w:sz w:val="18"/>
              </w:rPr>
              <w:t>21.63–22.82</w:t>
            </w:r>
          </w:p>
        </w:tc>
        <w:tc>
          <w:tcPr>
            <w:tcW w:type="dxa" w:w="1584"/>
          </w:tcPr>
          <w:p>
            <w:pPr>
              <w:spacing w:after="20"/>
              <w:jc w:val="right"/>
            </w:pPr>
            <w:r>
              <w:rPr>
                <w:color w:val="1C3A36"/>
                <w:sz w:val="18"/>
              </w:rPr>
              <w:t>~15%</w:t>
            </w:r>
          </w:p>
        </w:tc>
        <w:tc>
          <w:tcPr>
            <w:tcW w:type="dxa" w:w="5904"/>
          </w:tcPr>
          <w:p>
            <w:pPr>
              <w:spacing w:after="20"/>
              <w:jc w:val="right"/>
            </w:pPr>
            <w:r>
              <w:rPr>
                <w:color w:val="1C3A36"/>
                <w:sz w:val="18"/>
              </w:rPr>
              <w:t>NIM miss; test of 22.1 and the MA200</w:t>
            </w:r>
          </w:p>
        </w:tc>
      </w:tr>
      <w:tr>
        <w:tc>
          <w:tcPr>
            <w:tcW w:type="dxa" w:w="2736"/>
          </w:tcPr>
          <w:p>
            <w:pPr>
              <w:spacing w:after="20"/>
            </w:pPr>
            <w:r>
              <w:rPr>
                <w:color w:val="1C3A36"/>
                <w:sz w:val="18"/>
              </w:rPr>
              <w:t>Below 21.63 (P10)</w:t>
            </w:r>
          </w:p>
        </w:tc>
        <w:tc>
          <w:tcPr>
            <w:tcW w:type="dxa" w:w="1584"/>
          </w:tcPr>
          <w:p>
            <w:pPr>
              <w:spacing w:after="20"/>
              <w:jc w:val="right"/>
            </w:pPr>
            <w:r>
              <w:rPr>
                <w:color w:val="1C3A36"/>
                <w:sz w:val="18"/>
              </w:rPr>
              <w:t>~10%</w:t>
            </w:r>
          </w:p>
        </w:tc>
        <w:tc>
          <w:tcPr>
            <w:tcW w:type="dxa" w:w="5904"/>
          </w:tcPr>
          <w:p>
            <w:pPr>
              <w:spacing w:after="20"/>
              <w:jc w:val="right"/>
            </w:pPr>
            <w:r>
              <w:rPr>
                <w:color w:val="1C3A36"/>
                <w:sz w:val="18"/>
              </w:rPr>
              <w:t>oil-led risk-off or a credit-cost surprise; the 20.4 shelf is the line</w:t>
            </w:r>
          </w:p>
        </w:tc>
      </w:tr>
    </w:tbl>
    <w:p>
      <w:pPr>
        <w:spacing w:after="40"/>
      </w:pPr>
    </w:p>
    <w:p>
      <w:pPr>
        <w:spacing w:after="120" w:before="280"/>
      </w:pPr>
      <w:r>
        <w:rPr>
          <w:b/>
          <w:i w:val="0"/>
          <w:color w:val="1C3A36"/>
          <w:sz w:val="30"/>
        </w:rPr>
        <w:t>7  Caveats and what would change our mind</w:t>
      </w:r>
    </w:p>
    <w:p>
      <w:pPr>
        <w:spacing w:after="40" w:before="0"/>
      </w:pPr>
      <w:r>
        <w:rPr>
          <w:b/>
          <w:i w:val="0"/>
          <w:color w:val="1C3A36"/>
          <w:sz w:val="21"/>
        </w:rPr>
        <w:t>What would move us more bearish:</w:t>
      </w:r>
    </w:p>
    <w:p>
      <w:pPr>
        <w:pStyle w:val="ListBullet"/>
        <w:spacing w:after="60"/>
      </w:pPr>
      <w:r>
        <w:rPr>
          <w:color w:val="1C3A36"/>
          <w:sz w:val="21"/>
        </w:rPr>
        <w:t>NIM printing below ~3.35% for two consecutive quarters — the glide failing, not pausing.</w:t>
      </w:r>
    </w:p>
    <w:p>
      <w:pPr>
        <w:pStyle w:val="ListBullet"/>
        <w:spacing w:after="60"/>
      </w:pPr>
      <w:r>
        <w:rPr>
          <w:color w:val="1C3A36"/>
          <w:sz w:val="21"/>
        </w:rPr>
        <w:t>Cost of risk re-normalising toward the 2023 77bp without the volume growth to absorb it.</w:t>
      </w:r>
    </w:p>
    <w:p>
      <w:pPr>
        <w:pStyle w:val="ListBullet"/>
        <w:spacing w:after="60"/>
      </w:pPr>
      <w:r>
        <w:rPr>
          <w:color w:val="1C3A36"/>
          <w:sz w:val="21"/>
        </w:rPr>
        <w:t>Deposit competition forcing funded-cost betas above asset repricing through a full cut cycle.</w:t>
      </w:r>
    </w:p>
    <w:p>
      <w:pPr>
        <w:pStyle w:val="ListBullet"/>
        <w:spacing w:after="60"/>
      </w:pPr>
      <w:r>
        <w:rPr>
          <w:color w:val="1C3A36"/>
          <w:sz w:val="21"/>
        </w:rPr>
        <w:t>A longer-window beta regression printing ≥1.0 — validating the market-implied ~9.2–10.5% Ke.</w:t>
      </w:r>
    </w:p>
    <w:p>
      <w:pPr>
        <w:spacing w:after="40" w:before="0"/>
      </w:pPr>
      <w:r>
        <w:rPr>
          <w:b/>
          <w:i w:val="0"/>
          <w:color w:val="1C3A36"/>
          <w:sz w:val="21"/>
        </w:rPr>
        <w:t>What would move us more bullish:</w:t>
      </w:r>
    </w:p>
    <w:p>
      <w:pPr>
        <w:pStyle w:val="ListBullet"/>
        <w:spacing w:after="60"/>
      </w:pPr>
      <w:r>
        <w:rPr>
          <w:color w:val="1C3A36"/>
          <w:sz w:val="21"/>
        </w:rPr>
        <w:t>Payout stepping to 55–60% with CAR held ≥18% — the excess-capital signal the FCFE lens is waiting for.</w:t>
      </w:r>
    </w:p>
    <w:p>
      <w:pPr>
        <w:pStyle w:val="ListBullet"/>
        <w:spacing w:after="60"/>
      </w:pPr>
      <w:r>
        <w:rPr>
          <w:color w:val="1C3A36"/>
          <w:sz w:val="21"/>
        </w:rPr>
        <w:t>NIM stabilising ≥3.5% through the first two SAMA cuts — the franchise-quality proof.</w:t>
      </w:r>
    </w:p>
    <w:p>
      <w:pPr>
        <w:pStyle w:val="ListBullet"/>
        <w:spacing w:after="60"/>
      </w:pPr>
      <w:r>
        <w:rPr>
          <w:color w:val="1C3A36"/>
          <w:sz w:val="21"/>
        </w:rPr>
        <w:t>SME/mid-corporate mix continuing to shift yield up without credit-cost payback.</w:t>
      </w:r>
    </w:p>
    <w:p>
      <w:pPr>
        <w:spacing w:after="40" w:before="0"/>
      </w:pPr>
      <w:r>
        <w:rPr>
          <w:b/>
          <w:i w:val="0"/>
          <w:color w:val="1C3A36"/>
          <w:sz w:val="21"/>
        </w:rPr>
        <w:t>Model caveats:</w:t>
      </w:r>
    </w:p>
    <w:p>
      <w:pPr>
        <w:pStyle w:val="ListBullet"/>
        <w:spacing w:after="60"/>
      </w:pPr>
      <w:r>
        <w:rPr>
          <w:color w:val="1C3A36"/>
          <w:sz w:val="21"/>
        </w:rPr>
        <w:t>rf is a constructed SAR 10Y (UST + Aa3/CDS spread), flagged pending a SAGBI/iBoxx print; the beta window is two months; the Tier-1 sukuk split of total equity (~SAR 13.75bn) is assembled from issuance records and must be tied to FS note 11. All three are Fundamental Driver Ledger rows.</w:t>
      </w:r>
    </w:p>
    <w:p>
      <w:pPr>
        <w:pStyle w:val="ListBullet"/>
        <w:spacing w:after="60"/>
      </w:pPr>
      <w:r>
        <w:rPr>
          <w:color w:val="1C3A36"/>
          <w:sz w:val="21"/>
        </w:rPr>
        <w:t>FY23 financing, total assets and total equity are derived from disclosed growth rates, not read off a statement — labelled as such in Appendix A.</w:t>
      </w:r>
    </w:p>
    <w:p>
      <w:pPr>
        <w:pStyle w:val="ListBullet"/>
        <w:spacing w:after="60"/>
      </w:pPr>
      <w:r>
        <w:rPr>
          <w:color w:val="1C3A36"/>
          <w:sz w:val="21"/>
        </w:rPr>
        <w:t>Step 0 is PARITY, not PASS: the simulation is a calibrated map of uncertainty, market-panel validated; it claims no single-name forecasting edge.</w:t>
      </w:r>
    </w:p>
    <w:p>
      <w:pPr>
        <w:spacing w:after="120" w:before="280"/>
      </w:pPr>
      <w:r>
        <w:rPr>
          <w:b/>
          <w:i w:val="0"/>
          <w:color w:val="1C3A36"/>
          <w:sz w:val="30"/>
        </w:rPr>
        <w:t>Appendix A  Financial statements</w:t>
      </w:r>
    </w:p>
    <w:p>
      <w:pPr>
        <w:spacing w:after="80" w:before="200"/>
      </w:pPr>
      <w:r>
        <w:rPr>
          <w:b/>
          <w:i w:val="0"/>
          <w:color w:val="1C3A36"/>
          <w:sz w:val="24"/>
        </w:rPr>
        <w:t>A.1  Income statement — 3-year historical + 5-year forecast (consolidated, SAR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120"/>
        <w:gridCol w:w="1120"/>
        <w:gridCol w:w="1120"/>
        <w:gridCol w:w="1120"/>
        <w:gridCol w:w="1120"/>
        <w:gridCol w:w="1120"/>
        <w:gridCol w:w="1120"/>
        <w:gridCol w:w="1120"/>
        <w:gridCol w:w="1120"/>
      </w:tblGrid>
      <w:tr>
        <w:tc>
          <w:tcPr>
            <w:tcW w:type="dxa" w:w="3024"/>
            <w:shd w:val="clear" w:color="auto" w:fill="EAF0EE"/>
          </w:tcPr>
          <w:p>
            <w:pPr>
              <w:spacing w:after="20"/>
            </w:pPr>
            <w:r>
              <w:rPr>
                <w:b/>
                <w:color w:val="1C3A36"/>
                <w:sz w:val="16"/>
              </w:rPr>
              <w:t>SAR mn</w:t>
            </w:r>
          </w:p>
        </w:tc>
        <w:tc>
          <w:tcPr>
            <w:tcW w:type="dxa" w:w="950"/>
            <w:shd w:val="clear" w:color="auto" w:fill="EAF0EE"/>
          </w:tcPr>
          <w:p>
            <w:pPr>
              <w:spacing w:after="20"/>
            </w:pPr>
            <w:r>
              <w:rPr>
                <w:b/>
                <w:color w:val="1C3A36"/>
                <w:sz w:val="16"/>
              </w:rPr>
              <w:t>FY23</w:t>
            </w:r>
          </w:p>
        </w:tc>
        <w:tc>
          <w:tcPr>
            <w:tcW w:type="dxa" w:w="950"/>
            <w:shd w:val="clear" w:color="auto" w:fill="EAF0EE"/>
          </w:tcPr>
          <w:p>
            <w:pPr>
              <w:spacing w:after="20"/>
            </w:pPr>
            <w:r>
              <w:rPr>
                <w:b/>
                <w:color w:val="1C3A36"/>
                <w:sz w:val="16"/>
              </w:rPr>
              <w:t>FY24</w:t>
            </w:r>
          </w:p>
        </w:tc>
        <w:tc>
          <w:tcPr>
            <w:tcW w:type="dxa" w:w="950"/>
            <w:shd w:val="clear" w:color="auto" w:fill="EAF0EE"/>
          </w:tcPr>
          <w:p>
            <w:pPr>
              <w:spacing w:after="20"/>
            </w:pPr>
            <w:r>
              <w:rPr>
                <w:b/>
                <w:color w:val="1C3A36"/>
                <w:sz w:val="16"/>
              </w:rPr>
              <w:t>FY25</w:t>
            </w:r>
          </w:p>
        </w:tc>
        <w:tc>
          <w:tcPr>
            <w:tcW w:type="dxa" w:w="950"/>
            <w:shd w:val="clear" w:color="auto" w:fill="EAF0EE"/>
          </w:tcPr>
          <w:p>
            <w:pPr>
              <w:spacing w:after="20"/>
            </w:pPr>
            <w:r>
              <w:rPr>
                <w:b/>
                <w:color w:val="1C3A36"/>
                <w:sz w:val="16"/>
              </w:rPr>
              <w:t>FY26e</w:t>
            </w:r>
          </w:p>
        </w:tc>
        <w:tc>
          <w:tcPr>
            <w:tcW w:type="dxa" w:w="950"/>
            <w:shd w:val="clear" w:color="auto" w:fill="EAF0EE"/>
          </w:tcPr>
          <w:p>
            <w:pPr>
              <w:spacing w:after="20"/>
            </w:pPr>
            <w:r>
              <w:rPr>
                <w:b/>
                <w:color w:val="1C3A36"/>
                <w:sz w:val="16"/>
              </w:rPr>
              <w:t>FY27e</w:t>
            </w:r>
          </w:p>
        </w:tc>
        <w:tc>
          <w:tcPr>
            <w:tcW w:type="dxa" w:w="950"/>
            <w:shd w:val="clear" w:color="auto" w:fill="EAF0EE"/>
          </w:tcPr>
          <w:p>
            <w:pPr>
              <w:spacing w:after="20"/>
            </w:pPr>
            <w:r>
              <w:rPr>
                <w:b/>
                <w:color w:val="1C3A36"/>
                <w:sz w:val="16"/>
              </w:rPr>
              <w:t>FY28e</w:t>
            </w:r>
          </w:p>
        </w:tc>
        <w:tc>
          <w:tcPr>
            <w:tcW w:type="dxa" w:w="950"/>
            <w:shd w:val="clear" w:color="auto" w:fill="EAF0EE"/>
          </w:tcPr>
          <w:p>
            <w:pPr>
              <w:spacing w:after="20"/>
            </w:pPr>
            <w:r>
              <w:rPr>
                <w:b/>
                <w:color w:val="1C3A36"/>
                <w:sz w:val="16"/>
              </w:rPr>
              <w:t>FY29e</w:t>
            </w:r>
          </w:p>
        </w:tc>
        <w:tc>
          <w:tcPr>
            <w:tcW w:type="dxa" w:w="950"/>
            <w:shd w:val="clear" w:color="auto" w:fill="EAF0EE"/>
          </w:tcPr>
          <w:p>
            <w:pPr>
              <w:spacing w:after="20"/>
            </w:pPr>
            <w:r>
              <w:rPr>
                <w:b/>
                <w:color w:val="1C3A36"/>
                <w:sz w:val="16"/>
              </w:rPr>
              <w:t>FY30e</w:t>
            </w:r>
          </w:p>
        </w:tc>
      </w:tr>
      <w:tr>
        <w:tc>
          <w:tcPr>
            <w:tcW w:type="dxa" w:w="3024"/>
          </w:tcPr>
          <w:p>
            <w:pPr>
              <w:spacing w:after="20"/>
            </w:pPr>
            <w:r>
              <w:rPr>
                <w:color w:val="1C3A36"/>
                <w:sz w:val="16"/>
              </w:rPr>
              <w:t>Net financing &amp; investment income</w:t>
            </w:r>
          </w:p>
        </w:tc>
        <w:tc>
          <w:tcPr>
            <w:tcW w:type="dxa" w:w="950"/>
          </w:tcPr>
          <w:p>
            <w:pPr>
              <w:spacing w:after="20"/>
              <w:jc w:val="right"/>
            </w:pPr>
            <w:r>
              <w:rPr>
                <w:color w:val="1C3A36"/>
                <w:sz w:val="16"/>
              </w:rPr>
              <w:t>7,655</w:t>
            </w:r>
          </w:p>
        </w:tc>
        <w:tc>
          <w:tcPr>
            <w:tcW w:type="dxa" w:w="950"/>
          </w:tcPr>
          <w:p>
            <w:pPr>
              <w:spacing w:after="20"/>
              <w:jc w:val="right"/>
            </w:pPr>
            <w:r>
              <w:rPr>
                <w:color w:val="1C3A36"/>
                <w:sz w:val="16"/>
              </w:rPr>
              <w:t>8,649</w:t>
            </w:r>
          </w:p>
        </w:tc>
        <w:tc>
          <w:tcPr>
            <w:tcW w:type="dxa" w:w="950"/>
          </w:tcPr>
          <w:p>
            <w:pPr>
              <w:spacing w:after="20"/>
              <w:jc w:val="right"/>
            </w:pPr>
            <w:r>
              <w:rPr>
                <w:color w:val="1C3A36"/>
                <w:sz w:val="16"/>
              </w:rPr>
              <w:t>9,377</w:t>
            </w:r>
          </w:p>
        </w:tc>
        <w:tc>
          <w:tcPr>
            <w:tcW w:type="dxa" w:w="950"/>
          </w:tcPr>
          <w:p>
            <w:pPr>
              <w:spacing w:after="20"/>
              <w:jc w:val="right"/>
            </w:pPr>
            <w:r>
              <w:rPr>
                <w:color w:val="1C3A36"/>
                <w:sz w:val="16"/>
              </w:rPr>
              <w:t>10,493</w:t>
            </w:r>
          </w:p>
        </w:tc>
        <w:tc>
          <w:tcPr>
            <w:tcW w:type="dxa" w:w="950"/>
          </w:tcPr>
          <w:p>
            <w:pPr>
              <w:spacing w:after="20"/>
              <w:jc w:val="right"/>
            </w:pPr>
            <w:r>
              <w:rPr>
                <w:color w:val="1C3A36"/>
                <w:sz w:val="16"/>
              </w:rPr>
              <w:t>11,569</w:t>
            </w:r>
          </w:p>
        </w:tc>
        <w:tc>
          <w:tcPr>
            <w:tcW w:type="dxa" w:w="950"/>
          </w:tcPr>
          <w:p>
            <w:pPr>
              <w:spacing w:after="20"/>
              <w:jc w:val="right"/>
            </w:pPr>
            <w:r>
              <w:rPr>
                <w:color w:val="1C3A36"/>
                <w:sz w:val="16"/>
              </w:rPr>
              <w:t>12,781</w:t>
            </w:r>
          </w:p>
        </w:tc>
        <w:tc>
          <w:tcPr>
            <w:tcW w:type="dxa" w:w="950"/>
          </w:tcPr>
          <w:p>
            <w:pPr>
              <w:spacing w:after="20"/>
              <w:jc w:val="right"/>
            </w:pPr>
            <w:r>
              <w:rPr>
                <w:color w:val="1C3A36"/>
                <w:sz w:val="16"/>
              </w:rPr>
              <w:t>13,957</w:t>
            </w:r>
          </w:p>
        </w:tc>
        <w:tc>
          <w:tcPr>
            <w:tcW w:type="dxa" w:w="950"/>
          </w:tcPr>
          <w:p>
            <w:pPr>
              <w:spacing w:after="20"/>
              <w:jc w:val="right"/>
            </w:pPr>
            <w:r>
              <w:rPr>
                <w:color w:val="1C3A36"/>
                <w:sz w:val="16"/>
              </w:rPr>
              <w:t>15,114</w:t>
            </w:r>
          </w:p>
        </w:tc>
      </w:tr>
      <w:tr>
        <w:tc>
          <w:tcPr>
            <w:tcW w:type="dxa" w:w="3024"/>
          </w:tcPr>
          <w:p>
            <w:pPr>
              <w:spacing w:after="20"/>
            </w:pPr>
            <w:r>
              <w:rPr>
                <w:color w:val="1C3A36"/>
                <w:sz w:val="16"/>
              </w:rPr>
              <w:t>Non-funded income</w:t>
            </w:r>
          </w:p>
        </w:tc>
        <w:tc>
          <w:tcPr>
            <w:tcW w:type="dxa" w:w="950"/>
          </w:tcPr>
          <w:p>
            <w:pPr>
              <w:spacing w:after="20"/>
              <w:jc w:val="right"/>
            </w:pPr>
            <w:r>
              <w:rPr>
                <w:color w:val="1C3A36"/>
                <w:sz w:val="16"/>
              </w:rPr>
              <w:t>2,071</w:t>
            </w:r>
          </w:p>
        </w:tc>
        <w:tc>
          <w:tcPr>
            <w:tcW w:type="dxa" w:w="950"/>
          </w:tcPr>
          <w:p>
            <w:pPr>
              <w:spacing w:after="20"/>
              <w:jc w:val="right"/>
            </w:pPr>
            <w:r>
              <w:rPr>
                <w:color w:val="1C3A36"/>
                <w:sz w:val="16"/>
              </w:rPr>
              <w:t>2,292</w:t>
            </w:r>
          </w:p>
        </w:tc>
        <w:tc>
          <w:tcPr>
            <w:tcW w:type="dxa" w:w="950"/>
          </w:tcPr>
          <w:p>
            <w:pPr>
              <w:spacing w:after="20"/>
              <w:jc w:val="right"/>
            </w:pPr>
            <w:r>
              <w:rPr>
                <w:color w:val="1C3A36"/>
                <w:sz w:val="16"/>
              </w:rPr>
              <w:t>2,529</w:t>
            </w:r>
          </w:p>
        </w:tc>
        <w:tc>
          <w:tcPr>
            <w:tcW w:type="dxa" w:w="950"/>
          </w:tcPr>
          <w:p>
            <w:pPr>
              <w:spacing w:after="20"/>
              <w:jc w:val="right"/>
            </w:pPr>
            <w:r>
              <w:rPr>
                <w:color w:val="1C3A36"/>
                <w:sz w:val="16"/>
              </w:rPr>
              <w:t>2,756</w:t>
            </w:r>
          </w:p>
        </w:tc>
        <w:tc>
          <w:tcPr>
            <w:tcW w:type="dxa" w:w="950"/>
          </w:tcPr>
          <w:p>
            <w:pPr>
              <w:spacing w:after="20"/>
              <w:jc w:val="right"/>
            </w:pPr>
            <w:r>
              <w:rPr>
                <w:color w:val="1C3A36"/>
                <w:sz w:val="16"/>
              </w:rPr>
              <w:t>3,004</w:t>
            </w:r>
          </w:p>
        </w:tc>
        <w:tc>
          <w:tcPr>
            <w:tcW w:type="dxa" w:w="950"/>
          </w:tcPr>
          <w:p>
            <w:pPr>
              <w:spacing w:after="20"/>
              <w:jc w:val="right"/>
            </w:pPr>
            <w:r>
              <w:rPr>
                <w:color w:val="1C3A36"/>
                <w:sz w:val="16"/>
              </w:rPr>
              <w:t>3,245</w:t>
            </w:r>
          </w:p>
        </w:tc>
        <w:tc>
          <w:tcPr>
            <w:tcW w:type="dxa" w:w="950"/>
          </w:tcPr>
          <w:p>
            <w:pPr>
              <w:spacing w:after="20"/>
              <w:jc w:val="right"/>
            </w:pPr>
            <w:r>
              <w:rPr>
                <w:color w:val="1C3A36"/>
                <w:sz w:val="16"/>
              </w:rPr>
              <w:t>3,504</w:t>
            </w:r>
          </w:p>
        </w:tc>
        <w:tc>
          <w:tcPr>
            <w:tcW w:type="dxa" w:w="950"/>
          </w:tcPr>
          <w:p>
            <w:pPr>
              <w:spacing w:after="20"/>
              <w:jc w:val="right"/>
            </w:pPr>
            <w:r>
              <w:rPr>
                <w:color w:val="1C3A36"/>
                <w:sz w:val="16"/>
              </w:rPr>
              <w:t>3,749</w:t>
            </w:r>
          </w:p>
        </w:tc>
      </w:tr>
      <w:tr>
        <w:tc>
          <w:tcPr>
            <w:tcW w:type="dxa" w:w="3024"/>
          </w:tcPr>
          <w:p>
            <w:pPr>
              <w:spacing w:after="20"/>
            </w:pPr>
            <w:r>
              <w:rPr>
                <w:color w:val="1C3A36"/>
                <w:sz w:val="16"/>
              </w:rPr>
              <w:t>Total operating income</w:t>
            </w:r>
          </w:p>
        </w:tc>
        <w:tc>
          <w:tcPr>
            <w:tcW w:type="dxa" w:w="950"/>
          </w:tcPr>
          <w:p>
            <w:pPr>
              <w:spacing w:after="20"/>
              <w:jc w:val="right"/>
            </w:pPr>
            <w:r>
              <w:rPr>
                <w:color w:val="1C3A36"/>
                <w:sz w:val="16"/>
              </w:rPr>
              <w:t>9,726</w:t>
            </w:r>
          </w:p>
        </w:tc>
        <w:tc>
          <w:tcPr>
            <w:tcW w:type="dxa" w:w="950"/>
          </w:tcPr>
          <w:p>
            <w:pPr>
              <w:spacing w:after="20"/>
              <w:jc w:val="right"/>
            </w:pPr>
            <w:r>
              <w:rPr>
                <w:color w:val="1C3A36"/>
                <w:sz w:val="16"/>
              </w:rPr>
              <w:t>10,940</w:t>
            </w:r>
          </w:p>
        </w:tc>
        <w:tc>
          <w:tcPr>
            <w:tcW w:type="dxa" w:w="950"/>
          </w:tcPr>
          <w:p>
            <w:pPr>
              <w:spacing w:after="20"/>
              <w:jc w:val="right"/>
            </w:pPr>
            <w:r>
              <w:rPr>
                <w:color w:val="1C3A36"/>
                <w:sz w:val="16"/>
              </w:rPr>
              <w:t>11,905</w:t>
            </w:r>
          </w:p>
        </w:tc>
        <w:tc>
          <w:tcPr>
            <w:tcW w:type="dxa" w:w="950"/>
          </w:tcPr>
          <w:p>
            <w:pPr>
              <w:spacing w:after="20"/>
              <w:jc w:val="right"/>
            </w:pPr>
            <w:r>
              <w:rPr>
                <w:color w:val="1C3A36"/>
                <w:sz w:val="16"/>
              </w:rPr>
              <w:t>13,249</w:t>
            </w:r>
          </w:p>
        </w:tc>
        <w:tc>
          <w:tcPr>
            <w:tcW w:type="dxa" w:w="950"/>
          </w:tcPr>
          <w:p>
            <w:pPr>
              <w:spacing w:after="20"/>
              <w:jc w:val="right"/>
            </w:pPr>
            <w:r>
              <w:rPr>
                <w:color w:val="1C3A36"/>
                <w:sz w:val="16"/>
              </w:rPr>
              <w:t>14,574</w:t>
            </w:r>
          </w:p>
        </w:tc>
        <w:tc>
          <w:tcPr>
            <w:tcW w:type="dxa" w:w="950"/>
          </w:tcPr>
          <w:p>
            <w:pPr>
              <w:spacing w:after="20"/>
              <w:jc w:val="right"/>
            </w:pPr>
            <w:r>
              <w:rPr>
                <w:color w:val="1C3A36"/>
                <w:sz w:val="16"/>
              </w:rPr>
              <w:t>16,026</w:t>
            </w:r>
          </w:p>
        </w:tc>
        <w:tc>
          <w:tcPr>
            <w:tcW w:type="dxa" w:w="950"/>
          </w:tcPr>
          <w:p>
            <w:pPr>
              <w:spacing w:after="20"/>
              <w:jc w:val="right"/>
            </w:pPr>
            <w:r>
              <w:rPr>
                <w:color w:val="1C3A36"/>
                <w:sz w:val="16"/>
              </w:rPr>
              <w:t>17,461</w:t>
            </w:r>
          </w:p>
        </w:tc>
        <w:tc>
          <w:tcPr>
            <w:tcW w:type="dxa" w:w="950"/>
          </w:tcPr>
          <w:p>
            <w:pPr>
              <w:spacing w:after="20"/>
              <w:jc w:val="right"/>
            </w:pPr>
            <w:r>
              <w:rPr>
                <w:color w:val="1C3A36"/>
                <w:sz w:val="16"/>
              </w:rPr>
              <w:t>18,864</w:t>
            </w:r>
          </w:p>
        </w:tc>
      </w:tr>
      <w:tr>
        <w:tc>
          <w:tcPr>
            <w:tcW w:type="dxa" w:w="3024"/>
          </w:tcPr>
          <w:p>
            <w:pPr>
              <w:spacing w:after="20"/>
            </w:pPr>
            <w:r>
              <w:rPr>
                <w:color w:val="1C3A36"/>
                <w:sz w:val="16"/>
              </w:rPr>
              <w:t>Operating expenses</w:t>
            </w:r>
          </w:p>
        </w:tc>
        <w:tc>
          <w:tcPr>
            <w:tcW w:type="dxa" w:w="950"/>
          </w:tcPr>
          <w:p>
            <w:pPr>
              <w:spacing w:after="20"/>
              <w:jc w:val="right"/>
            </w:pPr>
            <w:r>
              <w:rPr>
                <w:color w:val="1C3A36"/>
                <w:sz w:val="16"/>
              </w:rPr>
              <w:t>3,044</w:t>
            </w:r>
          </w:p>
        </w:tc>
        <w:tc>
          <w:tcPr>
            <w:tcW w:type="dxa" w:w="950"/>
          </w:tcPr>
          <w:p>
            <w:pPr>
              <w:spacing w:after="20"/>
              <w:jc w:val="right"/>
            </w:pPr>
            <w:r>
              <w:rPr>
                <w:color w:val="1C3A36"/>
                <w:sz w:val="16"/>
              </w:rPr>
              <w:t>3,384</w:t>
            </w:r>
          </w:p>
        </w:tc>
        <w:tc>
          <w:tcPr>
            <w:tcW w:type="dxa" w:w="950"/>
          </w:tcPr>
          <w:p>
            <w:pPr>
              <w:spacing w:after="20"/>
              <w:jc w:val="right"/>
            </w:pPr>
            <w:r>
              <w:rPr>
                <w:color w:val="1C3A36"/>
                <w:sz w:val="16"/>
              </w:rPr>
              <w:t>3,715</w:t>
            </w:r>
          </w:p>
        </w:tc>
        <w:tc>
          <w:tcPr>
            <w:tcW w:type="dxa" w:w="950"/>
          </w:tcPr>
          <w:p>
            <w:pPr>
              <w:spacing w:after="20"/>
              <w:jc w:val="right"/>
            </w:pPr>
            <w:r>
              <w:rPr>
                <w:color w:val="1C3A36"/>
                <w:sz w:val="16"/>
              </w:rPr>
              <w:t>4,173</w:t>
            </w:r>
          </w:p>
        </w:tc>
        <w:tc>
          <w:tcPr>
            <w:tcW w:type="dxa" w:w="950"/>
          </w:tcPr>
          <w:p>
            <w:pPr>
              <w:spacing w:after="20"/>
              <w:jc w:val="right"/>
            </w:pPr>
            <w:r>
              <w:rPr>
                <w:color w:val="1C3A36"/>
                <w:sz w:val="16"/>
              </w:rPr>
              <w:t>4,547</w:t>
            </w:r>
          </w:p>
        </w:tc>
        <w:tc>
          <w:tcPr>
            <w:tcW w:type="dxa" w:w="950"/>
          </w:tcPr>
          <w:p>
            <w:pPr>
              <w:spacing w:after="20"/>
              <w:jc w:val="right"/>
            </w:pPr>
            <w:r>
              <w:rPr>
                <w:color w:val="1C3A36"/>
                <w:sz w:val="16"/>
              </w:rPr>
              <w:t>4,968</w:t>
            </w:r>
          </w:p>
        </w:tc>
        <w:tc>
          <w:tcPr>
            <w:tcW w:type="dxa" w:w="950"/>
          </w:tcPr>
          <w:p>
            <w:pPr>
              <w:spacing w:after="20"/>
              <w:jc w:val="right"/>
            </w:pPr>
            <w:r>
              <w:rPr>
                <w:color w:val="1C3A36"/>
                <w:sz w:val="16"/>
              </w:rPr>
              <w:t>5,378</w:t>
            </w:r>
          </w:p>
        </w:tc>
        <w:tc>
          <w:tcPr>
            <w:tcW w:type="dxa" w:w="950"/>
          </w:tcPr>
          <w:p>
            <w:pPr>
              <w:spacing w:after="20"/>
              <w:jc w:val="right"/>
            </w:pPr>
            <w:r>
              <w:rPr>
                <w:color w:val="1C3A36"/>
                <w:sz w:val="16"/>
              </w:rPr>
              <w:t>5,753</w:t>
            </w:r>
          </w:p>
        </w:tc>
      </w:tr>
      <w:tr>
        <w:tc>
          <w:tcPr>
            <w:tcW w:type="dxa" w:w="3024"/>
          </w:tcPr>
          <w:p>
            <w:pPr>
              <w:spacing w:after="20"/>
            </w:pPr>
            <w:r>
              <w:rPr>
                <w:color w:val="1C3A36"/>
                <w:sz w:val="16"/>
              </w:rPr>
              <w:t>Cost-to-income</w:t>
            </w:r>
          </w:p>
        </w:tc>
        <w:tc>
          <w:tcPr>
            <w:tcW w:type="dxa" w:w="950"/>
          </w:tcPr>
          <w:p>
            <w:pPr>
              <w:spacing w:after="20"/>
              <w:jc w:val="right"/>
            </w:pPr>
            <w:r>
              <w:rPr>
                <w:color w:val="1C3A36"/>
                <w:sz w:val="16"/>
              </w:rPr>
              <w:t>31.3%</w:t>
            </w:r>
          </w:p>
        </w:tc>
        <w:tc>
          <w:tcPr>
            <w:tcW w:type="dxa" w:w="950"/>
          </w:tcPr>
          <w:p>
            <w:pPr>
              <w:spacing w:after="20"/>
              <w:jc w:val="right"/>
            </w:pPr>
            <w:r>
              <w:rPr>
                <w:color w:val="1C3A36"/>
                <w:sz w:val="16"/>
              </w:rPr>
              <w:t>30.9%</w:t>
            </w:r>
          </w:p>
        </w:tc>
        <w:tc>
          <w:tcPr>
            <w:tcW w:type="dxa" w:w="950"/>
          </w:tcPr>
          <w:p>
            <w:pPr>
              <w:spacing w:after="20"/>
              <w:jc w:val="right"/>
            </w:pPr>
            <w:r>
              <w:rPr>
                <w:color w:val="1C3A36"/>
                <w:sz w:val="16"/>
              </w:rPr>
              <w:t>31.2%</w:t>
            </w:r>
          </w:p>
        </w:tc>
        <w:tc>
          <w:tcPr>
            <w:tcW w:type="dxa" w:w="950"/>
          </w:tcPr>
          <w:p>
            <w:pPr>
              <w:spacing w:after="20"/>
              <w:jc w:val="right"/>
            </w:pPr>
            <w:r>
              <w:rPr>
                <w:color w:val="1C3A36"/>
                <w:sz w:val="16"/>
              </w:rPr>
              <w:t>31.5%</w:t>
            </w:r>
          </w:p>
        </w:tc>
        <w:tc>
          <w:tcPr>
            <w:tcW w:type="dxa" w:w="950"/>
          </w:tcPr>
          <w:p>
            <w:pPr>
              <w:spacing w:after="20"/>
              <w:jc w:val="right"/>
            </w:pPr>
            <w:r>
              <w:rPr>
                <w:color w:val="1C3A36"/>
                <w:sz w:val="16"/>
              </w:rPr>
              <w:t>31.2%</w:t>
            </w:r>
          </w:p>
        </w:tc>
        <w:tc>
          <w:tcPr>
            <w:tcW w:type="dxa" w:w="950"/>
          </w:tcPr>
          <w:p>
            <w:pPr>
              <w:spacing w:after="20"/>
              <w:jc w:val="right"/>
            </w:pPr>
            <w:r>
              <w:rPr>
                <w:color w:val="1C3A36"/>
                <w:sz w:val="16"/>
              </w:rPr>
              <w:t>31.0%</w:t>
            </w:r>
          </w:p>
        </w:tc>
        <w:tc>
          <w:tcPr>
            <w:tcW w:type="dxa" w:w="950"/>
          </w:tcPr>
          <w:p>
            <w:pPr>
              <w:spacing w:after="20"/>
              <w:jc w:val="right"/>
            </w:pPr>
            <w:r>
              <w:rPr>
                <w:color w:val="1C3A36"/>
                <w:sz w:val="16"/>
              </w:rPr>
              <w:t>30.8%</w:t>
            </w:r>
          </w:p>
        </w:tc>
        <w:tc>
          <w:tcPr>
            <w:tcW w:type="dxa" w:w="950"/>
          </w:tcPr>
          <w:p>
            <w:pPr>
              <w:spacing w:after="20"/>
              <w:jc w:val="right"/>
            </w:pPr>
            <w:r>
              <w:rPr>
                <w:color w:val="1C3A36"/>
                <w:sz w:val="16"/>
              </w:rPr>
              <w:t>30.5%</w:t>
            </w:r>
          </w:p>
        </w:tc>
      </w:tr>
      <w:tr>
        <w:tc>
          <w:tcPr>
            <w:tcW w:type="dxa" w:w="3024"/>
          </w:tcPr>
          <w:p>
            <w:pPr>
              <w:spacing w:after="20"/>
            </w:pPr>
            <w:r>
              <w:rPr>
                <w:color w:val="1C3A36"/>
                <w:sz w:val="16"/>
              </w:rPr>
              <w:t>Impairment (ECL), net</w:t>
            </w:r>
          </w:p>
        </w:tc>
        <w:tc>
          <w:tcPr>
            <w:tcW w:type="dxa" w:w="950"/>
          </w:tcPr>
          <w:p>
            <w:pPr>
              <w:spacing w:after="20"/>
              <w:jc w:val="right"/>
            </w:pPr>
            <w:r>
              <w:rPr>
                <w:color w:val="1C3A36"/>
                <w:sz w:val="16"/>
              </w:rPr>
              <w:t>1,300</w:t>
            </w:r>
          </w:p>
        </w:tc>
        <w:tc>
          <w:tcPr>
            <w:tcW w:type="dxa" w:w="950"/>
          </w:tcPr>
          <w:p>
            <w:pPr>
              <w:spacing w:after="20"/>
              <w:jc w:val="right"/>
            </w:pPr>
            <w:r>
              <w:rPr>
                <w:color w:val="1C3A36"/>
                <w:sz w:val="16"/>
              </w:rPr>
              <w:t>1,049</w:t>
            </w:r>
          </w:p>
        </w:tc>
        <w:tc>
          <w:tcPr>
            <w:tcW w:type="dxa" w:w="950"/>
          </w:tcPr>
          <w:p>
            <w:pPr>
              <w:spacing w:after="20"/>
              <w:jc w:val="right"/>
            </w:pPr>
            <w:r>
              <w:rPr>
                <w:color w:val="1C3A36"/>
                <w:sz w:val="16"/>
              </w:rPr>
              <w:t>1,060</w:t>
            </w:r>
          </w:p>
        </w:tc>
        <w:tc>
          <w:tcPr>
            <w:tcW w:type="dxa" w:w="950"/>
          </w:tcPr>
          <w:p>
            <w:pPr>
              <w:spacing w:after="20"/>
              <w:jc w:val="right"/>
            </w:pPr>
            <w:r>
              <w:rPr>
                <w:color w:val="1C3A36"/>
                <w:sz w:val="16"/>
              </w:rPr>
              <w:t>1,223</w:t>
            </w:r>
          </w:p>
        </w:tc>
        <w:tc>
          <w:tcPr>
            <w:tcW w:type="dxa" w:w="950"/>
          </w:tcPr>
          <w:p>
            <w:pPr>
              <w:spacing w:after="20"/>
              <w:jc w:val="right"/>
            </w:pPr>
            <w:r>
              <w:rPr>
                <w:color w:val="1C3A36"/>
                <w:sz w:val="16"/>
              </w:rPr>
              <w:t>1,376</w:t>
            </w:r>
          </w:p>
        </w:tc>
        <w:tc>
          <w:tcPr>
            <w:tcW w:type="dxa" w:w="950"/>
          </w:tcPr>
          <w:p>
            <w:pPr>
              <w:spacing w:after="20"/>
              <w:jc w:val="right"/>
            </w:pPr>
            <w:r>
              <w:rPr>
                <w:color w:val="1C3A36"/>
                <w:sz w:val="16"/>
              </w:rPr>
              <w:t>1,527</w:t>
            </w:r>
          </w:p>
        </w:tc>
        <w:tc>
          <w:tcPr>
            <w:tcW w:type="dxa" w:w="950"/>
          </w:tcPr>
          <w:p>
            <w:pPr>
              <w:spacing w:after="20"/>
              <w:jc w:val="right"/>
            </w:pPr>
            <w:r>
              <w:rPr>
                <w:color w:val="1C3A36"/>
                <w:sz w:val="16"/>
              </w:rPr>
              <w:t>1,671</w:t>
            </w:r>
          </w:p>
        </w:tc>
        <w:tc>
          <w:tcPr>
            <w:tcW w:type="dxa" w:w="950"/>
          </w:tcPr>
          <w:p>
            <w:pPr>
              <w:spacing w:after="20"/>
              <w:jc w:val="right"/>
            </w:pPr>
            <w:r>
              <w:rPr>
                <w:color w:val="1C3A36"/>
                <w:sz w:val="16"/>
              </w:rPr>
              <w:t>1,813</w:t>
            </w:r>
          </w:p>
        </w:tc>
      </w:tr>
      <w:tr>
        <w:tc>
          <w:tcPr>
            <w:tcW w:type="dxa" w:w="3024"/>
          </w:tcPr>
          <w:p>
            <w:pPr>
              <w:spacing w:after="20"/>
            </w:pPr>
            <w:r>
              <w:rPr>
                <w:color w:val="1C3A36"/>
                <w:sz w:val="16"/>
              </w:rPr>
              <w:t>Pre-zakat profit</w:t>
            </w:r>
          </w:p>
        </w:tc>
        <w:tc>
          <w:tcPr>
            <w:tcW w:type="dxa" w:w="950"/>
          </w:tcPr>
          <w:p>
            <w:pPr>
              <w:spacing w:after="20"/>
              <w:jc w:val="right"/>
            </w:pPr>
            <w:r>
              <w:rPr>
                <w:color w:val="1C3A36"/>
                <w:sz w:val="16"/>
              </w:rPr>
              <w:t>5,382</w:t>
            </w:r>
          </w:p>
        </w:tc>
        <w:tc>
          <w:tcPr>
            <w:tcW w:type="dxa" w:w="950"/>
          </w:tcPr>
          <w:p>
            <w:pPr>
              <w:spacing w:after="20"/>
              <w:jc w:val="right"/>
            </w:pPr>
            <w:r>
              <w:rPr>
                <w:color w:val="1C3A36"/>
                <w:sz w:val="16"/>
              </w:rPr>
              <w:t>6,502</w:t>
            </w:r>
          </w:p>
        </w:tc>
        <w:tc>
          <w:tcPr>
            <w:tcW w:type="dxa" w:w="950"/>
          </w:tcPr>
          <w:p>
            <w:pPr>
              <w:spacing w:after="20"/>
              <w:jc w:val="right"/>
            </w:pPr>
            <w:r>
              <w:rPr>
                <w:color w:val="1C3A36"/>
                <w:sz w:val="16"/>
              </w:rPr>
              <w:t>7,126</w:t>
            </w:r>
          </w:p>
        </w:tc>
        <w:tc>
          <w:tcPr>
            <w:tcW w:type="dxa" w:w="950"/>
          </w:tcPr>
          <w:p>
            <w:pPr>
              <w:spacing w:after="20"/>
              <w:jc w:val="right"/>
            </w:pPr>
            <w:r>
              <w:rPr>
                <w:color w:val="1C3A36"/>
                <w:sz w:val="16"/>
              </w:rPr>
              <w:t>7,852</w:t>
            </w:r>
          </w:p>
        </w:tc>
        <w:tc>
          <w:tcPr>
            <w:tcW w:type="dxa" w:w="950"/>
          </w:tcPr>
          <w:p>
            <w:pPr>
              <w:spacing w:after="20"/>
              <w:jc w:val="right"/>
            </w:pPr>
            <w:r>
              <w:rPr>
                <w:color w:val="1C3A36"/>
                <w:sz w:val="16"/>
              </w:rPr>
              <w:t>8,651</w:t>
            </w:r>
          </w:p>
        </w:tc>
        <w:tc>
          <w:tcPr>
            <w:tcW w:type="dxa" w:w="950"/>
          </w:tcPr>
          <w:p>
            <w:pPr>
              <w:spacing w:after="20"/>
              <w:jc w:val="right"/>
            </w:pPr>
            <w:r>
              <w:rPr>
                <w:color w:val="1C3A36"/>
                <w:sz w:val="16"/>
              </w:rPr>
              <w:t>9,531</w:t>
            </w:r>
          </w:p>
        </w:tc>
        <w:tc>
          <w:tcPr>
            <w:tcW w:type="dxa" w:w="950"/>
          </w:tcPr>
          <w:p>
            <w:pPr>
              <w:spacing w:after="20"/>
              <w:jc w:val="right"/>
            </w:pPr>
            <w:r>
              <w:rPr>
                <w:color w:val="1C3A36"/>
                <w:sz w:val="16"/>
              </w:rPr>
              <w:t>10,412</w:t>
            </w:r>
          </w:p>
        </w:tc>
        <w:tc>
          <w:tcPr>
            <w:tcW w:type="dxa" w:w="950"/>
          </w:tcPr>
          <w:p>
            <w:pPr>
              <w:spacing w:after="20"/>
              <w:jc w:val="right"/>
            </w:pPr>
            <w:r>
              <w:rPr>
                <w:color w:val="1C3A36"/>
                <w:sz w:val="16"/>
              </w:rPr>
              <w:t>11,297</w:t>
            </w:r>
          </w:p>
        </w:tc>
      </w:tr>
      <w:tr>
        <w:tc>
          <w:tcPr>
            <w:tcW w:type="dxa" w:w="3024"/>
          </w:tcPr>
          <w:p>
            <w:pPr>
              <w:spacing w:after="20"/>
            </w:pPr>
            <w:r>
              <w:rPr>
                <w:color w:val="1C3A36"/>
                <w:sz w:val="16"/>
              </w:rPr>
              <w:t>Zakat (~10.2%)</w:t>
            </w:r>
          </w:p>
        </w:tc>
        <w:tc>
          <w:tcPr>
            <w:tcW w:type="dxa" w:w="950"/>
          </w:tcPr>
          <w:p>
            <w:pPr>
              <w:spacing w:after="20"/>
              <w:jc w:val="right"/>
            </w:pPr>
            <w:r>
              <w:rPr>
                <w:color w:val="1C3A36"/>
                <w:sz w:val="16"/>
              </w:rPr>
              <w:t>543</w:t>
            </w:r>
          </w:p>
        </w:tc>
        <w:tc>
          <w:tcPr>
            <w:tcW w:type="dxa" w:w="950"/>
          </w:tcPr>
          <w:p>
            <w:pPr>
              <w:spacing w:after="20"/>
              <w:jc w:val="right"/>
            </w:pPr>
            <w:r>
              <w:rPr>
                <w:color w:val="1C3A36"/>
                <w:sz w:val="16"/>
              </w:rPr>
              <w:t>670</w:t>
            </w:r>
          </w:p>
        </w:tc>
        <w:tc>
          <w:tcPr>
            <w:tcW w:type="dxa" w:w="950"/>
          </w:tcPr>
          <w:p>
            <w:pPr>
              <w:spacing w:after="20"/>
              <w:jc w:val="right"/>
            </w:pPr>
            <w:r>
              <w:rPr>
                <w:color w:val="1C3A36"/>
                <w:sz w:val="16"/>
              </w:rPr>
              <w:t>729</w:t>
            </w:r>
          </w:p>
        </w:tc>
        <w:tc>
          <w:tcPr>
            <w:tcW w:type="dxa" w:w="950"/>
          </w:tcPr>
          <w:p>
            <w:pPr>
              <w:spacing w:after="20"/>
              <w:jc w:val="right"/>
            </w:pPr>
            <w:r>
              <w:rPr>
                <w:color w:val="1C3A36"/>
                <w:sz w:val="16"/>
              </w:rPr>
              <w:t>801</w:t>
            </w:r>
          </w:p>
        </w:tc>
        <w:tc>
          <w:tcPr>
            <w:tcW w:type="dxa" w:w="950"/>
          </w:tcPr>
          <w:p>
            <w:pPr>
              <w:spacing w:after="20"/>
              <w:jc w:val="right"/>
            </w:pPr>
            <w:r>
              <w:rPr>
                <w:color w:val="1C3A36"/>
                <w:sz w:val="16"/>
              </w:rPr>
              <w:t>882</w:t>
            </w:r>
          </w:p>
        </w:tc>
        <w:tc>
          <w:tcPr>
            <w:tcW w:type="dxa" w:w="950"/>
          </w:tcPr>
          <w:p>
            <w:pPr>
              <w:spacing w:after="20"/>
              <w:jc w:val="right"/>
            </w:pPr>
            <w:r>
              <w:rPr>
                <w:color w:val="1C3A36"/>
                <w:sz w:val="16"/>
              </w:rPr>
              <w:t>972</w:t>
            </w:r>
          </w:p>
        </w:tc>
        <w:tc>
          <w:tcPr>
            <w:tcW w:type="dxa" w:w="950"/>
          </w:tcPr>
          <w:p>
            <w:pPr>
              <w:spacing w:after="20"/>
              <w:jc w:val="right"/>
            </w:pPr>
            <w:r>
              <w:rPr>
                <w:color w:val="1C3A36"/>
                <w:sz w:val="16"/>
              </w:rPr>
              <w:t>1,062</w:t>
            </w:r>
          </w:p>
        </w:tc>
        <w:tc>
          <w:tcPr>
            <w:tcW w:type="dxa" w:w="950"/>
          </w:tcPr>
          <w:p>
            <w:pPr>
              <w:spacing w:after="20"/>
              <w:jc w:val="right"/>
            </w:pPr>
            <w:r>
              <w:rPr>
                <w:color w:val="1C3A36"/>
                <w:sz w:val="16"/>
              </w:rPr>
              <w:t>1,152</w:t>
            </w:r>
          </w:p>
        </w:tc>
      </w:tr>
      <w:tr>
        <w:tc>
          <w:tcPr>
            <w:tcW w:type="dxa" w:w="3024"/>
          </w:tcPr>
          <w:p>
            <w:pPr>
              <w:spacing w:after="20"/>
            </w:pPr>
            <w:r>
              <w:rPr>
                <w:color w:val="1C3A36"/>
                <w:sz w:val="16"/>
              </w:rPr>
              <w:t>Net income (after zakat)</w:t>
            </w:r>
          </w:p>
        </w:tc>
        <w:tc>
          <w:tcPr>
            <w:tcW w:type="dxa" w:w="950"/>
          </w:tcPr>
          <w:p>
            <w:pPr>
              <w:spacing w:after="20"/>
              <w:jc w:val="right"/>
            </w:pPr>
            <w:r>
              <w:rPr>
                <w:color w:val="1C3A36"/>
                <w:sz w:val="16"/>
              </w:rPr>
              <w:t>4,839</w:t>
            </w:r>
          </w:p>
        </w:tc>
        <w:tc>
          <w:tcPr>
            <w:tcW w:type="dxa" w:w="950"/>
          </w:tcPr>
          <w:p>
            <w:pPr>
              <w:spacing w:after="20"/>
              <w:jc w:val="right"/>
            </w:pPr>
            <w:r>
              <w:rPr>
                <w:color w:val="1C3A36"/>
                <w:sz w:val="16"/>
              </w:rPr>
              <w:t>5,832</w:t>
            </w:r>
          </w:p>
        </w:tc>
        <w:tc>
          <w:tcPr>
            <w:tcW w:type="dxa" w:w="950"/>
          </w:tcPr>
          <w:p>
            <w:pPr>
              <w:spacing w:after="20"/>
              <w:jc w:val="right"/>
            </w:pPr>
            <w:r>
              <w:rPr>
                <w:color w:val="1C3A36"/>
                <w:sz w:val="16"/>
              </w:rPr>
              <w:t>6,397</w:t>
            </w:r>
          </w:p>
        </w:tc>
        <w:tc>
          <w:tcPr>
            <w:tcW w:type="dxa" w:w="950"/>
          </w:tcPr>
          <w:p>
            <w:pPr>
              <w:spacing w:after="20"/>
              <w:jc w:val="right"/>
            </w:pPr>
            <w:r>
              <w:rPr>
                <w:color w:val="1C3A36"/>
                <w:sz w:val="16"/>
              </w:rPr>
              <w:t>7,051</w:t>
            </w:r>
          </w:p>
        </w:tc>
        <w:tc>
          <w:tcPr>
            <w:tcW w:type="dxa" w:w="950"/>
          </w:tcPr>
          <w:p>
            <w:pPr>
              <w:spacing w:after="20"/>
              <w:jc w:val="right"/>
            </w:pPr>
            <w:r>
              <w:rPr>
                <w:color w:val="1C3A36"/>
                <w:sz w:val="16"/>
              </w:rPr>
              <w:t>7,768</w:t>
            </w:r>
          </w:p>
        </w:tc>
        <w:tc>
          <w:tcPr>
            <w:tcW w:type="dxa" w:w="950"/>
          </w:tcPr>
          <w:p>
            <w:pPr>
              <w:spacing w:after="20"/>
              <w:jc w:val="right"/>
            </w:pPr>
            <w:r>
              <w:rPr>
                <w:color w:val="1C3A36"/>
                <w:sz w:val="16"/>
              </w:rPr>
              <w:t>8,559</w:t>
            </w:r>
          </w:p>
        </w:tc>
        <w:tc>
          <w:tcPr>
            <w:tcW w:type="dxa" w:w="950"/>
          </w:tcPr>
          <w:p>
            <w:pPr>
              <w:spacing w:after="20"/>
              <w:jc w:val="right"/>
            </w:pPr>
            <w:r>
              <w:rPr>
                <w:color w:val="1C3A36"/>
                <w:sz w:val="16"/>
              </w:rPr>
              <w:t>9,350</w:t>
            </w:r>
          </w:p>
        </w:tc>
        <w:tc>
          <w:tcPr>
            <w:tcW w:type="dxa" w:w="950"/>
          </w:tcPr>
          <w:p>
            <w:pPr>
              <w:spacing w:after="20"/>
              <w:jc w:val="right"/>
            </w:pPr>
            <w:r>
              <w:rPr>
                <w:color w:val="1C3A36"/>
                <w:sz w:val="16"/>
              </w:rPr>
              <w:t>10,145</w:t>
            </w:r>
          </w:p>
        </w:tc>
      </w:tr>
      <w:tr>
        <w:tc>
          <w:tcPr>
            <w:tcW w:type="dxa" w:w="3024"/>
          </w:tcPr>
          <w:p>
            <w:pPr>
              <w:spacing w:after="20"/>
            </w:pPr>
            <w:r>
              <w:rPr>
                <w:color w:val="1C3A36"/>
                <w:sz w:val="16"/>
              </w:rPr>
              <w:t>Tier-1 sukuk costs</w:t>
            </w:r>
          </w:p>
        </w:tc>
        <w:tc>
          <w:tcPr>
            <w:tcW w:type="dxa" w:w="950"/>
          </w:tcPr>
          <w:p>
            <w:pPr>
              <w:spacing w:after="20"/>
              <w:jc w:val="right"/>
            </w:pPr>
            <w:r>
              <w:rPr>
                <w:color w:val="1C3A36"/>
                <w:sz w:val="16"/>
              </w:rPr>
              <w:t>350</w:t>
            </w:r>
          </w:p>
        </w:tc>
        <w:tc>
          <w:tcPr>
            <w:tcW w:type="dxa" w:w="950"/>
          </w:tcPr>
          <w:p>
            <w:pPr>
              <w:spacing w:after="20"/>
              <w:jc w:val="right"/>
            </w:pPr>
            <w:r>
              <w:rPr>
                <w:color w:val="1C3A36"/>
                <w:sz w:val="16"/>
              </w:rPr>
              <w:t>430</w:t>
            </w:r>
          </w:p>
        </w:tc>
        <w:tc>
          <w:tcPr>
            <w:tcW w:type="dxa" w:w="950"/>
          </w:tcPr>
          <w:p>
            <w:pPr>
              <w:spacing w:after="20"/>
              <w:jc w:val="right"/>
            </w:pPr>
            <w:r>
              <w:rPr>
                <w:color w:val="1C3A36"/>
                <w:sz w:val="16"/>
              </w:rPr>
              <w:t>503</w:t>
            </w:r>
          </w:p>
        </w:tc>
        <w:tc>
          <w:tcPr>
            <w:tcW w:type="dxa" w:w="950"/>
          </w:tcPr>
          <w:p>
            <w:pPr>
              <w:spacing w:after="20"/>
              <w:jc w:val="right"/>
            </w:pPr>
            <w:r>
              <w:rPr>
                <w:color w:val="1C3A36"/>
                <w:sz w:val="16"/>
              </w:rPr>
              <w:t>520</w:t>
            </w:r>
          </w:p>
        </w:tc>
        <w:tc>
          <w:tcPr>
            <w:tcW w:type="dxa" w:w="950"/>
          </w:tcPr>
          <w:p>
            <w:pPr>
              <w:spacing w:after="20"/>
              <w:jc w:val="right"/>
            </w:pPr>
            <w:r>
              <w:rPr>
                <w:color w:val="1C3A36"/>
                <w:sz w:val="16"/>
              </w:rPr>
              <w:t>540</w:t>
            </w:r>
          </w:p>
        </w:tc>
        <w:tc>
          <w:tcPr>
            <w:tcW w:type="dxa" w:w="950"/>
          </w:tcPr>
          <w:p>
            <w:pPr>
              <w:spacing w:after="20"/>
              <w:jc w:val="right"/>
            </w:pPr>
            <w:r>
              <w:rPr>
                <w:color w:val="1C3A36"/>
                <w:sz w:val="16"/>
              </w:rPr>
              <w:t>560</w:t>
            </w:r>
          </w:p>
        </w:tc>
        <w:tc>
          <w:tcPr>
            <w:tcW w:type="dxa" w:w="950"/>
          </w:tcPr>
          <w:p>
            <w:pPr>
              <w:spacing w:after="20"/>
              <w:jc w:val="right"/>
            </w:pPr>
            <w:r>
              <w:rPr>
                <w:color w:val="1C3A36"/>
                <w:sz w:val="16"/>
              </w:rPr>
              <w:t>570</w:t>
            </w:r>
          </w:p>
        </w:tc>
        <w:tc>
          <w:tcPr>
            <w:tcW w:type="dxa" w:w="950"/>
          </w:tcPr>
          <w:p>
            <w:pPr>
              <w:spacing w:after="20"/>
              <w:jc w:val="right"/>
            </w:pPr>
            <w:r>
              <w:rPr>
                <w:color w:val="1C3A36"/>
                <w:sz w:val="16"/>
              </w:rPr>
              <w:t>580</w:t>
            </w:r>
          </w:p>
        </w:tc>
      </w:tr>
      <w:tr>
        <w:tc>
          <w:tcPr>
            <w:tcW w:type="dxa" w:w="3024"/>
          </w:tcPr>
          <w:p>
            <w:pPr>
              <w:spacing w:after="20"/>
            </w:pPr>
            <w:r>
              <w:rPr>
                <w:color w:val="1C3A36"/>
                <w:sz w:val="16"/>
              </w:rPr>
              <w:t>NI attributable to common</w:t>
            </w:r>
          </w:p>
        </w:tc>
        <w:tc>
          <w:tcPr>
            <w:tcW w:type="dxa" w:w="950"/>
          </w:tcPr>
          <w:p>
            <w:pPr>
              <w:spacing w:after="20"/>
              <w:jc w:val="right"/>
            </w:pPr>
            <w:r>
              <w:rPr>
                <w:color w:val="1C3A36"/>
                <w:sz w:val="16"/>
              </w:rPr>
              <w:t>4,489</w:t>
            </w:r>
          </w:p>
        </w:tc>
        <w:tc>
          <w:tcPr>
            <w:tcW w:type="dxa" w:w="950"/>
          </w:tcPr>
          <w:p>
            <w:pPr>
              <w:spacing w:after="20"/>
              <w:jc w:val="right"/>
            </w:pPr>
            <w:r>
              <w:rPr>
                <w:color w:val="1C3A36"/>
                <w:sz w:val="16"/>
              </w:rPr>
              <w:t>5,402</w:t>
            </w:r>
          </w:p>
        </w:tc>
        <w:tc>
          <w:tcPr>
            <w:tcW w:type="dxa" w:w="950"/>
          </w:tcPr>
          <w:p>
            <w:pPr>
              <w:spacing w:after="20"/>
              <w:jc w:val="right"/>
            </w:pPr>
            <w:r>
              <w:rPr>
                <w:color w:val="1C3A36"/>
                <w:sz w:val="16"/>
              </w:rPr>
              <w:t>5,894</w:t>
            </w:r>
          </w:p>
        </w:tc>
        <w:tc>
          <w:tcPr>
            <w:tcW w:type="dxa" w:w="950"/>
          </w:tcPr>
          <w:p>
            <w:pPr>
              <w:spacing w:after="20"/>
              <w:jc w:val="right"/>
            </w:pPr>
            <w:r>
              <w:rPr>
                <w:color w:val="1C3A36"/>
                <w:sz w:val="16"/>
              </w:rPr>
              <w:t>6,531</w:t>
            </w:r>
          </w:p>
        </w:tc>
        <w:tc>
          <w:tcPr>
            <w:tcW w:type="dxa" w:w="950"/>
          </w:tcPr>
          <w:p>
            <w:pPr>
              <w:spacing w:after="20"/>
              <w:jc w:val="right"/>
            </w:pPr>
            <w:r>
              <w:rPr>
                <w:color w:val="1C3A36"/>
                <w:sz w:val="16"/>
              </w:rPr>
              <w:t>7,228</w:t>
            </w:r>
          </w:p>
        </w:tc>
        <w:tc>
          <w:tcPr>
            <w:tcW w:type="dxa" w:w="950"/>
          </w:tcPr>
          <w:p>
            <w:pPr>
              <w:spacing w:after="20"/>
              <w:jc w:val="right"/>
            </w:pPr>
            <w:r>
              <w:rPr>
                <w:color w:val="1C3A36"/>
                <w:sz w:val="16"/>
              </w:rPr>
              <w:t>7,999</w:t>
            </w:r>
          </w:p>
        </w:tc>
        <w:tc>
          <w:tcPr>
            <w:tcW w:type="dxa" w:w="950"/>
          </w:tcPr>
          <w:p>
            <w:pPr>
              <w:spacing w:after="20"/>
              <w:jc w:val="right"/>
            </w:pPr>
            <w:r>
              <w:rPr>
                <w:color w:val="1C3A36"/>
                <w:sz w:val="16"/>
              </w:rPr>
              <w:t>8,780</w:t>
            </w:r>
          </w:p>
        </w:tc>
        <w:tc>
          <w:tcPr>
            <w:tcW w:type="dxa" w:w="950"/>
          </w:tcPr>
          <w:p>
            <w:pPr>
              <w:spacing w:after="20"/>
              <w:jc w:val="right"/>
            </w:pPr>
            <w:r>
              <w:rPr>
                <w:color w:val="1C3A36"/>
                <w:sz w:val="16"/>
              </w:rPr>
              <w:t>9,565</w:t>
            </w:r>
          </w:p>
        </w:tc>
      </w:tr>
      <w:tr>
        <w:tc>
          <w:tcPr>
            <w:tcW w:type="dxa" w:w="3024"/>
          </w:tcPr>
          <w:p>
            <w:pPr>
              <w:spacing w:after="20"/>
            </w:pPr>
            <w:r>
              <w:rPr>
                <w:color w:val="1C3A36"/>
                <w:sz w:val="16"/>
              </w:rPr>
              <w:t>EPS, common (÷3,000mn)</w:t>
            </w:r>
          </w:p>
        </w:tc>
        <w:tc>
          <w:tcPr>
            <w:tcW w:type="dxa" w:w="950"/>
          </w:tcPr>
          <w:p>
            <w:pPr>
              <w:spacing w:after="20"/>
              <w:jc w:val="right"/>
            </w:pPr>
            <w:r>
              <w:rPr>
                <w:color w:val="1C3A36"/>
                <w:sz w:val="16"/>
              </w:rPr>
              <w:t>1.50</w:t>
            </w:r>
          </w:p>
        </w:tc>
        <w:tc>
          <w:tcPr>
            <w:tcW w:type="dxa" w:w="950"/>
          </w:tcPr>
          <w:p>
            <w:pPr>
              <w:spacing w:after="20"/>
              <w:jc w:val="right"/>
            </w:pPr>
            <w:r>
              <w:rPr>
                <w:color w:val="1C3A36"/>
                <w:sz w:val="16"/>
              </w:rPr>
              <w:t>1.80</w:t>
            </w:r>
          </w:p>
        </w:tc>
        <w:tc>
          <w:tcPr>
            <w:tcW w:type="dxa" w:w="950"/>
          </w:tcPr>
          <w:p>
            <w:pPr>
              <w:spacing w:after="20"/>
              <w:jc w:val="right"/>
            </w:pPr>
            <w:r>
              <w:rPr>
                <w:color w:val="1C3A36"/>
                <w:sz w:val="16"/>
              </w:rPr>
              <w:t>1.96</w:t>
            </w:r>
          </w:p>
        </w:tc>
        <w:tc>
          <w:tcPr>
            <w:tcW w:type="dxa" w:w="950"/>
          </w:tcPr>
          <w:p>
            <w:pPr>
              <w:spacing w:after="20"/>
              <w:jc w:val="right"/>
            </w:pPr>
            <w:r>
              <w:rPr>
                <w:color w:val="1C3A36"/>
                <w:sz w:val="16"/>
              </w:rPr>
              <w:t>2.18</w:t>
            </w:r>
          </w:p>
        </w:tc>
        <w:tc>
          <w:tcPr>
            <w:tcW w:type="dxa" w:w="950"/>
          </w:tcPr>
          <w:p>
            <w:pPr>
              <w:spacing w:after="20"/>
              <w:jc w:val="right"/>
            </w:pPr>
            <w:r>
              <w:rPr>
                <w:color w:val="1C3A36"/>
                <w:sz w:val="16"/>
              </w:rPr>
              <w:t>2.41</w:t>
            </w:r>
          </w:p>
        </w:tc>
        <w:tc>
          <w:tcPr>
            <w:tcW w:type="dxa" w:w="950"/>
          </w:tcPr>
          <w:p>
            <w:pPr>
              <w:spacing w:after="20"/>
              <w:jc w:val="right"/>
            </w:pPr>
            <w:r>
              <w:rPr>
                <w:color w:val="1C3A36"/>
                <w:sz w:val="16"/>
              </w:rPr>
              <w:t>2.67</w:t>
            </w:r>
          </w:p>
        </w:tc>
        <w:tc>
          <w:tcPr>
            <w:tcW w:type="dxa" w:w="950"/>
          </w:tcPr>
          <w:p>
            <w:pPr>
              <w:spacing w:after="20"/>
              <w:jc w:val="right"/>
            </w:pPr>
            <w:r>
              <w:rPr>
                <w:color w:val="1C3A36"/>
                <w:sz w:val="16"/>
              </w:rPr>
              <w:t>2.93</w:t>
            </w:r>
          </w:p>
        </w:tc>
        <w:tc>
          <w:tcPr>
            <w:tcW w:type="dxa" w:w="950"/>
          </w:tcPr>
          <w:p>
            <w:pPr>
              <w:spacing w:after="20"/>
              <w:jc w:val="right"/>
            </w:pPr>
            <w:r>
              <w:rPr>
                <w:color w:val="1C3A36"/>
                <w:sz w:val="16"/>
              </w:rPr>
              <w:t>3.19</w:t>
            </w:r>
          </w:p>
        </w:tc>
      </w:tr>
      <w:tr>
        <w:tc>
          <w:tcPr>
            <w:tcW w:type="dxa" w:w="3024"/>
          </w:tcPr>
          <w:p>
            <w:pPr>
              <w:spacing w:after="20"/>
            </w:pPr>
            <w:r>
              <w:rPr>
                <w:color w:val="1C3A36"/>
                <w:sz w:val="16"/>
              </w:rPr>
              <w:t>EPS as reported (pre-bonus wtd.)</w:t>
            </w:r>
          </w:p>
        </w:tc>
        <w:tc>
          <w:tcPr>
            <w:tcW w:type="dxa" w:w="950"/>
          </w:tcPr>
          <w:p>
            <w:pPr>
              <w:spacing w:after="20"/>
              <w:jc w:val="right"/>
            </w:pPr>
            <w:r>
              <w:rPr>
                <w:color w:val="1C3A36"/>
                <w:sz w:val="16"/>
              </w:rPr>
              <w:t>1.81</w:t>
            </w:r>
          </w:p>
        </w:tc>
        <w:tc>
          <w:tcPr>
            <w:tcW w:type="dxa" w:w="950"/>
          </w:tcPr>
          <w:p>
            <w:pPr>
              <w:spacing w:after="20"/>
              <w:jc w:val="right"/>
            </w:pPr>
            <w:r>
              <w:rPr>
                <w:color w:val="1C3A36"/>
                <w:sz w:val="16"/>
              </w:rPr>
              <w:t>2.22</w:t>
            </w:r>
          </w:p>
        </w:tc>
        <w:tc>
          <w:tcPr>
            <w:tcW w:type="dxa" w:w="950"/>
          </w:tcPr>
          <w:p>
            <w:pPr>
              <w:spacing w:after="20"/>
              <w:jc w:val="right"/>
            </w:pPr>
            <w:r>
              <w:rPr>
                <w:color w:val="1C3A36"/>
                <w:sz w:val="16"/>
              </w:rPr>
              <w:t>2.37</w:t>
            </w:r>
          </w:p>
        </w:tc>
        <w:tc>
          <w:tcPr>
            <w:tcW w:type="dxa" w:w="950"/>
          </w:tcPr>
          <w:p>
            <w:pPr>
              <w:spacing w:after="20"/>
              <w:jc w:val="right"/>
            </w:pPr>
            <w:r>
              <w:rPr>
                <w:color w:val="1C3A36"/>
                <w:sz w:val="16"/>
              </w:rPr>
              <w:t>—</w:t>
            </w:r>
          </w:p>
        </w:tc>
        <w:tc>
          <w:tcPr>
            <w:tcW w:type="dxa" w:w="950"/>
          </w:tcPr>
          <w:p>
            <w:pPr>
              <w:spacing w:after="20"/>
              <w:jc w:val="right"/>
            </w:pPr>
            <w:r>
              <w:rPr>
                <w:color w:val="1C3A36"/>
                <w:sz w:val="16"/>
              </w:rPr>
              <w:t>—</w:t>
            </w:r>
          </w:p>
        </w:tc>
        <w:tc>
          <w:tcPr>
            <w:tcW w:type="dxa" w:w="950"/>
          </w:tcPr>
          <w:p>
            <w:pPr>
              <w:spacing w:after="20"/>
              <w:jc w:val="right"/>
            </w:pPr>
            <w:r>
              <w:rPr>
                <w:color w:val="1C3A36"/>
                <w:sz w:val="16"/>
              </w:rPr>
              <w:t>—</w:t>
            </w:r>
          </w:p>
        </w:tc>
        <w:tc>
          <w:tcPr>
            <w:tcW w:type="dxa" w:w="950"/>
          </w:tcPr>
          <w:p>
            <w:pPr>
              <w:spacing w:after="20"/>
              <w:jc w:val="right"/>
            </w:pPr>
            <w:r>
              <w:rPr>
                <w:color w:val="1C3A36"/>
                <w:sz w:val="16"/>
              </w:rPr>
              <w:t>—</w:t>
            </w:r>
          </w:p>
        </w:tc>
        <w:tc>
          <w:tcPr>
            <w:tcW w:type="dxa" w:w="950"/>
          </w:tcPr>
          <w:p>
            <w:pPr>
              <w:spacing w:after="20"/>
              <w:jc w:val="right"/>
            </w:pPr>
            <w:r>
              <w:rPr>
                <w:color w:val="1C3A36"/>
                <w:sz w:val="16"/>
              </w:rPr>
              <w:t>—</w:t>
            </w:r>
          </w:p>
        </w:tc>
      </w:tr>
    </w:tbl>
    <w:p>
      <w:pPr>
        <w:spacing w:after="40"/>
      </w:pPr>
    </w:p>
    <w:p>
      <w:pPr>
        <w:spacing w:after="200" w:before="0"/>
      </w:pPr>
      <w:r>
        <w:rPr>
          <w:b w:val="0"/>
          <w:i/>
          <w:color w:val="6E7B77"/>
          <w:sz w:val="17"/>
        </w:rPr>
        <w:t>FY23 zakat and attributable lines derived from disclosed totals; FY25/FY24 P&amp;L per the official Tadawul annual announcement.</w:t>
      </w:r>
    </w:p>
    <w:p>
      <w:pPr>
        <w:spacing w:after="80" w:before="200"/>
      </w:pPr>
      <w:r>
        <w:rPr>
          <w:b/>
          <w:i w:val="0"/>
          <w:color w:val="1C3A36"/>
          <w:sz w:val="24"/>
        </w:rPr>
        <w:t>A.2  Balance sheet — 3-year historical + 5-year forecast (consolidated, SAR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120"/>
        <w:gridCol w:w="1120"/>
        <w:gridCol w:w="1120"/>
        <w:gridCol w:w="1120"/>
        <w:gridCol w:w="1120"/>
        <w:gridCol w:w="1120"/>
        <w:gridCol w:w="1120"/>
        <w:gridCol w:w="1120"/>
        <w:gridCol w:w="1120"/>
      </w:tblGrid>
      <w:tr>
        <w:tc>
          <w:tcPr>
            <w:tcW w:type="dxa" w:w="3024"/>
            <w:shd w:val="clear" w:color="auto" w:fill="EAF0EE"/>
          </w:tcPr>
          <w:p>
            <w:pPr>
              <w:spacing w:after="20"/>
            </w:pPr>
            <w:r>
              <w:rPr>
                <w:b/>
                <w:color w:val="1C3A36"/>
                <w:sz w:val="16"/>
              </w:rPr>
              <w:t>SAR mn</w:t>
            </w:r>
          </w:p>
        </w:tc>
        <w:tc>
          <w:tcPr>
            <w:tcW w:type="dxa" w:w="950"/>
            <w:shd w:val="clear" w:color="auto" w:fill="EAF0EE"/>
          </w:tcPr>
          <w:p>
            <w:pPr>
              <w:spacing w:after="20"/>
            </w:pPr>
            <w:r>
              <w:rPr>
                <w:b/>
                <w:color w:val="1C3A36"/>
                <w:sz w:val="16"/>
              </w:rPr>
              <w:t>FY23</w:t>
            </w:r>
          </w:p>
        </w:tc>
        <w:tc>
          <w:tcPr>
            <w:tcW w:type="dxa" w:w="950"/>
            <w:shd w:val="clear" w:color="auto" w:fill="EAF0EE"/>
          </w:tcPr>
          <w:p>
            <w:pPr>
              <w:spacing w:after="20"/>
            </w:pPr>
            <w:r>
              <w:rPr>
                <w:b/>
                <w:color w:val="1C3A36"/>
                <w:sz w:val="16"/>
              </w:rPr>
              <w:t>FY24</w:t>
            </w:r>
          </w:p>
        </w:tc>
        <w:tc>
          <w:tcPr>
            <w:tcW w:type="dxa" w:w="950"/>
            <w:shd w:val="clear" w:color="auto" w:fill="EAF0EE"/>
          </w:tcPr>
          <w:p>
            <w:pPr>
              <w:spacing w:after="20"/>
            </w:pPr>
            <w:r>
              <w:rPr>
                <w:b/>
                <w:color w:val="1C3A36"/>
                <w:sz w:val="16"/>
              </w:rPr>
              <w:t>FY25</w:t>
            </w:r>
          </w:p>
        </w:tc>
        <w:tc>
          <w:tcPr>
            <w:tcW w:type="dxa" w:w="950"/>
            <w:shd w:val="clear" w:color="auto" w:fill="EAF0EE"/>
          </w:tcPr>
          <w:p>
            <w:pPr>
              <w:spacing w:after="20"/>
            </w:pPr>
            <w:r>
              <w:rPr>
                <w:b/>
                <w:color w:val="1C3A36"/>
                <w:sz w:val="16"/>
              </w:rPr>
              <w:t>FY26e</w:t>
            </w:r>
          </w:p>
        </w:tc>
        <w:tc>
          <w:tcPr>
            <w:tcW w:type="dxa" w:w="950"/>
            <w:shd w:val="clear" w:color="auto" w:fill="EAF0EE"/>
          </w:tcPr>
          <w:p>
            <w:pPr>
              <w:spacing w:after="20"/>
            </w:pPr>
            <w:r>
              <w:rPr>
                <w:b/>
                <w:color w:val="1C3A36"/>
                <w:sz w:val="16"/>
              </w:rPr>
              <w:t>FY27e</w:t>
            </w:r>
          </w:p>
        </w:tc>
        <w:tc>
          <w:tcPr>
            <w:tcW w:type="dxa" w:w="950"/>
            <w:shd w:val="clear" w:color="auto" w:fill="EAF0EE"/>
          </w:tcPr>
          <w:p>
            <w:pPr>
              <w:spacing w:after="20"/>
            </w:pPr>
            <w:r>
              <w:rPr>
                <w:b/>
                <w:color w:val="1C3A36"/>
                <w:sz w:val="16"/>
              </w:rPr>
              <w:t>FY28e</w:t>
            </w:r>
          </w:p>
        </w:tc>
        <w:tc>
          <w:tcPr>
            <w:tcW w:type="dxa" w:w="950"/>
            <w:shd w:val="clear" w:color="auto" w:fill="EAF0EE"/>
          </w:tcPr>
          <w:p>
            <w:pPr>
              <w:spacing w:after="20"/>
            </w:pPr>
            <w:r>
              <w:rPr>
                <w:b/>
                <w:color w:val="1C3A36"/>
                <w:sz w:val="16"/>
              </w:rPr>
              <w:t>FY29e</w:t>
            </w:r>
          </w:p>
        </w:tc>
        <w:tc>
          <w:tcPr>
            <w:tcW w:type="dxa" w:w="950"/>
            <w:shd w:val="clear" w:color="auto" w:fill="EAF0EE"/>
          </w:tcPr>
          <w:p>
            <w:pPr>
              <w:spacing w:after="20"/>
            </w:pPr>
            <w:r>
              <w:rPr>
                <w:b/>
                <w:color w:val="1C3A36"/>
                <w:sz w:val="16"/>
              </w:rPr>
              <w:t>FY30e</w:t>
            </w:r>
          </w:p>
        </w:tc>
      </w:tr>
      <w:tr>
        <w:tc>
          <w:tcPr>
            <w:tcW w:type="dxa" w:w="3024"/>
          </w:tcPr>
          <w:p>
            <w:pPr>
              <w:spacing w:after="20"/>
            </w:pPr>
            <w:r>
              <w:rPr>
                <w:color w:val="1C3A36"/>
                <w:sz w:val="16"/>
              </w:rPr>
              <w:t>Financing, net</w:t>
            </w:r>
          </w:p>
        </w:tc>
        <w:tc>
          <w:tcPr>
            <w:tcW w:type="dxa" w:w="950"/>
          </w:tcPr>
          <w:p>
            <w:pPr>
              <w:spacing w:after="20"/>
              <w:jc w:val="right"/>
            </w:pPr>
            <w:r>
              <w:rPr>
                <w:color w:val="1C3A36"/>
                <w:sz w:val="16"/>
              </w:rPr>
              <w:t>175,032</w:t>
            </w:r>
          </w:p>
        </w:tc>
        <w:tc>
          <w:tcPr>
            <w:tcW w:type="dxa" w:w="950"/>
          </w:tcPr>
          <w:p>
            <w:pPr>
              <w:spacing w:after="20"/>
              <w:jc w:val="right"/>
            </w:pPr>
            <w:r>
              <w:rPr>
                <w:color w:val="1C3A36"/>
                <w:sz w:val="16"/>
              </w:rPr>
              <w:t>202,308</w:t>
            </w:r>
          </w:p>
        </w:tc>
        <w:tc>
          <w:tcPr>
            <w:tcW w:type="dxa" w:w="950"/>
          </w:tcPr>
          <w:p>
            <w:pPr>
              <w:spacing w:after="20"/>
              <w:jc w:val="right"/>
            </w:pPr>
            <w:r>
              <w:rPr>
                <w:color w:val="1C3A36"/>
                <w:sz w:val="16"/>
              </w:rPr>
              <w:t>229,747</w:t>
            </w:r>
          </w:p>
        </w:tc>
        <w:tc>
          <w:tcPr>
            <w:tcW w:type="dxa" w:w="950"/>
          </w:tcPr>
          <w:p>
            <w:pPr>
              <w:spacing w:after="20"/>
              <w:jc w:val="right"/>
            </w:pPr>
            <w:r>
              <w:rPr>
                <w:color w:val="1C3A36"/>
                <w:sz w:val="16"/>
              </w:rPr>
              <w:t>259,614</w:t>
            </w:r>
          </w:p>
        </w:tc>
        <w:tc>
          <w:tcPr>
            <w:tcW w:type="dxa" w:w="950"/>
          </w:tcPr>
          <w:p>
            <w:pPr>
              <w:spacing w:after="20"/>
              <w:jc w:val="right"/>
            </w:pPr>
            <w:r>
              <w:rPr>
                <w:color w:val="1C3A36"/>
                <w:sz w:val="16"/>
              </w:rPr>
              <w:t>290,768</w:t>
            </w:r>
          </w:p>
        </w:tc>
        <w:tc>
          <w:tcPr>
            <w:tcW w:type="dxa" w:w="950"/>
          </w:tcPr>
          <w:p>
            <w:pPr>
              <w:spacing w:after="20"/>
              <w:jc w:val="right"/>
            </w:pPr>
            <w:r>
              <w:rPr>
                <w:color w:val="1C3A36"/>
                <w:sz w:val="16"/>
              </w:rPr>
              <w:t>319,844</w:t>
            </w:r>
          </w:p>
        </w:tc>
        <w:tc>
          <w:tcPr>
            <w:tcW w:type="dxa" w:w="950"/>
          </w:tcPr>
          <w:p>
            <w:pPr>
              <w:spacing w:after="20"/>
              <w:jc w:val="right"/>
            </w:pPr>
            <w:r>
              <w:rPr>
                <w:color w:val="1C3A36"/>
                <w:sz w:val="16"/>
              </w:rPr>
              <w:t>348,630</w:t>
            </w:r>
          </w:p>
        </w:tc>
        <w:tc>
          <w:tcPr>
            <w:tcW w:type="dxa" w:w="950"/>
          </w:tcPr>
          <w:p>
            <w:pPr>
              <w:spacing w:after="20"/>
              <w:jc w:val="right"/>
            </w:pPr>
            <w:r>
              <w:rPr>
                <w:color w:val="1C3A36"/>
                <w:sz w:val="16"/>
              </w:rPr>
              <w:t>376,521</w:t>
            </w:r>
          </w:p>
        </w:tc>
      </w:tr>
      <w:tr>
        <w:tc>
          <w:tcPr>
            <w:tcW w:type="dxa" w:w="3024"/>
          </w:tcPr>
          <w:p>
            <w:pPr>
              <w:spacing w:after="20"/>
            </w:pPr>
            <w:r>
              <w:rPr>
                <w:color w:val="1C3A36"/>
                <w:sz w:val="16"/>
              </w:rPr>
              <w:t>Investments</w:t>
            </w:r>
          </w:p>
        </w:tc>
        <w:tc>
          <w:tcPr>
            <w:tcW w:type="dxa" w:w="950"/>
          </w:tcPr>
          <w:p>
            <w:pPr>
              <w:spacing w:after="20"/>
              <w:jc w:val="right"/>
            </w:pPr>
            <w:r>
              <w:rPr>
                <w:color w:val="1C3A36"/>
                <w:sz w:val="16"/>
              </w:rPr>
              <w:t>43,236</w:t>
            </w:r>
          </w:p>
        </w:tc>
        <w:tc>
          <w:tcPr>
            <w:tcW w:type="dxa" w:w="950"/>
          </w:tcPr>
          <w:p>
            <w:pPr>
              <w:spacing w:after="20"/>
              <w:jc w:val="right"/>
            </w:pPr>
            <w:r>
              <w:rPr>
                <w:color w:val="1C3A36"/>
                <w:sz w:val="16"/>
              </w:rPr>
              <w:t>48,625</w:t>
            </w:r>
          </w:p>
        </w:tc>
        <w:tc>
          <w:tcPr>
            <w:tcW w:type="dxa" w:w="950"/>
          </w:tcPr>
          <w:p>
            <w:pPr>
              <w:spacing w:after="20"/>
              <w:jc w:val="right"/>
            </w:pPr>
            <w:r>
              <w:rPr>
                <w:color w:val="1C3A36"/>
                <w:sz w:val="16"/>
              </w:rPr>
              <w:t>56,623</w:t>
            </w:r>
          </w:p>
        </w:tc>
        <w:tc>
          <w:tcPr>
            <w:tcW w:type="dxa" w:w="950"/>
          </w:tcPr>
          <w:p>
            <w:pPr>
              <w:spacing w:after="20"/>
              <w:jc w:val="right"/>
            </w:pPr>
            <w:r>
              <w:rPr>
                <w:color w:val="1C3A36"/>
                <w:sz w:val="16"/>
              </w:rPr>
              <w:t>62,285</w:t>
            </w:r>
          </w:p>
        </w:tc>
        <w:tc>
          <w:tcPr>
            <w:tcW w:type="dxa" w:w="950"/>
          </w:tcPr>
          <w:p>
            <w:pPr>
              <w:spacing w:after="20"/>
              <w:jc w:val="right"/>
            </w:pPr>
            <w:r>
              <w:rPr>
                <w:color w:val="1C3A36"/>
                <w:sz w:val="16"/>
              </w:rPr>
              <w:t>67,890</w:t>
            </w:r>
          </w:p>
        </w:tc>
        <w:tc>
          <w:tcPr>
            <w:tcW w:type="dxa" w:w="950"/>
          </w:tcPr>
          <w:p>
            <w:pPr>
              <w:spacing w:after="20"/>
              <w:jc w:val="right"/>
            </w:pPr>
            <w:r>
              <w:rPr>
                <w:color w:val="1C3A36"/>
                <w:sz w:val="16"/>
              </w:rPr>
              <w:t>73,322</w:t>
            </w:r>
          </w:p>
        </w:tc>
        <w:tc>
          <w:tcPr>
            <w:tcW w:type="dxa" w:w="950"/>
          </w:tcPr>
          <w:p>
            <w:pPr>
              <w:spacing w:after="20"/>
              <w:jc w:val="right"/>
            </w:pPr>
            <w:r>
              <w:rPr>
                <w:color w:val="1C3A36"/>
                <w:sz w:val="16"/>
              </w:rPr>
              <w:t>79,187</w:t>
            </w:r>
          </w:p>
        </w:tc>
        <w:tc>
          <w:tcPr>
            <w:tcW w:type="dxa" w:w="950"/>
          </w:tcPr>
          <w:p>
            <w:pPr>
              <w:spacing w:after="20"/>
              <w:jc w:val="right"/>
            </w:pPr>
            <w:r>
              <w:rPr>
                <w:color w:val="1C3A36"/>
                <w:sz w:val="16"/>
              </w:rPr>
              <w:t>84,731</w:t>
            </w:r>
          </w:p>
        </w:tc>
      </w:tr>
      <w:tr>
        <w:tc>
          <w:tcPr>
            <w:tcW w:type="dxa" w:w="3024"/>
          </w:tcPr>
          <w:p>
            <w:pPr>
              <w:spacing w:after="20"/>
            </w:pPr>
            <w:r>
              <w:rPr>
                <w:color w:val="1C3A36"/>
                <w:sz w:val="16"/>
              </w:rPr>
              <w:t>Total assets</w:t>
            </w:r>
          </w:p>
        </w:tc>
        <w:tc>
          <w:tcPr>
            <w:tcW w:type="dxa" w:w="950"/>
          </w:tcPr>
          <w:p>
            <w:pPr>
              <w:spacing w:after="20"/>
              <w:jc w:val="right"/>
            </w:pPr>
            <w:r>
              <w:rPr>
                <w:color w:val="1C3A36"/>
                <w:sz w:val="16"/>
              </w:rPr>
              <w:t>236,600</w:t>
            </w:r>
          </w:p>
        </w:tc>
        <w:tc>
          <w:tcPr>
            <w:tcW w:type="dxa" w:w="950"/>
          </w:tcPr>
          <w:p>
            <w:pPr>
              <w:spacing w:after="20"/>
              <w:jc w:val="right"/>
            </w:pPr>
            <w:r>
              <w:rPr>
                <w:color w:val="1C3A36"/>
                <w:sz w:val="16"/>
              </w:rPr>
              <w:t>276,828</w:t>
            </w:r>
          </w:p>
        </w:tc>
        <w:tc>
          <w:tcPr>
            <w:tcW w:type="dxa" w:w="950"/>
          </w:tcPr>
          <w:p>
            <w:pPr>
              <w:spacing w:after="20"/>
              <w:jc w:val="right"/>
            </w:pPr>
            <w:r>
              <w:rPr>
                <w:color w:val="1C3A36"/>
                <w:sz w:val="16"/>
              </w:rPr>
              <w:t>311,067</w:t>
            </w:r>
          </w:p>
        </w:tc>
        <w:tc>
          <w:tcPr>
            <w:tcW w:type="dxa" w:w="950"/>
          </w:tcPr>
          <w:p>
            <w:pPr>
              <w:spacing w:after="20"/>
              <w:jc w:val="right"/>
            </w:pPr>
            <w:r>
              <w:rPr>
                <w:color w:val="1C3A36"/>
                <w:sz w:val="16"/>
              </w:rPr>
              <w:t>347,462</w:t>
            </w:r>
          </w:p>
        </w:tc>
        <w:tc>
          <w:tcPr>
            <w:tcW w:type="dxa" w:w="950"/>
          </w:tcPr>
          <w:p>
            <w:pPr>
              <w:spacing w:after="20"/>
              <w:jc w:val="right"/>
            </w:pPr>
            <w:r>
              <w:rPr>
                <w:color w:val="1C3A36"/>
                <w:sz w:val="16"/>
              </w:rPr>
              <w:t>384,988</w:t>
            </w:r>
          </w:p>
        </w:tc>
        <w:tc>
          <w:tcPr>
            <w:tcW w:type="dxa" w:w="950"/>
          </w:tcPr>
          <w:p>
            <w:pPr>
              <w:spacing w:after="20"/>
              <w:jc w:val="right"/>
            </w:pPr>
            <w:r>
              <w:rPr>
                <w:color w:val="1C3A36"/>
                <w:sz w:val="16"/>
              </w:rPr>
              <w:t>419,637</w:t>
            </w:r>
          </w:p>
        </w:tc>
        <w:tc>
          <w:tcPr>
            <w:tcW w:type="dxa" w:w="950"/>
          </w:tcPr>
          <w:p>
            <w:pPr>
              <w:spacing w:after="20"/>
              <w:jc w:val="right"/>
            </w:pPr>
            <w:r>
              <w:rPr>
                <w:color w:val="1C3A36"/>
                <w:sz w:val="16"/>
              </w:rPr>
              <w:t>453,627</w:t>
            </w:r>
          </w:p>
        </w:tc>
        <w:tc>
          <w:tcPr>
            <w:tcW w:type="dxa" w:w="950"/>
          </w:tcPr>
          <w:p>
            <w:pPr>
              <w:spacing w:after="20"/>
              <w:jc w:val="right"/>
            </w:pPr>
            <w:r>
              <w:rPr>
                <w:color w:val="1C3A36"/>
                <w:sz w:val="16"/>
              </w:rPr>
              <w:t>486,288</w:t>
            </w:r>
          </w:p>
        </w:tc>
      </w:tr>
      <w:tr>
        <w:tc>
          <w:tcPr>
            <w:tcW w:type="dxa" w:w="3024"/>
          </w:tcPr>
          <w:p>
            <w:pPr>
              <w:spacing w:after="20"/>
            </w:pPr>
            <w:r>
              <w:rPr>
                <w:color w:val="1C3A36"/>
                <w:sz w:val="16"/>
              </w:rPr>
              <w:t>Customer deposits</w:t>
            </w:r>
          </w:p>
        </w:tc>
        <w:tc>
          <w:tcPr>
            <w:tcW w:type="dxa" w:w="950"/>
          </w:tcPr>
          <w:p>
            <w:pPr>
              <w:spacing w:after="20"/>
              <w:jc w:val="right"/>
            </w:pPr>
            <w:r>
              <w:rPr>
                <w:color w:val="1C3A36"/>
                <w:sz w:val="16"/>
              </w:rPr>
              <w:t>187,901</w:t>
            </w:r>
          </w:p>
        </w:tc>
        <w:tc>
          <w:tcPr>
            <w:tcW w:type="dxa" w:w="950"/>
          </w:tcPr>
          <w:p>
            <w:pPr>
              <w:spacing w:after="20"/>
              <w:jc w:val="right"/>
            </w:pPr>
            <w:r>
              <w:rPr>
                <w:color w:val="1C3A36"/>
                <w:sz w:val="16"/>
              </w:rPr>
              <w:t>210,545</w:t>
            </w:r>
          </w:p>
        </w:tc>
        <w:tc>
          <w:tcPr>
            <w:tcW w:type="dxa" w:w="950"/>
          </w:tcPr>
          <w:p>
            <w:pPr>
              <w:spacing w:after="20"/>
              <w:jc w:val="right"/>
            </w:pPr>
            <w:r>
              <w:rPr>
                <w:color w:val="1C3A36"/>
                <w:sz w:val="16"/>
              </w:rPr>
              <w:t>227,374</w:t>
            </w:r>
          </w:p>
        </w:tc>
        <w:tc>
          <w:tcPr>
            <w:tcW w:type="dxa" w:w="950"/>
          </w:tcPr>
          <w:p>
            <w:pPr>
              <w:spacing w:after="20"/>
              <w:jc w:val="right"/>
            </w:pPr>
            <w:r>
              <w:rPr>
                <w:color w:val="1C3A36"/>
                <w:sz w:val="16"/>
              </w:rPr>
              <w:t>252,499</w:t>
            </w:r>
          </w:p>
        </w:tc>
        <w:tc>
          <w:tcPr>
            <w:tcW w:type="dxa" w:w="950"/>
          </w:tcPr>
          <w:p>
            <w:pPr>
              <w:spacing w:after="20"/>
              <w:jc w:val="right"/>
            </w:pPr>
            <w:r>
              <w:rPr>
                <w:color w:val="1C3A36"/>
                <w:sz w:val="16"/>
              </w:rPr>
              <w:t>278,254</w:t>
            </w:r>
          </w:p>
        </w:tc>
        <w:tc>
          <w:tcPr>
            <w:tcW w:type="dxa" w:w="950"/>
          </w:tcPr>
          <w:p>
            <w:pPr>
              <w:spacing w:after="20"/>
              <w:jc w:val="right"/>
            </w:pPr>
            <w:r>
              <w:rPr>
                <w:color w:val="1C3A36"/>
                <w:sz w:val="16"/>
              </w:rPr>
              <w:t>301,905</w:t>
            </w:r>
          </w:p>
        </w:tc>
        <w:tc>
          <w:tcPr>
            <w:tcW w:type="dxa" w:w="950"/>
          </w:tcPr>
          <w:p>
            <w:pPr>
              <w:spacing w:after="20"/>
              <w:jc w:val="right"/>
            </w:pPr>
            <w:r>
              <w:rPr>
                <w:color w:val="1C3A36"/>
                <w:sz w:val="16"/>
              </w:rPr>
              <w:t>325,001</w:t>
            </w:r>
          </w:p>
        </w:tc>
        <w:tc>
          <w:tcPr>
            <w:tcW w:type="dxa" w:w="950"/>
          </w:tcPr>
          <w:p>
            <w:pPr>
              <w:spacing w:after="20"/>
              <w:jc w:val="right"/>
            </w:pPr>
            <w:r>
              <w:rPr>
                <w:color w:val="1C3A36"/>
                <w:sz w:val="16"/>
              </w:rPr>
              <w:t>347,101</w:t>
            </w:r>
          </w:p>
        </w:tc>
      </w:tr>
      <w:tr>
        <w:tc>
          <w:tcPr>
            <w:tcW w:type="dxa" w:w="3024"/>
          </w:tcPr>
          <w:p>
            <w:pPr>
              <w:spacing w:after="20"/>
            </w:pPr>
            <w:r>
              <w:rPr>
                <w:color w:val="1C3A36"/>
                <w:sz w:val="16"/>
              </w:rPr>
              <w:t>Total equity (incl. T1 sukuk)</w:t>
            </w:r>
          </w:p>
        </w:tc>
        <w:tc>
          <w:tcPr>
            <w:tcW w:type="dxa" w:w="950"/>
          </w:tcPr>
          <w:p>
            <w:pPr>
              <w:spacing w:after="20"/>
              <w:jc w:val="right"/>
            </w:pPr>
            <w:r>
              <w:rPr>
                <w:color w:val="1C3A36"/>
                <w:sz w:val="16"/>
              </w:rPr>
              <w:t>36,700*</w:t>
            </w:r>
          </w:p>
        </w:tc>
        <w:tc>
          <w:tcPr>
            <w:tcW w:type="dxa" w:w="950"/>
          </w:tcPr>
          <w:p>
            <w:pPr>
              <w:spacing w:after="20"/>
              <w:jc w:val="right"/>
            </w:pPr>
            <w:r>
              <w:rPr>
                <w:color w:val="1C3A36"/>
                <w:sz w:val="16"/>
              </w:rPr>
              <w:t>41,442</w:t>
            </w:r>
          </w:p>
        </w:tc>
        <w:tc>
          <w:tcPr>
            <w:tcW w:type="dxa" w:w="950"/>
          </w:tcPr>
          <w:p>
            <w:pPr>
              <w:spacing w:after="20"/>
              <w:jc w:val="right"/>
            </w:pPr>
            <w:r>
              <w:rPr>
                <w:color w:val="1C3A36"/>
                <w:sz w:val="16"/>
              </w:rPr>
              <w:t>48,241</w:t>
            </w:r>
          </w:p>
        </w:tc>
        <w:tc>
          <w:tcPr>
            <w:tcW w:type="dxa" w:w="950"/>
          </w:tcPr>
          <w:p>
            <w:pPr>
              <w:spacing w:after="20"/>
              <w:jc w:val="right"/>
            </w:pPr>
            <w:r>
              <w:rPr>
                <w:color w:val="1C3A36"/>
                <w:sz w:val="16"/>
              </w:rPr>
              <w:t>51,712</w:t>
            </w:r>
          </w:p>
        </w:tc>
        <w:tc>
          <w:tcPr>
            <w:tcW w:type="dxa" w:w="950"/>
          </w:tcPr>
          <w:p>
            <w:pPr>
              <w:spacing w:after="20"/>
              <w:jc w:val="right"/>
            </w:pPr>
            <w:r>
              <w:rPr>
                <w:color w:val="1C3A36"/>
                <w:sz w:val="16"/>
              </w:rPr>
              <w:t>55,461</w:t>
            </w:r>
          </w:p>
        </w:tc>
        <w:tc>
          <w:tcPr>
            <w:tcW w:type="dxa" w:w="950"/>
          </w:tcPr>
          <w:p>
            <w:pPr>
              <w:spacing w:after="20"/>
              <w:jc w:val="right"/>
            </w:pPr>
            <w:r>
              <w:rPr>
                <w:color w:val="1C3A36"/>
                <w:sz w:val="16"/>
              </w:rPr>
              <w:t>59,530</w:t>
            </w:r>
          </w:p>
        </w:tc>
        <w:tc>
          <w:tcPr>
            <w:tcW w:type="dxa" w:w="950"/>
          </w:tcPr>
          <w:p>
            <w:pPr>
              <w:spacing w:after="20"/>
              <w:jc w:val="right"/>
            </w:pPr>
            <w:r>
              <w:rPr>
                <w:color w:val="1C3A36"/>
                <w:sz w:val="16"/>
              </w:rPr>
              <w:t>63,929</w:t>
            </w:r>
          </w:p>
        </w:tc>
        <w:tc>
          <w:tcPr>
            <w:tcW w:type="dxa" w:w="950"/>
          </w:tcPr>
          <w:p>
            <w:pPr>
              <w:spacing w:after="20"/>
              <w:jc w:val="right"/>
            </w:pPr>
            <w:r>
              <w:rPr>
                <w:color w:val="1C3A36"/>
                <w:sz w:val="16"/>
              </w:rPr>
              <w:t>68,724</w:t>
            </w:r>
          </w:p>
        </w:tc>
      </w:tr>
      <w:tr>
        <w:tc>
          <w:tcPr>
            <w:tcW w:type="dxa" w:w="3024"/>
          </w:tcPr>
          <w:p>
            <w:pPr>
              <w:spacing w:after="20"/>
            </w:pPr>
            <w:r>
              <w:rPr>
                <w:color w:val="1C3A36"/>
                <w:sz w:val="16"/>
              </w:rPr>
              <w:t>Common equity (ex T1 ~13,750)</w:t>
            </w:r>
          </w:p>
        </w:tc>
        <w:tc>
          <w:tcPr>
            <w:tcW w:type="dxa" w:w="950"/>
          </w:tcPr>
          <w:p>
            <w:pPr>
              <w:spacing w:after="20"/>
              <w:jc w:val="right"/>
            </w:pPr>
            <w:r>
              <w:rPr>
                <w:color w:val="1C3A36"/>
                <w:sz w:val="16"/>
              </w:rPr>
              <w:t>27,950*</w:t>
            </w:r>
          </w:p>
        </w:tc>
        <w:tc>
          <w:tcPr>
            <w:tcW w:type="dxa" w:w="950"/>
          </w:tcPr>
          <w:p>
            <w:pPr>
              <w:spacing w:after="20"/>
              <w:jc w:val="right"/>
            </w:pPr>
            <w:r>
              <w:rPr>
                <w:color w:val="1C3A36"/>
                <w:sz w:val="16"/>
              </w:rPr>
              <w:t>32,690*</w:t>
            </w:r>
          </w:p>
        </w:tc>
        <w:tc>
          <w:tcPr>
            <w:tcW w:type="dxa" w:w="950"/>
          </w:tcPr>
          <w:p>
            <w:pPr>
              <w:spacing w:after="20"/>
              <w:jc w:val="right"/>
            </w:pPr>
            <w:r>
              <w:rPr>
                <w:color w:val="1C3A36"/>
                <w:sz w:val="16"/>
              </w:rPr>
              <w:t>34,491</w:t>
            </w:r>
          </w:p>
        </w:tc>
        <w:tc>
          <w:tcPr>
            <w:tcW w:type="dxa" w:w="950"/>
          </w:tcPr>
          <w:p>
            <w:pPr>
              <w:spacing w:after="20"/>
              <w:jc w:val="right"/>
            </w:pPr>
            <w:r>
              <w:rPr>
                <w:color w:val="1C3A36"/>
                <w:sz w:val="16"/>
              </w:rPr>
              <w:t>37,962</w:t>
            </w:r>
          </w:p>
        </w:tc>
        <w:tc>
          <w:tcPr>
            <w:tcW w:type="dxa" w:w="950"/>
          </w:tcPr>
          <w:p>
            <w:pPr>
              <w:spacing w:after="20"/>
              <w:jc w:val="right"/>
            </w:pPr>
            <w:r>
              <w:rPr>
                <w:color w:val="1C3A36"/>
                <w:sz w:val="16"/>
              </w:rPr>
              <w:t>41,711</w:t>
            </w:r>
          </w:p>
        </w:tc>
        <w:tc>
          <w:tcPr>
            <w:tcW w:type="dxa" w:w="950"/>
          </w:tcPr>
          <w:p>
            <w:pPr>
              <w:spacing w:after="20"/>
              <w:jc w:val="right"/>
            </w:pPr>
            <w:r>
              <w:rPr>
                <w:color w:val="1C3A36"/>
                <w:sz w:val="16"/>
              </w:rPr>
              <w:t>45,780</w:t>
            </w:r>
          </w:p>
        </w:tc>
        <w:tc>
          <w:tcPr>
            <w:tcW w:type="dxa" w:w="950"/>
          </w:tcPr>
          <w:p>
            <w:pPr>
              <w:spacing w:after="20"/>
              <w:jc w:val="right"/>
            </w:pPr>
            <w:r>
              <w:rPr>
                <w:color w:val="1C3A36"/>
                <w:sz w:val="16"/>
              </w:rPr>
              <w:t>50,179</w:t>
            </w:r>
          </w:p>
        </w:tc>
        <w:tc>
          <w:tcPr>
            <w:tcW w:type="dxa" w:w="950"/>
          </w:tcPr>
          <w:p>
            <w:pPr>
              <w:spacing w:after="20"/>
              <w:jc w:val="right"/>
            </w:pPr>
            <w:r>
              <w:rPr>
                <w:color w:val="1C3A36"/>
                <w:sz w:val="16"/>
              </w:rPr>
              <w:t>54,974</w:t>
            </w:r>
          </w:p>
        </w:tc>
      </w:tr>
      <w:tr>
        <w:tc>
          <w:tcPr>
            <w:tcW w:type="dxa" w:w="3024"/>
          </w:tcPr>
          <w:p>
            <w:pPr>
              <w:spacing w:after="20"/>
            </w:pPr>
            <w:r>
              <w:rPr>
                <w:color w:val="1C3A36"/>
                <w:sz w:val="16"/>
              </w:rPr>
              <w:t>BVPS, common (÷3,000mn)</w:t>
            </w:r>
          </w:p>
        </w:tc>
        <w:tc>
          <w:tcPr>
            <w:tcW w:type="dxa" w:w="950"/>
          </w:tcPr>
          <w:p>
            <w:pPr>
              <w:spacing w:after="20"/>
              <w:jc w:val="right"/>
            </w:pPr>
            <w:r>
              <w:rPr>
                <w:color w:val="1C3A36"/>
                <w:sz w:val="16"/>
              </w:rPr>
              <w:t>9.32</w:t>
            </w:r>
          </w:p>
        </w:tc>
        <w:tc>
          <w:tcPr>
            <w:tcW w:type="dxa" w:w="950"/>
          </w:tcPr>
          <w:p>
            <w:pPr>
              <w:spacing w:after="20"/>
              <w:jc w:val="right"/>
            </w:pPr>
            <w:r>
              <w:rPr>
                <w:color w:val="1C3A36"/>
                <w:sz w:val="16"/>
              </w:rPr>
              <w:t>10.90</w:t>
            </w:r>
          </w:p>
        </w:tc>
        <w:tc>
          <w:tcPr>
            <w:tcW w:type="dxa" w:w="950"/>
          </w:tcPr>
          <w:p>
            <w:pPr>
              <w:spacing w:after="20"/>
              <w:jc w:val="right"/>
            </w:pPr>
            <w:r>
              <w:rPr>
                <w:color w:val="1C3A36"/>
                <w:sz w:val="16"/>
              </w:rPr>
              <w:t>11.50</w:t>
            </w:r>
          </w:p>
        </w:tc>
        <w:tc>
          <w:tcPr>
            <w:tcW w:type="dxa" w:w="950"/>
          </w:tcPr>
          <w:p>
            <w:pPr>
              <w:spacing w:after="20"/>
              <w:jc w:val="right"/>
            </w:pPr>
            <w:r>
              <w:rPr>
                <w:color w:val="1C3A36"/>
                <w:sz w:val="16"/>
              </w:rPr>
              <w:t>12.65</w:t>
            </w:r>
          </w:p>
        </w:tc>
        <w:tc>
          <w:tcPr>
            <w:tcW w:type="dxa" w:w="950"/>
          </w:tcPr>
          <w:p>
            <w:pPr>
              <w:spacing w:after="20"/>
              <w:jc w:val="right"/>
            </w:pPr>
            <w:r>
              <w:rPr>
                <w:color w:val="1C3A36"/>
                <w:sz w:val="16"/>
              </w:rPr>
              <w:t>13.90</w:t>
            </w:r>
          </w:p>
        </w:tc>
        <w:tc>
          <w:tcPr>
            <w:tcW w:type="dxa" w:w="950"/>
          </w:tcPr>
          <w:p>
            <w:pPr>
              <w:spacing w:after="20"/>
              <w:jc w:val="right"/>
            </w:pPr>
            <w:r>
              <w:rPr>
                <w:color w:val="1C3A36"/>
                <w:sz w:val="16"/>
              </w:rPr>
              <w:t>15.26</w:t>
            </w:r>
          </w:p>
        </w:tc>
        <w:tc>
          <w:tcPr>
            <w:tcW w:type="dxa" w:w="950"/>
          </w:tcPr>
          <w:p>
            <w:pPr>
              <w:spacing w:after="20"/>
              <w:jc w:val="right"/>
            </w:pPr>
            <w:r>
              <w:rPr>
                <w:color w:val="1C3A36"/>
                <w:sz w:val="16"/>
              </w:rPr>
              <w:t>16.73</w:t>
            </w:r>
          </w:p>
        </w:tc>
        <w:tc>
          <w:tcPr>
            <w:tcW w:type="dxa" w:w="950"/>
          </w:tcPr>
          <w:p>
            <w:pPr>
              <w:spacing w:after="20"/>
              <w:jc w:val="right"/>
            </w:pPr>
            <w:r>
              <w:rPr>
                <w:color w:val="1C3A36"/>
                <w:sz w:val="16"/>
              </w:rPr>
              <w:t>18.32</w:t>
            </w:r>
          </w:p>
        </w:tc>
      </w:tr>
      <w:tr>
        <w:tc>
          <w:tcPr>
            <w:tcW w:type="dxa" w:w="3024"/>
          </w:tcPr>
          <w:p>
            <w:pPr>
              <w:spacing w:after="20"/>
            </w:pPr>
            <w:r>
              <w:rPr>
                <w:color w:val="1C3A36"/>
                <w:sz w:val="16"/>
              </w:rPr>
              <w:t>CET1 (common/RWA @75% density)</w:t>
            </w:r>
          </w:p>
        </w:tc>
        <w:tc>
          <w:tcPr>
            <w:tcW w:type="dxa" w:w="950"/>
          </w:tcPr>
          <w:p>
            <w:pPr>
              <w:spacing w:after="20"/>
              <w:jc w:val="right"/>
            </w:pPr>
            <w:r>
              <w:rPr>
                <w:color w:val="1C3A36"/>
                <w:sz w:val="16"/>
              </w:rPr>
              <w:t>15.8%</w:t>
            </w:r>
          </w:p>
        </w:tc>
        <w:tc>
          <w:tcPr>
            <w:tcW w:type="dxa" w:w="950"/>
          </w:tcPr>
          <w:p>
            <w:pPr>
              <w:spacing w:after="20"/>
              <w:jc w:val="right"/>
            </w:pPr>
            <w:r>
              <w:rPr>
                <w:color w:val="1C3A36"/>
                <w:sz w:val="16"/>
              </w:rPr>
              <w:t>15.7%</w:t>
            </w:r>
          </w:p>
        </w:tc>
        <w:tc>
          <w:tcPr>
            <w:tcW w:type="dxa" w:w="950"/>
          </w:tcPr>
          <w:p>
            <w:pPr>
              <w:spacing w:after="20"/>
              <w:jc w:val="right"/>
            </w:pPr>
            <w:r>
              <w:rPr>
                <w:color w:val="1C3A36"/>
                <w:sz w:val="16"/>
              </w:rPr>
              <w:t>14.8%</w:t>
            </w:r>
          </w:p>
        </w:tc>
        <w:tc>
          <w:tcPr>
            <w:tcW w:type="dxa" w:w="950"/>
          </w:tcPr>
          <w:p>
            <w:pPr>
              <w:spacing w:after="20"/>
              <w:jc w:val="right"/>
            </w:pPr>
            <w:r>
              <w:rPr>
                <w:color w:val="1C3A36"/>
                <w:sz w:val="16"/>
              </w:rPr>
              <w:t>14.6%</w:t>
            </w:r>
          </w:p>
        </w:tc>
        <w:tc>
          <w:tcPr>
            <w:tcW w:type="dxa" w:w="950"/>
          </w:tcPr>
          <w:p>
            <w:pPr>
              <w:spacing w:after="20"/>
              <w:jc w:val="right"/>
            </w:pPr>
            <w:r>
              <w:rPr>
                <w:color w:val="1C3A36"/>
                <w:sz w:val="16"/>
              </w:rPr>
              <w:t>14.4%</w:t>
            </w:r>
          </w:p>
        </w:tc>
        <w:tc>
          <w:tcPr>
            <w:tcW w:type="dxa" w:w="950"/>
          </w:tcPr>
          <w:p>
            <w:pPr>
              <w:spacing w:after="20"/>
              <w:jc w:val="right"/>
            </w:pPr>
            <w:r>
              <w:rPr>
                <w:color w:val="1C3A36"/>
                <w:sz w:val="16"/>
              </w:rPr>
              <w:t>14.5%</w:t>
            </w:r>
          </w:p>
        </w:tc>
        <w:tc>
          <w:tcPr>
            <w:tcW w:type="dxa" w:w="950"/>
          </w:tcPr>
          <w:p>
            <w:pPr>
              <w:spacing w:after="20"/>
              <w:jc w:val="right"/>
            </w:pPr>
            <w:r>
              <w:rPr>
                <w:color w:val="1C3A36"/>
                <w:sz w:val="16"/>
              </w:rPr>
              <w:t>14.7%</w:t>
            </w:r>
          </w:p>
        </w:tc>
        <w:tc>
          <w:tcPr>
            <w:tcW w:type="dxa" w:w="950"/>
          </w:tcPr>
          <w:p>
            <w:pPr>
              <w:spacing w:after="20"/>
              <w:jc w:val="right"/>
            </w:pPr>
            <w:r>
              <w:rPr>
                <w:color w:val="1C3A36"/>
                <w:sz w:val="16"/>
              </w:rPr>
              <w:t>15.1%</w:t>
            </w:r>
          </w:p>
        </w:tc>
      </w:tr>
    </w:tbl>
    <w:p>
      <w:pPr>
        <w:spacing w:after="40"/>
      </w:pPr>
    </w:p>
    <w:p>
      <w:pPr>
        <w:spacing w:after="200" w:before="0"/>
      </w:pPr>
      <w:r>
        <w:rPr>
          <w:b w:val="0"/>
          <w:i/>
          <w:color w:val="6E7B77"/>
          <w:sz w:val="17"/>
        </w:rPr>
        <w:t>* Derived, not read off a statement: FY23 financing/assets/equity from disclosed growth rates; the common/T1 split from the three known Tier-1 issuances — flagged to FS note 11. Assets/deposits FY26e+ scale at 0.90×/0.85× of financing growth.</w:t>
      </w:r>
    </w:p>
    <w:p>
      <w:pPr>
        <w:spacing w:after="80" w:before="200"/>
      </w:pPr>
      <w:r>
        <w:rPr>
          <w:b/>
          <w:i w:val="0"/>
          <w:color w:val="1C3A36"/>
          <w:sz w:val="24"/>
        </w:rPr>
        <w:t>A.3  Cash flow — sources &amp; uses of equity capital (SAR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120"/>
        <w:gridCol w:w="1120"/>
        <w:gridCol w:w="1120"/>
        <w:gridCol w:w="1120"/>
        <w:gridCol w:w="1120"/>
        <w:gridCol w:w="1120"/>
        <w:gridCol w:w="1120"/>
        <w:gridCol w:w="1120"/>
        <w:gridCol w:w="1120"/>
      </w:tblGrid>
      <w:tr>
        <w:tc>
          <w:tcPr>
            <w:tcW w:type="dxa" w:w="3024"/>
            <w:shd w:val="clear" w:color="auto" w:fill="EAF0EE"/>
          </w:tcPr>
          <w:p>
            <w:pPr>
              <w:spacing w:after="20"/>
            </w:pPr>
            <w:r>
              <w:rPr>
                <w:b/>
                <w:color w:val="1C3A36"/>
                <w:sz w:val="16"/>
              </w:rPr>
              <w:t>Equity capital walk</w:t>
            </w:r>
          </w:p>
        </w:tc>
        <w:tc>
          <w:tcPr>
            <w:tcW w:type="dxa" w:w="950"/>
            <w:shd w:val="clear" w:color="auto" w:fill="EAF0EE"/>
          </w:tcPr>
          <w:p>
            <w:pPr>
              <w:spacing w:after="20"/>
            </w:pPr>
            <w:r>
              <w:rPr>
                <w:b/>
                <w:color w:val="1C3A36"/>
                <w:sz w:val="16"/>
              </w:rPr>
              <w:t>FY23</w:t>
            </w:r>
          </w:p>
        </w:tc>
        <w:tc>
          <w:tcPr>
            <w:tcW w:type="dxa" w:w="950"/>
            <w:shd w:val="clear" w:color="auto" w:fill="EAF0EE"/>
          </w:tcPr>
          <w:p>
            <w:pPr>
              <w:spacing w:after="20"/>
            </w:pPr>
            <w:r>
              <w:rPr>
                <w:b/>
                <w:color w:val="1C3A36"/>
                <w:sz w:val="16"/>
              </w:rPr>
              <w:t>FY24</w:t>
            </w:r>
          </w:p>
        </w:tc>
        <w:tc>
          <w:tcPr>
            <w:tcW w:type="dxa" w:w="950"/>
            <w:shd w:val="clear" w:color="auto" w:fill="EAF0EE"/>
          </w:tcPr>
          <w:p>
            <w:pPr>
              <w:spacing w:after="20"/>
            </w:pPr>
            <w:r>
              <w:rPr>
                <w:b/>
                <w:color w:val="1C3A36"/>
                <w:sz w:val="16"/>
              </w:rPr>
              <w:t>FY25</w:t>
            </w:r>
          </w:p>
        </w:tc>
        <w:tc>
          <w:tcPr>
            <w:tcW w:type="dxa" w:w="950"/>
            <w:shd w:val="clear" w:color="auto" w:fill="EAF0EE"/>
          </w:tcPr>
          <w:p>
            <w:pPr>
              <w:spacing w:after="20"/>
            </w:pPr>
            <w:r>
              <w:rPr>
                <w:b/>
                <w:color w:val="1C3A36"/>
                <w:sz w:val="16"/>
              </w:rPr>
              <w:t>FY26e</w:t>
            </w:r>
          </w:p>
        </w:tc>
        <w:tc>
          <w:tcPr>
            <w:tcW w:type="dxa" w:w="950"/>
            <w:shd w:val="clear" w:color="auto" w:fill="EAF0EE"/>
          </w:tcPr>
          <w:p>
            <w:pPr>
              <w:spacing w:after="20"/>
            </w:pPr>
            <w:r>
              <w:rPr>
                <w:b/>
                <w:color w:val="1C3A36"/>
                <w:sz w:val="16"/>
              </w:rPr>
              <w:t>FY27e</w:t>
            </w:r>
          </w:p>
        </w:tc>
        <w:tc>
          <w:tcPr>
            <w:tcW w:type="dxa" w:w="950"/>
            <w:shd w:val="clear" w:color="auto" w:fill="EAF0EE"/>
          </w:tcPr>
          <w:p>
            <w:pPr>
              <w:spacing w:after="20"/>
            </w:pPr>
            <w:r>
              <w:rPr>
                <w:b/>
                <w:color w:val="1C3A36"/>
                <w:sz w:val="16"/>
              </w:rPr>
              <w:t>FY28e</w:t>
            </w:r>
          </w:p>
        </w:tc>
        <w:tc>
          <w:tcPr>
            <w:tcW w:type="dxa" w:w="950"/>
            <w:shd w:val="clear" w:color="auto" w:fill="EAF0EE"/>
          </w:tcPr>
          <w:p>
            <w:pPr>
              <w:spacing w:after="20"/>
            </w:pPr>
            <w:r>
              <w:rPr>
                <w:b/>
                <w:color w:val="1C3A36"/>
                <w:sz w:val="16"/>
              </w:rPr>
              <w:t>FY29e</w:t>
            </w:r>
          </w:p>
        </w:tc>
        <w:tc>
          <w:tcPr>
            <w:tcW w:type="dxa" w:w="950"/>
            <w:shd w:val="clear" w:color="auto" w:fill="EAF0EE"/>
          </w:tcPr>
          <w:p>
            <w:pPr>
              <w:spacing w:after="20"/>
            </w:pPr>
            <w:r>
              <w:rPr>
                <w:b/>
                <w:color w:val="1C3A36"/>
                <w:sz w:val="16"/>
              </w:rPr>
              <w:t>FY30e</w:t>
            </w:r>
          </w:p>
        </w:tc>
      </w:tr>
      <w:tr>
        <w:tc>
          <w:tcPr>
            <w:tcW w:type="dxa" w:w="3024"/>
          </w:tcPr>
          <w:p>
            <w:pPr>
              <w:spacing w:after="20"/>
            </w:pPr>
            <w:r>
              <w:rPr>
                <w:color w:val="1C3A36"/>
                <w:sz w:val="16"/>
              </w:rPr>
              <w:t>Opening common equity</w:t>
            </w:r>
          </w:p>
        </w:tc>
        <w:tc>
          <w:tcPr>
            <w:tcW w:type="dxa" w:w="950"/>
          </w:tcPr>
          <w:p>
            <w:pPr>
              <w:spacing w:after="20"/>
              <w:jc w:val="right"/>
            </w:pPr>
            <w:r>
              <w:rPr>
                <w:color w:val="1C3A36"/>
                <w:sz w:val="16"/>
              </w:rPr>
              <w:t>26,210</w:t>
            </w:r>
          </w:p>
        </w:tc>
        <w:tc>
          <w:tcPr>
            <w:tcW w:type="dxa" w:w="950"/>
          </w:tcPr>
          <w:p>
            <w:pPr>
              <w:spacing w:after="20"/>
              <w:jc w:val="right"/>
            </w:pPr>
            <w:r>
              <w:rPr>
                <w:color w:val="1C3A36"/>
                <w:sz w:val="16"/>
              </w:rPr>
              <w:t>27,950</w:t>
            </w:r>
          </w:p>
        </w:tc>
        <w:tc>
          <w:tcPr>
            <w:tcW w:type="dxa" w:w="950"/>
          </w:tcPr>
          <w:p>
            <w:pPr>
              <w:spacing w:after="20"/>
              <w:jc w:val="right"/>
            </w:pPr>
            <w:r>
              <w:rPr>
                <w:color w:val="1C3A36"/>
                <w:sz w:val="16"/>
              </w:rPr>
              <w:t>32,690</w:t>
            </w:r>
          </w:p>
        </w:tc>
        <w:tc>
          <w:tcPr>
            <w:tcW w:type="dxa" w:w="950"/>
          </w:tcPr>
          <w:p>
            <w:pPr>
              <w:spacing w:after="20"/>
              <w:jc w:val="right"/>
            </w:pPr>
            <w:r>
              <w:rPr>
                <w:color w:val="1C3A36"/>
                <w:sz w:val="16"/>
              </w:rPr>
              <w:t>34,491</w:t>
            </w:r>
          </w:p>
        </w:tc>
        <w:tc>
          <w:tcPr>
            <w:tcW w:type="dxa" w:w="950"/>
          </w:tcPr>
          <w:p>
            <w:pPr>
              <w:spacing w:after="20"/>
              <w:jc w:val="right"/>
            </w:pPr>
            <w:r>
              <w:rPr>
                <w:color w:val="1C3A36"/>
                <w:sz w:val="16"/>
              </w:rPr>
              <w:t>37,962</w:t>
            </w:r>
          </w:p>
        </w:tc>
        <w:tc>
          <w:tcPr>
            <w:tcW w:type="dxa" w:w="950"/>
          </w:tcPr>
          <w:p>
            <w:pPr>
              <w:spacing w:after="20"/>
              <w:jc w:val="right"/>
            </w:pPr>
            <w:r>
              <w:rPr>
                <w:color w:val="1C3A36"/>
                <w:sz w:val="16"/>
              </w:rPr>
              <w:t>41,711</w:t>
            </w:r>
          </w:p>
        </w:tc>
        <w:tc>
          <w:tcPr>
            <w:tcW w:type="dxa" w:w="950"/>
          </w:tcPr>
          <w:p>
            <w:pPr>
              <w:spacing w:after="20"/>
              <w:jc w:val="right"/>
            </w:pPr>
            <w:r>
              <w:rPr>
                <w:color w:val="1C3A36"/>
                <w:sz w:val="16"/>
              </w:rPr>
              <w:t>45,780</w:t>
            </w:r>
          </w:p>
        </w:tc>
        <w:tc>
          <w:tcPr>
            <w:tcW w:type="dxa" w:w="950"/>
          </w:tcPr>
          <w:p>
            <w:pPr>
              <w:spacing w:after="20"/>
              <w:jc w:val="right"/>
            </w:pPr>
            <w:r>
              <w:rPr>
                <w:color w:val="1C3A36"/>
                <w:sz w:val="16"/>
              </w:rPr>
              <w:t>50,179</w:t>
            </w:r>
          </w:p>
        </w:tc>
      </w:tr>
      <w:tr>
        <w:tc>
          <w:tcPr>
            <w:tcW w:type="dxa" w:w="3024"/>
          </w:tcPr>
          <w:p>
            <w:pPr>
              <w:spacing w:after="20"/>
            </w:pPr>
            <w:r>
              <w:rPr>
                <w:color w:val="1C3A36"/>
                <w:sz w:val="16"/>
              </w:rPr>
              <w:t>+ NI attributable</w:t>
            </w:r>
          </w:p>
        </w:tc>
        <w:tc>
          <w:tcPr>
            <w:tcW w:type="dxa" w:w="950"/>
          </w:tcPr>
          <w:p>
            <w:pPr>
              <w:spacing w:after="20"/>
              <w:jc w:val="right"/>
            </w:pPr>
            <w:r>
              <w:rPr>
                <w:color w:val="1C3A36"/>
                <w:sz w:val="16"/>
              </w:rPr>
              <w:t>4,489</w:t>
            </w:r>
          </w:p>
        </w:tc>
        <w:tc>
          <w:tcPr>
            <w:tcW w:type="dxa" w:w="950"/>
          </w:tcPr>
          <w:p>
            <w:pPr>
              <w:spacing w:after="20"/>
              <w:jc w:val="right"/>
            </w:pPr>
            <w:r>
              <w:rPr>
                <w:color w:val="1C3A36"/>
                <w:sz w:val="16"/>
              </w:rPr>
              <w:t>5,402</w:t>
            </w:r>
          </w:p>
        </w:tc>
        <w:tc>
          <w:tcPr>
            <w:tcW w:type="dxa" w:w="950"/>
          </w:tcPr>
          <w:p>
            <w:pPr>
              <w:spacing w:after="20"/>
              <w:jc w:val="right"/>
            </w:pPr>
            <w:r>
              <w:rPr>
                <w:color w:val="1C3A36"/>
                <w:sz w:val="16"/>
              </w:rPr>
              <w:t>5,894</w:t>
            </w:r>
          </w:p>
        </w:tc>
        <w:tc>
          <w:tcPr>
            <w:tcW w:type="dxa" w:w="950"/>
          </w:tcPr>
          <w:p>
            <w:pPr>
              <w:spacing w:after="20"/>
              <w:jc w:val="right"/>
            </w:pPr>
            <w:r>
              <w:rPr>
                <w:color w:val="1C3A36"/>
                <w:sz w:val="16"/>
              </w:rPr>
              <w:t>6,531</w:t>
            </w:r>
          </w:p>
        </w:tc>
        <w:tc>
          <w:tcPr>
            <w:tcW w:type="dxa" w:w="950"/>
          </w:tcPr>
          <w:p>
            <w:pPr>
              <w:spacing w:after="20"/>
              <w:jc w:val="right"/>
            </w:pPr>
            <w:r>
              <w:rPr>
                <w:color w:val="1C3A36"/>
                <w:sz w:val="16"/>
              </w:rPr>
              <w:t>7,228</w:t>
            </w:r>
          </w:p>
        </w:tc>
        <w:tc>
          <w:tcPr>
            <w:tcW w:type="dxa" w:w="950"/>
          </w:tcPr>
          <w:p>
            <w:pPr>
              <w:spacing w:after="20"/>
              <w:jc w:val="right"/>
            </w:pPr>
            <w:r>
              <w:rPr>
                <w:color w:val="1C3A36"/>
                <w:sz w:val="16"/>
              </w:rPr>
              <w:t>7,999</w:t>
            </w:r>
          </w:p>
        </w:tc>
        <w:tc>
          <w:tcPr>
            <w:tcW w:type="dxa" w:w="950"/>
          </w:tcPr>
          <w:p>
            <w:pPr>
              <w:spacing w:after="20"/>
              <w:jc w:val="right"/>
            </w:pPr>
            <w:r>
              <w:rPr>
                <w:color w:val="1C3A36"/>
                <w:sz w:val="16"/>
              </w:rPr>
              <w:t>8,780</w:t>
            </w:r>
          </w:p>
        </w:tc>
        <w:tc>
          <w:tcPr>
            <w:tcW w:type="dxa" w:w="950"/>
          </w:tcPr>
          <w:p>
            <w:pPr>
              <w:spacing w:after="20"/>
              <w:jc w:val="right"/>
            </w:pPr>
            <w:r>
              <w:rPr>
                <w:color w:val="1C3A36"/>
                <w:sz w:val="16"/>
              </w:rPr>
              <w:t>9,565</w:t>
            </w:r>
          </w:p>
        </w:tc>
      </w:tr>
      <w:tr>
        <w:tc>
          <w:tcPr>
            <w:tcW w:type="dxa" w:w="3024"/>
          </w:tcPr>
          <w:p>
            <w:pPr>
              <w:spacing w:after="20"/>
            </w:pPr>
            <w:r>
              <w:rPr>
                <w:color w:val="1C3A36"/>
                <w:sz w:val="16"/>
              </w:rPr>
              <w:t>− Dividends</w:t>
            </w:r>
          </w:p>
        </w:tc>
        <w:tc>
          <w:tcPr>
            <w:tcW w:type="dxa" w:w="950"/>
          </w:tcPr>
          <w:p>
            <w:pPr>
              <w:spacing w:after="20"/>
              <w:jc w:val="right"/>
            </w:pPr>
            <w:r>
              <w:rPr>
                <w:color w:val="1C3A36"/>
                <w:sz w:val="16"/>
              </w:rPr>
              <w:t>2,500</w:t>
            </w:r>
          </w:p>
        </w:tc>
        <w:tc>
          <w:tcPr>
            <w:tcW w:type="dxa" w:w="950"/>
          </w:tcPr>
          <w:p>
            <w:pPr>
              <w:spacing w:after="20"/>
              <w:jc w:val="right"/>
            </w:pPr>
            <w:r>
              <w:rPr>
                <w:color w:val="1C3A36"/>
                <w:sz w:val="16"/>
              </w:rPr>
              <w:t>2,750</w:t>
            </w:r>
          </w:p>
        </w:tc>
        <w:tc>
          <w:tcPr>
            <w:tcW w:type="dxa" w:w="950"/>
          </w:tcPr>
          <w:p>
            <w:pPr>
              <w:spacing w:after="20"/>
              <w:jc w:val="right"/>
            </w:pPr>
            <w:r>
              <w:rPr>
                <w:color w:val="1C3A36"/>
                <w:sz w:val="16"/>
              </w:rPr>
              <w:t>3,000</w:t>
            </w:r>
          </w:p>
        </w:tc>
        <w:tc>
          <w:tcPr>
            <w:tcW w:type="dxa" w:w="950"/>
          </w:tcPr>
          <w:p>
            <w:pPr>
              <w:spacing w:after="20"/>
              <w:jc w:val="right"/>
            </w:pPr>
            <w:r>
              <w:rPr>
                <w:color w:val="1C3A36"/>
                <w:sz w:val="16"/>
              </w:rPr>
              <w:t>3,060</w:t>
            </w:r>
          </w:p>
        </w:tc>
        <w:tc>
          <w:tcPr>
            <w:tcW w:type="dxa" w:w="950"/>
          </w:tcPr>
          <w:p>
            <w:pPr>
              <w:spacing w:after="20"/>
              <w:jc w:val="right"/>
            </w:pPr>
            <w:r>
              <w:rPr>
                <w:color w:val="1C3A36"/>
                <w:sz w:val="16"/>
              </w:rPr>
              <w:t>3,480</w:t>
            </w:r>
          </w:p>
        </w:tc>
        <w:tc>
          <w:tcPr>
            <w:tcW w:type="dxa" w:w="950"/>
          </w:tcPr>
          <w:p>
            <w:pPr>
              <w:spacing w:after="20"/>
              <w:jc w:val="right"/>
            </w:pPr>
            <w:r>
              <w:rPr>
                <w:color w:val="1C3A36"/>
                <w:sz w:val="16"/>
              </w:rPr>
              <w:t>3,930</w:t>
            </w:r>
          </w:p>
        </w:tc>
        <w:tc>
          <w:tcPr>
            <w:tcW w:type="dxa" w:w="950"/>
          </w:tcPr>
          <w:p>
            <w:pPr>
              <w:spacing w:after="20"/>
              <w:jc w:val="right"/>
            </w:pPr>
            <w:r>
              <w:rPr>
                <w:color w:val="1C3A36"/>
                <w:sz w:val="16"/>
              </w:rPr>
              <w:t>4,380</w:t>
            </w:r>
          </w:p>
        </w:tc>
        <w:tc>
          <w:tcPr>
            <w:tcW w:type="dxa" w:w="950"/>
          </w:tcPr>
          <w:p>
            <w:pPr>
              <w:spacing w:after="20"/>
              <w:jc w:val="right"/>
            </w:pPr>
            <w:r>
              <w:rPr>
                <w:color w:val="1C3A36"/>
                <w:sz w:val="16"/>
              </w:rPr>
              <w:t>4,770</w:t>
            </w:r>
          </w:p>
        </w:tc>
      </w:tr>
      <w:tr>
        <w:tc>
          <w:tcPr>
            <w:tcW w:type="dxa" w:w="3024"/>
          </w:tcPr>
          <w:p>
            <w:pPr>
              <w:spacing w:after="20"/>
            </w:pPr>
            <w:r>
              <w:rPr>
                <w:color w:val="1C3A36"/>
                <w:sz w:val="16"/>
              </w:rPr>
              <w:t>± OCI / treasury / other</w:t>
            </w:r>
          </w:p>
        </w:tc>
        <w:tc>
          <w:tcPr>
            <w:tcW w:type="dxa" w:w="950"/>
          </w:tcPr>
          <w:p>
            <w:pPr>
              <w:spacing w:after="20"/>
              <w:jc w:val="right"/>
            </w:pPr>
            <w:r>
              <w:rPr>
                <w:color w:val="1C3A36"/>
                <w:sz w:val="16"/>
              </w:rPr>
              <w:t>−249</w:t>
            </w:r>
          </w:p>
        </w:tc>
        <w:tc>
          <w:tcPr>
            <w:tcW w:type="dxa" w:w="950"/>
          </w:tcPr>
          <w:p>
            <w:pPr>
              <w:spacing w:after="20"/>
              <w:jc w:val="right"/>
            </w:pPr>
            <w:r>
              <w:rPr>
                <w:color w:val="1C3A36"/>
                <w:sz w:val="16"/>
              </w:rPr>
              <w:t>2,088</w:t>
            </w:r>
          </w:p>
        </w:tc>
        <w:tc>
          <w:tcPr>
            <w:tcW w:type="dxa" w:w="950"/>
          </w:tcPr>
          <w:p>
            <w:pPr>
              <w:spacing w:after="20"/>
              <w:jc w:val="right"/>
            </w:pPr>
            <w:r>
              <w:rPr>
                <w:color w:val="1C3A36"/>
                <w:sz w:val="16"/>
              </w:rPr>
              <w:t>−1,093</w:t>
            </w:r>
          </w:p>
        </w:tc>
        <w:tc>
          <w:tcPr>
            <w:tcW w:type="dxa" w:w="950"/>
          </w:tcPr>
          <w:p>
            <w:pPr>
              <w:spacing w:after="20"/>
              <w:jc w:val="right"/>
            </w:pPr>
            <w:r>
              <w:rPr>
                <w:color w:val="1C3A36"/>
                <w:sz w:val="16"/>
              </w:rPr>
              <w:t>0</w:t>
            </w:r>
          </w:p>
        </w:tc>
        <w:tc>
          <w:tcPr>
            <w:tcW w:type="dxa" w:w="950"/>
          </w:tcPr>
          <w:p>
            <w:pPr>
              <w:spacing w:after="20"/>
              <w:jc w:val="right"/>
            </w:pPr>
            <w:r>
              <w:rPr>
                <w:color w:val="1C3A36"/>
                <w:sz w:val="16"/>
              </w:rPr>
              <w:t>0</w:t>
            </w:r>
          </w:p>
        </w:tc>
        <w:tc>
          <w:tcPr>
            <w:tcW w:type="dxa" w:w="950"/>
          </w:tcPr>
          <w:p>
            <w:pPr>
              <w:spacing w:after="20"/>
              <w:jc w:val="right"/>
            </w:pPr>
            <w:r>
              <w:rPr>
                <w:color w:val="1C3A36"/>
                <w:sz w:val="16"/>
              </w:rPr>
              <w:t>0</w:t>
            </w:r>
          </w:p>
        </w:tc>
        <w:tc>
          <w:tcPr>
            <w:tcW w:type="dxa" w:w="950"/>
          </w:tcPr>
          <w:p>
            <w:pPr>
              <w:spacing w:after="20"/>
              <w:jc w:val="right"/>
            </w:pPr>
            <w:r>
              <w:rPr>
                <w:color w:val="1C3A36"/>
                <w:sz w:val="16"/>
              </w:rPr>
              <w:t>0</w:t>
            </w:r>
          </w:p>
        </w:tc>
        <w:tc>
          <w:tcPr>
            <w:tcW w:type="dxa" w:w="950"/>
          </w:tcPr>
          <w:p>
            <w:pPr>
              <w:spacing w:after="20"/>
              <w:jc w:val="right"/>
            </w:pPr>
            <w:r>
              <w:rPr>
                <w:color w:val="1C3A36"/>
                <w:sz w:val="16"/>
              </w:rPr>
              <w:t>0</w:t>
            </w:r>
          </w:p>
        </w:tc>
      </w:tr>
      <w:tr>
        <w:tc>
          <w:tcPr>
            <w:tcW w:type="dxa" w:w="3024"/>
          </w:tcPr>
          <w:p>
            <w:pPr>
              <w:spacing w:after="20"/>
            </w:pPr>
            <w:r>
              <w:rPr>
                <w:color w:val="1C3A36"/>
                <w:sz w:val="16"/>
              </w:rPr>
              <w:t>Closing common equity</w:t>
            </w:r>
          </w:p>
        </w:tc>
        <w:tc>
          <w:tcPr>
            <w:tcW w:type="dxa" w:w="950"/>
          </w:tcPr>
          <w:p>
            <w:pPr>
              <w:spacing w:after="20"/>
              <w:jc w:val="right"/>
            </w:pPr>
            <w:r>
              <w:rPr>
                <w:color w:val="1C3A36"/>
                <w:sz w:val="16"/>
              </w:rPr>
              <w:t>27,950</w:t>
            </w:r>
          </w:p>
        </w:tc>
        <w:tc>
          <w:tcPr>
            <w:tcW w:type="dxa" w:w="950"/>
          </w:tcPr>
          <w:p>
            <w:pPr>
              <w:spacing w:after="20"/>
              <w:jc w:val="right"/>
            </w:pPr>
            <w:r>
              <w:rPr>
                <w:color w:val="1C3A36"/>
                <w:sz w:val="16"/>
              </w:rPr>
              <w:t>32,690</w:t>
            </w:r>
          </w:p>
        </w:tc>
        <w:tc>
          <w:tcPr>
            <w:tcW w:type="dxa" w:w="950"/>
          </w:tcPr>
          <w:p>
            <w:pPr>
              <w:spacing w:after="20"/>
              <w:jc w:val="right"/>
            </w:pPr>
            <w:r>
              <w:rPr>
                <w:color w:val="1C3A36"/>
                <w:sz w:val="16"/>
              </w:rPr>
              <w:t>34,491</w:t>
            </w:r>
          </w:p>
        </w:tc>
        <w:tc>
          <w:tcPr>
            <w:tcW w:type="dxa" w:w="950"/>
          </w:tcPr>
          <w:p>
            <w:pPr>
              <w:spacing w:after="20"/>
              <w:jc w:val="right"/>
            </w:pPr>
            <w:r>
              <w:rPr>
                <w:color w:val="1C3A36"/>
                <w:sz w:val="16"/>
              </w:rPr>
              <w:t>37,962</w:t>
            </w:r>
          </w:p>
        </w:tc>
        <w:tc>
          <w:tcPr>
            <w:tcW w:type="dxa" w:w="950"/>
          </w:tcPr>
          <w:p>
            <w:pPr>
              <w:spacing w:after="20"/>
              <w:jc w:val="right"/>
            </w:pPr>
            <w:r>
              <w:rPr>
                <w:color w:val="1C3A36"/>
                <w:sz w:val="16"/>
              </w:rPr>
              <w:t>41,711</w:t>
            </w:r>
          </w:p>
        </w:tc>
        <w:tc>
          <w:tcPr>
            <w:tcW w:type="dxa" w:w="950"/>
          </w:tcPr>
          <w:p>
            <w:pPr>
              <w:spacing w:after="20"/>
              <w:jc w:val="right"/>
            </w:pPr>
            <w:r>
              <w:rPr>
                <w:color w:val="1C3A36"/>
                <w:sz w:val="16"/>
              </w:rPr>
              <w:t>45,780</w:t>
            </w:r>
          </w:p>
        </w:tc>
        <w:tc>
          <w:tcPr>
            <w:tcW w:type="dxa" w:w="950"/>
          </w:tcPr>
          <w:p>
            <w:pPr>
              <w:spacing w:after="20"/>
              <w:jc w:val="right"/>
            </w:pPr>
            <w:r>
              <w:rPr>
                <w:color w:val="1C3A36"/>
                <w:sz w:val="16"/>
              </w:rPr>
              <w:t>50,179</w:t>
            </w:r>
          </w:p>
        </w:tc>
        <w:tc>
          <w:tcPr>
            <w:tcW w:type="dxa" w:w="950"/>
          </w:tcPr>
          <w:p>
            <w:pPr>
              <w:spacing w:after="20"/>
              <w:jc w:val="right"/>
            </w:pPr>
            <w:r>
              <w:rPr>
                <w:color w:val="1C3A36"/>
                <w:sz w:val="16"/>
              </w:rPr>
              <w:t>54,974</w:t>
            </w:r>
          </w:p>
        </w:tc>
      </w:tr>
    </w:tbl>
    <w:p>
      <w:pPr>
        <w:spacing w:after="40"/>
      </w:pPr>
    </w:p>
    <w:p>
      <w:pPr>
        <w:spacing w:after="120" w:before="280"/>
      </w:pPr>
      <w:r>
        <w:rPr>
          <w:b/>
          <w:i w:val="0"/>
          <w:color w:val="1C3A36"/>
          <w:sz w:val="30"/>
        </w:rPr>
        <w:t>Appendix B  Peer set, sector structure, and risks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2736"/>
            <w:shd w:val="clear" w:color="auto" w:fill="EAF0EE"/>
          </w:tcPr>
          <w:p>
            <w:pPr>
              <w:spacing w:after="20"/>
            </w:pPr>
            <w:r>
              <w:rPr>
                <w:b/>
                <w:color w:val="1C3A36"/>
                <w:sz w:val="17"/>
              </w:rPr>
              <w:t>Bank</w:t>
            </w:r>
          </w:p>
        </w:tc>
        <w:tc>
          <w:tcPr>
            <w:tcW w:type="dxa" w:w="1080"/>
            <w:shd w:val="clear" w:color="auto" w:fill="EAF0EE"/>
          </w:tcPr>
          <w:p>
            <w:pPr>
              <w:spacing w:after="20"/>
            </w:pPr>
            <w:r>
              <w:rPr>
                <w:b/>
                <w:color w:val="1C3A36"/>
                <w:sz w:val="17"/>
              </w:rPr>
              <w:t>P/B</w:t>
            </w:r>
          </w:p>
        </w:tc>
        <w:tc>
          <w:tcPr>
            <w:tcW w:type="dxa" w:w="1080"/>
            <w:shd w:val="clear" w:color="auto" w:fill="EAF0EE"/>
          </w:tcPr>
          <w:p>
            <w:pPr>
              <w:spacing w:after="20"/>
            </w:pPr>
            <w:r>
              <w:rPr>
                <w:b/>
                <w:color w:val="1C3A36"/>
                <w:sz w:val="17"/>
              </w:rPr>
              <w:t>P/E</w:t>
            </w:r>
          </w:p>
        </w:tc>
        <w:tc>
          <w:tcPr>
            <w:tcW w:type="dxa" w:w="1224"/>
            <w:shd w:val="clear" w:color="auto" w:fill="EAF0EE"/>
          </w:tcPr>
          <w:p>
            <w:pPr>
              <w:spacing w:after="20"/>
            </w:pPr>
            <w:r>
              <w:rPr>
                <w:b/>
                <w:color w:val="1C3A36"/>
                <w:sz w:val="17"/>
              </w:rPr>
              <w:t>ROE</w:t>
            </w:r>
          </w:p>
        </w:tc>
        <w:tc>
          <w:tcPr>
            <w:tcW w:type="dxa" w:w="4176"/>
            <w:shd w:val="clear" w:color="auto" w:fill="EAF0EE"/>
          </w:tcPr>
          <w:p>
            <w:pPr>
              <w:spacing w:after="20"/>
            </w:pPr>
            <w:r>
              <w:rPr>
                <w:b/>
                <w:color w:val="1C3A36"/>
                <w:sz w:val="17"/>
              </w:rPr>
              <w:t>Note</w:t>
            </w:r>
          </w:p>
        </w:tc>
      </w:tr>
      <w:tr>
        <w:tc>
          <w:tcPr>
            <w:tcW w:type="dxa" w:w="2736"/>
          </w:tcPr>
          <w:p>
            <w:pPr>
              <w:spacing w:after="20"/>
            </w:pPr>
            <w:r>
              <w:rPr>
                <w:color w:val="1C3A36"/>
                <w:sz w:val="17"/>
              </w:rPr>
              <w:t>Al Rajhi</w:t>
            </w:r>
          </w:p>
        </w:tc>
        <w:tc>
          <w:tcPr>
            <w:tcW w:type="dxa" w:w="1080"/>
          </w:tcPr>
          <w:p>
            <w:pPr>
              <w:spacing w:after="20"/>
              <w:jc w:val="right"/>
            </w:pPr>
            <w:r>
              <w:rPr>
                <w:color w:val="1C3A36"/>
                <w:sz w:val="17"/>
              </w:rPr>
              <w:t>~3.5×</w:t>
            </w:r>
          </w:p>
        </w:tc>
        <w:tc>
          <w:tcPr>
            <w:tcW w:type="dxa" w:w="1080"/>
          </w:tcPr>
          <w:p>
            <w:pPr>
              <w:spacing w:after="20"/>
              <w:jc w:val="right"/>
            </w:pPr>
            <w:r>
              <w:rPr>
                <w:color w:val="1C3A36"/>
                <w:sz w:val="17"/>
              </w:rPr>
              <w:t>~16×</w:t>
            </w:r>
          </w:p>
        </w:tc>
        <w:tc>
          <w:tcPr>
            <w:tcW w:type="dxa" w:w="1224"/>
          </w:tcPr>
          <w:p>
            <w:pPr>
              <w:spacing w:after="20"/>
              <w:jc w:val="right"/>
            </w:pPr>
            <w:r>
              <w:rPr>
                <w:color w:val="1C3A36"/>
                <w:sz w:val="17"/>
              </w:rPr>
              <w:t>~23%</w:t>
            </w:r>
          </w:p>
        </w:tc>
        <w:tc>
          <w:tcPr>
            <w:tcW w:type="dxa" w:w="4176"/>
          </w:tcPr>
          <w:p>
            <w:pPr>
              <w:spacing w:after="20"/>
              <w:jc w:val="right"/>
            </w:pPr>
            <w:r>
              <w:rPr>
                <w:color w:val="1C3A36"/>
                <w:sz w:val="17"/>
              </w:rPr>
              <w:t>Premium Islamic franchise; the sector ceiling</w:t>
            </w:r>
          </w:p>
        </w:tc>
      </w:tr>
      <w:tr>
        <w:tc>
          <w:tcPr>
            <w:tcW w:type="dxa" w:w="2736"/>
          </w:tcPr>
          <w:p>
            <w:pPr>
              <w:spacing w:after="20"/>
            </w:pPr>
            <w:r>
              <w:rPr>
                <w:color w:val="1C3A36"/>
                <w:sz w:val="17"/>
              </w:rPr>
              <w:t>SNB (Saudi National)</w:t>
            </w:r>
          </w:p>
        </w:tc>
        <w:tc>
          <w:tcPr>
            <w:tcW w:type="dxa" w:w="1080"/>
          </w:tcPr>
          <w:p>
            <w:pPr>
              <w:spacing w:after="20"/>
              <w:jc w:val="right"/>
            </w:pPr>
            <w:r>
              <w:rPr>
                <w:color w:val="1C3A36"/>
                <w:sz w:val="17"/>
              </w:rPr>
              <w:t>~1.4×</w:t>
            </w:r>
          </w:p>
        </w:tc>
        <w:tc>
          <w:tcPr>
            <w:tcW w:type="dxa" w:w="1080"/>
          </w:tcPr>
          <w:p>
            <w:pPr>
              <w:spacing w:after="20"/>
              <w:jc w:val="right"/>
            </w:pPr>
            <w:r>
              <w:rPr>
                <w:color w:val="1C3A36"/>
                <w:sz w:val="17"/>
              </w:rPr>
              <w:t>~10×</w:t>
            </w:r>
          </w:p>
        </w:tc>
        <w:tc>
          <w:tcPr>
            <w:tcW w:type="dxa" w:w="1224"/>
          </w:tcPr>
          <w:p>
            <w:pPr>
              <w:spacing w:after="20"/>
              <w:jc w:val="right"/>
            </w:pPr>
            <w:r>
              <w:rPr>
                <w:color w:val="1C3A36"/>
                <w:sz w:val="17"/>
              </w:rPr>
              <w:t>~13%</w:t>
            </w:r>
          </w:p>
        </w:tc>
        <w:tc>
          <w:tcPr>
            <w:tcW w:type="dxa" w:w="4176"/>
          </w:tcPr>
          <w:p>
            <w:pPr>
              <w:spacing w:after="20"/>
              <w:jc w:val="right"/>
            </w:pPr>
            <w:r>
              <w:rPr>
                <w:color w:val="1C3A36"/>
                <w:sz w:val="17"/>
              </w:rPr>
              <w:t>Largest by assets</w:t>
            </w:r>
          </w:p>
        </w:tc>
      </w:tr>
      <w:tr>
        <w:tc>
          <w:tcPr>
            <w:tcW w:type="dxa" w:w="2736"/>
          </w:tcPr>
          <w:p>
            <w:pPr>
              <w:spacing w:after="20"/>
            </w:pPr>
            <w:r>
              <w:rPr>
                <w:color w:val="1C3A36"/>
                <w:sz w:val="17"/>
              </w:rPr>
              <w:t>Riyad Bank</w:t>
            </w:r>
          </w:p>
        </w:tc>
        <w:tc>
          <w:tcPr>
            <w:tcW w:type="dxa" w:w="1080"/>
          </w:tcPr>
          <w:p>
            <w:pPr>
              <w:spacing w:after="20"/>
              <w:jc w:val="right"/>
            </w:pPr>
            <w:r>
              <w:rPr>
                <w:color w:val="1C3A36"/>
                <w:sz w:val="17"/>
              </w:rPr>
              <w:t>~1.2×</w:t>
            </w:r>
          </w:p>
        </w:tc>
        <w:tc>
          <w:tcPr>
            <w:tcW w:type="dxa" w:w="1080"/>
          </w:tcPr>
          <w:p>
            <w:pPr>
              <w:spacing w:after="20"/>
              <w:jc w:val="right"/>
            </w:pPr>
            <w:r>
              <w:rPr>
                <w:color w:val="1C3A36"/>
                <w:sz w:val="17"/>
              </w:rPr>
              <w:t>~8×</w:t>
            </w:r>
          </w:p>
        </w:tc>
        <w:tc>
          <w:tcPr>
            <w:tcW w:type="dxa" w:w="1224"/>
          </w:tcPr>
          <w:p>
            <w:pPr>
              <w:spacing w:after="20"/>
              <w:jc w:val="right"/>
            </w:pPr>
            <w:r>
              <w:rPr>
                <w:color w:val="1C3A36"/>
                <w:sz w:val="17"/>
              </w:rPr>
              <w:t>~16%</w:t>
            </w:r>
          </w:p>
        </w:tc>
        <w:tc>
          <w:tcPr>
            <w:tcW w:type="dxa" w:w="4176"/>
          </w:tcPr>
          <w:p>
            <w:pPr>
              <w:spacing w:after="20"/>
              <w:jc w:val="right"/>
            </w:pPr>
            <w:r>
              <w:rPr>
                <w:color w:val="1C3A36"/>
                <w:sz w:val="17"/>
              </w:rPr>
              <w:t>Testahil coverage, 09-Jul-2026 study</w:t>
            </w:r>
          </w:p>
        </w:tc>
      </w:tr>
      <w:tr>
        <w:tc>
          <w:tcPr>
            <w:tcW w:type="dxa" w:w="2736"/>
          </w:tcPr>
          <w:p>
            <w:pPr>
              <w:spacing w:after="20"/>
            </w:pPr>
            <w:r>
              <w:rPr>
                <w:color w:val="1C3A36"/>
                <w:sz w:val="17"/>
              </w:rPr>
              <w:t>Alinma — this study</w:t>
            </w:r>
          </w:p>
        </w:tc>
        <w:tc>
          <w:tcPr>
            <w:tcW w:type="dxa" w:w="1080"/>
          </w:tcPr>
          <w:p>
            <w:pPr>
              <w:spacing w:after="20"/>
              <w:jc w:val="right"/>
            </w:pPr>
            <w:r>
              <w:rPr>
                <w:color w:val="1C3A36"/>
                <w:sz w:val="17"/>
              </w:rPr>
              <w:t>~2.1×</w:t>
            </w:r>
          </w:p>
        </w:tc>
        <w:tc>
          <w:tcPr>
            <w:tcW w:type="dxa" w:w="1080"/>
          </w:tcPr>
          <w:p>
            <w:pPr>
              <w:spacing w:after="20"/>
              <w:jc w:val="right"/>
            </w:pPr>
            <w:r>
              <w:rPr>
                <w:color w:val="1C3A36"/>
                <w:sz w:val="17"/>
              </w:rPr>
              <w:t>~11×</w:t>
            </w:r>
          </w:p>
        </w:tc>
        <w:tc>
          <w:tcPr>
            <w:tcW w:type="dxa" w:w="1224"/>
          </w:tcPr>
          <w:p>
            <w:pPr>
              <w:spacing w:after="20"/>
              <w:jc w:val="right"/>
            </w:pPr>
            <w:r>
              <w:rPr>
                <w:color w:val="1C3A36"/>
                <w:sz w:val="17"/>
              </w:rPr>
              <w:t>~18.7%</w:t>
            </w:r>
          </w:p>
        </w:tc>
        <w:tc>
          <w:tcPr>
            <w:tcW w:type="dxa" w:w="4176"/>
          </w:tcPr>
          <w:p>
            <w:pPr>
              <w:spacing w:after="20"/>
              <w:jc w:val="right"/>
            </w:pPr>
            <w:r>
              <w:rPr>
                <w:color w:val="1C3A36"/>
                <w:sz w:val="17"/>
              </w:rPr>
              <w:t>Fastest-growing large Islamic bank</w:t>
            </w:r>
          </w:p>
        </w:tc>
      </w:tr>
      <w:tr>
        <w:tc>
          <w:tcPr>
            <w:tcW w:type="dxa" w:w="2736"/>
          </w:tcPr>
          <w:p>
            <w:pPr>
              <w:spacing w:after="20"/>
            </w:pPr>
            <w:r>
              <w:rPr>
                <w:color w:val="1C3A36"/>
                <w:sz w:val="17"/>
              </w:rPr>
              <w:t>Banque Saudi Fransi</w:t>
            </w:r>
          </w:p>
        </w:tc>
        <w:tc>
          <w:tcPr>
            <w:tcW w:type="dxa" w:w="1080"/>
          </w:tcPr>
          <w:p>
            <w:pPr>
              <w:spacing w:after="20"/>
              <w:jc w:val="right"/>
            </w:pPr>
            <w:r>
              <w:rPr>
                <w:color w:val="1C3A36"/>
                <w:sz w:val="17"/>
              </w:rPr>
              <w:t>~1.1×</w:t>
            </w:r>
          </w:p>
        </w:tc>
        <w:tc>
          <w:tcPr>
            <w:tcW w:type="dxa" w:w="1080"/>
          </w:tcPr>
          <w:p>
            <w:pPr>
              <w:spacing w:after="20"/>
              <w:jc w:val="right"/>
            </w:pPr>
            <w:r>
              <w:rPr>
                <w:color w:val="1C3A36"/>
                <w:sz w:val="17"/>
              </w:rPr>
              <w:t>~9×</w:t>
            </w:r>
          </w:p>
        </w:tc>
        <w:tc>
          <w:tcPr>
            <w:tcW w:type="dxa" w:w="1224"/>
          </w:tcPr>
          <w:p>
            <w:pPr>
              <w:spacing w:after="20"/>
              <w:jc w:val="right"/>
            </w:pPr>
            <w:r>
              <w:rPr>
                <w:color w:val="1C3A36"/>
                <w:sz w:val="17"/>
              </w:rPr>
              <w:t>~12%</w:t>
            </w:r>
          </w:p>
        </w:tc>
        <w:tc>
          <w:tcPr>
            <w:tcW w:type="dxa" w:w="4176"/>
          </w:tcPr>
          <w:p>
            <w:pPr>
              <w:spacing w:after="20"/>
              <w:jc w:val="right"/>
            </w:pPr>
            <w:r>
              <w:rPr>
                <w:color w:val="1C3A36"/>
                <w:sz w:val="17"/>
              </w:rPr>
              <w:t>Corporate-tilted</w:t>
            </w:r>
          </w:p>
        </w:tc>
      </w:tr>
      <w:tr>
        <w:tc>
          <w:tcPr>
            <w:tcW w:type="dxa" w:w="2736"/>
          </w:tcPr>
          <w:p>
            <w:pPr>
              <w:spacing w:after="20"/>
            </w:pPr>
            <w:r>
              <w:rPr>
                <w:color w:val="1C3A36"/>
                <w:sz w:val="17"/>
              </w:rPr>
              <w:t>Arab National Bank</w:t>
            </w:r>
          </w:p>
        </w:tc>
        <w:tc>
          <w:tcPr>
            <w:tcW w:type="dxa" w:w="1080"/>
          </w:tcPr>
          <w:p>
            <w:pPr>
              <w:spacing w:after="20"/>
              <w:jc w:val="right"/>
            </w:pPr>
            <w:r>
              <w:rPr>
                <w:color w:val="1C3A36"/>
                <w:sz w:val="17"/>
              </w:rPr>
              <w:t>~1.0×</w:t>
            </w:r>
          </w:p>
        </w:tc>
        <w:tc>
          <w:tcPr>
            <w:tcW w:type="dxa" w:w="1080"/>
          </w:tcPr>
          <w:p>
            <w:pPr>
              <w:spacing w:after="20"/>
              <w:jc w:val="right"/>
            </w:pPr>
            <w:r>
              <w:rPr>
                <w:color w:val="1C3A36"/>
                <w:sz w:val="17"/>
              </w:rPr>
              <w:t>~8×</w:t>
            </w:r>
          </w:p>
        </w:tc>
        <w:tc>
          <w:tcPr>
            <w:tcW w:type="dxa" w:w="1224"/>
          </w:tcPr>
          <w:p>
            <w:pPr>
              <w:spacing w:after="20"/>
              <w:jc w:val="right"/>
            </w:pPr>
            <w:r>
              <w:rPr>
                <w:color w:val="1C3A36"/>
                <w:sz w:val="17"/>
              </w:rPr>
              <w:t>~12%</w:t>
            </w:r>
          </w:p>
        </w:tc>
        <w:tc>
          <w:tcPr>
            <w:tcW w:type="dxa" w:w="4176"/>
          </w:tcPr>
          <w:p>
            <w:pPr>
              <w:spacing w:after="20"/>
              <w:jc w:val="right"/>
            </w:pPr>
            <w:r>
              <w:rPr>
                <w:color w:val="1C3A36"/>
                <w:sz w:val="17"/>
              </w:rPr>
              <w:t>Value end of the sector</w:t>
            </w:r>
          </w:p>
        </w:tc>
      </w:tr>
      <w:tr>
        <w:tc>
          <w:tcPr>
            <w:tcW w:type="dxa" w:w="2736"/>
          </w:tcPr>
          <w:p>
            <w:pPr>
              <w:spacing w:after="20"/>
            </w:pPr>
            <w:r>
              <w:rPr>
                <w:color w:val="1C3A36"/>
                <w:sz w:val="17"/>
              </w:rPr>
              <w:t>Al Bilad</w:t>
            </w:r>
          </w:p>
        </w:tc>
        <w:tc>
          <w:tcPr>
            <w:tcW w:type="dxa" w:w="1080"/>
          </w:tcPr>
          <w:p>
            <w:pPr>
              <w:spacing w:after="20"/>
              <w:jc w:val="right"/>
            </w:pPr>
            <w:r>
              <w:rPr>
                <w:color w:val="1C3A36"/>
                <w:sz w:val="17"/>
              </w:rPr>
              <w:t>~2.0×</w:t>
            </w:r>
          </w:p>
        </w:tc>
        <w:tc>
          <w:tcPr>
            <w:tcW w:type="dxa" w:w="1080"/>
          </w:tcPr>
          <w:p>
            <w:pPr>
              <w:spacing w:after="20"/>
              <w:jc w:val="right"/>
            </w:pPr>
            <w:r>
              <w:rPr>
                <w:color w:val="1C3A36"/>
                <w:sz w:val="17"/>
              </w:rPr>
              <w:t>~14×</w:t>
            </w:r>
          </w:p>
        </w:tc>
        <w:tc>
          <w:tcPr>
            <w:tcW w:type="dxa" w:w="1224"/>
          </w:tcPr>
          <w:p>
            <w:pPr>
              <w:spacing w:after="20"/>
              <w:jc w:val="right"/>
            </w:pPr>
            <w:r>
              <w:rPr>
                <w:color w:val="1C3A36"/>
                <w:sz w:val="17"/>
              </w:rPr>
              <w:t>~16%</w:t>
            </w:r>
          </w:p>
        </w:tc>
        <w:tc>
          <w:tcPr>
            <w:tcW w:type="dxa" w:w="4176"/>
          </w:tcPr>
          <w:p>
            <w:pPr>
              <w:spacing w:after="20"/>
              <w:jc w:val="right"/>
            </w:pPr>
            <w:r>
              <w:rPr>
                <w:color w:val="1C3A36"/>
                <w:sz w:val="17"/>
              </w:rPr>
              <w:t>The closest growth/Islamic comp</w:t>
            </w:r>
          </w:p>
        </w:tc>
      </w:tr>
      <w:tr>
        <w:tc>
          <w:tcPr>
            <w:tcW w:type="dxa" w:w="2736"/>
          </w:tcPr>
          <w:p>
            <w:pPr>
              <w:spacing w:after="20"/>
            </w:pPr>
            <w:r>
              <w:rPr>
                <w:color w:val="1C3A36"/>
                <w:sz w:val="17"/>
              </w:rPr>
              <w:t>Saudi Investment Bank</w:t>
            </w:r>
          </w:p>
        </w:tc>
        <w:tc>
          <w:tcPr>
            <w:tcW w:type="dxa" w:w="1080"/>
          </w:tcPr>
          <w:p>
            <w:pPr>
              <w:spacing w:after="20"/>
              <w:jc w:val="right"/>
            </w:pPr>
            <w:r>
              <w:rPr>
                <w:color w:val="1C3A36"/>
                <w:sz w:val="17"/>
              </w:rPr>
              <w:t>~0.9×</w:t>
            </w:r>
          </w:p>
        </w:tc>
        <w:tc>
          <w:tcPr>
            <w:tcW w:type="dxa" w:w="1080"/>
          </w:tcPr>
          <w:p>
            <w:pPr>
              <w:spacing w:after="20"/>
              <w:jc w:val="right"/>
            </w:pPr>
            <w:r>
              <w:rPr>
                <w:color w:val="1C3A36"/>
                <w:sz w:val="17"/>
              </w:rPr>
              <w:t>~8×</w:t>
            </w:r>
          </w:p>
        </w:tc>
        <w:tc>
          <w:tcPr>
            <w:tcW w:type="dxa" w:w="1224"/>
          </w:tcPr>
          <w:p>
            <w:pPr>
              <w:spacing w:after="20"/>
              <w:jc w:val="right"/>
            </w:pPr>
            <w:r>
              <w:rPr>
                <w:color w:val="1C3A36"/>
                <w:sz w:val="17"/>
              </w:rPr>
              <w:t>~11%</w:t>
            </w:r>
          </w:p>
        </w:tc>
        <w:tc>
          <w:tcPr>
            <w:tcW w:type="dxa" w:w="4176"/>
          </w:tcPr>
          <w:p>
            <w:pPr>
              <w:spacing w:after="20"/>
              <w:jc w:val="right"/>
            </w:pPr>
            <w:r>
              <w:rPr>
                <w:color w:val="1C3A36"/>
                <w:sz w:val="17"/>
              </w:rPr>
              <w:t>Smallest, deepest discount</w:t>
            </w:r>
          </w:p>
        </w:tc>
      </w:tr>
      <w:tr>
        <w:tc>
          <w:tcPr>
            <w:tcW w:type="dxa" w:w="2736"/>
          </w:tcPr>
          <w:p>
            <w:pPr>
              <w:spacing w:after="20"/>
            </w:pPr>
            <w:r>
              <w:rPr>
                <w:color w:val="1C3A36"/>
                <w:sz w:val="17"/>
              </w:rPr>
              <w:t>GCC — Emirates NBD</w:t>
            </w:r>
          </w:p>
        </w:tc>
        <w:tc>
          <w:tcPr>
            <w:tcW w:type="dxa" w:w="1080"/>
          </w:tcPr>
          <w:p>
            <w:pPr>
              <w:spacing w:after="20"/>
              <w:jc w:val="right"/>
            </w:pPr>
            <w:r>
              <w:rPr>
                <w:color w:val="1C3A36"/>
                <w:sz w:val="17"/>
              </w:rPr>
              <w:t>~1.0×</w:t>
            </w:r>
          </w:p>
        </w:tc>
        <w:tc>
          <w:tcPr>
            <w:tcW w:type="dxa" w:w="1080"/>
          </w:tcPr>
          <w:p>
            <w:pPr>
              <w:spacing w:after="20"/>
              <w:jc w:val="right"/>
            </w:pPr>
            <w:r>
              <w:rPr>
                <w:color w:val="1C3A36"/>
                <w:sz w:val="17"/>
              </w:rPr>
              <w:t>~6×</w:t>
            </w:r>
          </w:p>
        </w:tc>
        <w:tc>
          <w:tcPr>
            <w:tcW w:type="dxa" w:w="1224"/>
          </w:tcPr>
          <w:p>
            <w:pPr>
              <w:spacing w:after="20"/>
              <w:jc w:val="right"/>
            </w:pPr>
            <w:r>
              <w:rPr>
                <w:color w:val="1C3A36"/>
                <w:sz w:val="17"/>
              </w:rPr>
              <w:t>~18%</w:t>
            </w:r>
          </w:p>
        </w:tc>
        <w:tc>
          <w:tcPr>
            <w:tcW w:type="dxa" w:w="4176"/>
          </w:tcPr>
          <w:p>
            <w:pPr>
              <w:spacing w:after="20"/>
              <w:jc w:val="right"/>
            </w:pPr>
            <w:r>
              <w:rPr>
                <w:color w:val="1C3A36"/>
                <w:sz w:val="17"/>
              </w:rPr>
              <w:t>UAE large-cap context</w:t>
            </w:r>
          </w:p>
        </w:tc>
      </w:tr>
      <w:tr>
        <w:tc>
          <w:tcPr>
            <w:tcW w:type="dxa" w:w="2736"/>
          </w:tcPr>
          <w:p>
            <w:pPr>
              <w:spacing w:after="20"/>
            </w:pPr>
            <w:r>
              <w:rPr>
                <w:color w:val="1C3A36"/>
                <w:sz w:val="17"/>
              </w:rPr>
              <w:t>GCC — QNB</w:t>
            </w:r>
          </w:p>
        </w:tc>
        <w:tc>
          <w:tcPr>
            <w:tcW w:type="dxa" w:w="1080"/>
          </w:tcPr>
          <w:p>
            <w:pPr>
              <w:spacing w:after="20"/>
              <w:jc w:val="right"/>
            </w:pPr>
            <w:r>
              <w:rPr>
                <w:color w:val="1C3A36"/>
                <w:sz w:val="17"/>
              </w:rPr>
              <w:t>~1.4×</w:t>
            </w:r>
          </w:p>
        </w:tc>
        <w:tc>
          <w:tcPr>
            <w:tcW w:type="dxa" w:w="1080"/>
          </w:tcPr>
          <w:p>
            <w:pPr>
              <w:spacing w:after="20"/>
              <w:jc w:val="right"/>
            </w:pPr>
            <w:r>
              <w:rPr>
                <w:color w:val="1C3A36"/>
                <w:sz w:val="17"/>
              </w:rPr>
              <w:t>~9×</w:t>
            </w:r>
          </w:p>
        </w:tc>
        <w:tc>
          <w:tcPr>
            <w:tcW w:type="dxa" w:w="1224"/>
          </w:tcPr>
          <w:p>
            <w:pPr>
              <w:spacing w:after="20"/>
              <w:jc w:val="right"/>
            </w:pPr>
            <w:r>
              <w:rPr>
                <w:color w:val="1C3A36"/>
                <w:sz w:val="17"/>
              </w:rPr>
              <w:t>~18%</w:t>
            </w:r>
          </w:p>
        </w:tc>
        <w:tc>
          <w:tcPr>
            <w:tcW w:type="dxa" w:w="4176"/>
          </w:tcPr>
          <w:p>
            <w:pPr>
              <w:spacing w:after="20"/>
              <w:jc w:val="right"/>
            </w:pPr>
            <w:r>
              <w:rPr>
                <w:color w:val="1C3A36"/>
                <w:sz w:val="17"/>
              </w:rPr>
              <w:t>Qatar large-cap context</w:t>
            </w:r>
          </w:p>
        </w:tc>
      </w:tr>
    </w:tbl>
    <w:p>
      <w:pPr>
        <w:spacing w:after="40"/>
      </w:pPr>
    </w:p>
    <w:p>
      <w:pPr>
        <w:spacing w:after="120" w:before="0"/>
      </w:pPr>
      <w:r>
        <w:rPr>
          <w:b w:val="0"/>
          <w:i w:val="0"/>
          <w:color w:val="1C3A36"/>
          <w:sz w:val="19"/>
        </w:rPr>
        <w:t>Sector structure. Saudi banking is an oligopoly of ~10 listed names inside a Vision-2030 credit super-cycle: system private-sector credit passed SAR 3.4tn in early 2026, mortgage books built from near-zero in a decade, and the funding constraint (not demand) is the sector's binding limit — hence the deposit war behind everyone's NIM guidance cuts. Alinma's edge is pure-play Islamic positioning with the sector's fastest large-cap growth; its vulnerability is that growth's appetite for funding and capital.</w:t>
      </w:r>
    </w:p>
    <w:p>
      <w:pPr>
        <w:spacing w:after="40" w:before="0"/>
      </w:pPr>
      <w:r>
        <w:rPr>
          <w:b/>
          <w:i w:val="0"/>
          <w:color w:val="1C3A36"/>
          <w:sz w:val="21"/>
        </w:rPr>
        <w:t>Key risks</w:t>
      </w:r>
    </w:p>
    <w:p>
      <w:pPr>
        <w:pStyle w:val="ListBullet"/>
        <w:spacing w:after="60"/>
      </w:pPr>
      <w:r>
        <w:rPr>
          <w:color w:val="1C3A36"/>
          <w:sz w:val="21"/>
        </w:rPr>
        <w:t>Rate-cycle pass-through compressing NIM below the 3.40% glide.</w:t>
      </w:r>
    </w:p>
    <w:p>
      <w:pPr>
        <w:pStyle w:val="ListBullet"/>
        <w:spacing w:after="60"/>
      </w:pPr>
      <w:r>
        <w:rPr>
          <w:color w:val="1C3A36"/>
          <w:sz w:val="21"/>
        </w:rPr>
        <w:t>ROE fading toward Ke — validating the market discount rather than the intrinsic lenses.</w:t>
      </w:r>
    </w:p>
    <w:p>
      <w:pPr>
        <w:pStyle w:val="ListBullet"/>
        <w:spacing w:after="60"/>
      </w:pPr>
      <w:r>
        <w:rPr>
          <w:color w:val="1C3A36"/>
          <w:sz w:val="21"/>
        </w:rPr>
        <w:t>Credit-quality deterioration if non-oil growth or project-finance discipline slips.</w:t>
      </w:r>
    </w:p>
    <w:p>
      <w:pPr>
        <w:pStyle w:val="ListBullet"/>
        <w:spacing w:after="60"/>
      </w:pPr>
      <w:r>
        <w:rPr>
          <w:color w:val="1C3A36"/>
          <w:sz w:val="21"/>
        </w:rPr>
        <w:t>Funding-cost stickiness: time-deposit mix rising faster than CASA growth offsets.</w:t>
      </w:r>
    </w:p>
    <w:p>
      <w:pPr>
        <w:pStyle w:val="ListBullet"/>
        <w:spacing w:after="60"/>
      </w:pPr>
      <w:r>
        <w:rPr>
          <w:color w:val="1C3A36"/>
          <w:sz w:val="21"/>
        </w:rPr>
        <w:t>Regulatory levy/zakat changes; digital-bank entrants compounding deposit competition.</w:t>
      </w:r>
    </w:p>
    <w:p>
      <w:pPr>
        <w:spacing w:after="120" w:before="280"/>
      </w:pPr>
      <w:r>
        <w:rPr>
          <w:b/>
          <w:i w:val="0"/>
          <w:color w:val="1C3A36"/>
          <w:sz w:val="30"/>
        </w:rPr>
        <w:t>Appendix C  The expert valuation panel</w:t>
      </w:r>
    </w:p>
    <w:p>
      <w:pPr>
        <w:spacing w:after="120" w:before="0"/>
      </w:pPr>
      <w:r>
        <w:rPr>
          <w:b w:val="0"/>
          <w:i w:val="0"/>
          <w:color w:val="1C3A36"/>
          <w:sz w:val="21"/>
        </w:rPr>
        <w:t>Three orthogonal disciplines from the Testahil persona library, cast for a bank: capital &amp; returns, the credit cycle, and macro-policy-dividend. Labels only — Expert 1/2/3. Each shows workings, sensitises their swing input, cross-examines the other two, and states a falsification condition. Genuinely different methods: agreeing DDMs would be cosmetic.</w:t>
      </w:r>
    </w:p>
    <w:p>
      <w:pPr>
        <w:spacing w:after="80" w:before="200"/>
      </w:pPr>
      <w:r>
        <w:rPr>
          <w:b/>
          <w:i w:val="0"/>
          <w:color w:val="1C3A36"/>
          <w:sz w:val="24"/>
        </w:rPr>
        <w:t>C.1  Expert 1 — capital, returns and the price of book value</w:t>
      </w:r>
    </w:p>
    <w:p>
      <w:pPr>
        <w:spacing w:after="120" w:before="0"/>
      </w:pPr>
      <w:r>
        <w:rPr>
          <w:b w:val="0"/>
          <w:i w:val="0"/>
          <w:color w:val="1C3A36"/>
          <w:sz w:val="19"/>
        </w:rPr>
        <w:t>Worldview. A bank is a licence to lever book equity; its worth is book times a multiple set by (ROE−g)/(Ke−g). Works when returns are measurable and capital binds; fails around opaque credit or franchise inflections. The tradition of price-of-book value investing applied through the justified-multiple algebra.</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624"/>
            <w:shd w:val="clear" w:color="auto" w:fill="EAF0EE"/>
          </w:tcPr>
          <w:p>
            <w:pPr>
              <w:spacing w:after="20"/>
            </w:pPr>
            <w:r>
              <w:rPr>
                <w:b/>
                <w:color w:val="1C3A36"/>
                <w:sz w:val="18"/>
              </w:rPr>
              <w:t>Workings</w:t>
            </w:r>
          </w:p>
        </w:tc>
        <w:tc>
          <w:tcPr>
            <w:tcW w:type="dxa" w:w="2304"/>
            <w:shd w:val="clear" w:color="auto" w:fill="EAF0EE"/>
          </w:tcPr>
          <w:p>
            <w:pPr>
              <w:spacing w:after="20"/>
            </w:pPr>
            <w:r>
              <w:rPr>
                <w:b/>
                <w:color w:val="1C3A36"/>
                <w:sz w:val="18"/>
              </w:rPr>
              <w:t>Value</w:t>
            </w:r>
          </w:p>
        </w:tc>
      </w:tr>
      <w:tr>
        <w:tc>
          <w:tcPr>
            <w:tcW w:type="dxa" w:w="6624"/>
          </w:tcPr>
          <w:p>
            <w:pPr>
              <w:spacing w:after="20"/>
            </w:pPr>
            <w:r>
              <w:rPr>
                <w:color w:val="1C3A36"/>
                <w:sz w:val="18"/>
              </w:rPr>
              <w:t>BVPS, common, FY26e (opening capital compounding through the year)</w:t>
            </w:r>
          </w:p>
        </w:tc>
        <w:tc>
          <w:tcPr>
            <w:tcW w:type="dxa" w:w="2304"/>
          </w:tcPr>
          <w:p>
            <w:pPr>
              <w:spacing w:after="20"/>
              <w:jc w:val="right"/>
            </w:pPr>
            <w:r>
              <w:rPr>
                <w:color w:val="1C3A36"/>
                <w:sz w:val="18"/>
              </w:rPr>
              <w:t>12.65</w:t>
            </w:r>
          </w:p>
        </w:tc>
      </w:tr>
      <w:tr>
        <w:tc>
          <w:tcPr>
            <w:tcW w:type="dxa" w:w="6624"/>
          </w:tcPr>
          <w:p>
            <w:pPr>
              <w:spacing w:after="20"/>
            </w:pPr>
            <w:r>
              <w:rPr>
                <w:color w:val="1C3A36"/>
                <w:sz w:val="18"/>
              </w:rPr>
              <w:t>Through-cycle ROE (fade from 18.7%)</w:t>
            </w:r>
          </w:p>
        </w:tc>
        <w:tc>
          <w:tcPr>
            <w:tcW w:type="dxa" w:w="2304"/>
          </w:tcPr>
          <w:p>
            <w:pPr>
              <w:spacing w:after="20"/>
              <w:jc w:val="right"/>
            </w:pPr>
            <w:r>
              <w:rPr>
                <w:color w:val="1C3A36"/>
                <w:sz w:val="18"/>
              </w:rPr>
              <w:t>16.0%</w:t>
            </w:r>
          </w:p>
        </w:tc>
      </w:tr>
      <w:tr>
        <w:tc>
          <w:tcPr>
            <w:tcW w:type="dxa" w:w="6624"/>
          </w:tcPr>
          <w:p>
            <w:pPr>
              <w:spacing w:after="20"/>
            </w:pPr>
            <w:r>
              <w:rPr>
                <w:color w:val="1C3A36"/>
                <w:sz w:val="18"/>
              </w:rPr>
              <w:t>Ke — four-corner base</w:t>
            </w:r>
          </w:p>
        </w:tc>
        <w:tc>
          <w:tcPr>
            <w:tcW w:type="dxa" w:w="2304"/>
          </w:tcPr>
          <w:p>
            <w:pPr>
              <w:spacing w:after="20"/>
              <w:jc w:val="right"/>
            </w:pPr>
            <w:r>
              <w:rPr>
                <w:color w:val="1C3A36"/>
                <w:sz w:val="18"/>
              </w:rPr>
              <w:t>9.46%</w:t>
            </w:r>
          </w:p>
        </w:tc>
      </w:tr>
      <w:tr>
        <w:tc>
          <w:tcPr>
            <w:tcW w:type="dxa" w:w="6624"/>
          </w:tcPr>
          <w:p>
            <w:pPr>
              <w:spacing w:after="20"/>
            </w:pPr>
            <w:r>
              <w:rPr>
                <w:color w:val="1C3A36"/>
                <w:sz w:val="18"/>
              </w:rPr>
              <w:t>Terminal g</w:t>
            </w:r>
          </w:p>
        </w:tc>
        <w:tc>
          <w:tcPr>
            <w:tcW w:type="dxa" w:w="2304"/>
          </w:tcPr>
          <w:p>
            <w:pPr>
              <w:spacing w:after="20"/>
              <w:jc w:val="right"/>
            </w:pPr>
            <w:r>
              <w:rPr>
                <w:color w:val="1C3A36"/>
                <w:sz w:val="18"/>
              </w:rPr>
              <w:t>3.0%</w:t>
            </w:r>
          </w:p>
        </w:tc>
      </w:tr>
      <w:tr>
        <w:tc>
          <w:tcPr>
            <w:tcW w:type="dxa" w:w="6624"/>
          </w:tcPr>
          <w:p>
            <w:pPr>
              <w:spacing w:after="20"/>
            </w:pPr>
            <w:r>
              <w:rPr>
                <w:color w:val="1C3A36"/>
                <w:sz w:val="18"/>
              </w:rPr>
              <w:t>Justified P/B = (16−3)/(9.46−3)</w:t>
            </w:r>
          </w:p>
        </w:tc>
        <w:tc>
          <w:tcPr>
            <w:tcW w:type="dxa" w:w="2304"/>
          </w:tcPr>
          <w:p>
            <w:pPr>
              <w:spacing w:after="20"/>
              <w:jc w:val="right"/>
            </w:pPr>
            <w:r>
              <w:rPr>
                <w:color w:val="1C3A36"/>
                <w:sz w:val="18"/>
              </w:rPr>
              <w:t>2.01×</w:t>
            </w:r>
          </w:p>
        </w:tc>
      </w:tr>
      <w:tr>
        <w:tc>
          <w:tcPr>
            <w:tcW w:type="dxa" w:w="6624"/>
          </w:tcPr>
          <w:p>
            <w:pPr>
              <w:spacing w:after="20"/>
            </w:pPr>
            <w:r>
              <w:rPr>
                <w:color w:val="1C3A36"/>
                <w:sz w:val="18"/>
              </w:rPr>
              <w:t>Fair value = 2.01 × 12.66</w:t>
            </w:r>
          </w:p>
        </w:tc>
        <w:tc>
          <w:tcPr>
            <w:tcW w:type="dxa" w:w="2304"/>
          </w:tcPr>
          <w:p>
            <w:pPr>
              <w:spacing w:after="20"/>
              <w:jc w:val="right"/>
            </w:pPr>
            <w:r>
              <w:rPr>
                <w:color w:val="1C3A36"/>
                <w:sz w:val="18"/>
              </w:rPr>
              <w:t>SAR 25.4</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312"/>
            <w:shd w:val="clear" w:color="auto" w:fill="EAF0EE"/>
          </w:tcPr>
          <w:p>
            <w:pPr>
              <w:spacing w:after="20"/>
            </w:pPr>
            <w:r>
              <w:rPr>
                <w:b/>
                <w:color w:val="1C3A36"/>
                <w:sz w:val="17"/>
              </w:rPr>
              <w:t>Swing input: through-cycle ROE</w:t>
            </w:r>
          </w:p>
        </w:tc>
        <w:tc>
          <w:tcPr>
            <w:tcW w:type="dxa" w:w="1368"/>
            <w:shd w:val="clear" w:color="auto" w:fill="EAF0EE"/>
          </w:tcPr>
          <w:p>
            <w:pPr>
              <w:spacing w:after="20"/>
            </w:pPr>
            <w:r>
              <w:rPr>
                <w:b/>
                <w:color w:val="1C3A36"/>
                <w:sz w:val="17"/>
              </w:rPr>
              <w:t>14%</w:t>
            </w:r>
          </w:p>
        </w:tc>
        <w:tc>
          <w:tcPr>
            <w:tcW w:type="dxa" w:w="1368"/>
            <w:shd w:val="clear" w:color="auto" w:fill="EAF0EE"/>
          </w:tcPr>
          <w:p>
            <w:pPr>
              <w:spacing w:after="20"/>
            </w:pPr>
            <w:r>
              <w:rPr>
                <w:b/>
                <w:color w:val="1C3A36"/>
                <w:sz w:val="17"/>
              </w:rPr>
              <w:t>15%</w:t>
            </w:r>
          </w:p>
        </w:tc>
        <w:tc>
          <w:tcPr>
            <w:tcW w:type="dxa" w:w="1656"/>
            <w:shd w:val="clear" w:color="auto" w:fill="EAF0EE"/>
          </w:tcPr>
          <w:p>
            <w:pPr>
              <w:spacing w:after="20"/>
            </w:pPr>
            <w:r>
              <w:rPr>
                <w:b/>
                <w:color w:val="1C3A36"/>
                <w:sz w:val="17"/>
              </w:rPr>
              <w:t>16% (base)</w:t>
            </w:r>
          </w:p>
        </w:tc>
        <w:tc>
          <w:tcPr>
            <w:tcW w:type="dxa" w:w="1368"/>
            <w:shd w:val="clear" w:color="auto" w:fill="EAF0EE"/>
          </w:tcPr>
          <w:p>
            <w:pPr>
              <w:spacing w:after="20"/>
            </w:pPr>
            <w:r>
              <w:rPr>
                <w:b/>
                <w:color w:val="1C3A36"/>
                <w:sz w:val="17"/>
              </w:rPr>
              <w:t>17%</w:t>
            </w:r>
          </w:p>
        </w:tc>
        <w:tc>
          <w:tcPr>
            <w:tcW w:type="dxa" w:w="1368"/>
            <w:shd w:val="clear" w:color="auto" w:fill="EAF0EE"/>
          </w:tcPr>
          <w:p>
            <w:pPr>
              <w:spacing w:after="20"/>
            </w:pPr>
            <w:r>
              <w:rPr>
                <w:b/>
                <w:color w:val="1C3A36"/>
                <w:sz w:val="17"/>
              </w:rPr>
              <w:t>18%</w:t>
            </w:r>
          </w:p>
        </w:tc>
      </w:tr>
      <w:tr>
        <w:tc>
          <w:tcPr>
            <w:tcW w:type="dxa" w:w="3312"/>
          </w:tcPr>
          <w:p>
            <w:pPr>
              <w:spacing w:after="20"/>
            </w:pPr>
            <w:r>
              <w:rPr>
                <w:color w:val="1C3A36"/>
                <w:sz w:val="17"/>
              </w:rPr>
              <w:t>Justified P/B</w:t>
            </w:r>
          </w:p>
        </w:tc>
        <w:tc>
          <w:tcPr>
            <w:tcW w:type="dxa" w:w="1368"/>
          </w:tcPr>
          <w:p>
            <w:pPr>
              <w:spacing w:after="20"/>
              <w:jc w:val="right"/>
            </w:pPr>
            <w:r>
              <w:rPr>
                <w:color w:val="1C3A36"/>
                <w:sz w:val="17"/>
              </w:rPr>
              <w:t>1.70×</w:t>
            </w:r>
          </w:p>
        </w:tc>
        <w:tc>
          <w:tcPr>
            <w:tcW w:type="dxa" w:w="1368"/>
          </w:tcPr>
          <w:p>
            <w:pPr>
              <w:spacing w:after="20"/>
              <w:jc w:val="right"/>
            </w:pPr>
            <w:r>
              <w:rPr>
                <w:color w:val="1C3A36"/>
                <w:sz w:val="17"/>
              </w:rPr>
              <w:t>1.86×</w:t>
            </w:r>
          </w:p>
        </w:tc>
        <w:tc>
          <w:tcPr>
            <w:tcW w:type="dxa" w:w="1656"/>
          </w:tcPr>
          <w:p>
            <w:pPr>
              <w:spacing w:after="20"/>
              <w:jc w:val="right"/>
            </w:pPr>
            <w:r>
              <w:rPr>
                <w:color w:val="1C3A36"/>
                <w:sz w:val="17"/>
              </w:rPr>
              <w:t>2.01×</w:t>
            </w:r>
          </w:p>
        </w:tc>
        <w:tc>
          <w:tcPr>
            <w:tcW w:type="dxa" w:w="1368"/>
          </w:tcPr>
          <w:p>
            <w:pPr>
              <w:spacing w:after="20"/>
              <w:jc w:val="right"/>
            </w:pPr>
            <w:r>
              <w:rPr>
                <w:color w:val="1C3A36"/>
                <w:sz w:val="17"/>
              </w:rPr>
              <w:t>2.17×</w:t>
            </w:r>
          </w:p>
        </w:tc>
        <w:tc>
          <w:tcPr>
            <w:tcW w:type="dxa" w:w="1368"/>
          </w:tcPr>
          <w:p>
            <w:pPr>
              <w:spacing w:after="20"/>
              <w:jc w:val="right"/>
            </w:pPr>
            <w:r>
              <w:rPr>
                <w:color w:val="1C3A36"/>
                <w:sz w:val="17"/>
              </w:rPr>
              <w:t>2.32×</w:t>
            </w:r>
          </w:p>
        </w:tc>
      </w:tr>
      <w:tr>
        <w:tc>
          <w:tcPr>
            <w:tcW w:type="dxa" w:w="3312"/>
          </w:tcPr>
          <w:p>
            <w:pPr>
              <w:spacing w:after="20"/>
            </w:pPr>
            <w:r>
              <w:rPr>
                <w:color w:val="1C3A36"/>
                <w:sz w:val="17"/>
              </w:rPr>
              <w:t>Fair value (SAR)</w:t>
            </w:r>
          </w:p>
        </w:tc>
        <w:tc>
          <w:tcPr>
            <w:tcW w:type="dxa" w:w="1368"/>
          </w:tcPr>
          <w:p>
            <w:pPr>
              <w:spacing w:after="20"/>
              <w:jc w:val="right"/>
            </w:pPr>
            <w:r>
              <w:rPr>
                <w:color w:val="1C3A36"/>
                <w:sz w:val="17"/>
              </w:rPr>
              <w:t>21.5</w:t>
            </w:r>
          </w:p>
        </w:tc>
        <w:tc>
          <w:tcPr>
            <w:tcW w:type="dxa" w:w="1368"/>
          </w:tcPr>
          <w:p>
            <w:pPr>
              <w:spacing w:after="20"/>
              <w:jc w:val="right"/>
            </w:pPr>
            <w:r>
              <w:rPr>
                <w:color w:val="1C3A36"/>
                <w:sz w:val="17"/>
              </w:rPr>
              <w:t>23.5</w:t>
            </w:r>
          </w:p>
        </w:tc>
        <w:tc>
          <w:tcPr>
            <w:tcW w:type="dxa" w:w="1656"/>
          </w:tcPr>
          <w:p>
            <w:pPr>
              <w:spacing w:after="20"/>
              <w:jc w:val="right"/>
            </w:pPr>
            <w:r>
              <w:rPr>
                <w:color w:val="1C3A36"/>
                <w:sz w:val="17"/>
              </w:rPr>
              <w:t>25.5</w:t>
            </w:r>
          </w:p>
        </w:tc>
        <w:tc>
          <w:tcPr>
            <w:tcW w:type="dxa" w:w="1368"/>
          </w:tcPr>
          <w:p>
            <w:pPr>
              <w:spacing w:after="20"/>
              <w:jc w:val="right"/>
            </w:pPr>
            <w:r>
              <w:rPr>
                <w:color w:val="1C3A36"/>
                <w:sz w:val="17"/>
              </w:rPr>
              <w:t>27.5</w:t>
            </w:r>
          </w:p>
        </w:tc>
        <w:tc>
          <w:tcPr>
            <w:tcW w:type="dxa" w:w="1368"/>
          </w:tcPr>
          <w:p>
            <w:pPr>
              <w:spacing w:after="20"/>
              <w:jc w:val="right"/>
            </w:pPr>
            <w:r>
              <w:rPr>
                <w:color w:val="1C3A36"/>
                <w:sz w:val="17"/>
              </w:rPr>
              <w:t>29.4</w:t>
            </w:r>
          </w:p>
        </w:tc>
      </w:tr>
    </w:tbl>
    <w:p>
      <w:pPr>
        <w:spacing w:after="40"/>
      </w:pPr>
    </w:p>
    <w:p>
      <w:pPr>
        <w:spacing w:after="120" w:before="0"/>
      </w:pPr>
      <w:r>
        <w:rPr>
          <w:b w:val="0"/>
          <w:i w:val="0"/>
          <w:color w:val="1C3A36"/>
          <w:sz w:val="19"/>
        </w:rPr>
        <w:t>Cross-examination. Against Expert 2: your 70bp normalised cost of risk is inside my 16% ROE — pricing it twice is double-counting. Against Expert 3: your policy-path Ke belongs in the grid, not stacked on top of a fade that already strips 270bp of ROE. Verdict: SAR ~25.5, modestly cheap. Falsification: two consecutive years of ROE below 15% without a payout step-up — then the fade is 14% and spot is fair.</w:t>
      </w:r>
    </w:p>
    <w:p>
      <w:pPr>
        <w:spacing w:after="80" w:before="200"/>
      </w:pPr>
      <w:r>
        <w:rPr>
          <w:b/>
          <w:i w:val="0"/>
          <w:color w:val="1C3A36"/>
          <w:sz w:val="24"/>
        </w:rPr>
        <w:t>C.2  Expert 2 — the credit cycle and normalized provisioning</w:t>
      </w:r>
    </w:p>
    <w:p>
      <w:pPr>
        <w:spacing w:after="120" w:before="0"/>
      </w:pPr>
      <w:r>
        <w:rPr>
          <w:b w:val="0"/>
          <w:i w:val="0"/>
          <w:color w:val="1C3A36"/>
          <w:sz w:val="19"/>
        </w:rPr>
        <w:t>Worldview. Bank earnings are a loan book minus a through-cycle loss rate; today's 49bp is a benign print inside a growth phase, and growth-phase books season. Works at cycle turns; fails by being early in long benign stretches. The provisioning-normalisation school.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624"/>
            <w:shd w:val="clear" w:color="auto" w:fill="EAF0EE"/>
          </w:tcPr>
          <w:p>
            <w:pPr>
              <w:spacing w:after="20"/>
            </w:pPr>
            <w:r>
              <w:rPr>
                <w:b/>
                <w:color w:val="1C3A36"/>
                <w:sz w:val="18"/>
              </w:rPr>
              <w:t>Workings (FY26e, normalised)</w:t>
            </w:r>
          </w:p>
        </w:tc>
        <w:tc>
          <w:tcPr>
            <w:tcW w:type="dxa" w:w="2304"/>
            <w:shd w:val="clear" w:color="auto" w:fill="EAF0EE"/>
          </w:tcPr>
          <w:p>
            <w:pPr>
              <w:spacing w:after="20"/>
            </w:pPr>
            <w:r>
              <w:rPr>
                <w:b/>
                <w:color w:val="1C3A36"/>
                <w:sz w:val="18"/>
              </w:rPr>
              <w:t>SAR mn / value</w:t>
            </w:r>
          </w:p>
        </w:tc>
      </w:tr>
      <w:tr>
        <w:tc>
          <w:tcPr>
            <w:tcW w:type="dxa" w:w="6624"/>
          </w:tcPr>
          <w:p>
            <w:pPr>
              <w:spacing w:after="20"/>
            </w:pPr>
            <w:r>
              <w:rPr>
                <w:color w:val="1C3A36"/>
                <w:sz w:val="18"/>
              </w:rPr>
              <w:t>Total operating income (as modelled)</w:t>
            </w:r>
          </w:p>
        </w:tc>
        <w:tc>
          <w:tcPr>
            <w:tcW w:type="dxa" w:w="2304"/>
          </w:tcPr>
          <w:p>
            <w:pPr>
              <w:spacing w:after="20"/>
              <w:jc w:val="right"/>
            </w:pPr>
            <w:r>
              <w:rPr>
                <w:color w:val="1C3A36"/>
                <w:sz w:val="18"/>
              </w:rPr>
              <w:t>13,249</w:t>
            </w:r>
          </w:p>
        </w:tc>
      </w:tr>
      <w:tr>
        <w:tc>
          <w:tcPr>
            <w:tcW w:type="dxa" w:w="6624"/>
          </w:tcPr>
          <w:p>
            <w:pPr>
              <w:spacing w:after="20"/>
            </w:pPr>
            <w:r>
              <w:rPr>
                <w:color w:val="1C3A36"/>
                <w:sz w:val="18"/>
              </w:rPr>
              <w:t>Operating expenses (as modelled)</w:t>
            </w:r>
          </w:p>
        </w:tc>
        <w:tc>
          <w:tcPr>
            <w:tcW w:type="dxa" w:w="2304"/>
          </w:tcPr>
          <w:p>
            <w:pPr>
              <w:spacing w:after="20"/>
              <w:jc w:val="right"/>
            </w:pPr>
            <w:r>
              <w:rPr>
                <w:color w:val="1C3A36"/>
                <w:sz w:val="18"/>
              </w:rPr>
              <w:t>4,173</w:t>
            </w:r>
          </w:p>
        </w:tc>
      </w:tr>
      <w:tr>
        <w:tc>
          <w:tcPr>
            <w:tcW w:type="dxa" w:w="6624"/>
          </w:tcPr>
          <w:p>
            <w:pPr>
              <w:spacing w:after="20"/>
            </w:pPr>
            <w:r>
              <w:rPr>
                <w:color w:val="1C3A36"/>
                <w:sz w:val="18"/>
              </w:rPr>
              <w:t>ECL at a through-cycle 70bp (vs 50bp base)</w:t>
            </w:r>
          </w:p>
        </w:tc>
        <w:tc>
          <w:tcPr>
            <w:tcW w:type="dxa" w:w="2304"/>
          </w:tcPr>
          <w:p>
            <w:pPr>
              <w:spacing w:after="20"/>
              <w:jc w:val="right"/>
            </w:pPr>
            <w:r>
              <w:rPr>
                <w:color w:val="1C3A36"/>
                <w:sz w:val="18"/>
              </w:rPr>
              <w:t>1,713</w:t>
            </w:r>
          </w:p>
        </w:tc>
      </w:tr>
      <w:tr>
        <w:tc>
          <w:tcPr>
            <w:tcW w:type="dxa" w:w="6624"/>
          </w:tcPr>
          <w:p>
            <w:pPr>
              <w:spacing w:after="20"/>
            </w:pPr>
            <w:r>
              <w:rPr>
                <w:color w:val="1C3A36"/>
                <w:sz w:val="18"/>
              </w:rPr>
              <w:t>Pre-zakat, normalised</w:t>
            </w:r>
          </w:p>
        </w:tc>
        <w:tc>
          <w:tcPr>
            <w:tcW w:type="dxa" w:w="2304"/>
          </w:tcPr>
          <w:p>
            <w:pPr>
              <w:spacing w:after="20"/>
              <w:jc w:val="right"/>
            </w:pPr>
            <w:r>
              <w:rPr>
                <w:color w:val="1C3A36"/>
                <w:sz w:val="18"/>
              </w:rPr>
              <w:t>7,363</w:t>
            </w:r>
          </w:p>
        </w:tc>
      </w:tr>
      <w:tr>
        <w:tc>
          <w:tcPr>
            <w:tcW w:type="dxa" w:w="6624"/>
          </w:tcPr>
          <w:p>
            <w:pPr>
              <w:spacing w:after="20"/>
            </w:pPr>
            <w:r>
              <w:rPr>
                <w:color w:val="1C3A36"/>
                <w:sz w:val="18"/>
              </w:rPr>
              <w:t>NI to common (−10.2% zakat, −T1 520)</w:t>
            </w:r>
          </w:p>
        </w:tc>
        <w:tc>
          <w:tcPr>
            <w:tcW w:type="dxa" w:w="2304"/>
          </w:tcPr>
          <w:p>
            <w:pPr>
              <w:spacing w:after="20"/>
              <w:jc w:val="right"/>
            </w:pPr>
            <w:r>
              <w:rPr>
                <w:color w:val="1C3A36"/>
                <w:sz w:val="18"/>
              </w:rPr>
              <w:t>6,092</w:t>
            </w:r>
          </w:p>
        </w:tc>
      </w:tr>
      <w:tr>
        <w:tc>
          <w:tcPr>
            <w:tcW w:type="dxa" w:w="6624"/>
          </w:tcPr>
          <w:p>
            <w:pPr>
              <w:spacing w:after="20"/>
            </w:pPr>
            <w:r>
              <w:rPr>
                <w:color w:val="1C3A36"/>
                <w:sz w:val="18"/>
              </w:rPr>
              <w:t>Normalised EPS</w:t>
            </w:r>
          </w:p>
        </w:tc>
        <w:tc>
          <w:tcPr>
            <w:tcW w:type="dxa" w:w="2304"/>
          </w:tcPr>
          <w:p>
            <w:pPr>
              <w:spacing w:after="20"/>
              <w:jc w:val="right"/>
            </w:pPr>
            <w:r>
              <w:rPr>
                <w:color w:val="1C3A36"/>
                <w:sz w:val="18"/>
              </w:rPr>
              <w:t>2.03</w:t>
            </w:r>
          </w:p>
        </w:tc>
      </w:tr>
      <w:tr>
        <w:tc>
          <w:tcPr>
            <w:tcW w:type="dxa" w:w="6624"/>
          </w:tcPr>
          <w:p>
            <w:pPr>
              <w:spacing w:after="20"/>
            </w:pPr>
            <w:r>
              <w:rPr>
                <w:color w:val="1C3A36"/>
                <w:sz w:val="18"/>
              </w:rPr>
              <w:t>× through-cycle bank multiple 10.5×</w:t>
            </w:r>
          </w:p>
        </w:tc>
        <w:tc>
          <w:tcPr>
            <w:tcW w:type="dxa" w:w="2304"/>
          </w:tcPr>
          <w:p>
            <w:pPr>
              <w:spacing w:after="20"/>
              <w:jc w:val="right"/>
            </w:pPr>
            <w:r>
              <w:rPr>
                <w:color w:val="1C3A36"/>
                <w:sz w:val="18"/>
              </w:rPr>
              <w:t>SAR 21.3</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312"/>
            <w:shd w:val="clear" w:color="auto" w:fill="EAF0EE"/>
          </w:tcPr>
          <w:p>
            <w:pPr>
              <w:spacing w:after="20"/>
            </w:pPr>
            <w:r>
              <w:rPr>
                <w:b/>
                <w:color w:val="1C3A36"/>
                <w:sz w:val="17"/>
              </w:rPr>
              <w:t>Swing input: through-cycle CoR</w:t>
            </w:r>
          </w:p>
        </w:tc>
        <w:tc>
          <w:tcPr>
            <w:tcW w:type="dxa" w:w="1368"/>
            <w:shd w:val="clear" w:color="auto" w:fill="EAF0EE"/>
          </w:tcPr>
          <w:p>
            <w:pPr>
              <w:spacing w:after="20"/>
            </w:pPr>
            <w:r>
              <w:rPr>
                <w:b/>
                <w:color w:val="1C3A36"/>
                <w:sz w:val="17"/>
              </w:rPr>
              <w:t>50bp</w:t>
            </w:r>
          </w:p>
        </w:tc>
        <w:tc>
          <w:tcPr>
            <w:tcW w:type="dxa" w:w="1368"/>
            <w:shd w:val="clear" w:color="auto" w:fill="EAF0EE"/>
          </w:tcPr>
          <w:p>
            <w:pPr>
              <w:spacing w:after="20"/>
            </w:pPr>
            <w:r>
              <w:rPr>
                <w:b/>
                <w:color w:val="1C3A36"/>
                <w:sz w:val="17"/>
              </w:rPr>
              <w:t>60bp</w:t>
            </w:r>
          </w:p>
        </w:tc>
        <w:tc>
          <w:tcPr>
            <w:tcW w:type="dxa" w:w="1656"/>
            <w:shd w:val="clear" w:color="auto" w:fill="EAF0EE"/>
          </w:tcPr>
          <w:p>
            <w:pPr>
              <w:spacing w:after="20"/>
            </w:pPr>
            <w:r>
              <w:rPr>
                <w:b/>
                <w:color w:val="1C3A36"/>
                <w:sz w:val="17"/>
              </w:rPr>
              <w:t>70bp (base)</w:t>
            </w:r>
          </w:p>
        </w:tc>
        <w:tc>
          <w:tcPr>
            <w:tcW w:type="dxa" w:w="1368"/>
            <w:shd w:val="clear" w:color="auto" w:fill="EAF0EE"/>
          </w:tcPr>
          <w:p>
            <w:pPr>
              <w:spacing w:after="20"/>
            </w:pPr>
            <w:r>
              <w:rPr>
                <w:b/>
                <w:color w:val="1C3A36"/>
                <w:sz w:val="17"/>
              </w:rPr>
              <w:t>85bp</w:t>
            </w:r>
          </w:p>
        </w:tc>
        <w:tc>
          <w:tcPr>
            <w:tcW w:type="dxa" w:w="1368"/>
            <w:shd w:val="clear" w:color="auto" w:fill="EAF0EE"/>
          </w:tcPr>
          <w:p>
            <w:pPr>
              <w:spacing w:after="20"/>
            </w:pPr>
            <w:r>
              <w:rPr>
                <w:b/>
                <w:color w:val="1C3A36"/>
                <w:sz w:val="17"/>
              </w:rPr>
              <w:t>100bp</w:t>
            </w:r>
          </w:p>
        </w:tc>
      </w:tr>
      <w:tr>
        <w:tc>
          <w:tcPr>
            <w:tcW w:type="dxa" w:w="3312"/>
          </w:tcPr>
          <w:p>
            <w:pPr>
              <w:spacing w:after="20"/>
            </w:pPr>
            <w:r>
              <w:rPr>
                <w:color w:val="1C3A36"/>
                <w:sz w:val="17"/>
              </w:rPr>
              <w:t>Normalised EPS</w:t>
            </w:r>
          </w:p>
        </w:tc>
        <w:tc>
          <w:tcPr>
            <w:tcW w:type="dxa" w:w="1368"/>
          </w:tcPr>
          <w:p>
            <w:pPr>
              <w:spacing w:after="20"/>
              <w:jc w:val="right"/>
            </w:pPr>
            <w:r>
              <w:rPr>
                <w:color w:val="1C3A36"/>
                <w:sz w:val="17"/>
              </w:rPr>
              <w:t>2.28</w:t>
            </w:r>
          </w:p>
        </w:tc>
        <w:tc>
          <w:tcPr>
            <w:tcW w:type="dxa" w:w="1368"/>
          </w:tcPr>
          <w:p>
            <w:pPr>
              <w:spacing w:after="20"/>
              <w:jc w:val="right"/>
            </w:pPr>
            <w:r>
              <w:rPr>
                <w:color w:val="1C3A36"/>
                <w:sz w:val="17"/>
              </w:rPr>
              <w:t>2.19</w:t>
            </w:r>
          </w:p>
        </w:tc>
        <w:tc>
          <w:tcPr>
            <w:tcW w:type="dxa" w:w="1656"/>
          </w:tcPr>
          <w:p>
            <w:pPr>
              <w:spacing w:after="20"/>
              <w:jc w:val="right"/>
            </w:pPr>
            <w:r>
              <w:rPr>
                <w:color w:val="1C3A36"/>
                <w:sz w:val="17"/>
              </w:rPr>
              <w:t>2.10</w:t>
            </w:r>
          </w:p>
        </w:tc>
        <w:tc>
          <w:tcPr>
            <w:tcW w:type="dxa" w:w="1368"/>
          </w:tcPr>
          <w:p>
            <w:pPr>
              <w:spacing w:after="20"/>
              <w:jc w:val="right"/>
            </w:pPr>
            <w:r>
              <w:rPr>
                <w:color w:val="1C3A36"/>
                <w:sz w:val="17"/>
              </w:rPr>
              <w:t>1.97</w:t>
            </w:r>
          </w:p>
        </w:tc>
        <w:tc>
          <w:tcPr>
            <w:tcW w:type="dxa" w:w="1368"/>
          </w:tcPr>
          <w:p>
            <w:pPr>
              <w:spacing w:after="20"/>
              <w:jc w:val="right"/>
            </w:pPr>
            <w:r>
              <w:rPr>
                <w:color w:val="1C3A36"/>
                <w:sz w:val="17"/>
              </w:rPr>
              <w:t>1.83</w:t>
            </w:r>
          </w:p>
        </w:tc>
      </w:tr>
      <w:tr>
        <w:tc>
          <w:tcPr>
            <w:tcW w:type="dxa" w:w="3312"/>
          </w:tcPr>
          <w:p>
            <w:pPr>
              <w:spacing w:after="20"/>
            </w:pPr>
            <w:r>
              <w:rPr>
                <w:color w:val="1C3A36"/>
                <w:sz w:val="17"/>
              </w:rPr>
              <w:t>Fair value @10.5×</w:t>
            </w:r>
          </w:p>
        </w:tc>
        <w:tc>
          <w:tcPr>
            <w:tcW w:type="dxa" w:w="1368"/>
          </w:tcPr>
          <w:p>
            <w:pPr>
              <w:spacing w:after="20"/>
              <w:jc w:val="right"/>
            </w:pPr>
            <w:r>
              <w:rPr>
                <w:color w:val="1C3A36"/>
                <w:sz w:val="17"/>
              </w:rPr>
              <w:t>23.9</w:t>
            </w:r>
          </w:p>
        </w:tc>
        <w:tc>
          <w:tcPr>
            <w:tcW w:type="dxa" w:w="1368"/>
          </w:tcPr>
          <w:p>
            <w:pPr>
              <w:spacing w:after="20"/>
              <w:jc w:val="right"/>
            </w:pPr>
            <w:r>
              <w:rPr>
                <w:color w:val="1C3A36"/>
                <w:sz w:val="17"/>
              </w:rPr>
              <w:t>23.0</w:t>
            </w:r>
          </w:p>
        </w:tc>
        <w:tc>
          <w:tcPr>
            <w:tcW w:type="dxa" w:w="1656"/>
          </w:tcPr>
          <w:p>
            <w:pPr>
              <w:spacing w:after="20"/>
              <w:jc w:val="right"/>
            </w:pPr>
            <w:r>
              <w:rPr>
                <w:color w:val="1C3A36"/>
                <w:sz w:val="17"/>
              </w:rPr>
              <w:t>22.1</w:t>
            </w:r>
          </w:p>
        </w:tc>
        <w:tc>
          <w:tcPr>
            <w:tcW w:type="dxa" w:w="1368"/>
          </w:tcPr>
          <w:p>
            <w:pPr>
              <w:spacing w:after="20"/>
              <w:jc w:val="right"/>
            </w:pPr>
            <w:r>
              <w:rPr>
                <w:color w:val="1C3A36"/>
                <w:sz w:val="17"/>
              </w:rPr>
              <w:t>20.7</w:t>
            </w:r>
          </w:p>
        </w:tc>
        <w:tc>
          <w:tcPr>
            <w:tcW w:type="dxa" w:w="1368"/>
          </w:tcPr>
          <w:p>
            <w:pPr>
              <w:spacing w:after="20"/>
              <w:jc w:val="right"/>
            </w:pPr>
            <w:r>
              <w:rPr>
                <w:color w:val="1C3A36"/>
                <w:sz w:val="17"/>
              </w:rPr>
              <w:t>19.2</w:t>
            </w:r>
          </w:p>
        </w:tc>
      </w:tr>
    </w:tbl>
    <w:p>
      <w:pPr>
        <w:spacing w:after="40"/>
      </w:pPr>
    </w:p>
    <w:p>
      <w:pPr>
        <w:spacing w:after="120" w:before="0"/>
      </w:pPr>
      <w:r>
        <w:rPr>
          <w:b w:val="0"/>
          <w:i w:val="0"/>
          <w:color w:val="1C3A36"/>
          <w:sz w:val="19"/>
        </w:rPr>
        <w:t>Cross-examination. Against Expert 1: your 2.0× book capitalises a loss rate we have only observed in a boom — my 70bp is what the licence costs across a cycle. Against Expert 3: dividends are the output of provisioning discipline, not an anchor. Verdict: SAR ~22.1, spot roughly fair. Falsification: NPLs holding ≤1.6% and CoR ≤55bp through a full SAMA cut-and-slowdown cycle — then 49bp was structural and I surrender ~SAR 2.5.</w:t>
      </w:r>
    </w:p>
    <w:p>
      <w:pPr>
        <w:spacing w:after="80" w:before="200"/>
      </w:pPr>
      <w:r>
        <w:rPr>
          <w:b/>
          <w:i w:val="0"/>
          <w:color w:val="1C3A36"/>
          <w:sz w:val="24"/>
        </w:rPr>
        <w:t>C.3  Expert 3 — macro, policy and the dividend</w:t>
      </w:r>
    </w:p>
    <w:p>
      <w:pPr>
        <w:spacing w:after="120" w:before="0"/>
      </w:pPr>
      <w:r>
        <w:rPr>
          <w:b w:val="0"/>
          <w:i w:val="0"/>
          <w:color w:val="1C3A36"/>
          <w:sz w:val="19"/>
        </w:rPr>
        <w:t>Worldview. In a pegged economy the bank is a rates-and-fiscal instrument: SAMA imports the Fed, oil sets the fiscal impulse, and the dividend is the only cash fact. Value the payment stream under the policy path. Works when policy dominates; fails at idiosyncratic franchise breaks.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624"/>
            <w:shd w:val="clear" w:color="auto" w:fill="EAF0EE"/>
          </w:tcPr>
          <w:p>
            <w:pPr>
              <w:spacing w:after="20"/>
            </w:pPr>
            <w:r>
              <w:rPr>
                <w:b/>
                <w:color w:val="1C3A36"/>
                <w:sz w:val="18"/>
              </w:rPr>
              <w:t>Workings</w:t>
            </w:r>
          </w:p>
        </w:tc>
        <w:tc>
          <w:tcPr>
            <w:tcW w:type="dxa" w:w="2304"/>
            <w:shd w:val="clear" w:color="auto" w:fill="EAF0EE"/>
          </w:tcPr>
          <w:p>
            <w:pPr>
              <w:spacing w:after="20"/>
            </w:pPr>
            <w:r>
              <w:rPr>
                <w:b/>
                <w:color w:val="1C3A36"/>
                <w:sz w:val="18"/>
              </w:rPr>
              <w:t>Value</w:t>
            </w:r>
          </w:p>
        </w:tc>
      </w:tr>
      <w:tr>
        <w:tc>
          <w:tcPr>
            <w:tcW w:type="dxa" w:w="6624"/>
          </w:tcPr>
          <w:p>
            <w:pPr>
              <w:spacing w:after="20"/>
            </w:pPr>
            <w:r>
              <w:rPr>
                <w:color w:val="1C3A36"/>
                <w:sz w:val="18"/>
              </w:rPr>
              <w:t>Ke: rf 4.80% + β 0.85 (policy-blend) × CDS ERP 5.72%</w:t>
            </w:r>
          </w:p>
        </w:tc>
        <w:tc>
          <w:tcPr>
            <w:tcW w:type="dxa" w:w="2304"/>
          </w:tcPr>
          <w:p>
            <w:pPr>
              <w:spacing w:after="20"/>
              <w:jc w:val="right"/>
            </w:pPr>
            <w:r>
              <w:rPr>
                <w:color w:val="1C3A36"/>
                <w:sz w:val="18"/>
              </w:rPr>
              <w:t>9.66%</w:t>
            </w:r>
          </w:p>
        </w:tc>
      </w:tr>
      <w:tr>
        <w:tc>
          <w:tcPr>
            <w:tcW w:type="dxa" w:w="6624"/>
          </w:tcPr>
          <w:p>
            <w:pPr>
              <w:spacing w:after="20"/>
            </w:pPr>
            <w:r>
              <w:rPr>
                <w:color w:val="1C3A36"/>
                <w:sz w:val="18"/>
              </w:rPr>
              <w:t>Terminal g under sustained Vision-2030 nominal growth</w:t>
            </w:r>
          </w:p>
        </w:tc>
        <w:tc>
          <w:tcPr>
            <w:tcW w:type="dxa" w:w="2304"/>
          </w:tcPr>
          <w:p>
            <w:pPr>
              <w:spacing w:after="20"/>
              <w:jc w:val="right"/>
            </w:pPr>
            <w:r>
              <w:rPr>
                <w:color w:val="1C3A36"/>
                <w:sz w:val="18"/>
              </w:rPr>
              <w:t>3.25%</w:t>
            </w:r>
          </w:p>
        </w:tc>
      </w:tr>
      <w:tr>
        <w:tc>
          <w:tcPr>
            <w:tcW w:type="dxa" w:w="6624"/>
          </w:tcPr>
          <w:p>
            <w:pPr>
              <w:spacing w:after="20"/>
            </w:pPr>
            <w:r>
              <w:rPr>
                <w:color w:val="1C3A36"/>
                <w:sz w:val="18"/>
              </w:rPr>
              <w:t>PV of DPS FY26–30 (SAR 1.02 → 1.59)</w:t>
            </w:r>
          </w:p>
        </w:tc>
        <w:tc>
          <w:tcPr>
            <w:tcW w:type="dxa" w:w="2304"/>
          </w:tcPr>
          <w:p>
            <w:pPr>
              <w:spacing w:after="20"/>
              <w:jc w:val="right"/>
            </w:pPr>
            <w:r>
              <w:rPr>
                <w:color w:val="1C3A36"/>
                <w:sz w:val="18"/>
              </w:rPr>
              <w:t>4.90</w:t>
            </w:r>
          </w:p>
        </w:tc>
      </w:tr>
      <w:tr>
        <w:tc>
          <w:tcPr>
            <w:tcW w:type="dxa" w:w="6624"/>
          </w:tcPr>
          <w:p>
            <w:pPr>
              <w:spacing w:after="20"/>
            </w:pPr>
            <w:r>
              <w:rPr>
                <w:color w:val="1C3A36"/>
                <w:sz w:val="18"/>
              </w:rPr>
              <w:t>PV of terminal (payout_t = 1 − 3.25/16 = 79.7%)</w:t>
            </w:r>
          </w:p>
        </w:tc>
        <w:tc>
          <w:tcPr>
            <w:tcW w:type="dxa" w:w="2304"/>
          </w:tcPr>
          <w:p>
            <w:pPr>
              <w:spacing w:after="20"/>
              <w:jc w:val="right"/>
            </w:pPr>
            <w:r>
              <w:rPr>
                <w:color w:val="1C3A36"/>
                <w:sz w:val="18"/>
              </w:rPr>
              <w:t>25.80</w:t>
            </w:r>
          </w:p>
        </w:tc>
      </w:tr>
      <w:tr>
        <w:tc>
          <w:tcPr>
            <w:tcW w:type="dxa" w:w="6624"/>
          </w:tcPr>
          <w:p>
            <w:pPr>
              <w:spacing w:after="20"/>
            </w:pPr>
            <w:r>
              <w:rPr>
                <w:color w:val="1C3A36"/>
                <w:sz w:val="18"/>
              </w:rPr>
              <w:t>Fair value</w:t>
            </w:r>
          </w:p>
        </w:tc>
        <w:tc>
          <w:tcPr>
            <w:tcW w:type="dxa" w:w="2304"/>
          </w:tcPr>
          <w:p>
            <w:pPr>
              <w:spacing w:after="20"/>
              <w:jc w:val="right"/>
            </w:pPr>
            <w:r>
              <w:rPr>
                <w:color w:val="1C3A36"/>
                <w:sz w:val="18"/>
              </w:rPr>
              <w:t>SAR 30.7</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312"/>
            <w:shd w:val="clear" w:color="auto" w:fill="EAF0EE"/>
          </w:tcPr>
          <w:p>
            <w:pPr>
              <w:spacing w:after="20"/>
            </w:pPr>
            <w:r>
              <w:rPr>
                <w:b/>
                <w:color w:val="1C3A36"/>
                <w:sz w:val="17"/>
              </w:rPr>
              <w:t>Swing input: rf (SAR 10Y)</w:t>
            </w:r>
          </w:p>
        </w:tc>
        <w:tc>
          <w:tcPr>
            <w:tcW w:type="dxa" w:w="1368"/>
            <w:shd w:val="clear" w:color="auto" w:fill="EAF0EE"/>
          </w:tcPr>
          <w:p>
            <w:pPr>
              <w:spacing w:after="20"/>
            </w:pPr>
            <w:r>
              <w:rPr>
                <w:b/>
                <w:color w:val="1C3A36"/>
                <w:sz w:val="17"/>
              </w:rPr>
              <w:t>4.3%</w:t>
            </w:r>
          </w:p>
        </w:tc>
        <w:tc>
          <w:tcPr>
            <w:tcW w:type="dxa" w:w="1368"/>
            <w:shd w:val="clear" w:color="auto" w:fill="EAF0EE"/>
          </w:tcPr>
          <w:p>
            <w:pPr>
              <w:spacing w:after="20"/>
            </w:pPr>
            <w:r>
              <w:rPr>
                <w:b/>
                <w:color w:val="1C3A36"/>
                <w:sz w:val="17"/>
              </w:rPr>
              <w:t>4.55%</w:t>
            </w:r>
          </w:p>
        </w:tc>
        <w:tc>
          <w:tcPr>
            <w:tcW w:type="dxa" w:w="1656"/>
            <w:shd w:val="clear" w:color="auto" w:fill="EAF0EE"/>
          </w:tcPr>
          <w:p>
            <w:pPr>
              <w:spacing w:after="20"/>
            </w:pPr>
            <w:r>
              <w:rPr>
                <w:b/>
                <w:color w:val="1C3A36"/>
                <w:sz w:val="17"/>
              </w:rPr>
              <w:t>4.8% (base)</w:t>
            </w:r>
          </w:p>
        </w:tc>
        <w:tc>
          <w:tcPr>
            <w:tcW w:type="dxa" w:w="1368"/>
            <w:shd w:val="clear" w:color="auto" w:fill="EAF0EE"/>
          </w:tcPr>
          <w:p>
            <w:pPr>
              <w:spacing w:after="20"/>
            </w:pPr>
            <w:r>
              <w:rPr>
                <w:b/>
                <w:color w:val="1C3A36"/>
                <w:sz w:val="17"/>
              </w:rPr>
              <w:t>5.05%</w:t>
            </w:r>
          </w:p>
        </w:tc>
        <w:tc>
          <w:tcPr>
            <w:tcW w:type="dxa" w:w="1368"/>
            <w:shd w:val="clear" w:color="auto" w:fill="EAF0EE"/>
          </w:tcPr>
          <w:p>
            <w:pPr>
              <w:spacing w:after="20"/>
            </w:pPr>
            <w:r>
              <w:rPr>
                <w:b/>
                <w:color w:val="1C3A36"/>
                <w:sz w:val="17"/>
              </w:rPr>
              <w:t>5.3%</w:t>
            </w:r>
          </w:p>
        </w:tc>
      </w:tr>
      <w:tr>
        <w:tc>
          <w:tcPr>
            <w:tcW w:type="dxa" w:w="3312"/>
          </w:tcPr>
          <w:p>
            <w:pPr>
              <w:spacing w:after="20"/>
            </w:pPr>
            <w:r>
              <w:rPr>
                <w:color w:val="1C3A36"/>
                <w:sz w:val="17"/>
              </w:rPr>
              <w:t>Ke</w:t>
            </w:r>
          </w:p>
        </w:tc>
        <w:tc>
          <w:tcPr>
            <w:tcW w:type="dxa" w:w="1368"/>
          </w:tcPr>
          <w:p>
            <w:pPr>
              <w:spacing w:after="20"/>
              <w:jc w:val="right"/>
            </w:pPr>
            <w:r>
              <w:rPr>
                <w:color w:val="1C3A36"/>
                <w:sz w:val="17"/>
              </w:rPr>
              <w:t>9.16%</w:t>
            </w:r>
          </w:p>
        </w:tc>
        <w:tc>
          <w:tcPr>
            <w:tcW w:type="dxa" w:w="1368"/>
          </w:tcPr>
          <w:p>
            <w:pPr>
              <w:spacing w:after="20"/>
              <w:jc w:val="right"/>
            </w:pPr>
            <w:r>
              <w:rPr>
                <w:color w:val="1C3A36"/>
                <w:sz w:val="17"/>
              </w:rPr>
              <w:t>9.41%</w:t>
            </w:r>
          </w:p>
        </w:tc>
        <w:tc>
          <w:tcPr>
            <w:tcW w:type="dxa" w:w="1656"/>
          </w:tcPr>
          <w:p>
            <w:pPr>
              <w:spacing w:after="20"/>
              <w:jc w:val="right"/>
            </w:pPr>
            <w:r>
              <w:rPr>
                <w:color w:val="1C3A36"/>
                <w:sz w:val="17"/>
              </w:rPr>
              <w:t>9.66%</w:t>
            </w:r>
          </w:p>
        </w:tc>
        <w:tc>
          <w:tcPr>
            <w:tcW w:type="dxa" w:w="1368"/>
          </w:tcPr>
          <w:p>
            <w:pPr>
              <w:spacing w:after="20"/>
              <w:jc w:val="right"/>
            </w:pPr>
            <w:r>
              <w:rPr>
                <w:color w:val="1C3A36"/>
                <w:sz w:val="17"/>
              </w:rPr>
              <w:t>9.91%</w:t>
            </w:r>
          </w:p>
        </w:tc>
        <w:tc>
          <w:tcPr>
            <w:tcW w:type="dxa" w:w="1368"/>
          </w:tcPr>
          <w:p>
            <w:pPr>
              <w:spacing w:after="20"/>
              <w:jc w:val="right"/>
            </w:pPr>
            <w:r>
              <w:rPr>
                <w:color w:val="1C3A36"/>
                <w:sz w:val="17"/>
              </w:rPr>
              <w:t>10.16%</w:t>
            </w:r>
          </w:p>
        </w:tc>
      </w:tr>
      <w:tr>
        <w:tc>
          <w:tcPr>
            <w:tcW w:type="dxa" w:w="3312"/>
          </w:tcPr>
          <w:p>
            <w:pPr>
              <w:spacing w:after="20"/>
            </w:pPr>
            <w:r>
              <w:rPr>
                <w:color w:val="1C3A36"/>
                <w:sz w:val="17"/>
              </w:rPr>
              <w:t>Fair value (SAR)</w:t>
            </w:r>
          </w:p>
        </w:tc>
        <w:tc>
          <w:tcPr>
            <w:tcW w:type="dxa" w:w="1368"/>
          </w:tcPr>
          <w:p>
            <w:pPr>
              <w:spacing w:after="20"/>
              <w:jc w:val="right"/>
            </w:pPr>
            <w:r>
              <w:rPr>
                <w:color w:val="1C3A36"/>
                <w:sz w:val="17"/>
              </w:rPr>
              <w:t>31.6</w:t>
            </w:r>
          </w:p>
        </w:tc>
        <w:tc>
          <w:tcPr>
            <w:tcW w:type="dxa" w:w="1368"/>
          </w:tcPr>
          <w:p>
            <w:pPr>
              <w:spacing w:after="20"/>
              <w:jc w:val="right"/>
            </w:pPr>
            <w:r>
              <w:rPr>
                <w:color w:val="1C3A36"/>
                <w:sz w:val="17"/>
              </w:rPr>
              <w:t>30.1</w:t>
            </w:r>
          </w:p>
        </w:tc>
        <w:tc>
          <w:tcPr>
            <w:tcW w:type="dxa" w:w="1656"/>
          </w:tcPr>
          <w:p>
            <w:pPr>
              <w:spacing w:after="20"/>
              <w:jc w:val="right"/>
            </w:pPr>
            <w:r>
              <w:rPr>
                <w:color w:val="1C3A36"/>
                <w:sz w:val="17"/>
              </w:rPr>
              <w:t>28.7</w:t>
            </w:r>
          </w:p>
        </w:tc>
        <w:tc>
          <w:tcPr>
            <w:tcW w:type="dxa" w:w="1368"/>
          </w:tcPr>
          <w:p>
            <w:pPr>
              <w:spacing w:after="20"/>
              <w:jc w:val="right"/>
            </w:pPr>
            <w:r>
              <w:rPr>
                <w:color w:val="1C3A36"/>
                <w:sz w:val="17"/>
              </w:rPr>
              <w:t>27.4</w:t>
            </w:r>
          </w:p>
        </w:tc>
        <w:tc>
          <w:tcPr>
            <w:tcW w:type="dxa" w:w="1368"/>
          </w:tcPr>
          <w:p>
            <w:pPr>
              <w:spacing w:after="20"/>
              <w:jc w:val="right"/>
            </w:pPr>
            <w:r>
              <w:rPr>
                <w:color w:val="1C3A36"/>
                <w:sz w:val="17"/>
              </w:rPr>
              <w:t>26.2</w:t>
            </w:r>
          </w:p>
        </w:tc>
      </w:tr>
    </w:tbl>
    <w:p>
      <w:pPr>
        <w:spacing w:after="40"/>
      </w:pPr>
    </w:p>
    <w:p>
      <w:pPr>
        <w:spacing w:after="120" w:before="0"/>
      </w:pPr>
      <w:r>
        <w:rPr>
          <w:b w:val="0"/>
          <w:i w:val="0"/>
          <w:color w:val="1C3A36"/>
          <w:sz w:val="19"/>
        </w:rPr>
        <w:t>Cross-examination. Against Expert 1: your Ke is a two-month beta wearing a suit — mine at least names the policy path it assumes. Against Expert 2: your cycle normalisation ignores that the sovereign IS the cycle here; fiscal capacity at current oil prices funds the soft landing your 70bp fears. Verdict: SAR ~28.7, cheap. Falsification: the constructed rf proving 60bp+ too low when a real SAGBI print lands, or the peg's credibility ever pricing into CDS.</w:t>
      </w:r>
    </w:p>
    <w:p>
      <w:pPr>
        <w:spacing w:after="80" w:before="200"/>
      </w:pPr>
      <w:r>
        <w:rPr>
          <w:b/>
          <w:i w:val="0"/>
          <w:color w:val="1C3A36"/>
          <w:sz w:val="24"/>
        </w:rPr>
        <w:t>C.5  The three in one room</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312"/>
            <w:shd w:val="clear" w:color="auto" w:fill="EAF0EE"/>
          </w:tcPr>
          <w:p>
            <w:pPr>
              <w:spacing w:after="20"/>
            </w:pPr>
            <w:r>
              <w:rPr>
                <w:b/>
                <w:color w:val="1C3A36"/>
                <w:sz w:val="18"/>
              </w:rPr>
              <w:t>Expert</w:t>
            </w:r>
          </w:p>
        </w:tc>
        <w:tc>
          <w:tcPr>
            <w:tcW w:type="dxa" w:w="3600"/>
            <w:shd w:val="clear" w:color="auto" w:fill="EAF0EE"/>
          </w:tcPr>
          <w:p>
            <w:pPr>
              <w:spacing w:after="20"/>
            </w:pPr>
            <w:r>
              <w:rPr>
                <w:b/>
                <w:color w:val="1C3A36"/>
                <w:sz w:val="18"/>
              </w:rPr>
              <w:t>Method</w:t>
            </w:r>
          </w:p>
        </w:tc>
        <w:tc>
          <w:tcPr>
            <w:tcW w:type="dxa" w:w="1872"/>
            <w:shd w:val="clear" w:color="auto" w:fill="EAF0EE"/>
          </w:tcPr>
          <w:p>
            <w:pPr>
              <w:spacing w:after="20"/>
            </w:pPr>
            <w:r>
              <w:rPr>
                <w:b/>
                <w:color w:val="1C3A36"/>
                <w:sz w:val="18"/>
              </w:rPr>
              <w:t>Fair value</w:t>
            </w:r>
          </w:p>
        </w:tc>
        <w:tc>
          <w:tcPr>
            <w:tcW w:type="dxa" w:w="1440"/>
            <w:shd w:val="clear" w:color="auto" w:fill="EAF0EE"/>
          </w:tcPr>
          <w:p>
            <w:pPr>
              <w:spacing w:after="20"/>
            </w:pPr>
            <w:r>
              <w:rPr>
                <w:b/>
                <w:color w:val="1C3A36"/>
                <w:sz w:val="18"/>
              </w:rPr>
              <w:t>vs spot</w:t>
            </w:r>
          </w:p>
        </w:tc>
      </w:tr>
      <w:tr>
        <w:tc>
          <w:tcPr>
            <w:tcW w:type="dxa" w:w="3312"/>
          </w:tcPr>
          <w:p>
            <w:pPr>
              <w:spacing w:after="20"/>
            </w:pPr>
            <w:r>
              <w:rPr>
                <w:color w:val="1C3A36"/>
                <w:sz w:val="18"/>
              </w:rPr>
              <w:t>Expert 1 — capital &amp; returns</w:t>
            </w:r>
          </w:p>
        </w:tc>
        <w:tc>
          <w:tcPr>
            <w:tcW w:type="dxa" w:w="3600"/>
          </w:tcPr>
          <w:p>
            <w:pPr>
              <w:spacing w:after="20"/>
              <w:jc w:val="right"/>
            </w:pPr>
            <w:r>
              <w:rPr>
                <w:color w:val="1C3A36"/>
                <w:sz w:val="18"/>
              </w:rPr>
              <w:t>Justified P/B on faded ROE</w:t>
            </w:r>
          </w:p>
        </w:tc>
        <w:tc>
          <w:tcPr>
            <w:tcW w:type="dxa" w:w="1872"/>
          </w:tcPr>
          <w:p>
            <w:pPr>
              <w:spacing w:after="20"/>
              <w:jc w:val="right"/>
            </w:pPr>
            <w:r>
              <w:rPr>
                <w:color w:val="1C3A36"/>
                <w:sz w:val="18"/>
              </w:rPr>
              <w:t>SAR 25.4</w:t>
            </w:r>
          </w:p>
        </w:tc>
        <w:tc>
          <w:tcPr>
            <w:tcW w:type="dxa" w:w="1440"/>
          </w:tcPr>
          <w:p>
            <w:pPr>
              <w:spacing w:after="20"/>
              <w:jc w:val="right"/>
            </w:pPr>
            <w:r>
              <w:rPr>
                <w:color w:val="1C3A36"/>
                <w:sz w:val="18"/>
              </w:rPr>
              <w:t>+6%</w:t>
            </w:r>
          </w:p>
        </w:tc>
      </w:tr>
      <w:tr>
        <w:tc>
          <w:tcPr>
            <w:tcW w:type="dxa" w:w="3312"/>
          </w:tcPr>
          <w:p>
            <w:pPr>
              <w:spacing w:after="20"/>
            </w:pPr>
            <w:r>
              <w:rPr>
                <w:color w:val="1C3A36"/>
                <w:sz w:val="18"/>
              </w:rPr>
              <w:t>Expert 2 — credit cycle</w:t>
            </w:r>
          </w:p>
        </w:tc>
        <w:tc>
          <w:tcPr>
            <w:tcW w:type="dxa" w:w="3600"/>
          </w:tcPr>
          <w:p>
            <w:pPr>
              <w:spacing w:after="20"/>
              <w:jc w:val="right"/>
            </w:pPr>
            <w:r>
              <w:rPr>
                <w:color w:val="1C3A36"/>
                <w:sz w:val="18"/>
              </w:rPr>
              <w:t>Normalised provisioning × through-cycle P/E</w:t>
            </w:r>
          </w:p>
        </w:tc>
        <w:tc>
          <w:tcPr>
            <w:tcW w:type="dxa" w:w="1872"/>
          </w:tcPr>
          <w:p>
            <w:pPr>
              <w:spacing w:after="20"/>
              <w:jc w:val="right"/>
            </w:pPr>
            <w:r>
              <w:rPr>
                <w:color w:val="1C3A36"/>
                <w:sz w:val="18"/>
              </w:rPr>
              <w:t>SAR 22.1</w:t>
            </w:r>
          </w:p>
        </w:tc>
        <w:tc>
          <w:tcPr>
            <w:tcW w:type="dxa" w:w="1440"/>
          </w:tcPr>
          <w:p>
            <w:pPr>
              <w:spacing w:after="20"/>
              <w:jc w:val="right"/>
            </w:pPr>
            <w:r>
              <w:rPr>
                <w:color w:val="1C3A36"/>
                <w:sz w:val="18"/>
              </w:rPr>
              <w:t>-8%</w:t>
            </w:r>
          </w:p>
        </w:tc>
      </w:tr>
      <w:tr>
        <w:tc>
          <w:tcPr>
            <w:tcW w:type="dxa" w:w="3312"/>
          </w:tcPr>
          <w:p>
            <w:pPr>
              <w:spacing w:after="20"/>
            </w:pPr>
            <w:r>
              <w:rPr>
                <w:color w:val="1C3A36"/>
                <w:sz w:val="18"/>
              </w:rPr>
              <w:t>Expert 3 — macro-policy-dividend</w:t>
            </w:r>
          </w:p>
        </w:tc>
        <w:tc>
          <w:tcPr>
            <w:tcW w:type="dxa" w:w="3600"/>
          </w:tcPr>
          <w:p>
            <w:pPr>
              <w:spacing w:after="20"/>
              <w:jc w:val="right"/>
            </w:pPr>
            <w:r>
              <w:rPr>
                <w:color w:val="1C3A36"/>
                <w:sz w:val="18"/>
              </w:rPr>
              <w:t>Policy-path DDM</w:t>
            </w:r>
          </w:p>
        </w:tc>
        <w:tc>
          <w:tcPr>
            <w:tcW w:type="dxa" w:w="1872"/>
          </w:tcPr>
          <w:p>
            <w:pPr>
              <w:spacing w:after="20"/>
              <w:jc w:val="right"/>
            </w:pPr>
            <w:r>
              <w:rPr>
                <w:color w:val="1C3A36"/>
                <w:sz w:val="18"/>
              </w:rPr>
              <w:t>SAR 30.7</w:t>
            </w:r>
          </w:p>
        </w:tc>
        <w:tc>
          <w:tcPr>
            <w:tcW w:type="dxa" w:w="1440"/>
          </w:tcPr>
          <w:p>
            <w:pPr>
              <w:spacing w:after="20"/>
              <w:jc w:val="right"/>
            </w:pPr>
            <w:r>
              <w:rPr>
                <w:color w:val="1C3A36"/>
                <w:sz w:val="18"/>
              </w:rPr>
              <w:t>+28%</w:t>
            </w:r>
          </w:p>
        </w:tc>
      </w:tr>
      <w:tr>
        <w:tc>
          <w:tcPr>
            <w:tcW w:type="dxa" w:w="3312"/>
            <w:shd w:val="clear" w:color="auto" w:fill="F6F1E6"/>
          </w:tcPr>
          <w:p>
            <w:pPr>
              <w:spacing w:after="20"/>
            </w:pPr>
            <w:r>
              <w:rPr>
                <w:b/>
                <w:color w:val="1C3A36"/>
                <w:sz w:val="18"/>
              </w:rPr>
              <w:t>Panel span</w:t>
            </w:r>
          </w:p>
        </w:tc>
        <w:tc>
          <w:tcPr>
            <w:tcW w:type="dxa" w:w="3600"/>
            <w:shd w:val="clear" w:color="auto" w:fill="F6F1E6"/>
          </w:tcPr>
          <w:p>
            <w:pPr>
              <w:spacing w:after="20"/>
              <w:jc w:val="right"/>
            </w:pPr>
            <w:r>
              <w:rPr>
                <w:b/>
                <w:color w:val="1C3A36"/>
                <w:sz w:val="18"/>
              </w:rPr>
              <w:t>—</w:t>
            </w:r>
          </w:p>
        </w:tc>
        <w:tc>
          <w:tcPr>
            <w:tcW w:type="dxa" w:w="1872"/>
            <w:shd w:val="clear" w:color="auto" w:fill="F6F1E6"/>
          </w:tcPr>
          <w:p>
            <w:pPr>
              <w:spacing w:after="20"/>
              <w:jc w:val="right"/>
            </w:pPr>
            <w:r>
              <w:rPr>
                <w:b/>
                <w:color w:val="1C3A36"/>
                <w:sz w:val="18"/>
              </w:rPr>
              <w:t>SAR ~22.1–28.7</w:t>
            </w:r>
          </w:p>
        </w:tc>
        <w:tc>
          <w:tcPr>
            <w:tcW w:type="dxa" w:w="1440"/>
            <w:shd w:val="clear" w:color="auto" w:fill="F6F1E6"/>
          </w:tcPr>
          <w:p>
            <w:pPr>
              <w:spacing w:after="20"/>
              <w:jc w:val="right"/>
            </w:pPr>
            <w:r>
              <w:rPr>
                <w:b/>
                <w:color w:val="1C3A36"/>
                <w:sz w:val="18"/>
              </w:rPr>
              <w:t>straddles spot</w:t>
            </w:r>
          </w:p>
        </w:tc>
      </w:tr>
    </w:tbl>
    <w:p>
      <w:pPr>
        <w:spacing w:after="40"/>
      </w:pPr>
    </w:p>
    <w:p>
      <w:pPr>
        <w:spacing w:after="80" w:before="200"/>
      </w:pPr>
      <w:r>
        <w:rPr>
          <w:b/>
          <w:i w:val="0"/>
          <w:color w:val="1C3A36"/>
          <w:sz w:val="24"/>
        </w:rPr>
        <w:t>C.6  Reading the divergence</w:t>
      </w:r>
    </w:p>
    <w:p>
      <w:pPr>
        <w:spacing w:after="120" w:before="0"/>
      </w:pPr>
      <w:r>
        <w:rPr>
          <w:b w:val="0"/>
          <w:i w:val="0"/>
          <w:color w:val="1C3A36"/>
          <w:sz w:val="19"/>
        </w:rPr>
        <w:t>The SAR ~6.6 spread between Expert 2 and Expert 3 is not noise — it measures exactly two things: what a through-cycle loss rate costs (each 20bp of CoR ≈ SAR 1.9 of value at the panel's multiples) and who sets the discount rate (each 50bp of Ke ≈ SAR 2.8). The core lenses of §1 sit inside the panel's span, and spot sits between Expert 2 and Expert 1. Translation: the market is currently paying the capital-returns price while reserving judgement on the credit cycle — which is a reasonable thing for a market to do, and why our verdict is 'modestly undervalued, conditionally' rather than anything louder.</w:t>
      </w:r>
    </w:p>
    <w:p>
      <w:pPr>
        <w:spacing w:after="120" w:before="280"/>
      </w:pPr>
      <w:r>
        <w:rPr>
          <w:b/>
          <w:i w:val="0"/>
          <w:color w:val="1C3A36"/>
          <w:sz w:val="30"/>
        </w:rPr>
        <w:t>About this series</w:t>
      </w:r>
    </w:p>
    <w:p>
      <w:pPr>
        <w:spacing w:after="120" w:before="0"/>
      </w:pPr>
      <w:r>
        <w:rPr>
          <w:b w:val="0"/>
          <w:i w:val="0"/>
          <w:color w:val="1C3A36"/>
          <w:sz w:val="19"/>
        </w:rPr>
        <w:t>Testahil publishes independent, educational equity valuation studies under the Testahil brand only. Every study presents fair-value ranges and probability distributions — never a rating, never a target price, never a recommendation. Methods, calibration history and the public forecast ledger live at testahil.com; matured Monte Carlo cohorts are scored in public against a random-walk benchmark on CRPS skill, and studies are updated as material facts change.</w:t>
      </w:r>
    </w:p>
    <w:p>
      <w:pPr>
        <w:spacing w:after="120" w:before="280"/>
      </w:pPr>
      <w:r>
        <w:rPr>
          <w:b/>
          <w:i w:val="0"/>
          <w:color w:val="1C3A36"/>
          <w:sz w:val="30"/>
        </w:rPr>
        <w:t>Disclosure &amp; Disclaimer</w:t>
      </w:r>
    </w:p>
    <w:p>
      <w:pPr>
        <w:spacing w:after="80" w:before="0"/>
      </w:pPr>
      <w:r>
        <w:rPr>
          <w:b w:val="0"/>
          <w:i w:val="0"/>
          <w:color w:val="1C3A36"/>
          <w:sz w:val="17"/>
        </w:rPr>
        <w:t>1. Educational purpose only. This study is educational analysis and general information. It is not investment advice, not a recommendation, not an offer or solicitation to buy or sell any security, and it does not consider any person's objectives, financial situation or needs.</w:t>
      </w:r>
    </w:p>
    <w:p>
      <w:pPr>
        <w:spacing w:after="80" w:before="0"/>
      </w:pPr>
      <w:r>
        <w:rPr>
          <w:b w:val="0"/>
          <w:i w:val="0"/>
          <w:color w:val="1C3A36"/>
          <w:sz w:val="17"/>
        </w:rPr>
        <w:t>2. No licence. Testahil and the preparer are not licensed by the Saudi Capital Market Authority, the Egyptian Financial Regulatory Authority, or any other financial regulator, and do not provide regulated investment services.</w:t>
      </w:r>
    </w:p>
    <w:p>
      <w:pPr>
        <w:spacing w:after="80" w:before="0"/>
      </w:pPr>
      <w:r>
        <w:rPr>
          <w:b w:val="0"/>
          <w:i w:val="0"/>
          <w:color w:val="1C3A36"/>
          <w:sz w:val="17"/>
        </w:rPr>
        <w:t>3. No warranty. Information is drawn from public sources believed reliable as of the study date but is not guaranteed complete or accurate. Figures explicitly labelled as derived, constructed or flagged are estimates pending primary-source confirmation.</w:t>
      </w:r>
    </w:p>
    <w:p>
      <w:pPr>
        <w:spacing w:after="80" w:before="0"/>
      </w:pPr>
      <w:r>
        <w:rPr>
          <w:b w:val="0"/>
          <w:i w:val="0"/>
          <w:color w:val="1C3A36"/>
          <w:sz w:val="17"/>
        </w:rPr>
        <w:t>4. Forward-looking uncertainty. Fair-value ranges, forecasts and simulated distributions are probabilistic estimates, not predictions. Actual outcomes will differ, possibly materially. Past calibration performance does not guarantee future calibration.</w:t>
      </w:r>
    </w:p>
    <w:p>
      <w:pPr>
        <w:spacing w:after="80" w:before="0"/>
      </w:pPr>
      <w:r>
        <w:rPr>
          <w:b w:val="0"/>
          <w:i w:val="0"/>
          <w:color w:val="1C3A36"/>
          <w:sz w:val="17"/>
        </w:rPr>
        <w:t>5. Position disclosure. The preparer may hold, and may in the future take or dispose of, a position in the security discussed in this report.</w:t>
      </w:r>
    </w:p>
    <w:p>
      <w:pPr>
        <w:spacing w:after="80" w:before="0"/>
      </w:pPr>
      <w:r>
        <w:rPr>
          <w:b w:val="0"/>
          <w:i w:val="0"/>
          <w:color w:val="1C3A36"/>
          <w:sz w:val="17"/>
        </w:rPr>
        <w:t>6. No liability. To the maximum extent permitted by law, Testahil and the preparer accept no liability for any loss arising from any use of this study. Readers must do their own research and consult a licensed adviser before any investment decision.</w:t>
      </w:r>
    </w:p>
    <w:p>
      <w:pPr>
        <w:spacing w:after="120" w:before="160"/>
        <w:jc w:val="center"/>
      </w:pPr>
      <w:r>
        <w:rPr>
          <w:b w:val="0"/>
          <w:i w:val="0"/>
          <w:color w:val="6E7B77"/>
          <w:sz w:val="17"/>
        </w:rPr>
        <w:t>Testahil · testahil.com · Study date 10 July 2026 · Anchor SAR 24.00 (07 Jul 2026 close) · © Testahil 2026</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